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النثر الفنی فی ثورة التوابین وامارة المختار الثقفی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7599_77446391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07601_77446391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07603_774463916">
            <w:r>
              <w:rPr>
                <w:webHidden/>
                <w:rStyle w:val="IndexLink"/>
                <w:rtl w:val="true"/>
              </w:rPr>
              <w:t>الإهداء</w:t>
            </w:r>
            <w:r>
              <w:rPr>
                <w:rStyle w:val="IndexLink"/>
                <w:rtl w:val="true"/>
              </w:rPr>
              <w:t>..</w:t>
              <w:tab/>
            </w:r>
            <w:r>
              <w:rPr>
                <w:rStyle w:val="IndexLink"/>
              </w:rPr>
              <w:t>13</w:t>
            </w:r>
          </w:hyperlink>
        </w:p>
        <w:p>
          <w:pPr>
            <w:pStyle w:val="Contents2"/>
            <w:tabs>
              <w:tab w:val="clear" w:pos="8743"/>
              <w:tab w:val="right" w:pos="9026" w:leader="dot"/>
            </w:tabs>
            <w:rPr/>
          </w:pPr>
          <w:hyperlink w:anchor="__RefHeading___Toc507605_774463916">
            <w:r>
              <w:rPr>
                <w:webHidden/>
                <w:rStyle w:val="IndexLink"/>
                <w:rtl w:val="true"/>
              </w:rPr>
              <w:t>(</w:t>
            </w:r>
            <w:r>
              <w:rPr>
                <w:rStyle w:val="IndexLink"/>
                <w:rtl w:val="true"/>
              </w:rPr>
              <w:t>شکر وعرفان</w:t>
            </w:r>
            <w:r>
              <w:rPr>
                <w:rStyle w:val="IndexLink"/>
                <w:rtl w:val="true"/>
              </w:rPr>
              <w:t>)</w:t>
              <w:tab/>
            </w:r>
            <w:r>
              <w:rPr>
                <w:rStyle w:val="IndexLink"/>
              </w:rPr>
              <w:t>15</w:t>
            </w:r>
          </w:hyperlink>
        </w:p>
        <w:p>
          <w:pPr>
            <w:pStyle w:val="Contents2"/>
            <w:tabs>
              <w:tab w:val="clear" w:pos="8743"/>
              <w:tab w:val="right" w:pos="9026" w:leader="dot"/>
            </w:tabs>
            <w:rPr/>
          </w:pPr>
          <w:hyperlink w:anchor="__RefHeading___Toc507607_774463916">
            <w:r>
              <w:rPr>
                <w:webHidden/>
                <w:rStyle w:val="IndexLink"/>
                <w:rtl w:val="true"/>
              </w:rPr>
              <w:t>مقدمة المؤسسة</w:t>
            </w:r>
            <w:r>
              <w:rPr>
                <w:rStyle w:val="IndexLink"/>
                <w:rtl w:val="true"/>
              </w:rPr>
              <w:tab/>
            </w:r>
            <w:r>
              <w:rPr>
                <w:rStyle w:val="IndexLink"/>
              </w:rPr>
              <w:t>17</w:t>
            </w:r>
          </w:hyperlink>
        </w:p>
        <w:p>
          <w:pPr>
            <w:pStyle w:val="Contents2"/>
            <w:tabs>
              <w:tab w:val="clear" w:pos="8743"/>
              <w:tab w:val="right" w:pos="9026" w:leader="dot"/>
            </w:tabs>
            <w:rPr/>
          </w:pPr>
          <w:hyperlink w:anchor="__RefHeading___Toc507609_774463916">
            <w:r>
              <w:rPr>
                <w:webHidden/>
                <w:rStyle w:val="IndexLink"/>
                <w:rtl w:val="true"/>
              </w:rPr>
              <w:t>مقدمة المؤلف</w:t>
            </w:r>
            <w:r>
              <w:rPr>
                <w:rStyle w:val="IndexLink"/>
                <w:rtl w:val="true"/>
              </w:rPr>
              <w:tab/>
            </w:r>
            <w:r>
              <w:rPr>
                <w:rStyle w:val="IndexLink"/>
              </w:rPr>
              <w:t>21</w:t>
            </w:r>
          </w:hyperlink>
        </w:p>
        <w:p>
          <w:pPr>
            <w:pStyle w:val="Contents2"/>
            <w:tabs>
              <w:tab w:val="clear" w:pos="8743"/>
              <w:tab w:val="right" w:pos="9026" w:leader="dot"/>
            </w:tabs>
            <w:rPr/>
          </w:pPr>
          <w:hyperlink w:anchor="__RefHeading___Toc507611_774463916">
            <w:r>
              <w:rPr>
                <w:webHidden/>
                <w:rStyle w:val="IndexLink"/>
                <w:rtl w:val="true"/>
              </w:rPr>
              <w:t>التمهید النثر بین الموضوع والأداء</w:t>
            </w:r>
            <w:r>
              <w:rPr>
                <w:rStyle w:val="IndexLink"/>
                <w:rtl w:val="true"/>
              </w:rPr>
              <w:tab/>
            </w:r>
            <w:r>
              <w:rPr>
                <w:rStyle w:val="IndexLink"/>
              </w:rPr>
              <w:t>25</w:t>
            </w:r>
          </w:hyperlink>
        </w:p>
        <w:p>
          <w:pPr>
            <w:pStyle w:val="Contents3"/>
            <w:tabs>
              <w:tab w:val="clear" w:pos="8459"/>
              <w:tab w:val="right" w:pos="9026" w:leader="dot"/>
            </w:tabs>
            <w:rPr/>
          </w:pPr>
          <w:hyperlink w:anchor="__RefHeading___Toc507613_774463916">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507615_774463916">
            <w:r>
              <w:rPr>
                <w:webHidden/>
                <w:rStyle w:val="IndexLink"/>
                <w:rtl w:val="true"/>
              </w:rPr>
              <w:t>أوَّلاً</w:t>
            </w:r>
            <w:r>
              <w:rPr>
                <w:rStyle w:val="IndexLink"/>
                <w:rtl w:val="true"/>
              </w:rPr>
              <w:t xml:space="preserve">: </w:t>
            </w:r>
            <w:r>
              <w:rPr>
                <w:rStyle w:val="IndexLink"/>
                <w:rtl w:val="true"/>
              </w:rPr>
              <w:t>مفهوم النثر الفنی</w:t>
            </w:r>
            <w:r>
              <w:rPr>
                <w:rStyle w:val="IndexLink"/>
                <w:rtl w:val="true"/>
              </w:rPr>
              <w:tab/>
            </w:r>
            <w:r>
              <w:rPr>
                <w:rStyle w:val="IndexLink"/>
              </w:rPr>
              <w:t>27</w:t>
            </w:r>
          </w:hyperlink>
        </w:p>
        <w:p>
          <w:pPr>
            <w:pStyle w:val="Contents4"/>
            <w:tabs>
              <w:tab w:val="clear" w:pos="8176"/>
              <w:tab w:val="right" w:pos="9026" w:leader="dot"/>
            </w:tabs>
            <w:rPr/>
          </w:pPr>
          <w:hyperlink w:anchor="__RefHeading___Toc507617_774463916">
            <w:r>
              <w:rPr>
                <w:webHidden/>
                <w:rStyle w:val="IndexLink"/>
                <w:rtl w:val="true"/>
              </w:rPr>
              <w:t>النثر فی اللغة</w:t>
            </w:r>
            <w:r>
              <w:rPr>
                <w:rStyle w:val="IndexLink"/>
                <w:rtl w:val="true"/>
              </w:rPr>
              <w:t>:</w:t>
              <w:tab/>
            </w:r>
            <w:r>
              <w:rPr>
                <w:rStyle w:val="IndexLink"/>
              </w:rPr>
              <w:t>27</w:t>
            </w:r>
          </w:hyperlink>
        </w:p>
        <w:p>
          <w:pPr>
            <w:pStyle w:val="Contents3"/>
            <w:tabs>
              <w:tab w:val="clear" w:pos="8459"/>
              <w:tab w:val="right" w:pos="9026" w:leader="dot"/>
            </w:tabs>
            <w:rPr/>
          </w:pPr>
          <w:hyperlink w:anchor="__RefHeading___Toc507619_774463916">
            <w:r>
              <w:rPr>
                <w:webHidden/>
                <w:rStyle w:val="IndexLink"/>
                <w:rtl w:val="true"/>
              </w:rPr>
              <w:t>ثانیاً</w:t>
            </w:r>
            <w:r>
              <w:rPr>
                <w:rStyle w:val="IndexLink"/>
                <w:rtl w:val="true"/>
              </w:rPr>
              <w:t xml:space="preserve">: </w:t>
            </w:r>
            <w:r>
              <w:rPr>
                <w:rStyle w:val="IndexLink"/>
                <w:rtl w:val="true"/>
              </w:rPr>
              <w:t>مدخل تنظیری للأُسلوبیَّة</w:t>
            </w:r>
            <w:r>
              <w:rPr>
                <w:rStyle w:val="IndexLink"/>
                <w:rtl w:val="true"/>
              </w:rPr>
              <w:tab/>
            </w:r>
            <w:r>
              <w:rPr>
                <w:rStyle w:val="IndexLink"/>
              </w:rPr>
              <w:t>29</w:t>
            </w:r>
          </w:hyperlink>
        </w:p>
        <w:p>
          <w:pPr>
            <w:pStyle w:val="Contents2"/>
            <w:tabs>
              <w:tab w:val="clear" w:pos="8743"/>
              <w:tab w:val="right" w:pos="9026" w:leader="dot"/>
            </w:tabs>
            <w:rPr/>
          </w:pPr>
          <w:hyperlink w:anchor="__RefHeading___Toc507621_774463916">
            <w:r>
              <w:rPr>
                <w:webHidden/>
                <w:rStyle w:val="IndexLink"/>
                <w:rtl w:val="true"/>
              </w:rPr>
              <w:t>الفصل الأوَّل</w:t>
            </w:r>
            <w:r>
              <w:rPr>
                <w:rStyle w:val="IndexLink"/>
                <w:rtl w:val="true"/>
              </w:rPr>
              <w:t xml:space="preserve">: </w:t>
            </w:r>
            <w:r>
              <w:rPr>
                <w:rStyle w:val="IndexLink"/>
                <w:rtl w:val="true"/>
              </w:rPr>
              <w:t>أنماط النَّثر الفنِّی ومواردها فی ثورة التوّابین وإمارة المختار</w:t>
            </w:r>
            <w:r>
              <w:rPr>
                <w:rStyle w:val="IndexLink"/>
                <w:rtl w:val="true"/>
              </w:rPr>
              <w:tab/>
            </w:r>
            <w:r>
              <w:rPr>
                <w:rStyle w:val="IndexLink"/>
              </w:rPr>
              <w:t>35</w:t>
            </w:r>
          </w:hyperlink>
        </w:p>
        <w:p>
          <w:pPr>
            <w:pStyle w:val="Contents3"/>
            <w:tabs>
              <w:tab w:val="clear" w:pos="8459"/>
              <w:tab w:val="right" w:pos="9026" w:leader="dot"/>
            </w:tabs>
            <w:rPr/>
          </w:pPr>
          <w:hyperlink w:anchor="__RefHeading___Toc507623_774463916">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507625_774463916">
            <w:r>
              <w:rPr>
                <w:webHidden/>
                <w:rStyle w:val="IndexLink"/>
                <w:rtl w:val="true"/>
              </w:rPr>
              <w:t xml:space="preserve">المبحث الأوَّل </w:t>
            </w:r>
            <w:r>
              <w:rPr>
                <w:rStyle w:val="IndexLink"/>
                <w:rtl w:val="true"/>
              </w:rPr>
              <w:t>:</w:t>
            </w:r>
            <w:r>
              <w:rPr>
                <w:rStyle w:val="IndexLink"/>
                <w:rtl w:val="true"/>
              </w:rPr>
              <w:t>أنماط النثر الفنَّی فی ثورة التوّابین وإمارة المختار</w:t>
            </w:r>
            <w:r>
              <w:rPr>
                <w:rStyle w:val="IndexLink"/>
                <w:rtl w:val="true"/>
              </w:rPr>
              <w:tab/>
            </w:r>
            <w:r>
              <w:rPr>
                <w:rStyle w:val="IndexLink"/>
              </w:rPr>
              <w:t>37</w:t>
            </w:r>
          </w:hyperlink>
        </w:p>
        <w:p>
          <w:pPr>
            <w:pStyle w:val="Contents4"/>
            <w:tabs>
              <w:tab w:val="clear" w:pos="8176"/>
              <w:tab w:val="right" w:pos="9026" w:leader="dot"/>
            </w:tabs>
            <w:rPr/>
          </w:pPr>
          <w:hyperlink w:anchor="__RefHeading___Toc507627_774463916">
            <w:r>
              <w:rPr>
                <w:webHidden/>
                <w:rStyle w:val="IndexLink"/>
                <w:rtl w:val="true"/>
              </w:rPr>
              <w:t>أولاً</w:t>
            </w:r>
            <w:r>
              <w:rPr>
                <w:rStyle w:val="IndexLink"/>
                <w:rtl w:val="true"/>
              </w:rPr>
              <w:t xml:space="preserve">: </w:t>
            </w:r>
            <w:r>
              <w:rPr>
                <w:rStyle w:val="IndexLink"/>
                <w:rtl w:val="true"/>
              </w:rPr>
              <w:t>الخطابة</w:t>
            </w:r>
            <w:r>
              <w:rPr>
                <w:rStyle w:val="IndexLink"/>
                <w:rtl w:val="true"/>
              </w:rPr>
              <w:tab/>
            </w:r>
            <w:r>
              <w:rPr>
                <w:rStyle w:val="IndexLink"/>
              </w:rPr>
              <w:t>37</w:t>
            </w:r>
          </w:hyperlink>
        </w:p>
        <w:p>
          <w:pPr>
            <w:pStyle w:val="Contents5"/>
            <w:tabs>
              <w:tab w:val="clear" w:pos="7892"/>
              <w:tab w:val="right" w:pos="9026" w:leader="dot"/>
            </w:tabs>
            <w:rPr/>
          </w:pPr>
          <w:hyperlink w:anchor="__RefHeading___Toc507629_774463916">
            <w:r>
              <w:rPr>
                <w:webHidden/>
                <w:rStyle w:val="IndexLink"/>
              </w:rPr>
              <w:t>1</w:t>
            </w:r>
            <w:r>
              <w:rPr>
                <w:rStyle w:val="IndexLink"/>
                <w:rtl w:val="true"/>
              </w:rPr>
              <w:t xml:space="preserve">- </w:t>
            </w:r>
            <w:r>
              <w:rPr>
                <w:rStyle w:val="IndexLink"/>
                <w:rtl w:val="true"/>
              </w:rPr>
              <w:t>الخطابة بین الجاهلیة وصدر الإسلام</w:t>
            </w:r>
            <w:r>
              <w:rPr>
                <w:rStyle w:val="IndexLink"/>
                <w:rtl w:val="true"/>
              </w:rPr>
              <w:tab/>
            </w:r>
            <w:r>
              <w:rPr>
                <w:rStyle w:val="IndexLink"/>
              </w:rPr>
              <w:t>37</w:t>
            </w:r>
          </w:hyperlink>
        </w:p>
        <w:p>
          <w:pPr>
            <w:pStyle w:val="Contents5"/>
            <w:tabs>
              <w:tab w:val="clear" w:pos="7892"/>
              <w:tab w:val="right" w:pos="9026" w:leader="dot"/>
            </w:tabs>
            <w:rPr/>
          </w:pPr>
          <w:hyperlink w:anchor="__RefHeading___Toc507631_774463916">
            <w:r>
              <w:rPr>
                <w:webHidden/>
                <w:rStyle w:val="IndexLink"/>
              </w:rPr>
              <w:t>2</w:t>
            </w:r>
            <w:r>
              <w:rPr>
                <w:rStyle w:val="IndexLink"/>
                <w:rtl w:val="true"/>
              </w:rPr>
              <w:t xml:space="preserve">- </w:t>
            </w:r>
            <w:r>
              <w:rPr>
                <w:rStyle w:val="IndexLink"/>
                <w:rtl w:val="true"/>
              </w:rPr>
              <w:t>الخطابة فی ثورة التوّابین وإمارة المختار</w:t>
            </w:r>
            <w:r>
              <w:rPr>
                <w:rStyle w:val="IndexLink"/>
                <w:rtl w:val="true"/>
              </w:rPr>
              <w:tab/>
            </w:r>
            <w:r>
              <w:rPr>
                <w:rStyle w:val="IndexLink"/>
              </w:rPr>
              <w:t>42</w:t>
            </w:r>
          </w:hyperlink>
        </w:p>
        <w:p>
          <w:pPr>
            <w:pStyle w:val="Contents4"/>
            <w:tabs>
              <w:tab w:val="clear" w:pos="8176"/>
              <w:tab w:val="right" w:pos="9026" w:leader="dot"/>
            </w:tabs>
            <w:rPr/>
          </w:pPr>
          <w:hyperlink w:anchor="__RefHeading___Toc507633_774463916">
            <w:r>
              <w:rPr>
                <w:webHidden/>
                <w:rStyle w:val="IndexLink"/>
                <w:rtl w:val="true"/>
              </w:rPr>
              <w:t>ثانیاً</w:t>
            </w:r>
            <w:r>
              <w:rPr>
                <w:rStyle w:val="IndexLink"/>
                <w:rtl w:val="true"/>
              </w:rPr>
              <w:t xml:space="preserve">: </w:t>
            </w:r>
            <w:r>
              <w:rPr>
                <w:rStyle w:val="IndexLink"/>
                <w:rtl w:val="true"/>
              </w:rPr>
              <w:t>الرسائل الفنیة</w:t>
            </w:r>
            <w:r>
              <w:rPr>
                <w:rStyle w:val="IndexLink"/>
                <w:rtl w:val="true"/>
              </w:rPr>
              <w:tab/>
            </w:r>
            <w:r>
              <w:rPr>
                <w:rStyle w:val="IndexLink"/>
              </w:rPr>
              <w:t>46</w:t>
            </w:r>
          </w:hyperlink>
        </w:p>
        <w:p>
          <w:pPr>
            <w:pStyle w:val="Contents5"/>
            <w:tabs>
              <w:tab w:val="clear" w:pos="7892"/>
              <w:tab w:val="right" w:pos="9026" w:leader="dot"/>
            </w:tabs>
            <w:rPr/>
          </w:pPr>
          <w:hyperlink w:anchor="__RefHeading___Toc507635_774463916">
            <w:r>
              <w:rPr>
                <w:webHidden/>
                <w:rStyle w:val="IndexLink"/>
              </w:rPr>
              <w:t>1</w:t>
            </w:r>
            <w:r>
              <w:rPr>
                <w:rStyle w:val="IndexLink"/>
                <w:rtl w:val="true"/>
              </w:rPr>
              <w:t xml:space="preserve">- </w:t>
            </w:r>
            <w:r>
              <w:rPr>
                <w:rStyle w:val="IndexLink"/>
                <w:rtl w:val="true"/>
              </w:rPr>
              <w:t>الرسائل الفنیة بین الجاهلیة وعصر صدر الإسلام</w:t>
            </w:r>
            <w:r>
              <w:rPr>
                <w:rStyle w:val="IndexLink"/>
                <w:rtl w:val="true"/>
              </w:rPr>
              <w:tab/>
            </w:r>
            <w:r>
              <w:rPr>
                <w:rStyle w:val="IndexLink"/>
              </w:rPr>
              <w:t>46</w:t>
            </w:r>
          </w:hyperlink>
        </w:p>
        <w:p>
          <w:pPr>
            <w:pStyle w:val="Contents5"/>
            <w:tabs>
              <w:tab w:val="clear" w:pos="7892"/>
              <w:tab w:val="right" w:pos="9026" w:leader="dot"/>
            </w:tabs>
            <w:rPr/>
          </w:pPr>
          <w:hyperlink w:anchor="__RefHeading___Toc507637_774463916">
            <w:r>
              <w:rPr>
                <w:webHidden/>
                <w:rStyle w:val="IndexLink"/>
              </w:rPr>
              <w:t>2</w:t>
            </w:r>
            <w:r>
              <w:rPr>
                <w:rStyle w:val="IndexLink"/>
                <w:rtl w:val="true"/>
              </w:rPr>
              <w:t xml:space="preserve">- </w:t>
            </w:r>
            <w:r>
              <w:rPr>
                <w:rStyle w:val="IndexLink"/>
                <w:rtl w:val="true"/>
              </w:rPr>
              <w:t>الرسائل الفنیّة فی ثورة التوّابین وإمارة المختار</w:t>
            </w:r>
            <w:r>
              <w:rPr>
                <w:rStyle w:val="IndexLink"/>
                <w:rtl w:val="true"/>
              </w:rPr>
              <w:tab/>
            </w:r>
            <w:r>
              <w:rPr>
                <w:rStyle w:val="IndexLink"/>
              </w:rPr>
              <w:t>47</w:t>
            </w:r>
          </w:hyperlink>
        </w:p>
        <w:p>
          <w:pPr>
            <w:pStyle w:val="Contents4"/>
            <w:tabs>
              <w:tab w:val="clear" w:pos="8176"/>
              <w:tab w:val="right" w:pos="9026" w:leader="dot"/>
            </w:tabs>
            <w:rPr/>
          </w:pPr>
          <w:hyperlink w:anchor="__RefHeading___Toc507639_774463916">
            <w:r>
              <w:rPr>
                <w:webHidden/>
                <w:rStyle w:val="IndexLink"/>
                <w:rtl w:val="true"/>
              </w:rPr>
              <w:t>ثالثاً</w:t>
            </w:r>
            <w:r>
              <w:rPr>
                <w:rStyle w:val="IndexLink"/>
                <w:rtl w:val="true"/>
              </w:rPr>
              <w:t xml:space="preserve">: </w:t>
            </w:r>
            <w:r>
              <w:rPr>
                <w:rStyle w:val="IndexLink"/>
                <w:rtl w:val="true"/>
              </w:rPr>
              <w:t>العهود والوصایا فی ثورة التوّابین وإمارة المختار</w:t>
            </w:r>
            <w:r>
              <w:rPr>
                <w:rStyle w:val="IndexLink"/>
                <w:rtl w:val="true"/>
              </w:rPr>
              <w:tab/>
            </w:r>
            <w:r>
              <w:rPr>
                <w:rStyle w:val="IndexLink"/>
              </w:rPr>
              <w:t>50</w:t>
            </w:r>
          </w:hyperlink>
        </w:p>
        <w:p>
          <w:pPr>
            <w:pStyle w:val="Contents3"/>
            <w:tabs>
              <w:tab w:val="clear" w:pos="8459"/>
              <w:tab w:val="right" w:pos="9026" w:leader="dot"/>
            </w:tabs>
            <w:rPr/>
          </w:pPr>
          <w:hyperlink w:anchor="__RefHeading___Toc507641_774463916">
            <w:r>
              <w:rPr>
                <w:webHidden/>
                <w:rStyle w:val="IndexLink"/>
                <w:rtl w:val="true"/>
              </w:rPr>
              <w:t xml:space="preserve">المبحث الثانی </w:t>
            </w:r>
            <w:r>
              <w:rPr>
                <w:rStyle w:val="IndexLink"/>
                <w:rtl w:val="true"/>
              </w:rPr>
              <w:t>:</w:t>
            </w:r>
            <w:r>
              <w:rPr>
                <w:rStyle w:val="IndexLink"/>
                <w:rtl w:val="true"/>
              </w:rPr>
              <w:t>موارد النثر الفنی فی ثورة التوّابین وإمارة المختار</w:t>
            </w:r>
            <w:r>
              <w:rPr>
                <w:rStyle w:val="IndexLink"/>
                <w:rtl w:val="true"/>
              </w:rPr>
              <w:tab/>
            </w:r>
            <w:r>
              <w:rPr>
                <w:rStyle w:val="IndexLink"/>
              </w:rPr>
              <w:t>53</w:t>
            </w:r>
          </w:hyperlink>
        </w:p>
        <w:p>
          <w:pPr>
            <w:pStyle w:val="Contents4"/>
            <w:tabs>
              <w:tab w:val="clear" w:pos="8176"/>
              <w:tab w:val="right" w:pos="9026" w:leader="dot"/>
            </w:tabs>
            <w:rPr/>
          </w:pPr>
          <w:hyperlink w:anchor="__RefHeading___Toc507643_774463916">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507645_774463916">
            <w:r>
              <w:rPr>
                <w:webHidden/>
                <w:rStyle w:val="IndexLink"/>
                <w:rtl w:val="true"/>
              </w:rPr>
              <w:t>أوّلاً</w:t>
            </w:r>
            <w:r>
              <w:rPr>
                <w:rStyle w:val="IndexLink"/>
                <w:rtl w:val="true"/>
              </w:rPr>
              <w:t xml:space="preserve">: </w:t>
            </w:r>
            <w:r>
              <w:rPr>
                <w:rStyle w:val="IndexLink"/>
                <w:rtl w:val="true"/>
              </w:rPr>
              <w:t>القرآن الکریم</w:t>
            </w:r>
            <w:r>
              <w:rPr>
                <w:rStyle w:val="IndexLink"/>
                <w:rtl w:val="true"/>
              </w:rPr>
              <w:tab/>
            </w:r>
            <w:r>
              <w:rPr>
                <w:rStyle w:val="IndexLink"/>
              </w:rPr>
              <w:t>53</w:t>
            </w:r>
          </w:hyperlink>
        </w:p>
        <w:p>
          <w:pPr>
            <w:pStyle w:val="Contents5"/>
            <w:tabs>
              <w:tab w:val="clear" w:pos="7892"/>
              <w:tab w:val="right" w:pos="9026" w:leader="dot"/>
            </w:tabs>
            <w:rPr/>
          </w:pPr>
          <w:hyperlink w:anchor="__RefHeading___Toc507647_774463916">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507649_774463916">
            <w:r>
              <w:rPr>
                <w:webHidden/>
                <w:rStyle w:val="IndexLink"/>
              </w:rPr>
              <w:t>1</w:t>
            </w:r>
            <w:r>
              <w:rPr>
                <w:rStyle w:val="IndexLink"/>
                <w:rtl w:val="true"/>
              </w:rPr>
              <w:t xml:space="preserve">- </w:t>
            </w:r>
            <w:r>
              <w:rPr>
                <w:rStyle w:val="IndexLink"/>
                <w:rtl w:val="true"/>
              </w:rPr>
              <w:t>الاقتباس القرآنی</w:t>
            </w:r>
            <w:r>
              <w:rPr>
                <w:rStyle w:val="IndexLink"/>
                <w:rtl w:val="true"/>
              </w:rPr>
              <w:tab/>
            </w:r>
            <w:r>
              <w:rPr>
                <w:rStyle w:val="IndexLink"/>
              </w:rPr>
              <w:t>56</w:t>
            </w:r>
          </w:hyperlink>
        </w:p>
        <w:p>
          <w:pPr>
            <w:pStyle w:val="Contents5"/>
            <w:tabs>
              <w:tab w:val="clear" w:pos="7892"/>
              <w:tab w:val="right" w:pos="9026" w:leader="dot"/>
            </w:tabs>
            <w:rPr/>
          </w:pPr>
          <w:hyperlink w:anchor="__RefHeading___Toc507651_774463916">
            <w:r>
              <w:rPr>
                <w:webHidden/>
                <w:rStyle w:val="IndexLink"/>
              </w:rPr>
              <w:t>2</w:t>
            </w:r>
            <w:r>
              <w:rPr>
                <w:rStyle w:val="IndexLink"/>
                <w:rtl w:val="true"/>
              </w:rPr>
              <w:t xml:space="preserve">- </w:t>
            </w:r>
            <w:r>
              <w:rPr>
                <w:rStyle w:val="IndexLink"/>
                <w:rtl w:val="true"/>
              </w:rPr>
              <w:t>الاستشهاد بالآیات القرآنیَّة</w:t>
            </w:r>
            <w:r>
              <w:rPr>
                <w:rStyle w:val="IndexLink"/>
                <w:rtl w:val="true"/>
              </w:rPr>
              <w:tab/>
            </w:r>
            <w:r>
              <w:rPr>
                <w:rStyle w:val="IndexLink"/>
              </w:rPr>
              <w:t>63</w:t>
            </w:r>
          </w:hyperlink>
        </w:p>
        <w:p>
          <w:pPr>
            <w:pStyle w:val="Contents5"/>
            <w:tabs>
              <w:tab w:val="clear" w:pos="7892"/>
              <w:tab w:val="right" w:pos="9026" w:leader="dot"/>
            </w:tabs>
            <w:rPr/>
          </w:pPr>
          <w:hyperlink w:anchor="__RefHeading___Toc507653_774463916">
            <w:r>
              <w:rPr>
                <w:webHidden/>
                <w:rStyle w:val="IndexLink"/>
              </w:rPr>
              <w:t>3</w:t>
            </w:r>
            <w:r>
              <w:rPr>
                <w:rStyle w:val="IndexLink"/>
                <w:rtl w:val="true"/>
              </w:rPr>
              <w:t xml:space="preserve">- </w:t>
            </w:r>
            <w:r>
              <w:rPr>
                <w:rStyle w:val="IndexLink"/>
                <w:rtl w:val="true"/>
              </w:rPr>
              <w:t>محاکاة أُسلوب القرآن الکریم</w:t>
            </w:r>
            <w:r>
              <w:rPr>
                <w:rStyle w:val="IndexLink"/>
                <w:rtl w:val="true"/>
              </w:rPr>
              <w:tab/>
            </w:r>
            <w:r>
              <w:rPr>
                <w:rStyle w:val="IndexLink"/>
              </w:rPr>
              <w:t>65</w:t>
            </w:r>
          </w:hyperlink>
        </w:p>
        <w:p>
          <w:pPr>
            <w:pStyle w:val="Contents4"/>
            <w:tabs>
              <w:tab w:val="clear" w:pos="8176"/>
              <w:tab w:val="right" w:pos="9026" w:leader="dot"/>
            </w:tabs>
            <w:rPr/>
          </w:pPr>
          <w:hyperlink w:anchor="__RefHeading___Toc507655_774463916">
            <w:r>
              <w:rPr>
                <w:webHidden/>
                <w:rStyle w:val="IndexLink"/>
                <w:rtl w:val="true"/>
              </w:rPr>
              <w:t>ثانیاً</w:t>
            </w:r>
            <w:r>
              <w:rPr>
                <w:rStyle w:val="IndexLink"/>
                <w:rtl w:val="true"/>
              </w:rPr>
              <w:t xml:space="preserve">: </w:t>
            </w:r>
            <w:r>
              <w:rPr>
                <w:rStyle w:val="IndexLink"/>
                <w:rtl w:val="true"/>
              </w:rPr>
              <w:t>نثر الرسول محمد</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69</w:t>
            </w:r>
          </w:hyperlink>
        </w:p>
        <w:p>
          <w:pPr>
            <w:pStyle w:val="Contents5"/>
            <w:tabs>
              <w:tab w:val="clear" w:pos="7892"/>
              <w:tab w:val="right" w:pos="9026" w:leader="dot"/>
            </w:tabs>
            <w:rPr/>
          </w:pPr>
          <w:hyperlink w:anchor="__RefHeading___Toc507657_774463916">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507659_774463916">
            <w:r>
              <w:rPr>
                <w:webHidden/>
                <w:rStyle w:val="IndexLink"/>
              </w:rPr>
              <w:t>‌</w:t>
            </w:r>
            <w:r>
              <w:rPr>
                <w:rStyle w:val="IndexLink"/>
              </w:rPr>
              <w:t>1</w:t>
            </w:r>
            <w:r>
              <w:rPr>
                <w:rStyle w:val="IndexLink"/>
                <w:rtl w:val="true"/>
              </w:rPr>
              <w:t xml:space="preserve"> - </w:t>
            </w:r>
            <w:r>
              <w:rPr>
                <w:rStyle w:val="IndexLink"/>
                <w:rtl w:val="true"/>
              </w:rPr>
              <w:t>الحدیث النَّبوی الشَّریف</w:t>
            </w:r>
            <w:r>
              <w:rPr>
                <w:rStyle w:val="IndexLink"/>
                <w:rtl w:val="true"/>
              </w:rPr>
              <w:tab/>
            </w:r>
            <w:r>
              <w:rPr>
                <w:rStyle w:val="IndexLink"/>
              </w:rPr>
              <w:t>71</w:t>
            </w:r>
          </w:hyperlink>
        </w:p>
        <w:p>
          <w:pPr>
            <w:pStyle w:val="Contents5"/>
            <w:tabs>
              <w:tab w:val="clear" w:pos="7892"/>
              <w:tab w:val="right" w:pos="9026" w:leader="dot"/>
            </w:tabs>
            <w:rPr/>
          </w:pPr>
          <w:hyperlink w:anchor="__RefHeading___Toc507661_774463916">
            <w:r>
              <w:rPr>
                <w:webHidden/>
                <w:rStyle w:val="IndexLink"/>
              </w:rPr>
              <w:t>2</w:t>
            </w:r>
            <w:r>
              <w:rPr>
                <w:rStyle w:val="IndexLink"/>
                <w:rtl w:val="true"/>
              </w:rPr>
              <w:t xml:space="preserve">- </w:t>
            </w:r>
            <w:r>
              <w:rPr>
                <w:rStyle w:val="IndexLink"/>
                <w:rtl w:val="true"/>
              </w:rPr>
              <w:t>خُطب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ورسائله</w:t>
            </w:r>
            <w:r>
              <w:rPr>
                <w:rStyle w:val="IndexLink"/>
                <w:rtl w:val="true"/>
              </w:rPr>
              <w:tab/>
            </w:r>
            <w:r>
              <w:rPr>
                <w:rStyle w:val="IndexLink"/>
              </w:rPr>
              <w:t>75</w:t>
            </w:r>
          </w:hyperlink>
        </w:p>
        <w:p>
          <w:pPr>
            <w:pStyle w:val="Contents6"/>
            <w:tabs>
              <w:tab w:val="clear" w:pos="7609"/>
              <w:tab w:val="right" w:pos="9026" w:leader="dot"/>
            </w:tabs>
            <w:rPr/>
          </w:pPr>
          <w:hyperlink w:anchor="__RefHeading___Toc507663_774463916">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507665_774463916">
            <w:r>
              <w:rPr>
                <w:webHidden/>
                <w:rStyle w:val="IndexLink"/>
                <w:rtl w:val="true"/>
              </w:rPr>
              <w:t xml:space="preserve">أ </w:t>
            </w:r>
            <w:r>
              <w:rPr>
                <w:rStyle w:val="IndexLink"/>
                <w:rtl w:val="true"/>
              </w:rPr>
              <w:t xml:space="preserve">- </w:t>
            </w:r>
            <w:r>
              <w:rPr>
                <w:rStyle w:val="IndexLink"/>
                <w:rtl w:val="true"/>
              </w:rPr>
              <w:t>البسملة</w:t>
            </w:r>
            <w:r>
              <w:rPr>
                <w:rStyle w:val="IndexLink"/>
                <w:rtl w:val="true"/>
              </w:rPr>
              <w:tab/>
            </w:r>
            <w:r>
              <w:rPr>
                <w:rStyle w:val="IndexLink"/>
              </w:rPr>
              <w:t>78</w:t>
            </w:r>
          </w:hyperlink>
        </w:p>
        <w:p>
          <w:pPr>
            <w:pStyle w:val="Contents6"/>
            <w:tabs>
              <w:tab w:val="clear" w:pos="7609"/>
              <w:tab w:val="right" w:pos="9026" w:leader="dot"/>
            </w:tabs>
            <w:rPr/>
          </w:pPr>
          <w:hyperlink w:anchor="__RefHeading___Toc507667_774463916">
            <w:r>
              <w:rPr>
                <w:webHidden/>
                <w:rStyle w:val="IndexLink"/>
                <w:rtl w:val="true"/>
              </w:rPr>
              <w:t xml:space="preserve">ب </w:t>
            </w:r>
            <w:r>
              <w:rPr>
                <w:rStyle w:val="IndexLink"/>
                <w:rtl w:val="true"/>
              </w:rPr>
              <w:t xml:space="preserve">- </w:t>
            </w:r>
            <w:r>
              <w:rPr>
                <w:rStyle w:val="IndexLink"/>
                <w:rtl w:val="true"/>
              </w:rPr>
              <w:t>العنوان</w:t>
            </w:r>
            <w:r>
              <w:rPr>
                <w:rStyle w:val="IndexLink"/>
                <w:rtl w:val="true"/>
              </w:rPr>
              <w:tab/>
            </w:r>
            <w:r>
              <w:rPr>
                <w:rStyle w:val="IndexLink"/>
              </w:rPr>
              <w:t>78</w:t>
            </w:r>
          </w:hyperlink>
        </w:p>
        <w:p>
          <w:pPr>
            <w:pStyle w:val="Contents6"/>
            <w:tabs>
              <w:tab w:val="clear" w:pos="7609"/>
              <w:tab w:val="right" w:pos="9026" w:leader="dot"/>
            </w:tabs>
            <w:rPr/>
          </w:pPr>
          <w:hyperlink w:anchor="__RefHeading___Toc507669_774463916">
            <w:r>
              <w:rPr>
                <w:webHidden/>
                <w:rStyle w:val="IndexLink"/>
                <w:rtl w:val="true"/>
              </w:rPr>
              <w:t xml:space="preserve">ج </w:t>
            </w:r>
            <w:r>
              <w:rPr>
                <w:rStyle w:val="IndexLink"/>
                <w:rtl w:val="true"/>
              </w:rPr>
              <w:t xml:space="preserve">- </w:t>
            </w:r>
            <w:r>
              <w:rPr>
                <w:rStyle w:val="IndexLink"/>
                <w:rtl w:val="true"/>
              </w:rPr>
              <w:t>السلام</w:t>
            </w:r>
            <w:r>
              <w:rPr>
                <w:rStyle w:val="IndexLink"/>
                <w:rtl w:val="true"/>
              </w:rPr>
              <w:tab/>
            </w:r>
            <w:r>
              <w:rPr>
                <w:rStyle w:val="IndexLink"/>
              </w:rPr>
              <w:t>79</w:t>
            </w:r>
          </w:hyperlink>
        </w:p>
        <w:p>
          <w:pPr>
            <w:pStyle w:val="Contents6"/>
            <w:tabs>
              <w:tab w:val="clear" w:pos="7609"/>
              <w:tab w:val="right" w:pos="9026" w:leader="dot"/>
            </w:tabs>
            <w:rPr/>
          </w:pPr>
          <w:hyperlink w:anchor="__RefHeading___Toc507671_774463916">
            <w:r>
              <w:rPr>
                <w:webHidden/>
                <w:rStyle w:val="IndexLink"/>
                <w:rtl w:val="true"/>
              </w:rPr>
              <w:t xml:space="preserve">د </w:t>
            </w:r>
            <w:r>
              <w:rPr>
                <w:rStyle w:val="IndexLink"/>
                <w:rtl w:val="true"/>
              </w:rPr>
              <w:t xml:space="preserve">- </w:t>
            </w:r>
            <w:r>
              <w:rPr>
                <w:rStyle w:val="IndexLink"/>
                <w:rtl w:val="true"/>
              </w:rPr>
              <w:t>التخلّص</w:t>
            </w:r>
            <w:r>
              <w:rPr>
                <w:rStyle w:val="IndexLink"/>
                <w:rtl w:val="true"/>
              </w:rPr>
              <w:tab/>
            </w:r>
            <w:r>
              <w:rPr>
                <w:rStyle w:val="IndexLink"/>
              </w:rPr>
              <w:t>79</w:t>
            </w:r>
          </w:hyperlink>
        </w:p>
        <w:p>
          <w:pPr>
            <w:pStyle w:val="Contents6"/>
            <w:tabs>
              <w:tab w:val="clear" w:pos="7609"/>
              <w:tab w:val="right" w:pos="9026" w:leader="dot"/>
            </w:tabs>
            <w:rPr/>
          </w:pPr>
          <w:hyperlink w:anchor="__RefHeading___Toc507673_774463916">
            <w:r>
              <w:rPr>
                <w:webHidden/>
                <w:rStyle w:val="IndexLink"/>
                <w:rtl w:val="true"/>
              </w:rPr>
              <w:t>‌</w:t>
            </w:r>
            <w:r>
              <w:rPr>
                <w:rStyle w:val="IndexLink"/>
                <w:rtl w:val="true"/>
              </w:rPr>
              <w:t>ه</w:t>
            </w:r>
            <w:r>
              <w:rPr>
                <w:rStyle w:val="IndexLink"/>
                <w:rtl w:val="true"/>
              </w:rPr>
              <w:t xml:space="preserve">- - </w:t>
            </w:r>
            <w:r>
              <w:rPr>
                <w:rStyle w:val="IndexLink"/>
                <w:rtl w:val="true"/>
              </w:rPr>
              <w:t>الختام</w:t>
            </w:r>
            <w:r>
              <w:rPr>
                <w:rStyle w:val="IndexLink"/>
                <w:rtl w:val="true"/>
              </w:rPr>
              <w:tab/>
            </w:r>
            <w:r>
              <w:rPr>
                <w:rStyle w:val="IndexLink"/>
              </w:rPr>
              <w:t>80</w:t>
            </w:r>
          </w:hyperlink>
        </w:p>
        <w:p>
          <w:pPr>
            <w:pStyle w:val="Contents4"/>
            <w:tabs>
              <w:tab w:val="clear" w:pos="8176"/>
              <w:tab w:val="right" w:pos="9026" w:leader="dot"/>
            </w:tabs>
            <w:rPr/>
          </w:pPr>
          <w:hyperlink w:anchor="__RefHeading___Toc507675_774463916">
            <w:r>
              <w:rPr>
                <w:webHidden/>
                <w:rStyle w:val="IndexLink"/>
                <w:rtl w:val="true"/>
              </w:rPr>
              <w:t>ثالثاً</w:t>
            </w:r>
            <w:r>
              <w:rPr>
                <w:rStyle w:val="IndexLink"/>
                <w:rtl w:val="true"/>
              </w:rPr>
              <w:t xml:space="preserve">: </w:t>
            </w:r>
            <w:r>
              <w:rPr>
                <w:rStyle w:val="IndexLink"/>
                <w:rtl w:val="true"/>
              </w:rPr>
              <w:t>نثر الإمام علی بن أبی طالب</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507677_774463916">
            <w:r>
              <w:rPr>
                <w:webHidden/>
                <w:rStyle w:val="IndexLink"/>
                <w:rtl w:val="true"/>
              </w:rPr>
              <w:t>الفصل الثانی</w:t>
            </w:r>
            <w:r>
              <w:rPr>
                <w:rStyle w:val="IndexLink"/>
                <w:rtl w:val="true"/>
              </w:rPr>
              <w:t xml:space="preserve">: </w:t>
            </w:r>
            <w:r>
              <w:rPr>
                <w:rStyle w:val="IndexLink"/>
                <w:rtl w:val="true"/>
              </w:rPr>
              <w:t>القیم الإیقاعیَّة للمستوی الصَّوتی</w:t>
            </w:r>
            <w:r>
              <w:rPr>
                <w:rStyle w:val="IndexLink"/>
                <w:rtl w:val="true"/>
              </w:rPr>
              <w:tab/>
            </w:r>
            <w:r>
              <w:rPr>
                <w:rStyle w:val="IndexLink"/>
              </w:rPr>
              <w:t>93</w:t>
            </w:r>
          </w:hyperlink>
        </w:p>
        <w:p>
          <w:pPr>
            <w:pStyle w:val="Contents3"/>
            <w:tabs>
              <w:tab w:val="clear" w:pos="8459"/>
              <w:tab w:val="right" w:pos="9026" w:leader="dot"/>
            </w:tabs>
            <w:rPr/>
          </w:pPr>
          <w:hyperlink w:anchor="__RefHeading___Toc507679_774463916">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507681_774463916">
            <w:r>
              <w:rPr>
                <w:webHidden/>
                <w:rStyle w:val="IndexLink"/>
                <w:rtl w:val="true"/>
              </w:rPr>
              <w:t>مدخل</w:t>
            </w:r>
            <w:r>
              <w:rPr>
                <w:rStyle w:val="IndexLink"/>
                <w:rtl w:val="true"/>
              </w:rPr>
              <w:tab/>
            </w:r>
            <w:r>
              <w:rPr>
                <w:rStyle w:val="IndexLink"/>
              </w:rPr>
              <w:t>95</w:t>
            </w:r>
          </w:hyperlink>
        </w:p>
        <w:p>
          <w:pPr>
            <w:pStyle w:val="Contents3"/>
            <w:tabs>
              <w:tab w:val="clear" w:pos="8459"/>
              <w:tab w:val="right" w:pos="9026" w:leader="dot"/>
            </w:tabs>
            <w:rPr/>
          </w:pPr>
          <w:hyperlink w:anchor="__RefHeading___Toc507683_774463916">
            <w:r>
              <w:rPr>
                <w:webHidden/>
                <w:rStyle w:val="IndexLink"/>
                <w:rtl w:val="true"/>
              </w:rPr>
              <w:t xml:space="preserve">المبحث الأوَّل </w:t>
            </w:r>
            <w:r>
              <w:rPr>
                <w:rStyle w:val="IndexLink"/>
                <w:rtl w:val="true"/>
              </w:rPr>
              <w:t>:</w:t>
            </w:r>
            <w:r>
              <w:rPr>
                <w:rStyle w:val="IndexLink"/>
                <w:rtl w:val="true"/>
              </w:rPr>
              <w:t>قیمة الإیقاع الصوتی</w:t>
            </w:r>
            <w:r>
              <w:rPr>
                <w:rStyle w:val="IndexLink"/>
                <w:rtl w:val="true"/>
              </w:rPr>
              <w:tab/>
            </w:r>
            <w:r>
              <w:rPr>
                <w:rStyle w:val="IndexLink"/>
              </w:rPr>
              <w:t>99</w:t>
            </w:r>
          </w:hyperlink>
        </w:p>
        <w:p>
          <w:pPr>
            <w:pStyle w:val="Contents4"/>
            <w:tabs>
              <w:tab w:val="clear" w:pos="8176"/>
              <w:tab w:val="right" w:pos="9026" w:leader="dot"/>
            </w:tabs>
            <w:rPr/>
          </w:pPr>
          <w:hyperlink w:anchor="__RefHeading___Toc507685_774463916">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507687_774463916">
            <w:r>
              <w:rPr>
                <w:webHidden/>
                <w:rStyle w:val="IndexLink"/>
                <w:rtl w:val="true"/>
              </w:rPr>
              <w:t>أوَّلاً</w:t>
            </w:r>
            <w:r>
              <w:rPr>
                <w:rStyle w:val="IndexLink"/>
                <w:rtl w:val="true"/>
              </w:rPr>
              <w:t xml:space="preserve">: </w:t>
            </w:r>
            <w:r>
              <w:rPr>
                <w:rStyle w:val="IndexLink"/>
                <w:rtl w:val="true"/>
              </w:rPr>
              <w:t>الجناس</w:t>
            </w:r>
            <w:r>
              <w:rPr>
                <w:rStyle w:val="IndexLink"/>
                <w:rtl w:val="true"/>
              </w:rPr>
              <w:tab/>
            </w:r>
            <w:r>
              <w:rPr>
                <w:rStyle w:val="IndexLink"/>
              </w:rPr>
              <w:t>101</w:t>
            </w:r>
          </w:hyperlink>
        </w:p>
        <w:p>
          <w:pPr>
            <w:pStyle w:val="Contents5"/>
            <w:tabs>
              <w:tab w:val="clear" w:pos="7892"/>
              <w:tab w:val="right" w:pos="9026" w:leader="dot"/>
            </w:tabs>
            <w:rPr/>
          </w:pPr>
          <w:hyperlink w:anchor="__RefHeading___Toc507689_774463916">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507691_774463916">
            <w:r>
              <w:rPr>
                <w:webHidden/>
                <w:rStyle w:val="IndexLink"/>
              </w:rPr>
              <w:t>1</w:t>
            </w:r>
            <w:r>
              <w:rPr>
                <w:rStyle w:val="IndexLink"/>
                <w:rtl w:val="true"/>
              </w:rPr>
              <w:t xml:space="preserve">- </w:t>
            </w:r>
            <w:r>
              <w:rPr>
                <w:rStyle w:val="IndexLink"/>
                <w:rtl w:val="true"/>
              </w:rPr>
              <w:t>الجناس الناقص</w:t>
            </w:r>
            <w:r>
              <w:rPr>
                <w:rStyle w:val="IndexLink"/>
                <w:rtl w:val="true"/>
              </w:rPr>
              <w:tab/>
            </w:r>
            <w:r>
              <w:rPr>
                <w:rStyle w:val="IndexLink"/>
              </w:rPr>
              <w:t>102</w:t>
            </w:r>
          </w:hyperlink>
        </w:p>
        <w:p>
          <w:pPr>
            <w:pStyle w:val="Contents5"/>
            <w:tabs>
              <w:tab w:val="clear" w:pos="7892"/>
              <w:tab w:val="right" w:pos="9026" w:leader="dot"/>
            </w:tabs>
            <w:rPr/>
          </w:pPr>
          <w:hyperlink w:anchor="__RefHeading___Toc507693_774463916">
            <w:r>
              <w:rPr>
                <w:webHidden/>
                <w:rStyle w:val="IndexLink"/>
              </w:rPr>
              <w:t>2</w:t>
            </w:r>
            <w:r>
              <w:rPr>
                <w:rStyle w:val="IndexLink"/>
                <w:rtl w:val="true"/>
              </w:rPr>
              <w:t xml:space="preserve">- </w:t>
            </w:r>
            <w:r>
              <w:rPr>
                <w:rStyle w:val="IndexLink"/>
                <w:rtl w:val="true"/>
              </w:rPr>
              <w:t>الجناس المضارع واللاحق</w:t>
            </w:r>
            <w:r>
              <w:rPr>
                <w:rStyle w:val="IndexLink"/>
                <w:rtl w:val="true"/>
              </w:rPr>
              <w:tab/>
            </w:r>
            <w:r>
              <w:rPr>
                <w:rStyle w:val="IndexLink"/>
              </w:rPr>
              <w:t>103</w:t>
            </w:r>
          </w:hyperlink>
        </w:p>
        <w:p>
          <w:pPr>
            <w:pStyle w:val="Contents5"/>
            <w:tabs>
              <w:tab w:val="clear" w:pos="7892"/>
              <w:tab w:val="right" w:pos="9026" w:leader="dot"/>
            </w:tabs>
            <w:rPr/>
          </w:pPr>
          <w:hyperlink w:anchor="__RefHeading___Toc507695_774463916">
            <w:r>
              <w:rPr>
                <w:webHidden/>
                <w:rStyle w:val="IndexLink"/>
              </w:rPr>
              <w:t>3</w:t>
            </w:r>
            <w:r>
              <w:rPr>
                <w:rStyle w:val="IndexLink"/>
                <w:rtl w:val="true"/>
              </w:rPr>
              <w:t xml:space="preserve">- </w:t>
            </w:r>
            <w:r>
              <w:rPr>
                <w:rStyle w:val="IndexLink"/>
                <w:rtl w:val="true"/>
              </w:rPr>
              <w:t>جناس الاشتقاق</w:t>
            </w:r>
            <w:r>
              <w:rPr>
                <w:rStyle w:val="IndexLink"/>
                <w:rtl w:val="true"/>
              </w:rPr>
              <w:tab/>
            </w:r>
            <w:r>
              <w:rPr>
                <w:rStyle w:val="IndexLink"/>
              </w:rPr>
              <w:t>107</w:t>
            </w:r>
          </w:hyperlink>
        </w:p>
        <w:p>
          <w:pPr>
            <w:pStyle w:val="Contents5"/>
            <w:tabs>
              <w:tab w:val="clear" w:pos="7892"/>
              <w:tab w:val="right" w:pos="9026" w:leader="dot"/>
            </w:tabs>
            <w:rPr/>
          </w:pPr>
          <w:hyperlink w:anchor="__RefHeading___Toc507697_774463916">
            <w:r>
              <w:rPr>
                <w:webHidden/>
                <w:rStyle w:val="IndexLink"/>
              </w:rPr>
              <w:t>4</w:t>
            </w:r>
            <w:r>
              <w:rPr>
                <w:rStyle w:val="IndexLink"/>
                <w:rtl w:val="true"/>
              </w:rPr>
              <w:t xml:space="preserve"> - </w:t>
            </w:r>
            <w:r>
              <w:rPr>
                <w:rStyle w:val="IndexLink"/>
                <w:rtl w:val="true"/>
              </w:rPr>
              <w:t>جناس التحریف</w:t>
            </w:r>
            <w:r>
              <w:rPr>
                <w:rStyle w:val="IndexLink"/>
                <w:rtl w:val="true"/>
              </w:rPr>
              <w:tab/>
            </w:r>
            <w:r>
              <w:rPr>
                <w:rStyle w:val="IndexLink"/>
              </w:rPr>
              <w:t>110</w:t>
            </w:r>
          </w:hyperlink>
        </w:p>
        <w:p>
          <w:pPr>
            <w:pStyle w:val="Contents5"/>
            <w:tabs>
              <w:tab w:val="clear" w:pos="7892"/>
              <w:tab w:val="right" w:pos="9026" w:leader="dot"/>
            </w:tabs>
            <w:rPr/>
          </w:pPr>
          <w:hyperlink w:anchor="__RefHeading___Toc507699_774463916">
            <w:r>
              <w:rPr>
                <w:webHidden/>
                <w:rStyle w:val="IndexLink"/>
              </w:rPr>
              <w:t>5</w:t>
            </w:r>
            <w:r>
              <w:rPr>
                <w:rStyle w:val="IndexLink"/>
                <w:rtl w:val="true"/>
              </w:rPr>
              <w:t xml:space="preserve"> - </w:t>
            </w:r>
            <w:r>
              <w:rPr>
                <w:rStyle w:val="IndexLink"/>
                <w:rtl w:val="true"/>
              </w:rPr>
              <w:t>الجناس المعکوس</w:t>
            </w:r>
            <w:r>
              <w:rPr>
                <w:rStyle w:val="IndexLink"/>
                <w:rtl w:val="true"/>
              </w:rPr>
              <w:tab/>
            </w:r>
            <w:r>
              <w:rPr>
                <w:rStyle w:val="IndexLink"/>
              </w:rPr>
              <w:t>111</w:t>
            </w:r>
          </w:hyperlink>
        </w:p>
        <w:p>
          <w:pPr>
            <w:pStyle w:val="Contents5"/>
            <w:tabs>
              <w:tab w:val="clear" w:pos="7892"/>
              <w:tab w:val="right" w:pos="9026" w:leader="dot"/>
            </w:tabs>
            <w:rPr/>
          </w:pPr>
          <w:hyperlink w:anchor="__RefHeading___Toc507701_774463916">
            <w:r>
              <w:rPr>
                <w:webHidden/>
                <w:rStyle w:val="IndexLink"/>
              </w:rPr>
              <w:t>6</w:t>
            </w:r>
            <w:r>
              <w:rPr>
                <w:rStyle w:val="IndexLink"/>
                <w:rtl w:val="true"/>
              </w:rPr>
              <w:t xml:space="preserve">- </w:t>
            </w:r>
            <w:r>
              <w:rPr>
                <w:rStyle w:val="IndexLink"/>
                <w:rtl w:val="true"/>
              </w:rPr>
              <w:t>جناس التَّصحیف</w:t>
            </w:r>
            <w:r>
              <w:rPr>
                <w:rStyle w:val="IndexLink"/>
                <w:rtl w:val="true"/>
              </w:rPr>
              <w:tab/>
            </w:r>
            <w:r>
              <w:rPr>
                <w:rStyle w:val="IndexLink"/>
              </w:rPr>
              <w:t>113</w:t>
            </w:r>
          </w:hyperlink>
        </w:p>
        <w:p>
          <w:pPr>
            <w:pStyle w:val="Contents4"/>
            <w:tabs>
              <w:tab w:val="clear" w:pos="8176"/>
              <w:tab w:val="right" w:pos="9026" w:leader="dot"/>
            </w:tabs>
            <w:rPr/>
          </w:pPr>
          <w:hyperlink w:anchor="__RefHeading___Toc507703_774463916">
            <w:r>
              <w:rPr>
                <w:webHidden/>
                <w:rStyle w:val="IndexLink"/>
                <w:rtl w:val="true"/>
              </w:rPr>
              <w:t>ثانیاً</w:t>
            </w:r>
            <w:r>
              <w:rPr>
                <w:rStyle w:val="IndexLink"/>
                <w:rtl w:val="true"/>
              </w:rPr>
              <w:t xml:space="preserve">: </w:t>
            </w:r>
            <w:r>
              <w:rPr>
                <w:rStyle w:val="IndexLink"/>
                <w:rtl w:val="true"/>
              </w:rPr>
              <w:t>السَّجع</w:t>
            </w:r>
            <w:r>
              <w:rPr>
                <w:rStyle w:val="IndexLink"/>
                <w:rtl w:val="true"/>
              </w:rPr>
              <w:tab/>
            </w:r>
            <w:r>
              <w:rPr>
                <w:rStyle w:val="IndexLink"/>
              </w:rPr>
              <w:t>114</w:t>
            </w:r>
          </w:hyperlink>
        </w:p>
        <w:p>
          <w:pPr>
            <w:pStyle w:val="Contents5"/>
            <w:tabs>
              <w:tab w:val="clear" w:pos="7892"/>
              <w:tab w:val="right" w:pos="9026" w:leader="dot"/>
            </w:tabs>
            <w:rPr/>
          </w:pPr>
          <w:hyperlink w:anchor="__RefHeading___Toc507705_774463916">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507707_774463916">
            <w:r>
              <w:rPr>
                <w:webHidden/>
                <w:rStyle w:val="IndexLink"/>
              </w:rPr>
              <w:t>1</w:t>
            </w:r>
            <w:r>
              <w:rPr>
                <w:rStyle w:val="IndexLink"/>
                <w:rtl w:val="true"/>
              </w:rPr>
              <w:t xml:space="preserve">- </w:t>
            </w:r>
            <w:r>
              <w:rPr>
                <w:rStyle w:val="IndexLink"/>
                <w:rtl w:val="true"/>
              </w:rPr>
              <w:t>السجع المتوازی</w:t>
            </w:r>
            <w:r>
              <w:rPr>
                <w:rStyle w:val="IndexLink"/>
                <w:rtl w:val="true"/>
              </w:rPr>
              <w:tab/>
            </w:r>
            <w:r>
              <w:rPr>
                <w:rStyle w:val="IndexLink"/>
              </w:rPr>
              <w:t>115</w:t>
            </w:r>
          </w:hyperlink>
        </w:p>
        <w:p>
          <w:pPr>
            <w:pStyle w:val="Contents5"/>
            <w:tabs>
              <w:tab w:val="clear" w:pos="7892"/>
              <w:tab w:val="right" w:pos="9026" w:leader="dot"/>
            </w:tabs>
            <w:rPr/>
          </w:pPr>
          <w:hyperlink w:anchor="__RefHeading___Toc507709_774463916">
            <w:r>
              <w:rPr>
                <w:webHidden/>
                <w:rStyle w:val="IndexLink"/>
              </w:rPr>
              <w:t>2</w:t>
            </w:r>
            <w:r>
              <w:rPr>
                <w:rStyle w:val="IndexLink"/>
                <w:rtl w:val="true"/>
              </w:rPr>
              <w:t xml:space="preserve">- </w:t>
            </w:r>
            <w:r>
              <w:rPr>
                <w:rStyle w:val="IndexLink"/>
                <w:rtl w:val="true"/>
              </w:rPr>
              <w:t>السَّجع المطرَّف</w:t>
            </w:r>
            <w:r>
              <w:rPr>
                <w:rStyle w:val="IndexLink"/>
                <w:rtl w:val="true"/>
              </w:rPr>
              <w:tab/>
            </w:r>
            <w:r>
              <w:rPr>
                <w:rStyle w:val="IndexLink"/>
              </w:rPr>
              <w:t>117</w:t>
            </w:r>
          </w:hyperlink>
        </w:p>
        <w:p>
          <w:pPr>
            <w:pStyle w:val="Contents5"/>
            <w:tabs>
              <w:tab w:val="clear" w:pos="7892"/>
              <w:tab w:val="right" w:pos="9026" w:leader="dot"/>
            </w:tabs>
            <w:rPr/>
          </w:pPr>
          <w:hyperlink w:anchor="__RefHeading___Toc507711_774463916">
            <w:r>
              <w:rPr>
                <w:webHidden/>
                <w:rStyle w:val="IndexLink"/>
              </w:rPr>
              <w:t>3</w:t>
            </w:r>
            <w:r>
              <w:rPr>
                <w:rStyle w:val="IndexLink"/>
                <w:rtl w:val="true"/>
              </w:rPr>
              <w:t xml:space="preserve">- </w:t>
            </w:r>
            <w:r>
              <w:rPr>
                <w:rStyle w:val="IndexLink"/>
                <w:rtl w:val="true"/>
              </w:rPr>
              <w:t>تداخل السجع المطرَّف والمتوازی</w:t>
            </w:r>
            <w:r>
              <w:rPr>
                <w:rStyle w:val="IndexLink"/>
                <w:rtl w:val="true"/>
              </w:rPr>
              <w:tab/>
            </w:r>
            <w:r>
              <w:rPr>
                <w:rStyle w:val="IndexLink"/>
              </w:rPr>
              <w:t>119</w:t>
            </w:r>
          </w:hyperlink>
        </w:p>
        <w:p>
          <w:pPr>
            <w:pStyle w:val="Contents4"/>
            <w:tabs>
              <w:tab w:val="clear" w:pos="8176"/>
              <w:tab w:val="right" w:pos="9026" w:leader="dot"/>
            </w:tabs>
            <w:rPr/>
          </w:pPr>
          <w:hyperlink w:anchor="__RefHeading___Toc507713_774463916">
            <w:r>
              <w:rPr>
                <w:webHidden/>
                <w:rStyle w:val="IndexLink"/>
                <w:rtl w:val="true"/>
              </w:rPr>
              <w:t>ثالثاً</w:t>
            </w:r>
            <w:r>
              <w:rPr>
                <w:rStyle w:val="IndexLink"/>
                <w:rtl w:val="true"/>
              </w:rPr>
              <w:t xml:space="preserve">: </w:t>
            </w:r>
            <w:r>
              <w:rPr>
                <w:rStyle w:val="IndexLink"/>
                <w:rtl w:val="true"/>
              </w:rPr>
              <w:t>تداخل السجع مع الجناس</w:t>
            </w:r>
            <w:r>
              <w:rPr>
                <w:rStyle w:val="IndexLink"/>
                <w:rtl w:val="true"/>
              </w:rPr>
              <w:tab/>
            </w:r>
            <w:r>
              <w:rPr>
                <w:rStyle w:val="IndexLink"/>
              </w:rPr>
              <w:t>121</w:t>
            </w:r>
          </w:hyperlink>
        </w:p>
        <w:p>
          <w:pPr>
            <w:pStyle w:val="Contents4"/>
            <w:tabs>
              <w:tab w:val="clear" w:pos="8176"/>
              <w:tab w:val="right" w:pos="9026" w:leader="dot"/>
            </w:tabs>
            <w:rPr/>
          </w:pPr>
          <w:hyperlink w:anchor="__RefHeading___Toc507715_774463916">
            <w:r>
              <w:rPr>
                <w:webHidden/>
                <w:rStyle w:val="IndexLink"/>
                <w:rtl w:val="true"/>
              </w:rPr>
              <w:t>رابعاً</w:t>
            </w:r>
            <w:r>
              <w:rPr>
                <w:rStyle w:val="IndexLink"/>
                <w:rtl w:val="true"/>
              </w:rPr>
              <w:t xml:space="preserve">: </w:t>
            </w:r>
            <w:r>
              <w:rPr>
                <w:rStyle w:val="IndexLink"/>
                <w:rtl w:val="true"/>
              </w:rPr>
              <w:t xml:space="preserve">الموازنة </w:t>
            </w:r>
            <w:r>
              <w:rPr>
                <w:rStyle w:val="IndexLink"/>
                <w:rtl w:val="true"/>
              </w:rPr>
              <w:t>(</w:t>
            </w:r>
            <w:r>
              <w:rPr>
                <w:rStyle w:val="IndexLink"/>
                <w:rtl w:val="true"/>
              </w:rPr>
              <w:t>الازدواج</w:t>
            </w:r>
            <w:r>
              <w:rPr>
                <w:rStyle w:val="IndexLink"/>
                <w:rtl w:val="true"/>
              </w:rPr>
              <w:t>)</w:t>
              <w:tab/>
            </w:r>
            <w:r>
              <w:rPr>
                <w:rStyle w:val="IndexLink"/>
              </w:rPr>
              <w:t>122</w:t>
            </w:r>
          </w:hyperlink>
        </w:p>
        <w:p>
          <w:pPr>
            <w:pStyle w:val="Contents3"/>
            <w:tabs>
              <w:tab w:val="clear" w:pos="8459"/>
              <w:tab w:val="right" w:pos="9026" w:leader="dot"/>
            </w:tabs>
            <w:rPr/>
          </w:pPr>
          <w:hyperlink w:anchor="__RefHeading___Toc507717_774463916">
            <w:r>
              <w:rPr>
                <w:webHidden/>
                <w:rStyle w:val="IndexLink"/>
                <w:rtl w:val="true"/>
              </w:rPr>
              <w:t xml:space="preserve">المبحث الثانی </w:t>
            </w:r>
            <w:r>
              <w:rPr>
                <w:rStyle w:val="IndexLink"/>
                <w:rtl w:val="true"/>
              </w:rPr>
              <w:t>:</w:t>
            </w:r>
            <w:r>
              <w:rPr>
                <w:rStyle w:val="IndexLink"/>
                <w:rtl w:val="true"/>
              </w:rPr>
              <w:t>التناسب المعنوی للإیحاء الصوتی</w:t>
            </w:r>
            <w:r>
              <w:rPr>
                <w:rStyle w:val="IndexLink"/>
                <w:rtl w:val="true"/>
              </w:rPr>
              <w:tab/>
            </w:r>
            <w:r>
              <w:rPr>
                <w:rStyle w:val="IndexLink"/>
              </w:rPr>
              <w:t>127</w:t>
            </w:r>
          </w:hyperlink>
        </w:p>
        <w:p>
          <w:pPr>
            <w:pStyle w:val="Contents4"/>
            <w:tabs>
              <w:tab w:val="clear" w:pos="8176"/>
              <w:tab w:val="right" w:pos="9026" w:leader="dot"/>
            </w:tabs>
            <w:rPr/>
          </w:pPr>
          <w:hyperlink w:anchor="__RefHeading___Toc507719_774463916">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507721_774463916">
            <w:r>
              <w:rPr>
                <w:webHidden/>
                <w:rStyle w:val="IndexLink"/>
                <w:rtl w:val="true"/>
              </w:rPr>
              <w:t>أوَّلاً</w:t>
            </w:r>
            <w:r>
              <w:rPr>
                <w:rStyle w:val="IndexLink"/>
                <w:rtl w:val="true"/>
              </w:rPr>
              <w:t xml:space="preserve">: </w:t>
            </w:r>
            <w:r>
              <w:rPr>
                <w:rStyle w:val="IndexLink"/>
                <w:rtl w:val="true"/>
              </w:rPr>
              <w:t>دلالة الصوت فی اللفظة المفردة</w:t>
            </w:r>
            <w:r>
              <w:rPr>
                <w:rStyle w:val="IndexLink"/>
                <w:rtl w:val="true"/>
              </w:rPr>
              <w:tab/>
            </w:r>
            <w:r>
              <w:rPr>
                <w:rStyle w:val="IndexLink"/>
              </w:rPr>
              <w:t>129</w:t>
            </w:r>
          </w:hyperlink>
        </w:p>
        <w:p>
          <w:pPr>
            <w:pStyle w:val="Contents4"/>
            <w:tabs>
              <w:tab w:val="clear" w:pos="8176"/>
              <w:tab w:val="right" w:pos="9026" w:leader="dot"/>
            </w:tabs>
            <w:rPr/>
          </w:pPr>
          <w:hyperlink w:anchor="__RefHeading___Toc507723_774463916">
            <w:r>
              <w:rPr>
                <w:webHidden/>
                <w:rStyle w:val="IndexLink"/>
                <w:rtl w:val="true"/>
              </w:rPr>
              <w:t>ثانیاً</w:t>
            </w:r>
            <w:r>
              <w:rPr>
                <w:rStyle w:val="IndexLink"/>
                <w:rtl w:val="true"/>
              </w:rPr>
              <w:t xml:space="preserve">: </w:t>
            </w:r>
            <w:r>
              <w:rPr>
                <w:rStyle w:val="IndexLink"/>
                <w:rtl w:val="true"/>
              </w:rPr>
              <w:t>دلالة الأصوات المتکرِّرة فی السیاق</w:t>
            </w:r>
            <w:r>
              <w:rPr>
                <w:rStyle w:val="IndexLink"/>
                <w:rtl w:val="true"/>
              </w:rPr>
              <w:tab/>
            </w:r>
            <w:r>
              <w:rPr>
                <w:rStyle w:val="IndexLink"/>
              </w:rPr>
              <w:t>138</w:t>
            </w:r>
          </w:hyperlink>
        </w:p>
        <w:p>
          <w:pPr>
            <w:pStyle w:val="Contents5"/>
            <w:tabs>
              <w:tab w:val="clear" w:pos="7892"/>
              <w:tab w:val="right" w:pos="9026" w:leader="dot"/>
            </w:tabs>
            <w:rPr/>
          </w:pPr>
          <w:hyperlink w:anchor="__RefHeading___Toc507725_774463916">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507727_774463916">
            <w:r>
              <w:rPr>
                <w:webHidden/>
                <w:rStyle w:val="IndexLink"/>
              </w:rPr>
              <w:t>‌</w:t>
            </w:r>
            <w:r>
              <w:rPr>
                <w:rStyle w:val="IndexLink"/>
              </w:rPr>
              <w:t>1</w:t>
            </w:r>
            <w:r>
              <w:rPr>
                <w:rStyle w:val="IndexLink"/>
                <w:rtl w:val="true"/>
              </w:rPr>
              <w:t xml:space="preserve">- </w:t>
            </w:r>
            <w:r>
              <w:rPr>
                <w:rStyle w:val="IndexLink"/>
                <w:rtl w:val="true"/>
              </w:rPr>
              <w:t>تکرار الأصوات الشدیدة</w:t>
            </w:r>
            <w:r>
              <w:rPr>
                <w:rStyle w:val="IndexLink"/>
                <w:rtl w:val="true"/>
              </w:rPr>
              <w:tab/>
            </w:r>
            <w:r>
              <w:rPr>
                <w:rStyle w:val="IndexLink"/>
              </w:rPr>
              <w:t>139</w:t>
            </w:r>
          </w:hyperlink>
        </w:p>
        <w:p>
          <w:pPr>
            <w:pStyle w:val="Contents5"/>
            <w:tabs>
              <w:tab w:val="clear" w:pos="7892"/>
              <w:tab w:val="right" w:pos="9026" w:leader="dot"/>
            </w:tabs>
            <w:rPr/>
          </w:pPr>
          <w:hyperlink w:anchor="__RefHeading___Toc507729_774463916">
            <w:r>
              <w:rPr>
                <w:webHidden/>
                <w:rStyle w:val="IndexLink"/>
              </w:rPr>
              <w:t>2</w:t>
            </w:r>
            <w:r>
              <w:rPr>
                <w:rStyle w:val="IndexLink"/>
                <w:rtl w:val="true"/>
              </w:rPr>
              <w:t xml:space="preserve"> - </w:t>
            </w:r>
            <w:r>
              <w:rPr>
                <w:rStyle w:val="IndexLink"/>
                <w:rtl w:val="true"/>
              </w:rPr>
              <w:t>تکرار أصوات المدّ</w:t>
            </w:r>
            <w:r>
              <w:rPr>
                <w:rStyle w:val="IndexLink"/>
                <w:rtl w:val="true"/>
              </w:rPr>
              <w:tab/>
            </w:r>
            <w:r>
              <w:rPr>
                <w:rStyle w:val="IndexLink"/>
              </w:rPr>
              <w:t>143</w:t>
            </w:r>
          </w:hyperlink>
        </w:p>
        <w:p>
          <w:pPr>
            <w:pStyle w:val="Contents5"/>
            <w:tabs>
              <w:tab w:val="clear" w:pos="7892"/>
              <w:tab w:val="right" w:pos="9026" w:leader="dot"/>
            </w:tabs>
            <w:rPr/>
          </w:pPr>
          <w:hyperlink w:anchor="__RefHeading___Toc507731_774463916">
            <w:r>
              <w:rPr>
                <w:webHidden/>
                <w:rStyle w:val="IndexLink"/>
              </w:rPr>
              <w:t>3</w:t>
            </w:r>
            <w:r>
              <w:rPr>
                <w:rStyle w:val="IndexLink"/>
                <w:rtl w:val="true"/>
              </w:rPr>
              <w:t xml:space="preserve">- </w:t>
            </w:r>
            <w:r>
              <w:rPr>
                <w:rStyle w:val="IndexLink"/>
                <w:rtl w:val="true"/>
              </w:rPr>
              <w:t>تکرار أصوات الذَّلاقة</w:t>
            </w:r>
            <w:r>
              <w:rPr>
                <w:rStyle w:val="IndexLink"/>
                <w:rtl w:val="true"/>
              </w:rPr>
              <w:tab/>
            </w:r>
            <w:r>
              <w:rPr>
                <w:rStyle w:val="IndexLink"/>
              </w:rPr>
              <w:t>147</w:t>
            </w:r>
          </w:hyperlink>
        </w:p>
        <w:p>
          <w:pPr>
            <w:pStyle w:val="Contents2"/>
            <w:tabs>
              <w:tab w:val="clear" w:pos="8743"/>
              <w:tab w:val="right" w:pos="9026" w:leader="dot"/>
            </w:tabs>
            <w:rPr/>
          </w:pPr>
          <w:hyperlink w:anchor="__RefHeading___Toc507733_774463916">
            <w:r>
              <w:rPr>
                <w:webHidden/>
                <w:rStyle w:val="IndexLink"/>
                <w:rtl w:val="true"/>
              </w:rPr>
              <w:t>الفصل الثَّالث</w:t>
            </w:r>
            <w:r>
              <w:rPr>
                <w:rStyle w:val="IndexLink"/>
                <w:rtl w:val="true"/>
              </w:rPr>
              <w:t xml:space="preserve">: </w:t>
            </w:r>
            <w:r>
              <w:rPr>
                <w:rStyle w:val="IndexLink"/>
                <w:rtl w:val="true"/>
              </w:rPr>
              <w:t>المستوی اللَّفظی</w:t>
            </w:r>
            <w:r>
              <w:rPr>
                <w:rStyle w:val="IndexLink"/>
                <w:rtl w:val="true"/>
              </w:rPr>
              <w:tab/>
            </w:r>
            <w:r>
              <w:rPr>
                <w:rStyle w:val="IndexLink"/>
              </w:rPr>
              <w:t>153</w:t>
            </w:r>
          </w:hyperlink>
        </w:p>
        <w:p>
          <w:pPr>
            <w:pStyle w:val="Contents3"/>
            <w:tabs>
              <w:tab w:val="clear" w:pos="8459"/>
              <w:tab w:val="right" w:pos="9026" w:leader="dot"/>
            </w:tabs>
            <w:rPr/>
          </w:pPr>
          <w:hyperlink w:anchor="__RefHeading___Toc507735_774463916">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507737_774463916">
            <w:r>
              <w:rPr>
                <w:webHidden/>
                <w:rStyle w:val="IndexLink"/>
                <w:rtl w:val="true"/>
              </w:rPr>
              <w:t>مدخل</w:t>
            </w:r>
            <w:r>
              <w:rPr>
                <w:rStyle w:val="IndexLink"/>
                <w:rtl w:val="true"/>
              </w:rPr>
              <w:tab/>
            </w:r>
            <w:r>
              <w:rPr>
                <w:rStyle w:val="IndexLink"/>
              </w:rPr>
              <w:t>155</w:t>
            </w:r>
          </w:hyperlink>
        </w:p>
        <w:p>
          <w:pPr>
            <w:pStyle w:val="Contents3"/>
            <w:tabs>
              <w:tab w:val="clear" w:pos="8459"/>
              <w:tab w:val="right" w:pos="9026" w:leader="dot"/>
            </w:tabs>
            <w:rPr/>
          </w:pPr>
          <w:hyperlink w:anchor="__RefHeading___Toc507739_774463916">
            <w:r>
              <w:rPr>
                <w:webHidden/>
                <w:rStyle w:val="IndexLink"/>
                <w:rtl w:val="true"/>
              </w:rPr>
              <w:t xml:space="preserve">المبحث الأوَّل </w:t>
            </w:r>
            <w:r>
              <w:rPr>
                <w:rStyle w:val="IndexLink"/>
                <w:rtl w:val="true"/>
              </w:rPr>
              <w:t xml:space="preserve">: </w:t>
            </w:r>
            <w:r>
              <w:rPr>
                <w:rStyle w:val="IndexLink"/>
                <w:rtl w:val="true"/>
              </w:rPr>
              <w:t>الاختیار والفصاحة</w:t>
            </w:r>
            <w:r>
              <w:rPr>
                <w:rStyle w:val="IndexLink"/>
                <w:rtl w:val="true"/>
              </w:rPr>
              <w:tab/>
            </w:r>
            <w:r>
              <w:rPr>
                <w:rStyle w:val="IndexLink"/>
              </w:rPr>
              <w:t>157</w:t>
            </w:r>
          </w:hyperlink>
        </w:p>
        <w:p>
          <w:pPr>
            <w:pStyle w:val="Contents4"/>
            <w:tabs>
              <w:tab w:val="clear" w:pos="8176"/>
              <w:tab w:val="right" w:pos="9026" w:leader="dot"/>
            </w:tabs>
            <w:rPr/>
          </w:pPr>
          <w:hyperlink w:anchor="__RefHeading___Toc507741_774463916">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507743_774463916">
            <w:r>
              <w:rPr>
                <w:webHidden/>
                <w:rStyle w:val="IndexLink"/>
              </w:rPr>
              <w:t>1</w:t>
            </w:r>
            <w:r>
              <w:rPr>
                <w:rStyle w:val="IndexLink"/>
                <w:rtl w:val="true"/>
              </w:rPr>
              <w:t xml:space="preserve">- </w:t>
            </w:r>
            <w:r>
              <w:rPr>
                <w:rStyle w:val="IndexLink"/>
                <w:rtl w:val="true"/>
              </w:rPr>
              <w:t>مخارِج حروف اللفظة</w:t>
            </w:r>
            <w:r>
              <w:rPr>
                <w:rStyle w:val="IndexLink"/>
                <w:rtl w:val="true"/>
              </w:rPr>
              <w:tab/>
            </w:r>
            <w:r>
              <w:rPr>
                <w:rStyle w:val="IndexLink"/>
              </w:rPr>
              <w:t>158</w:t>
            </w:r>
          </w:hyperlink>
        </w:p>
        <w:p>
          <w:pPr>
            <w:pStyle w:val="Contents4"/>
            <w:tabs>
              <w:tab w:val="clear" w:pos="8176"/>
              <w:tab w:val="right" w:pos="9026" w:leader="dot"/>
            </w:tabs>
            <w:rPr/>
          </w:pPr>
          <w:hyperlink w:anchor="__RefHeading___Toc507745_774463916">
            <w:r>
              <w:rPr>
                <w:webHidden/>
                <w:rStyle w:val="IndexLink"/>
              </w:rPr>
              <w:t>2</w:t>
            </w:r>
            <w:r>
              <w:rPr>
                <w:rStyle w:val="IndexLink"/>
                <w:rtl w:val="true"/>
              </w:rPr>
              <w:t xml:space="preserve">- </w:t>
            </w:r>
            <w:r>
              <w:rPr>
                <w:rStyle w:val="IndexLink"/>
                <w:rtl w:val="true"/>
              </w:rPr>
              <w:t>طول اللفظة وقصرها</w:t>
            </w:r>
            <w:r>
              <w:rPr>
                <w:rStyle w:val="IndexLink"/>
                <w:rtl w:val="true"/>
              </w:rPr>
              <w:tab/>
            </w:r>
            <w:r>
              <w:rPr>
                <w:rStyle w:val="IndexLink"/>
              </w:rPr>
              <w:t>162</w:t>
            </w:r>
          </w:hyperlink>
        </w:p>
        <w:p>
          <w:pPr>
            <w:pStyle w:val="Contents4"/>
            <w:tabs>
              <w:tab w:val="clear" w:pos="8176"/>
              <w:tab w:val="right" w:pos="9026" w:leader="dot"/>
            </w:tabs>
            <w:rPr/>
          </w:pPr>
          <w:hyperlink w:anchor="__RefHeading___Toc507747_774463916">
            <w:r>
              <w:rPr>
                <w:webHidden/>
                <w:rStyle w:val="IndexLink"/>
              </w:rPr>
              <w:t>3</w:t>
            </w:r>
            <w:r>
              <w:rPr>
                <w:rStyle w:val="IndexLink"/>
                <w:rtl w:val="true"/>
              </w:rPr>
              <w:t xml:space="preserve">- </w:t>
            </w:r>
            <w:r>
              <w:rPr>
                <w:rStyle w:val="IndexLink"/>
                <w:rtl w:val="true"/>
              </w:rPr>
              <w:t>حرکات الحروف فی اللفظة</w:t>
            </w:r>
            <w:r>
              <w:rPr>
                <w:rStyle w:val="IndexLink"/>
                <w:rtl w:val="true"/>
              </w:rPr>
              <w:tab/>
            </w:r>
            <w:r>
              <w:rPr>
                <w:rStyle w:val="IndexLink"/>
              </w:rPr>
              <w:t>165</w:t>
            </w:r>
          </w:hyperlink>
        </w:p>
        <w:p>
          <w:pPr>
            <w:pStyle w:val="Contents4"/>
            <w:tabs>
              <w:tab w:val="clear" w:pos="8176"/>
              <w:tab w:val="right" w:pos="9026" w:leader="dot"/>
            </w:tabs>
            <w:rPr/>
          </w:pPr>
          <w:hyperlink w:anchor="__RefHeading___Toc507749_774463916">
            <w:r>
              <w:rPr>
                <w:webHidden/>
                <w:rStyle w:val="IndexLink"/>
              </w:rPr>
              <w:t>4</w:t>
            </w:r>
            <w:r>
              <w:rPr>
                <w:rStyle w:val="IndexLink"/>
                <w:rtl w:val="true"/>
              </w:rPr>
              <w:t xml:space="preserve"> - </w:t>
            </w:r>
            <w:r>
              <w:rPr>
                <w:rStyle w:val="IndexLink"/>
                <w:rtl w:val="true"/>
              </w:rPr>
              <w:t>أُلفة الاستعمال</w:t>
            </w:r>
            <w:r>
              <w:rPr>
                <w:rStyle w:val="IndexLink"/>
                <w:rtl w:val="true"/>
              </w:rPr>
              <w:tab/>
            </w:r>
            <w:r>
              <w:rPr>
                <w:rStyle w:val="IndexLink"/>
              </w:rPr>
              <w:t>169</w:t>
            </w:r>
          </w:hyperlink>
        </w:p>
        <w:p>
          <w:pPr>
            <w:pStyle w:val="Contents3"/>
            <w:tabs>
              <w:tab w:val="clear" w:pos="8459"/>
              <w:tab w:val="right" w:pos="9026" w:leader="dot"/>
            </w:tabs>
            <w:rPr/>
          </w:pPr>
          <w:hyperlink w:anchor="__RefHeading___Toc507751_774463916">
            <w:r>
              <w:rPr>
                <w:webHidden/>
                <w:rStyle w:val="IndexLink"/>
                <w:rtl w:val="true"/>
              </w:rPr>
              <w:t xml:space="preserve">المبحث الثانی </w:t>
            </w:r>
            <w:r>
              <w:rPr>
                <w:rStyle w:val="IndexLink"/>
                <w:rtl w:val="true"/>
              </w:rPr>
              <w:t>:</w:t>
            </w:r>
            <w:r>
              <w:rPr>
                <w:rStyle w:val="IndexLink"/>
                <w:rtl w:val="true"/>
              </w:rPr>
              <w:t>الاستعمال والقصد</w:t>
            </w:r>
            <w:r>
              <w:rPr>
                <w:rStyle w:val="IndexLink"/>
                <w:rtl w:val="true"/>
              </w:rPr>
              <w:tab/>
            </w:r>
            <w:r>
              <w:rPr>
                <w:rStyle w:val="IndexLink"/>
              </w:rPr>
              <w:t>175</w:t>
            </w:r>
          </w:hyperlink>
        </w:p>
        <w:p>
          <w:pPr>
            <w:pStyle w:val="Contents4"/>
            <w:tabs>
              <w:tab w:val="clear" w:pos="8176"/>
              <w:tab w:val="right" w:pos="9026" w:leader="dot"/>
            </w:tabs>
            <w:rPr/>
          </w:pPr>
          <w:hyperlink w:anchor="__RefHeading___Toc507753_774463916">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507755_774463916">
            <w:r>
              <w:rPr>
                <w:webHidden/>
                <w:rStyle w:val="IndexLink"/>
                <w:rtl w:val="true"/>
              </w:rPr>
              <w:t>أولاً</w:t>
            </w:r>
            <w:r>
              <w:rPr>
                <w:rStyle w:val="IndexLink"/>
                <w:rtl w:val="true"/>
              </w:rPr>
              <w:t xml:space="preserve">: </w:t>
            </w:r>
            <w:r>
              <w:rPr>
                <w:rStyle w:val="IndexLink"/>
                <w:rtl w:val="true"/>
              </w:rPr>
              <w:t>استعمال الاسم</w:t>
            </w:r>
            <w:r>
              <w:rPr>
                <w:rStyle w:val="IndexLink"/>
                <w:rtl w:val="true"/>
              </w:rPr>
              <w:tab/>
            </w:r>
            <w:r>
              <w:rPr>
                <w:rStyle w:val="IndexLink"/>
              </w:rPr>
              <w:t>176</w:t>
            </w:r>
          </w:hyperlink>
        </w:p>
        <w:p>
          <w:pPr>
            <w:pStyle w:val="Contents5"/>
            <w:tabs>
              <w:tab w:val="clear" w:pos="7892"/>
              <w:tab w:val="right" w:pos="9026" w:leader="dot"/>
            </w:tabs>
            <w:rPr/>
          </w:pPr>
          <w:hyperlink w:anchor="__RefHeading___Toc507757_774463916">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507759_774463916">
            <w:r>
              <w:rPr>
                <w:webHidden/>
                <w:rStyle w:val="IndexLink"/>
              </w:rPr>
              <w:t>1</w:t>
            </w:r>
            <w:r>
              <w:rPr>
                <w:rStyle w:val="IndexLink"/>
                <w:rtl w:val="true"/>
              </w:rPr>
              <w:t xml:space="preserve">- </w:t>
            </w:r>
            <w:r>
              <w:rPr>
                <w:rStyle w:val="IndexLink"/>
                <w:rtl w:val="true"/>
              </w:rPr>
              <w:t>استعمال اسم الفاعل</w:t>
            </w:r>
            <w:r>
              <w:rPr>
                <w:rStyle w:val="IndexLink"/>
                <w:rtl w:val="true"/>
              </w:rPr>
              <w:tab/>
            </w:r>
            <w:r>
              <w:rPr>
                <w:rStyle w:val="IndexLink"/>
              </w:rPr>
              <w:t>177</w:t>
            </w:r>
          </w:hyperlink>
        </w:p>
        <w:p>
          <w:pPr>
            <w:pStyle w:val="Contents5"/>
            <w:tabs>
              <w:tab w:val="clear" w:pos="7892"/>
              <w:tab w:val="right" w:pos="9026" w:leader="dot"/>
            </w:tabs>
            <w:rPr/>
          </w:pPr>
          <w:hyperlink w:anchor="__RefHeading___Toc507761_774463916">
            <w:r>
              <w:rPr>
                <w:webHidden/>
                <w:rStyle w:val="IndexLink"/>
              </w:rPr>
              <w:t>2</w:t>
            </w:r>
            <w:r>
              <w:rPr>
                <w:rStyle w:val="IndexLink"/>
                <w:rtl w:val="true"/>
              </w:rPr>
              <w:t xml:space="preserve">- </w:t>
            </w:r>
            <w:r>
              <w:rPr>
                <w:rStyle w:val="IndexLink"/>
                <w:rtl w:val="true"/>
              </w:rPr>
              <w:t>استعمال اسم المفعول</w:t>
            </w:r>
            <w:r>
              <w:rPr>
                <w:rStyle w:val="IndexLink"/>
                <w:rtl w:val="true"/>
              </w:rPr>
              <w:tab/>
            </w:r>
            <w:r>
              <w:rPr>
                <w:rStyle w:val="IndexLink"/>
              </w:rPr>
              <w:t>181</w:t>
            </w:r>
          </w:hyperlink>
        </w:p>
        <w:p>
          <w:pPr>
            <w:pStyle w:val="Contents5"/>
            <w:tabs>
              <w:tab w:val="clear" w:pos="7892"/>
              <w:tab w:val="right" w:pos="9026" w:leader="dot"/>
            </w:tabs>
            <w:rPr/>
          </w:pPr>
          <w:hyperlink w:anchor="__RefHeading___Toc507763_774463916">
            <w:r>
              <w:rPr>
                <w:webHidden/>
                <w:rStyle w:val="IndexLink"/>
              </w:rPr>
              <w:t>3</w:t>
            </w:r>
            <w:r>
              <w:rPr>
                <w:rStyle w:val="IndexLink"/>
                <w:rtl w:val="true"/>
              </w:rPr>
              <w:t xml:space="preserve">- </w:t>
            </w:r>
            <w:r>
              <w:rPr>
                <w:rStyle w:val="IndexLink"/>
                <w:rtl w:val="true"/>
              </w:rPr>
              <w:t>استعمال المصدر</w:t>
            </w:r>
            <w:r>
              <w:rPr>
                <w:rStyle w:val="IndexLink"/>
                <w:rtl w:val="true"/>
              </w:rPr>
              <w:tab/>
            </w:r>
            <w:r>
              <w:rPr>
                <w:rStyle w:val="IndexLink"/>
              </w:rPr>
              <w:t>184</w:t>
            </w:r>
          </w:hyperlink>
        </w:p>
        <w:p>
          <w:pPr>
            <w:pStyle w:val="Contents5"/>
            <w:tabs>
              <w:tab w:val="clear" w:pos="7892"/>
              <w:tab w:val="right" w:pos="9026" w:leader="dot"/>
            </w:tabs>
            <w:rPr/>
          </w:pPr>
          <w:hyperlink w:anchor="__RefHeading___Toc507765_774463916">
            <w:r>
              <w:rPr>
                <w:webHidden/>
                <w:rStyle w:val="IndexLink"/>
              </w:rPr>
              <w:t>4</w:t>
            </w:r>
            <w:r>
              <w:rPr>
                <w:rStyle w:val="IndexLink"/>
                <w:rtl w:val="true"/>
              </w:rPr>
              <w:t xml:space="preserve"> - </w:t>
            </w:r>
            <w:r>
              <w:rPr>
                <w:rStyle w:val="IndexLink"/>
                <w:rtl w:val="true"/>
              </w:rPr>
              <w:t>استعمال الصفة المُشبّهة</w:t>
            </w:r>
            <w:r>
              <w:rPr>
                <w:rStyle w:val="IndexLink"/>
                <w:rtl w:val="true"/>
              </w:rPr>
              <w:tab/>
            </w:r>
            <w:r>
              <w:rPr>
                <w:rStyle w:val="IndexLink"/>
              </w:rPr>
              <w:t>187</w:t>
            </w:r>
          </w:hyperlink>
        </w:p>
        <w:p>
          <w:pPr>
            <w:pStyle w:val="Contents5"/>
            <w:tabs>
              <w:tab w:val="clear" w:pos="7892"/>
              <w:tab w:val="right" w:pos="9026" w:leader="dot"/>
            </w:tabs>
            <w:rPr/>
          </w:pPr>
          <w:hyperlink w:anchor="__RefHeading___Toc507767_774463916">
            <w:r>
              <w:rPr>
                <w:webHidden/>
                <w:rStyle w:val="IndexLink"/>
              </w:rPr>
              <w:t>5</w:t>
            </w:r>
            <w:r>
              <w:rPr>
                <w:rStyle w:val="IndexLink"/>
                <w:rtl w:val="true"/>
              </w:rPr>
              <w:t xml:space="preserve">- </w:t>
            </w:r>
            <w:r>
              <w:rPr>
                <w:rStyle w:val="IndexLink"/>
                <w:rtl w:val="true"/>
              </w:rPr>
              <w:t>استعمال صیغة المبالغة</w:t>
            </w:r>
            <w:r>
              <w:rPr>
                <w:rStyle w:val="IndexLink"/>
                <w:rtl w:val="true"/>
              </w:rPr>
              <w:tab/>
            </w:r>
            <w:r>
              <w:rPr>
                <w:rStyle w:val="IndexLink"/>
              </w:rPr>
              <w:t>189</w:t>
            </w:r>
          </w:hyperlink>
        </w:p>
        <w:p>
          <w:pPr>
            <w:pStyle w:val="Contents5"/>
            <w:tabs>
              <w:tab w:val="clear" w:pos="7892"/>
              <w:tab w:val="right" w:pos="9026" w:leader="dot"/>
            </w:tabs>
            <w:rPr/>
          </w:pPr>
          <w:hyperlink w:anchor="__RefHeading___Toc507769_774463916">
            <w:r>
              <w:rPr>
                <w:webHidden/>
                <w:rStyle w:val="IndexLink"/>
              </w:rPr>
              <w:t>6</w:t>
            </w:r>
            <w:r>
              <w:rPr>
                <w:rStyle w:val="IndexLink"/>
                <w:rtl w:val="true"/>
              </w:rPr>
              <w:t xml:space="preserve">- </w:t>
            </w:r>
            <w:r>
              <w:rPr>
                <w:rStyle w:val="IndexLink"/>
                <w:rtl w:val="true"/>
              </w:rPr>
              <w:t>استعمال الاسم المصغَّر</w:t>
            </w:r>
            <w:r>
              <w:rPr>
                <w:rStyle w:val="IndexLink"/>
                <w:rtl w:val="true"/>
              </w:rPr>
              <w:tab/>
            </w:r>
            <w:r>
              <w:rPr>
                <w:rStyle w:val="IndexLink"/>
              </w:rPr>
              <w:t>191</w:t>
            </w:r>
          </w:hyperlink>
        </w:p>
        <w:p>
          <w:pPr>
            <w:pStyle w:val="Contents4"/>
            <w:tabs>
              <w:tab w:val="clear" w:pos="8176"/>
              <w:tab w:val="right" w:pos="9026" w:leader="dot"/>
            </w:tabs>
            <w:rPr/>
          </w:pPr>
          <w:hyperlink w:anchor="__RefHeading___Toc507771_774463916">
            <w:r>
              <w:rPr>
                <w:webHidden/>
                <w:rStyle w:val="IndexLink"/>
                <w:rtl w:val="true"/>
              </w:rPr>
              <w:t>ثانیاً</w:t>
            </w:r>
            <w:r>
              <w:rPr>
                <w:rStyle w:val="IndexLink"/>
                <w:rtl w:val="true"/>
              </w:rPr>
              <w:t xml:space="preserve">: </w:t>
            </w:r>
            <w:r>
              <w:rPr>
                <w:rStyle w:val="IndexLink"/>
                <w:rtl w:val="true"/>
              </w:rPr>
              <w:t>استعمال الفعل</w:t>
            </w:r>
            <w:r>
              <w:rPr>
                <w:rStyle w:val="IndexLink"/>
                <w:rtl w:val="true"/>
              </w:rPr>
              <w:tab/>
            </w:r>
            <w:r>
              <w:rPr>
                <w:rStyle w:val="IndexLink"/>
              </w:rPr>
              <w:t>192</w:t>
            </w:r>
          </w:hyperlink>
        </w:p>
        <w:p>
          <w:pPr>
            <w:pStyle w:val="Contents5"/>
            <w:tabs>
              <w:tab w:val="clear" w:pos="7892"/>
              <w:tab w:val="right" w:pos="9026" w:leader="dot"/>
            </w:tabs>
            <w:rPr/>
          </w:pPr>
          <w:hyperlink w:anchor="__RefHeading___Toc507773_77446391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507775_774463916">
            <w:r>
              <w:rPr>
                <w:webHidden/>
                <w:rStyle w:val="IndexLink"/>
              </w:rPr>
              <w:t>1</w:t>
            </w:r>
            <w:r>
              <w:rPr>
                <w:rStyle w:val="IndexLink"/>
                <w:rtl w:val="true"/>
              </w:rPr>
              <w:t xml:space="preserve">- </w:t>
            </w:r>
            <w:r>
              <w:rPr>
                <w:rStyle w:val="IndexLink"/>
                <w:rtl w:val="true"/>
              </w:rPr>
              <w:t>استعمال الفعل الماضی</w:t>
            </w:r>
            <w:r>
              <w:rPr>
                <w:rStyle w:val="IndexLink"/>
                <w:rtl w:val="true"/>
              </w:rPr>
              <w:tab/>
            </w:r>
            <w:r>
              <w:rPr>
                <w:rStyle w:val="IndexLink"/>
              </w:rPr>
              <w:t>193</w:t>
            </w:r>
          </w:hyperlink>
        </w:p>
        <w:p>
          <w:pPr>
            <w:pStyle w:val="Contents5"/>
            <w:tabs>
              <w:tab w:val="clear" w:pos="7892"/>
              <w:tab w:val="right" w:pos="9026" w:leader="dot"/>
            </w:tabs>
            <w:rPr/>
          </w:pPr>
          <w:hyperlink w:anchor="__RefHeading___Toc507777_774463916">
            <w:r>
              <w:rPr>
                <w:webHidden/>
                <w:rStyle w:val="IndexLink"/>
              </w:rPr>
              <w:t>2</w:t>
            </w:r>
            <w:r>
              <w:rPr>
                <w:rStyle w:val="IndexLink"/>
                <w:rtl w:val="true"/>
              </w:rPr>
              <w:t xml:space="preserve">- </w:t>
            </w:r>
            <w:r>
              <w:rPr>
                <w:rStyle w:val="IndexLink"/>
                <w:rtl w:val="true"/>
              </w:rPr>
              <w:t>استعمال الفعل المبنی للمجهول</w:t>
            </w:r>
            <w:r>
              <w:rPr>
                <w:rStyle w:val="IndexLink"/>
                <w:rtl w:val="true"/>
              </w:rPr>
              <w:tab/>
            </w:r>
            <w:r>
              <w:rPr>
                <w:rStyle w:val="IndexLink"/>
              </w:rPr>
              <w:t>200</w:t>
            </w:r>
          </w:hyperlink>
        </w:p>
        <w:p>
          <w:pPr>
            <w:pStyle w:val="Contents3"/>
            <w:tabs>
              <w:tab w:val="clear" w:pos="8459"/>
              <w:tab w:val="right" w:pos="9026" w:leader="dot"/>
            </w:tabs>
            <w:rPr/>
          </w:pPr>
          <w:hyperlink w:anchor="__RefHeading___Toc507779_774463916">
            <w:r>
              <w:rPr>
                <w:webHidden/>
                <w:rStyle w:val="IndexLink"/>
                <w:rtl w:val="true"/>
              </w:rPr>
              <w:t xml:space="preserve">المبحث الثالث </w:t>
            </w:r>
            <w:r>
              <w:rPr>
                <w:rStyle w:val="IndexLink"/>
                <w:rtl w:val="true"/>
              </w:rPr>
              <w:t xml:space="preserve">: </w:t>
            </w:r>
            <w:r>
              <w:rPr>
                <w:rStyle w:val="IndexLink"/>
                <w:rtl w:val="true"/>
              </w:rPr>
              <w:t>العدول</w:t>
            </w:r>
            <w:r>
              <w:rPr>
                <w:rStyle w:val="IndexLink"/>
                <w:rtl w:val="true"/>
              </w:rPr>
              <w:tab/>
            </w:r>
            <w:r>
              <w:rPr>
                <w:rStyle w:val="IndexLink"/>
              </w:rPr>
              <w:t>203</w:t>
            </w:r>
          </w:hyperlink>
        </w:p>
        <w:p>
          <w:pPr>
            <w:pStyle w:val="Contents4"/>
            <w:tabs>
              <w:tab w:val="clear" w:pos="8176"/>
              <w:tab w:val="right" w:pos="9026" w:leader="dot"/>
            </w:tabs>
            <w:rPr/>
          </w:pPr>
          <w:hyperlink w:anchor="__RefHeading___Toc507781_774463916">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507783_774463916">
            <w:r>
              <w:rPr>
                <w:webHidden/>
                <w:rStyle w:val="IndexLink"/>
                <w:rtl w:val="true"/>
              </w:rPr>
              <w:t>والمجاز قسمان</w:t>
            </w:r>
            <w:r>
              <w:rPr>
                <w:rStyle w:val="IndexLink"/>
                <w:rtl w:val="true"/>
              </w:rPr>
              <w:t>:</w:t>
              <w:tab/>
            </w:r>
            <w:r>
              <w:rPr>
                <w:rStyle w:val="IndexLink"/>
              </w:rPr>
              <w:t>203</w:t>
            </w:r>
          </w:hyperlink>
        </w:p>
        <w:p>
          <w:pPr>
            <w:pStyle w:val="Contents2"/>
            <w:tabs>
              <w:tab w:val="clear" w:pos="8743"/>
              <w:tab w:val="right" w:pos="9026" w:leader="dot"/>
            </w:tabs>
            <w:rPr/>
          </w:pPr>
          <w:hyperlink w:anchor="__RefHeading___Toc507785_774463916">
            <w:r>
              <w:rPr>
                <w:webHidden/>
                <w:rStyle w:val="IndexLink"/>
                <w:rtl w:val="true"/>
              </w:rPr>
              <w:t>الفصل الرابع</w:t>
            </w:r>
            <w:r>
              <w:rPr>
                <w:rStyle w:val="IndexLink"/>
                <w:rtl w:val="true"/>
              </w:rPr>
              <w:t xml:space="preserve">: </w:t>
            </w:r>
            <w:r>
              <w:rPr>
                <w:rStyle w:val="IndexLink"/>
                <w:rtl w:val="true"/>
              </w:rPr>
              <w:t>دلالات المستوی التَّرکیبی وخصائصه</w:t>
            </w:r>
            <w:r>
              <w:rPr>
                <w:rStyle w:val="IndexLink"/>
                <w:rtl w:val="true"/>
              </w:rPr>
              <w:tab/>
            </w:r>
            <w:r>
              <w:rPr>
                <w:rStyle w:val="IndexLink"/>
              </w:rPr>
              <w:t>217</w:t>
            </w:r>
          </w:hyperlink>
        </w:p>
        <w:p>
          <w:pPr>
            <w:pStyle w:val="Contents3"/>
            <w:tabs>
              <w:tab w:val="clear" w:pos="8459"/>
              <w:tab w:val="right" w:pos="9026" w:leader="dot"/>
            </w:tabs>
            <w:rPr/>
          </w:pPr>
          <w:hyperlink w:anchor="__RefHeading___Toc507787_774463916">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507789_774463916">
            <w:r>
              <w:rPr>
                <w:webHidden/>
                <w:rStyle w:val="IndexLink"/>
                <w:rtl w:val="true"/>
              </w:rPr>
              <w:t>مدخل</w:t>
            </w:r>
            <w:r>
              <w:rPr>
                <w:rStyle w:val="IndexLink"/>
                <w:rtl w:val="true"/>
              </w:rPr>
              <w:tab/>
            </w:r>
            <w:r>
              <w:rPr>
                <w:rStyle w:val="IndexLink"/>
              </w:rPr>
              <w:t>219</w:t>
            </w:r>
          </w:hyperlink>
        </w:p>
        <w:p>
          <w:pPr>
            <w:pStyle w:val="Contents3"/>
            <w:tabs>
              <w:tab w:val="clear" w:pos="8459"/>
              <w:tab w:val="right" w:pos="9026" w:leader="dot"/>
            </w:tabs>
            <w:rPr/>
          </w:pPr>
          <w:hyperlink w:anchor="__RefHeading___Toc507791_774463916">
            <w:r>
              <w:rPr>
                <w:webHidden/>
                <w:rStyle w:val="IndexLink"/>
                <w:rtl w:val="true"/>
              </w:rPr>
              <w:t xml:space="preserve">المبحث الأوَّل </w:t>
            </w:r>
            <w:r>
              <w:rPr>
                <w:rStyle w:val="IndexLink"/>
                <w:rtl w:val="true"/>
              </w:rPr>
              <w:t>:</w:t>
            </w:r>
            <w:r>
              <w:rPr>
                <w:rStyle w:val="IndexLink"/>
                <w:rtl w:val="true"/>
              </w:rPr>
              <w:t>الأنماط البنائیَّة للأسالیب اللغویَّة</w:t>
            </w:r>
            <w:r>
              <w:rPr>
                <w:rStyle w:val="IndexLink"/>
                <w:rtl w:val="true"/>
              </w:rPr>
              <w:tab/>
            </w:r>
            <w:r>
              <w:rPr>
                <w:rStyle w:val="IndexLink"/>
              </w:rPr>
              <w:t>223</w:t>
            </w:r>
          </w:hyperlink>
        </w:p>
        <w:p>
          <w:pPr>
            <w:pStyle w:val="Contents4"/>
            <w:tabs>
              <w:tab w:val="clear" w:pos="8176"/>
              <w:tab w:val="right" w:pos="9026" w:leader="dot"/>
            </w:tabs>
            <w:rPr/>
          </w:pPr>
          <w:hyperlink w:anchor="__RefHeading___Toc507793_774463916">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507795_774463916">
            <w:r>
              <w:rPr>
                <w:webHidden/>
                <w:rStyle w:val="IndexLink"/>
                <w:rtl w:val="true"/>
              </w:rPr>
              <w:t>أوَّلاً</w:t>
            </w:r>
            <w:r>
              <w:rPr>
                <w:rStyle w:val="IndexLink"/>
                <w:rtl w:val="true"/>
              </w:rPr>
              <w:t xml:space="preserve">: </w:t>
            </w:r>
            <w:r>
              <w:rPr>
                <w:rStyle w:val="IndexLink"/>
                <w:rtl w:val="true"/>
              </w:rPr>
              <w:t>الأسالیب الخبریة</w:t>
            </w:r>
            <w:r>
              <w:rPr>
                <w:rStyle w:val="IndexLink"/>
                <w:rtl w:val="true"/>
              </w:rPr>
              <w:tab/>
            </w:r>
            <w:r>
              <w:rPr>
                <w:rStyle w:val="IndexLink"/>
              </w:rPr>
              <w:t>224</w:t>
            </w:r>
          </w:hyperlink>
        </w:p>
        <w:p>
          <w:pPr>
            <w:pStyle w:val="Contents5"/>
            <w:tabs>
              <w:tab w:val="clear" w:pos="7892"/>
              <w:tab w:val="right" w:pos="9026" w:leader="dot"/>
            </w:tabs>
            <w:rPr/>
          </w:pPr>
          <w:hyperlink w:anchor="__RefHeading___Toc507797_774463916">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507799_774463916">
            <w:r>
              <w:rPr>
                <w:webHidden/>
                <w:rStyle w:val="IndexLink"/>
              </w:rPr>
              <w:t>1</w:t>
            </w:r>
            <w:r>
              <w:rPr>
                <w:rStyle w:val="IndexLink"/>
                <w:rtl w:val="true"/>
              </w:rPr>
              <w:t xml:space="preserve">- </w:t>
            </w:r>
            <w:r>
              <w:rPr>
                <w:rStyle w:val="IndexLink"/>
                <w:rtl w:val="true"/>
              </w:rPr>
              <w:t>أُسلوب النّفی</w:t>
            </w:r>
            <w:r>
              <w:rPr>
                <w:rStyle w:val="IndexLink"/>
                <w:rtl w:val="true"/>
              </w:rPr>
              <w:tab/>
            </w:r>
            <w:r>
              <w:rPr>
                <w:rStyle w:val="IndexLink"/>
              </w:rPr>
              <w:t>225</w:t>
            </w:r>
          </w:hyperlink>
        </w:p>
        <w:p>
          <w:pPr>
            <w:pStyle w:val="Contents5"/>
            <w:tabs>
              <w:tab w:val="clear" w:pos="7892"/>
              <w:tab w:val="right" w:pos="9026" w:leader="dot"/>
            </w:tabs>
            <w:rPr/>
          </w:pPr>
          <w:hyperlink w:anchor="__RefHeading___Toc507801_774463916">
            <w:r>
              <w:rPr>
                <w:webHidden/>
                <w:rStyle w:val="IndexLink"/>
              </w:rPr>
              <w:t>2</w:t>
            </w:r>
            <w:r>
              <w:rPr>
                <w:rStyle w:val="IndexLink"/>
                <w:rtl w:val="true"/>
              </w:rPr>
              <w:t xml:space="preserve">- </w:t>
            </w:r>
            <w:r>
              <w:rPr>
                <w:rStyle w:val="IndexLink"/>
                <w:rtl w:val="true"/>
              </w:rPr>
              <w:t>أُسلوب القصْر</w:t>
            </w:r>
            <w:r>
              <w:rPr>
                <w:rStyle w:val="IndexLink"/>
                <w:rtl w:val="true"/>
              </w:rPr>
              <w:tab/>
            </w:r>
            <w:r>
              <w:rPr>
                <w:rStyle w:val="IndexLink"/>
              </w:rPr>
              <w:t>229</w:t>
            </w:r>
          </w:hyperlink>
        </w:p>
        <w:p>
          <w:pPr>
            <w:pStyle w:val="Contents4"/>
            <w:tabs>
              <w:tab w:val="clear" w:pos="8176"/>
              <w:tab w:val="right" w:pos="9026" w:leader="dot"/>
            </w:tabs>
            <w:rPr/>
          </w:pPr>
          <w:hyperlink w:anchor="__RefHeading___Toc507803_774463916">
            <w:r>
              <w:rPr>
                <w:webHidden/>
                <w:rStyle w:val="IndexLink"/>
                <w:rtl w:val="true"/>
              </w:rPr>
              <w:t>ثانیاً</w:t>
            </w:r>
            <w:r>
              <w:rPr>
                <w:rStyle w:val="IndexLink"/>
                <w:rtl w:val="true"/>
              </w:rPr>
              <w:t xml:space="preserve">: </w:t>
            </w:r>
            <w:r>
              <w:rPr>
                <w:rStyle w:val="IndexLink"/>
                <w:rtl w:val="true"/>
              </w:rPr>
              <w:t>الأسالیب الإنشائیة</w:t>
            </w:r>
            <w:r>
              <w:rPr>
                <w:rStyle w:val="IndexLink"/>
                <w:rtl w:val="true"/>
              </w:rPr>
              <w:tab/>
            </w:r>
            <w:r>
              <w:rPr>
                <w:rStyle w:val="IndexLink"/>
              </w:rPr>
              <w:t>234</w:t>
            </w:r>
          </w:hyperlink>
        </w:p>
        <w:p>
          <w:pPr>
            <w:pStyle w:val="Contents5"/>
            <w:tabs>
              <w:tab w:val="clear" w:pos="7892"/>
              <w:tab w:val="right" w:pos="9026" w:leader="dot"/>
            </w:tabs>
            <w:rPr/>
          </w:pPr>
          <w:hyperlink w:anchor="__RefHeading___Toc507805_774463916">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507807_774463916">
            <w:r>
              <w:rPr>
                <w:webHidden/>
                <w:rStyle w:val="IndexLink"/>
              </w:rPr>
              <w:t>1</w:t>
            </w:r>
            <w:r>
              <w:rPr>
                <w:rStyle w:val="IndexLink"/>
                <w:rtl w:val="true"/>
              </w:rPr>
              <w:t xml:space="preserve">- </w:t>
            </w:r>
            <w:r>
              <w:rPr>
                <w:rStyle w:val="IndexLink"/>
                <w:rtl w:val="true"/>
              </w:rPr>
              <w:t>أُسلوب الأمر</w:t>
            </w:r>
            <w:r>
              <w:rPr>
                <w:rStyle w:val="IndexLink"/>
                <w:rtl w:val="true"/>
              </w:rPr>
              <w:tab/>
            </w:r>
            <w:r>
              <w:rPr>
                <w:rStyle w:val="IndexLink"/>
              </w:rPr>
              <w:t>235</w:t>
            </w:r>
          </w:hyperlink>
        </w:p>
        <w:p>
          <w:pPr>
            <w:pStyle w:val="Contents5"/>
            <w:tabs>
              <w:tab w:val="clear" w:pos="7892"/>
              <w:tab w:val="right" w:pos="9026" w:leader="dot"/>
            </w:tabs>
            <w:rPr/>
          </w:pPr>
          <w:hyperlink w:anchor="__RefHeading___Toc507809_774463916">
            <w:r>
              <w:rPr>
                <w:webHidden/>
                <w:rStyle w:val="IndexLink"/>
              </w:rPr>
              <w:t>2</w:t>
            </w:r>
            <w:r>
              <w:rPr>
                <w:rStyle w:val="IndexLink"/>
                <w:rtl w:val="true"/>
              </w:rPr>
              <w:t xml:space="preserve">- </w:t>
            </w:r>
            <w:r>
              <w:rPr>
                <w:rStyle w:val="IndexLink"/>
                <w:rtl w:val="true"/>
              </w:rPr>
              <w:t>أُسلوب النَّهی</w:t>
            </w:r>
            <w:r>
              <w:rPr>
                <w:rStyle w:val="IndexLink"/>
                <w:rtl w:val="true"/>
              </w:rPr>
              <w:tab/>
            </w:r>
            <w:r>
              <w:rPr>
                <w:rStyle w:val="IndexLink"/>
              </w:rPr>
              <w:t>237</w:t>
            </w:r>
          </w:hyperlink>
        </w:p>
        <w:p>
          <w:pPr>
            <w:pStyle w:val="Contents5"/>
            <w:tabs>
              <w:tab w:val="clear" w:pos="7892"/>
              <w:tab w:val="right" w:pos="9026" w:leader="dot"/>
            </w:tabs>
            <w:rPr/>
          </w:pPr>
          <w:hyperlink w:anchor="__RefHeading___Toc507811_774463916">
            <w:r>
              <w:rPr>
                <w:webHidden/>
                <w:rStyle w:val="IndexLink"/>
              </w:rPr>
              <w:t>3</w:t>
            </w:r>
            <w:r>
              <w:rPr>
                <w:rStyle w:val="IndexLink"/>
                <w:rtl w:val="true"/>
              </w:rPr>
              <w:t xml:space="preserve">- </w:t>
            </w:r>
            <w:r>
              <w:rPr>
                <w:rStyle w:val="IndexLink"/>
                <w:rtl w:val="true"/>
              </w:rPr>
              <w:t>أُسلوب الاستف</w:t>
            </w:r>
            <w:r>
              <w:rPr>
                <w:rStyle w:val="IndexLink"/>
                <w:rtl w:val="true"/>
              </w:rPr>
              <w:t>-</w:t>
            </w:r>
            <w:r>
              <w:rPr>
                <w:rStyle w:val="IndexLink"/>
                <w:rtl w:val="true"/>
              </w:rPr>
              <w:t>هام</w:t>
            </w:r>
            <w:r>
              <w:rPr>
                <w:rStyle w:val="IndexLink"/>
                <w:rtl w:val="true"/>
              </w:rPr>
              <w:tab/>
            </w:r>
            <w:r>
              <w:rPr>
                <w:rStyle w:val="IndexLink"/>
              </w:rPr>
              <w:t>239</w:t>
            </w:r>
          </w:hyperlink>
        </w:p>
        <w:p>
          <w:pPr>
            <w:pStyle w:val="Contents5"/>
            <w:tabs>
              <w:tab w:val="clear" w:pos="7892"/>
              <w:tab w:val="right" w:pos="9026" w:leader="dot"/>
            </w:tabs>
            <w:rPr/>
          </w:pPr>
          <w:hyperlink w:anchor="__RefHeading___Toc507813_774463916">
            <w:r>
              <w:rPr>
                <w:webHidden/>
                <w:rStyle w:val="IndexLink"/>
              </w:rPr>
              <w:t>4</w:t>
            </w:r>
            <w:r>
              <w:rPr>
                <w:rStyle w:val="IndexLink"/>
                <w:rtl w:val="true"/>
              </w:rPr>
              <w:t xml:space="preserve">- </w:t>
            </w:r>
            <w:r>
              <w:rPr>
                <w:rStyle w:val="IndexLink"/>
                <w:rtl w:val="true"/>
              </w:rPr>
              <w:t>أُسلوب النداء</w:t>
            </w:r>
            <w:r>
              <w:rPr>
                <w:rStyle w:val="IndexLink"/>
                <w:rtl w:val="true"/>
              </w:rPr>
              <w:tab/>
            </w:r>
            <w:r>
              <w:rPr>
                <w:rStyle w:val="IndexLink"/>
              </w:rPr>
              <w:t>242</w:t>
            </w:r>
          </w:hyperlink>
        </w:p>
        <w:p>
          <w:pPr>
            <w:pStyle w:val="Contents4"/>
            <w:tabs>
              <w:tab w:val="clear" w:pos="8176"/>
              <w:tab w:val="right" w:pos="9026" w:leader="dot"/>
            </w:tabs>
            <w:rPr/>
          </w:pPr>
          <w:hyperlink w:anchor="__RefHeading___Toc507815_774463916">
            <w:r>
              <w:rPr>
                <w:webHidden/>
                <w:rStyle w:val="IndexLink"/>
                <w:rtl w:val="true"/>
              </w:rPr>
              <w:t>ثالثاً</w:t>
            </w:r>
            <w:r>
              <w:rPr>
                <w:rStyle w:val="IndexLink"/>
                <w:rtl w:val="true"/>
              </w:rPr>
              <w:t xml:space="preserve">: </w:t>
            </w:r>
            <w:r>
              <w:rPr>
                <w:rStyle w:val="IndexLink"/>
                <w:rtl w:val="true"/>
              </w:rPr>
              <w:t>أسالیب جمعت بین الخبر والإنشاء</w:t>
            </w:r>
            <w:r>
              <w:rPr>
                <w:rStyle w:val="IndexLink"/>
                <w:rtl w:val="true"/>
              </w:rPr>
              <w:tab/>
            </w:r>
            <w:r>
              <w:rPr>
                <w:rStyle w:val="IndexLink"/>
              </w:rPr>
              <w:t>244</w:t>
            </w:r>
          </w:hyperlink>
        </w:p>
        <w:p>
          <w:pPr>
            <w:pStyle w:val="Contents5"/>
            <w:tabs>
              <w:tab w:val="clear" w:pos="7892"/>
              <w:tab w:val="right" w:pos="9026" w:leader="dot"/>
            </w:tabs>
            <w:rPr/>
          </w:pPr>
          <w:hyperlink w:anchor="__RefHeading___Toc507817_774463916">
            <w:r>
              <w:rPr>
                <w:webHidden/>
                <w:rStyle w:val="IndexLink"/>
              </w:rPr>
              <w:t>1</w:t>
            </w:r>
            <w:r>
              <w:rPr>
                <w:rStyle w:val="IndexLink"/>
                <w:rtl w:val="true"/>
              </w:rPr>
              <w:t xml:space="preserve">- </w:t>
            </w:r>
            <w:r>
              <w:rPr>
                <w:rStyle w:val="IndexLink"/>
                <w:rtl w:val="true"/>
              </w:rPr>
              <w:t>أُسلوب الشَّ</w:t>
            </w:r>
            <w:r>
              <w:rPr>
                <w:rStyle w:val="IndexLink"/>
                <w:rtl w:val="true"/>
              </w:rPr>
              <w:t>-</w:t>
            </w:r>
            <w:r>
              <w:rPr>
                <w:rStyle w:val="IndexLink"/>
                <w:rtl w:val="true"/>
              </w:rPr>
              <w:t>رط</w:t>
            </w:r>
            <w:r>
              <w:rPr>
                <w:rStyle w:val="IndexLink"/>
                <w:rtl w:val="true"/>
              </w:rPr>
              <w:tab/>
            </w:r>
            <w:r>
              <w:rPr>
                <w:rStyle w:val="IndexLink"/>
              </w:rPr>
              <w:t>244</w:t>
            </w:r>
          </w:hyperlink>
        </w:p>
        <w:p>
          <w:pPr>
            <w:pStyle w:val="Contents5"/>
            <w:tabs>
              <w:tab w:val="clear" w:pos="7892"/>
              <w:tab w:val="right" w:pos="9026" w:leader="dot"/>
            </w:tabs>
            <w:rPr/>
          </w:pPr>
          <w:hyperlink w:anchor="__RefHeading___Toc507819_774463916">
            <w:r>
              <w:rPr>
                <w:webHidden/>
                <w:rStyle w:val="IndexLink"/>
              </w:rPr>
              <w:t>2</w:t>
            </w:r>
            <w:r>
              <w:rPr>
                <w:rStyle w:val="IndexLink"/>
                <w:rtl w:val="true"/>
              </w:rPr>
              <w:t xml:space="preserve">- </w:t>
            </w:r>
            <w:r>
              <w:rPr>
                <w:rStyle w:val="IndexLink"/>
                <w:rtl w:val="true"/>
              </w:rPr>
              <w:t>أُسلوب القَسَم</w:t>
            </w:r>
            <w:r>
              <w:rPr>
                <w:rStyle w:val="IndexLink"/>
                <w:rtl w:val="true"/>
              </w:rPr>
              <w:tab/>
            </w:r>
            <w:r>
              <w:rPr>
                <w:rStyle w:val="IndexLink"/>
              </w:rPr>
              <w:t>249</w:t>
            </w:r>
          </w:hyperlink>
        </w:p>
        <w:p>
          <w:pPr>
            <w:pStyle w:val="Contents3"/>
            <w:tabs>
              <w:tab w:val="clear" w:pos="8459"/>
              <w:tab w:val="right" w:pos="9026" w:leader="dot"/>
            </w:tabs>
            <w:rPr/>
          </w:pPr>
          <w:hyperlink w:anchor="__RefHeading___Toc507821_774463916">
            <w:r>
              <w:rPr>
                <w:webHidden/>
                <w:rStyle w:val="IndexLink"/>
                <w:rtl w:val="true"/>
              </w:rPr>
              <w:t xml:space="preserve">المبحث الثانی </w:t>
            </w:r>
            <w:r>
              <w:rPr>
                <w:rStyle w:val="IndexLink"/>
                <w:rtl w:val="true"/>
              </w:rPr>
              <w:t>:</w:t>
            </w:r>
            <w:r>
              <w:rPr>
                <w:rStyle w:val="IndexLink"/>
                <w:rtl w:val="true"/>
              </w:rPr>
              <w:t>الخصائص المعنویَّة للتَّراکیب</w:t>
            </w:r>
            <w:r>
              <w:rPr>
                <w:rStyle w:val="IndexLink"/>
                <w:rtl w:val="true"/>
              </w:rPr>
              <w:tab/>
            </w:r>
            <w:r>
              <w:rPr>
                <w:rStyle w:val="IndexLink"/>
              </w:rPr>
              <w:t>255</w:t>
            </w:r>
          </w:hyperlink>
        </w:p>
        <w:p>
          <w:pPr>
            <w:pStyle w:val="Contents4"/>
            <w:tabs>
              <w:tab w:val="clear" w:pos="8176"/>
              <w:tab w:val="right" w:pos="9026" w:leader="dot"/>
            </w:tabs>
            <w:rPr/>
          </w:pPr>
          <w:hyperlink w:anchor="__RefHeading___Toc507823_774463916">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507825_774463916">
            <w:r>
              <w:rPr>
                <w:webHidden/>
                <w:rStyle w:val="IndexLink"/>
                <w:rtl w:val="true"/>
              </w:rPr>
              <w:t>أوّلاً</w:t>
            </w:r>
            <w:r>
              <w:rPr>
                <w:rStyle w:val="IndexLink"/>
                <w:rtl w:val="true"/>
              </w:rPr>
              <w:t xml:space="preserve">: </w:t>
            </w:r>
            <w:r>
              <w:rPr>
                <w:rStyle w:val="IndexLink"/>
                <w:rtl w:val="true"/>
              </w:rPr>
              <w:t>الفصل والوصل</w:t>
            </w:r>
            <w:r>
              <w:rPr>
                <w:rStyle w:val="IndexLink"/>
                <w:rtl w:val="true"/>
              </w:rPr>
              <w:tab/>
            </w:r>
            <w:r>
              <w:rPr>
                <w:rStyle w:val="IndexLink"/>
              </w:rPr>
              <w:t>256</w:t>
            </w:r>
          </w:hyperlink>
        </w:p>
        <w:p>
          <w:pPr>
            <w:pStyle w:val="Contents4"/>
            <w:tabs>
              <w:tab w:val="clear" w:pos="8176"/>
              <w:tab w:val="right" w:pos="9026" w:leader="dot"/>
            </w:tabs>
            <w:rPr/>
          </w:pPr>
          <w:hyperlink w:anchor="__RefHeading___Toc507827_774463916">
            <w:r>
              <w:rPr>
                <w:webHidden/>
                <w:rStyle w:val="IndexLink"/>
                <w:rtl w:val="true"/>
              </w:rPr>
              <w:t>ثانیاً</w:t>
            </w:r>
            <w:r>
              <w:rPr>
                <w:rStyle w:val="IndexLink"/>
                <w:rtl w:val="true"/>
              </w:rPr>
              <w:t xml:space="preserve">: </w:t>
            </w:r>
            <w:r>
              <w:rPr>
                <w:rStyle w:val="IndexLink"/>
                <w:rtl w:val="true"/>
              </w:rPr>
              <w:t>التقدیم والتأخیر</w:t>
            </w:r>
            <w:r>
              <w:rPr>
                <w:rStyle w:val="IndexLink"/>
                <w:rtl w:val="true"/>
              </w:rPr>
              <w:tab/>
            </w:r>
            <w:r>
              <w:rPr>
                <w:rStyle w:val="IndexLink"/>
              </w:rPr>
              <w:t>262</w:t>
            </w:r>
          </w:hyperlink>
        </w:p>
        <w:p>
          <w:pPr>
            <w:pStyle w:val="Contents5"/>
            <w:tabs>
              <w:tab w:val="clear" w:pos="7892"/>
              <w:tab w:val="right" w:pos="9026" w:leader="dot"/>
            </w:tabs>
            <w:rPr/>
          </w:pPr>
          <w:hyperlink w:anchor="__RefHeading___Toc507829_774463916">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507831_774463916">
            <w:r>
              <w:rPr>
                <w:webHidden/>
                <w:rStyle w:val="IndexLink"/>
              </w:rPr>
              <w:t>1</w:t>
            </w:r>
            <w:r>
              <w:rPr>
                <w:rStyle w:val="IndexLink"/>
                <w:rtl w:val="true"/>
              </w:rPr>
              <w:t xml:space="preserve">- </w:t>
            </w:r>
            <w:r>
              <w:rPr>
                <w:rStyle w:val="IndexLink"/>
                <w:rtl w:val="true"/>
              </w:rPr>
              <w:t>تقدیم المسند إلیه</w:t>
            </w:r>
            <w:r>
              <w:rPr>
                <w:rStyle w:val="IndexLink"/>
                <w:rtl w:val="true"/>
              </w:rPr>
              <w:tab/>
            </w:r>
            <w:r>
              <w:rPr>
                <w:rStyle w:val="IndexLink"/>
              </w:rPr>
              <w:t>263</w:t>
            </w:r>
          </w:hyperlink>
        </w:p>
        <w:p>
          <w:pPr>
            <w:pStyle w:val="Contents6"/>
            <w:tabs>
              <w:tab w:val="clear" w:pos="7609"/>
              <w:tab w:val="right" w:pos="9026" w:leader="dot"/>
            </w:tabs>
            <w:rPr/>
          </w:pPr>
          <w:hyperlink w:anchor="__RefHeading___Toc507833_774463916">
            <w:r>
              <w:rPr>
                <w:webHidden/>
                <w:rStyle w:val="IndexLink"/>
                <w:rtl w:val="true"/>
              </w:rPr>
              <w:t xml:space="preserve">أ </w:t>
            </w:r>
            <w:r>
              <w:rPr>
                <w:rStyle w:val="IndexLink"/>
                <w:rtl w:val="true"/>
              </w:rPr>
              <w:t xml:space="preserve">- </w:t>
            </w:r>
            <w:r>
              <w:rPr>
                <w:rStyle w:val="IndexLink"/>
                <w:rtl w:val="true"/>
              </w:rPr>
              <w:t>تقدیم المبتدأ</w:t>
            </w:r>
            <w:r>
              <w:rPr>
                <w:rStyle w:val="IndexLink"/>
                <w:rtl w:val="true"/>
              </w:rPr>
              <w:tab/>
            </w:r>
            <w:r>
              <w:rPr>
                <w:rStyle w:val="IndexLink"/>
              </w:rPr>
              <w:t>263</w:t>
            </w:r>
          </w:hyperlink>
        </w:p>
        <w:p>
          <w:pPr>
            <w:pStyle w:val="Contents6"/>
            <w:tabs>
              <w:tab w:val="clear" w:pos="7609"/>
              <w:tab w:val="right" w:pos="9026" w:leader="dot"/>
            </w:tabs>
            <w:rPr/>
          </w:pPr>
          <w:hyperlink w:anchor="__RefHeading___Toc507835_774463916">
            <w:r>
              <w:rPr>
                <w:webHidden/>
                <w:rStyle w:val="IndexLink"/>
                <w:rtl w:val="true"/>
              </w:rPr>
              <w:t xml:space="preserve">ب </w:t>
            </w:r>
            <w:r>
              <w:rPr>
                <w:rStyle w:val="IndexLink"/>
                <w:rtl w:val="true"/>
              </w:rPr>
              <w:t xml:space="preserve">- </w:t>
            </w:r>
            <w:r>
              <w:rPr>
                <w:rStyle w:val="IndexLink"/>
                <w:rtl w:val="true"/>
              </w:rPr>
              <w:t>تقدیم الفاعل</w:t>
            </w:r>
            <w:r>
              <w:rPr>
                <w:rStyle w:val="IndexLink"/>
                <w:rtl w:val="true"/>
              </w:rPr>
              <w:tab/>
            </w:r>
            <w:r>
              <w:rPr>
                <w:rStyle w:val="IndexLink"/>
              </w:rPr>
              <w:t>265</w:t>
            </w:r>
          </w:hyperlink>
        </w:p>
        <w:p>
          <w:pPr>
            <w:pStyle w:val="Contents5"/>
            <w:tabs>
              <w:tab w:val="clear" w:pos="7892"/>
              <w:tab w:val="right" w:pos="9026" w:leader="dot"/>
            </w:tabs>
            <w:rPr/>
          </w:pPr>
          <w:hyperlink w:anchor="__RefHeading___Toc507837_774463916">
            <w:r>
              <w:rPr>
                <w:webHidden/>
                <w:rStyle w:val="IndexLink"/>
              </w:rPr>
              <w:t>2</w:t>
            </w:r>
            <w:r>
              <w:rPr>
                <w:rStyle w:val="IndexLink"/>
                <w:rtl w:val="true"/>
              </w:rPr>
              <w:t xml:space="preserve">- </w:t>
            </w:r>
            <w:r>
              <w:rPr>
                <w:rStyle w:val="IndexLink"/>
                <w:rtl w:val="true"/>
              </w:rPr>
              <w:t>تقدیم المسند</w:t>
            </w:r>
            <w:r>
              <w:rPr>
                <w:rStyle w:val="IndexLink"/>
                <w:rtl w:val="true"/>
              </w:rPr>
              <w:tab/>
            </w:r>
            <w:r>
              <w:rPr>
                <w:rStyle w:val="IndexLink"/>
              </w:rPr>
              <w:t>267</w:t>
            </w:r>
          </w:hyperlink>
        </w:p>
        <w:p>
          <w:pPr>
            <w:pStyle w:val="Contents6"/>
            <w:tabs>
              <w:tab w:val="clear" w:pos="7609"/>
              <w:tab w:val="right" w:pos="9026" w:leader="dot"/>
            </w:tabs>
            <w:rPr/>
          </w:pPr>
          <w:hyperlink w:anchor="__RefHeading___Toc507839_774463916">
            <w:r>
              <w:rPr>
                <w:webHidden/>
                <w:rStyle w:val="IndexLink"/>
                <w:rtl w:val="true"/>
              </w:rPr>
              <w:t>أ</w:t>
            </w:r>
            <w:r>
              <w:rPr>
                <w:rStyle w:val="IndexLink"/>
                <w:rtl w:val="true"/>
              </w:rPr>
              <w:t xml:space="preserve">- </w:t>
            </w:r>
            <w:r>
              <w:rPr>
                <w:rStyle w:val="IndexLink"/>
                <w:rtl w:val="true"/>
              </w:rPr>
              <w:t>تقدیم الخبر</w:t>
            </w:r>
            <w:r>
              <w:rPr>
                <w:rStyle w:val="IndexLink"/>
                <w:rtl w:val="true"/>
              </w:rPr>
              <w:tab/>
            </w:r>
            <w:r>
              <w:rPr>
                <w:rStyle w:val="IndexLink"/>
              </w:rPr>
              <w:t>267</w:t>
            </w:r>
          </w:hyperlink>
        </w:p>
        <w:p>
          <w:pPr>
            <w:pStyle w:val="Contents5"/>
            <w:tabs>
              <w:tab w:val="clear" w:pos="7892"/>
              <w:tab w:val="right" w:pos="9026" w:leader="dot"/>
            </w:tabs>
            <w:rPr/>
          </w:pPr>
          <w:hyperlink w:anchor="__RefHeading___Toc507841_774463916">
            <w:r>
              <w:rPr>
                <w:webHidden/>
                <w:rStyle w:val="IndexLink"/>
              </w:rPr>
              <w:t>3</w:t>
            </w:r>
            <w:r>
              <w:rPr>
                <w:rStyle w:val="IndexLink"/>
                <w:rtl w:val="true"/>
              </w:rPr>
              <w:t xml:space="preserve">- </w:t>
            </w:r>
            <w:r>
              <w:rPr>
                <w:rStyle w:val="IndexLink"/>
                <w:rtl w:val="true"/>
              </w:rPr>
              <w:t>التقدیم فی المتعلّقات</w:t>
            </w:r>
            <w:r>
              <w:rPr>
                <w:rStyle w:val="IndexLink"/>
                <w:rtl w:val="true"/>
              </w:rPr>
              <w:tab/>
            </w:r>
            <w:r>
              <w:rPr>
                <w:rStyle w:val="IndexLink"/>
              </w:rPr>
              <w:t>269</w:t>
            </w:r>
          </w:hyperlink>
        </w:p>
        <w:p>
          <w:pPr>
            <w:pStyle w:val="Contents6"/>
            <w:tabs>
              <w:tab w:val="clear" w:pos="7609"/>
              <w:tab w:val="right" w:pos="9026" w:leader="dot"/>
            </w:tabs>
            <w:rPr/>
          </w:pPr>
          <w:hyperlink w:anchor="__RefHeading___Toc507843_774463916">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507845_774463916">
            <w:r>
              <w:rPr>
                <w:webHidden/>
                <w:rStyle w:val="IndexLink"/>
                <w:rtl w:val="true"/>
              </w:rPr>
              <w:t>أ</w:t>
            </w:r>
            <w:r>
              <w:rPr>
                <w:rStyle w:val="IndexLink"/>
                <w:rtl w:val="true"/>
              </w:rPr>
              <w:t xml:space="preserve">- </w:t>
            </w:r>
            <w:r>
              <w:rPr>
                <w:rStyle w:val="IndexLink"/>
                <w:rtl w:val="true"/>
              </w:rPr>
              <w:t>تقدیم الجار والمجرور</w:t>
            </w:r>
            <w:r>
              <w:rPr>
                <w:rStyle w:val="IndexLink"/>
                <w:rtl w:val="true"/>
              </w:rPr>
              <w:tab/>
            </w:r>
            <w:r>
              <w:rPr>
                <w:rStyle w:val="IndexLink"/>
              </w:rPr>
              <w:t>269</w:t>
            </w:r>
          </w:hyperlink>
        </w:p>
        <w:p>
          <w:pPr>
            <w:pStyle w:val="Contents6"/>
            <w:tabs>
              <w:tab w:val="clear" w:pos="7609"/>
              <w:tab w:val="right" w:pos="9026" w:leader="dot"/>
            </w:tabs>
            <w:rPr/>
          </w:pPr>
          <w:hyperlink w:anchor="__RefHeading___Toc507847_774463916">
            <w:r>
              <w:rPr>
                <w:webHidden/>
                <w:rStyle w:val="IndexLink"/>
                <w:rtl w:val="true"/>
              </w:rPr>
              <w:t xml:space="preserve">ب </w:t>
            </w:r>
            <w:r>
              <w:rPr>
                <w:rStyle w:val="IndexLink"/>
                <w:rtl w:val="true"/>
              </w:rPr>
              <w:t xml:space="preserve">- </w:t>
            </w:r>
            <w:r>
              <w:rPr>
                <w:rStyle w:val="IndexLink"/>
                <w:rtl w:val="true"/>
              </w:rPr>
              <w:t>تقدیم المفعول به</w:t>
            </w:r>
            <w:r>
              <w:rPr>
                <w:rStyle w:val="IndexLink"/>
                <w:rtl w:val="true"/>
              </w:rPr>
              <w:tab/>
            </w:r>
            <w:r>
              <w:rPr>
                <w:rStyle w:val="IndexLink"/>
              </w:rPr>
              <w:t>270</w:t>
            </w:r>
          </w:hyperlink>
        </w:p>
        <w:p>
          <w:pPr>
            <w:pStyle w:val="Contents4"/>
            <w:tabs>
              <w:tab w:val="clear" w:pos="8176"/>
              <w:tab w:val="right" w:pos="9026" w:leader="dot"/>
            </w:tabs>
            <w:rPr/>
          </w:pPr>
          <w:hyperlink w:anchor="__RefHeading___Toc507849_774463916">
            <w:r>
              <w:rPr>
                <w:webHidden/>
                <w:rStyle w:val="IndexLink"/>
                <w:rtl w:val="true"/>
              </w:rPr>
              <w:t>ثالثاً</w:t>
            </w:r>
            <w:r>
              <w:rPr>
                <w:rStyle w:val="IndexLink"/>
                <w:rtl w:val="true"/>
              </w:rPr>
              <w:t xml:space="preserve">: </w:t>
            </w:r>
            <w:r>
              <w:rPr>
                <w:rStyle w:val="IndexLink"/>
                <w:rtl w:val="true"/>
              </w:rPr>
              <w:t>التعریف والتنکیر</w:t>
            </w:r>
            <w:r>
              <w:rPr>
                <w:rStyle w:val="IndexLink"/>
                <w:rtl w:val="true"/>
              </w:rPr>
              <w:tab/>
            </w:r>
            <w:r>
              <w:rPr>
                <w:rStyle w:val="IndexLink"/>
              </w:rPr>
              <w:t>272</w:t>
            </w:r>
          </w:hyperlink>
        </w:p>
        <w:p>
          <w:pPr>
            <w:pStyle w:val="Contents5"/>
            <w:tabs>
              <w:tab w:val="clear" w:pos="7892"/>
              <w:tab w:val="right" w:pos="9026" w:leader="dot"/>
            </w:tabs>
            <w:rPr/>
          </w:pPr>
          <w:hyperlink w:anchor="__RefHeading___Toc507851_774463916">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507853_774463916">
            <w:r>
              <w:rPr>
                <w:webHidden/>
                <w:rStyle w:val="IndexLink"/>
              </w:rPr>
              <w:t>1</w:t>
            </w:r>
            <w:r>
              <w:rPr>
                <w:rStyle w:val="IndexLink"/>
                <w:rtl w:val="true"/>
              </w:rPr>
              <w:t xml:space="preserve">- </w:t>
            </w:r>
            <w:r>
              <w:rPr>
                <w:rStyle w:val="IndexLink"/>
                <w:rtl w:val="true"/>
              </w:rPr>
              <w:t>تعریف المسند إلیه</w:t>
            </w:r>
            <w:r>
              <w:rPr>
                <w:rStyle w:val="IndexLink"/>
                <w:rtl w:val="true"/>
              </w:rPr>
              <w:tab/>
            </w:r>
            <w:r>
              <w:rPr>
                <w:rStyle w:val="IndexLink"/>
              </w:rPr>
              <w:t>273</w:t>
            </w:r>
          </w:hyperlink>
        </w:p>
        <w:p>
          <w:pPr>
            <w:pStyle w:val="Contents5"/>
            <w:tabs>
              <w:tab w:val="clear" w:pos="7892"/>
              <w:tab w:val="right" w:pos="9026" w:leader="dot"/>
            </w:tabs>
            <w:rPr/>
          </w:pPr>
          <w:hyperlink w:anchor="__RefHeading___Toc507855_774463916">
            <w:r>
              <w:rPr>
                <w:webHidden/>
                <w:rStyle w:val="IndexLink"/>
              </w:rPr>
              <w:t>2</w:t>
            </w:r>
            <w:r>
              <w:rPr>
                <w:rStyle w:val="IndexLink"/>
                <w:rtl w:val="true"/>
              </w:rPr>
              <w:t xml:space="preserve">- </w:t>
            </w:r>
            <w:r>
              <w:rPr>
                <w:rStyle w:val="IndexLink"/>
                <w:rtl w:val="true"/>
              </w:rPr>
              <w:t>تعریف المسند</w:t>
            </w:r>
            <w:r>
              <w:rPr>
                <w:rStyle w:val="IndexLink"/>
                <w:rtl w:val="true"/>
              </w:rPr>
              <w:tab/>
            </w:r>
            <w:r>
              <w:rPr>
                <w:rStyle w:val="IndexLink"/>
              </w:rPr>
              <w:t>277</w:t>
            </w:r>
          </w:hyperlink>
        </w:p>
        <w:p>
          <w:pPr>
            <w:pStyle w:val="Contents6"/>
            <w:tabs>
              <w:tab w:val="clear" w:pos="7609"/>
              <w:tab w:val="right" w:pos="9026" w:leader="dot"/>
            </w:tabs>
            <w:rPr/>
          </w:pPr>
          <w:hyperlink w:anchor="__RefHeading___Toc507857_774463916">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507859_774463916">
            <w:r>
              <w:rPr>
                <w:webHidden/>
                <w:rStyle w:val="IndexLink"/>
              </w:rPr>
              <w:t>1</w:t>
            </w:r>
            <w:r>
              <w:rPr>
                <w:rStyle w:val="IndexLink"/>
                <w:rtl w:val="true"/>
              </w:rPr>
              <w:t xml:space="preserve">- </w:t>
            </w:r>
            <w:r>
              <w:rPr>
                <w:rStyle w:val="IndexLink"/>
                <w:rtl w:val="true"/>
              </w:rPr>
              <w:t>تنکیر المسند إلیه</w:t>
            </w:r>
            <w:r>
              <w:rPr>
                <w:rStyle w:val="IndexLink"/>
                <w:rtl w:val="true"/>
              </w:rPr>
              <w:tab/>
            </w:r>
            <w:r>
              <w:rPr>
                <w:rStyle w:val="IndexLink"/>
              </w:rPr>
              <w:t>279</w:t>
            </w:r>
          </w:hyperlink>
        </w:p>
        <w:p>
          <w:pPr>
            <w:pStyle w:val="Contents6"/>
            <w:tabs>
              <w:tab w:val="clear" w:pos="7609"/>
              <w:tab w:val="right" w:pos="9026" w:leader="dot"/>
            </w:tabs>
            <w:rPr/>
          </w:pPr>
          <w:hyperlink w:anchor="__RefHeading___Toc507861_774463916">
            <w:r>
              <w:rPr>
                <w:webHidden/>
                <w:rStyle w:val="IndexLink"/>
              </w:rPr>
              <w:t>2</w:t>
            </w:r>
            <w:r>
              <w:rPr>
                <w:rStyle w:val="IndexLink"/>
                <w:rtl w:val="true"/>
              </w:rPr>
              <w:t xml:space="preserve">- </w:t>
            </w:r>
            <w:r>
              <w:rPr>
                <w:rStyle w:val="IndexLink"/>
                <w:rtl w:val="true"/>
              </w:rPr>
              <w:t xml:space="preserve">تنکیر المسند </w:t>
            </w:r>
            <w:r>
              <w:rPr>
                <w:rStyle w:val="IndexLink"/>
                <w:rtl w:val="true"/>
              </w:rPr>
              <w:t>(</w:t>
            </w:r>
            <w:r>
              <w:rPr>
                <w:rStyle w:val="IndexLink"/>
                <w:rtl w:val="true"/>
              </w:rPr>
              <w:t>تنکیر الخبر</w:t>
            </w:r>
            <w:r>
              <w:rPr>
                <w:rStyle w:val="IndexLink"/>
                <w:rtl w:val="true"/>
              </w:rPr>
              <w:t>)</w:t>
              <w:tab/>
            </w:r>
            <w:r>
              <w:rPr>
                <w:rStyle w:val="IndexLink"/>
              </w:rPr>
              <w:t>282</w:t>
            </w:r>
          </w:hyperlink>
        </w:p>
        <w:p>
          <w:pPr>
            <w:pStyle w:val="Contents4"/>
            <w:tabs>
              <w:tab w:val="clear" w:pos="8176"/>
              <w:tab w:val="right" w:pos="9026" w:leader="dot"/>
            </w:tabs>
            <w:rPr/>
          </w:pPr>
          <w:hyperlink w:anchor="__RefHeading___Toc507863_774463916">
            <w:r>
              <w:rPr>
                <w:webHidden/>
                <w:rStyle w:val="IndexLink"/>
                <w:rtl w:val="true"/>
              </w:rPr>
              <w:t>رابعاً</w:t>
            </w:r>
            <w:r>
              <w:rPr>
                <w:rStyle w:val="IndexLink"/>
                <w:rtl w:val="true"/>
              </w:rPr>
              <w:t xml:space="preserve">: </w:t>
            </w:r>
            <w:r>
              <w:rPr>
                <w:rStyle w:val="IndexLink"/>
                <w:rtl w:val="true"/>
              </w:rPr>
              <w:t>الحذف والذکر</w:t>
            </w:r>
            <w:r>
              <w:rPr>
                <w:rStyle w:val="IndexLink"/>
                <w:rtl w:val="true"/>
              </w:rPr>
              <w:tab/>
            </w:r>
            <w:r>
              <w:rPr>
                <w:rStyle w:val="IndexLink"/>
              </w:rPr>
              <w:t>284</w:t>
            </w:r>
          </w:hyperlink>
        </w:p>
        <w:p>
          <w:pPr>
            <w:pStyle w:val="Contents5"/>
            <w:tabs>
              <w:tab w:val="clear" w:pos="7892"/>
              <w:tab w:val="right" w:pos="9026" w:leader="dot"/>
            </w:tabs>
            <w:rPr/>
          </w:pPr>
          <w:hyperlink w:anchor="__RefHeading___Toc507865_774463916">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507867_774463916">
            <w:r>
              <w:rPr>
                <w:webHidden/>
                <w:rStyle w:val="IndexLink"/>
              </w:rPr>
              <w:t>1</w:t>
            </w:r>
            <w:r>
              <w:rPr>
                <w:rStyle w:val="IndexLink"/>
                <w:rtl w:val="true"/>
              </w:rPr>
              <w:t xml:space="preserve">- </w:t>
            </w:r>
            <w:r>
              <w:rPr>
                <w:rStyle w:val="IndexLink"/>
                <w:rtl w:val="true"/>
              </w:rPr>
              <w:t>حذف المسند إلیه</w:t>
            </w:r>
            <w:r>
              <w:rPr>
                <w:rStyle w:val="IndexLink"/>
                <w:rtl w:val="true"/>
              </w:rPr>
              <w:tab/>
            </w:r>
            <w:r>
              <w:rPr>
                <w:rStyle w:val="IndexLink"/>
              </w:rPr>
              <w:t>285</w:t>
            </w:r>
          </w:hyperlink>
        </w:p>
        <w:p>
          <w:pPr>
            <w:pStyle w:val="Contents6"/>
            <w:tabs>
              <w:tab w:val="clear" w:pos="7609"/>
              <w:tab w:val="right" w:pos="9026" w:leader="dot"/>
            </w:tabs>
            <w:rPr/>
          </w:pPr>
          <w:hyperlink w:anchor="__RefHeading___Toc507869_774463916">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507871_774463916">
            <w:r>
              <w:rPr>
                <w:webHidden/>
                <w:rStyle w:val="IndexLink"/>
                <w:rtl w:val="true"/>
              </w:rPr>
              <w:t>أ</w:t>
            </w:r>
            <w:r>
              <w:rPr>
                <w:rStyle w:val="IndexLink"/>
                <w:rtl w:val="true"/>
              </w:rPr>
              <w:t xml:space="preserve">- </w:t>
            </w:r>
            <w:r>
              <w:rPr>
                <w:rStyle w:val="IndexLink"/>
                <w:rtl w:val="true"/>
              </w:rPr>
              <w:t>حذف المبتدأ</w:t>
            </w:r>
            <w:r>
              <w:rPr>
                <w:rStyle w:val="IndexLink"/>
                <w:rtl w:val="true"/>
              </w:rPr>
              <w:tab/>
            </w:r>
            <w:r>
              <w:rPr>
                <w:rStyle w:val="IndexLink"/>
              </w:rPr>
              <w:t>285</w:t>
            </w:r>
          </w:hyperlink>
        </w:p>
        <w:p>
          <w:pPr>
            <w:pStyle w:val="Contents6"/>
            <w:tabs>
              <w:tab w:val="clear" w:pos="7609"/>
              <w:tab w:val="right" w:pos="9026" w:leader="dot"/>
            </w:tabs>
            <w:rPr/>
          </w:pPr>
          <w:hyperlink w:anchor="__RefHeading___Toc507873_774463916">
            <w:r>
              <w:rPr>
                <w:webHidden/>
                <w:rStyle w:val="IndexLink"/>
                <w:rtl w:val="true"/>
              </w:rPr>
              <w:t xml:space="preserve">ب </w:t>
            </w:r>
            <w:r>
              <w:rPr>
                <w:rStyle w:val="IndexLink"/>
                <w:rtl w:val="true"/>
              </w:rPr>
              <w:t xml:space="preserve">- </w:t>
            </w:r>
            <w:r>
              <w:rPr>
                <w:rStyle w:val="IndexLink"/>
                <w:rtl w:val="true"/>
              </w:rPr>
              <w:t>حذف الفاعل</w:t>
            </w:r>
            <w:r>
              <w:rPr>
                <w:rStyle w:val="IndexLink"/>
                <w:rtl w:val="true"/>
              </w:rPr>
              <w:tab/>
            </w:r>
            <w:r>
              <w:rPr>
                <w:rStyle w:val="IndexLink"/>
              </w:rPr>
              <w:t>287</w:t>
            </w:r>
          </w:hyperlink>
        </w:p>
        <w:p>
          <w:pPr>
            <w:pStyle w:val="Contents5"/>
            <w:tabs>
              <w:tab w:val="clear" w:pos="7892"/>
              <w:tab w:val="right" w:pos="9026" w:leader="dot"/>
            </w:tabs>
            <w:rPr/>
          </w:pPr>
          <w:hyperlink w:anchor="__RefHeading___Toc507875_774463916">
            <w:r>
              <w:rPr>
                <w:webHidden/>
                <w:rStyle w:val="IndexLink"/>
              </w:rPr>
              <w:t>2</w:t>
            </w:r>
            <w:r>
              <w:rPr>
                <w:rStyle w:val="IndexLink"/>
                <w:rtl w:val="true"/>
              </w:rPr>
              <w:t xml:space="preserve">- </w:t>
            </w:r>
            <w:r>
              <w:rPr>
                <w:rStyle w:val="IndexLink"/>
                <w:rtl w:val="true"/>
              </w:rPr>
              <w:t>حذف المسند</w:t>
            </w:r>
            <w:r>
              <w:rPr>
                <w:rStyle w:val="IndexLink"/>
                <w:rtl w:val="true"/>
              </w:rPr>
              <w:tab/>
            </w:r>
            <w:r>
              <w:rPr>
                <w:rStyle w:val="IndexLink"/>
              </w:rPr>
              <w:t>289</w:t>
            </w:r>
          </w:hyperlink>
        </w:p>
        <w:p>
          <w:pPr>
            <w:pStyle w:val="Contents6"/>
            <w:tabs>
              <w:tab w:val="clear" w:pos="7609"/>
              <w:tab w:val="right" w:pos="9026" w:leader="dot"/>
            </w:tabs>
            <w:rPr/>
          </w:pPr>
          <w:hyperlink w:anchor="__RefHeading___Toc507877_774463916">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507879_774463916">
            <w:r>
              <w:rPr>
                <w:webHidden/>
                <w:rStyle w:val="IndexLink"/>
                <w:rtl w:val="true"/>
              </w:rPr>
              <w:t>أ</w:t>
            </w:r>
            <w:r>
              <w:rPr>
                <w:rStyle w:val="IndexLink"/>
                <w:rtl w:val="true"/>
              </w:rPr>
              <w:t xml:space="preserve">- </w:t>
            </w:r>
            <w:r>
              <w:rPr>
                <w:rStyle w:val="IndexLink"/>
                <w:rtl w:val="true"/>
              </w:rPr>
              <w:t>حذف الفعل</w:t>
            </w:r>
            <w:r>
              <w:rPr>
                <w:rStyle w:val="IndexLink"/>
                <w:rtl w:val="true"/>
              </w:rPr>
              <w:tab/>
            </w:r>
            <w:r>
              <w:rPr>
                <w:rStyle w:val="IndexLink"/>
              </w:rPr>
              <w:t>289</w:t>
            </w:r>
          </w:hyperlink>
        </w:p>
        <w:p>
          <w:pPr>
            <w:pStyle w:val="Contents6"/>
            <w:tabs>
              <w:tab w:val="clear" w:pos="7609"/>
              <w:tab w:val="right" w:pos="9026" w:leader="dot"/>
            </w:tabs>
            <w:rPr/>
          </w:pPr>
          <w:hyperlink w:anchor="__RefHeading___Toc507881_774463916">
            <w:r>
              <w:rPr>
                <w:webHidden/>
                <w:rStyle w:val="IndexLink"/>
                <w:rtl w:val="true"/>
              </w:rPr>
              <w:t xml:space="preserve">ب </w:t>
            </w:r>
            <w:r>
              <w:rPr>
                <w:rStyle w:val="IndexLink"/>
                <w:rtl w:val="true"/>
              </w:rPr>
              <w:t xml:space="preserve">- </w:t>
            </w:r>
            <w:r>
              <w:rPr>
                <w:rStyle w:val="IndexLink"/>
                <w:rtl w:val="true"/>
              </w:rPr>
              <w:t>حذف الخبر</w:t>
            </w:r>
            <w:r>
              <w:rPr>
                <w:rStyle w:val="IndexLink"/>
                <w:rtl w:val="true"/>
              </w:rPr>
              <w:tab/>
            </w:r>
            <w:r>
              <w:rPr>
                <w:rStyle w:val="IndexLink"/>
              </w:rPr>
              <w:t>291</w:t>
            </w:r>
          </w:hyperlink>
        </w:p>
        <w:p>
          <w:pPr>
            <w:pStyle w:val="Contents5"/>
            <w:tabs>
              <w:tab w:val="clear" w:pos="7892"/>
              <w:tab w:val="right" w:pos="9026" w:leader="dot"/>
            </w:tabs>
            <w:rPr/>
          </w:pPr>
          <w:hyperlink w:anchor="__RefHeading___Toc507883_774463916">
            <w:r>
              <w:rPr>
                <w:webHidden/>
                <w:rStyle w:val="IndexLink"/>
              </w:rPr>
              <w:t>3</w:t>
            </w:r>
            <w:r>
              <w:rPr>
                <w:rStyle w:val="IndexLink"/>
                <w:rtl w:val="true"/>
              </w:rPr>
              <w:t xml:space="preserve"> - </w:t>
            </w:r>
            <w:r>
              <w:rPr>
                <w:rStyle w:val="IndexLink"/>
                <w:rtl w:val="true"/>
              </w:rPr>
              <w:t>حذف المتعلّقات</w:t>
            </w:r>
            <w:r>
              <w:rPr>
                <w:rStyle w:val="IndexLink"/>
                <w:rtl w:val="true"/>
              </w:rPr>
              <w:tab/>
            </w:r>
            <w:r>
              <w:rPr>
                <w:rStyle w:val="IndexLink"/>
              </w:rPr>
              <w:t>293</w:t>
            </w:r>
          </w:hyperlink>
        </w:p>
        <w:p>
          <w:pPr>
            <w:pStyle w:val="Contents6"/>
            <w:tabs>
              <w:tab w:val="clear" w:pos="7609"/>
              <w:tab w:val="right" w:pos="9026" w:leader="dot"/>
            </w:tabs>
            <w:rPr/>
          </w:pPr>
          <w:hyperlink w:anchor="__RefHeading___Toc507885_774463916">
            <w:r>
              <w:rPr>
                <w:webHidden/>
                <w:rStyle w:val="IndexLink"/>
                <w:rtl w:val="true"/>
              </w:rPr>
              <w:t xml:space="preserve">أ </w:t>
            </w:r>
            <w:r>
              <w:rPr>
                <w:rStyle w:val="IndexLink"/>
                <w:rtl w:val="true"/>
              </w:rPr>
              <w:t xml:space="preserve">- </w:t>
            </w:r>
            <w:r>
              <w:rPr>
                <w:rStyle w:val="IndexLink"/>
                <w:rtl w:val="true"/>
              </w:rPr>
              <w:t>حذف المفعول به</w:t>
            </w:r>
            <w:r>
              <w:rPr>
                <w:rStyle w:val="IndexLink"/>
                <w:rtl w:val="true"/>
              </w:rPr>
              <w:tab/>
            </w:r>
            <w:r>
              <w:rPr>
                <w:rStyle w:val="IndexLink"/>
              </w:rPr>
              <w:t>293</w:t>
            </w:r>
          </w:hyperlink>
        </w:p>
        <w:p>
          <w:pPr>
            <w:pStyle w:val="Contents6"/>
            <w:tabs>
              <w:tab w:val="clear" w:pos="7609"/>
              <w:tab w:val="right" w:pos="9026" w:leader="dot"/>
            </w:tabs>
            <w:rPr/>
          </w:pPr>
          <w:hyperlink w:anchor="__RefHeading___Toc507887_774463916">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507889_774463916">
            <w:r>
              <w:rPr>
                <w:webHidden/>
                <w:rStyle w:val="IndexLink"/>
              </w:rPr>
              <w:t>1</w:t>
            </w:r>
            <w:r>
              <w:rPr>
                <w:rStyle w:val="IndexLink"/>
                <w:rtl w:val="true"/>
              </w:rPr>
              <w:t xml:space="preserve">- </w:t>
            </w:r>
            <w:r>
              <w:rPr>
                <w:rStyle w:val="IndexLink"/>
                <w:rtl w:val="true"/>
              </w:rPr>
              <w:t>ذکر المسند إلیه</w:t>
            </w:r>
            <w:r>
              <w:rPr>
                <w:rStyle w:val="IndexLink"/>
                <w:rtl w:val="true"/>
              </w:rPr>
              <w:tab/>
            </w:r>
            <w:r>
              <w:rPr>
                <w:rStyle w:val="IndexLink"/>
              </w:rPr>
              <w:t>298</w:t>
            </w:r>
          </w:hyperlink>
        </w:p>
        <w:p>
          <w:pPr>
            <w:pStyle w:val="Contents6"/>
            <w:tabs>
              <w:tab w:val="clear" w:pos="7609"/>
              <w:tab w:val="right" w:pos="9026" w:leader="dot"/>
            </w:tabs>
            <w:rPr/>
          </w:pPr>
          <w:hyperlink w:anchor="__RefHeading___Toc507891_774463916">
            <w:r>
              <w:rPr>
                <w:webHidden/>
                <w:rStyle w:val="IndexLink"/>
              </w:rPr>
              <w:t>2</w:t>
            </w:r>
            <w:r>
              <w:rPr>
                <w:rStyle w:val="IndexLink"/>
                <w:rtl w:val="true"/>
              </w:rPr>
              <w:t xml:space="preserve">- </w:t>
            </w:r>
            <w:r>
              <w:rPr>
                <w:rStyle w:val="IndexLink"/>
                <w:rtl w:val="true"/>
              </w:rPr>
              <w:t>ذکر المس</w:t>
            </w:r>
            <w:r>
              <w:rPr>
                <w:rStyle w:val="IndexLink"/>
                <w:rtl w:val="true"/>
              </w:rPr>
              <w:t>---</w:t>
            </w:r>
            <w:r>
              <w:rPr>
                <w:rStyle w:val="IndexLink"/>
                <w:rtl w:val="true"/>
              </w:rPr>
              <w:t>ند</w:t>
            </w:r>
            <w:r>
              <w:rPr>
                <w:rStyle w:val="IndexLink"/>
                <w:rtl w:val="true"/>
              </w:rPr>
              <w:tab/>
            </w:r>
            <w:r>
              <w:rPr>
                <w:rStyle w:val="IndexLink"/>
              </w:rPr>
              <w:t>299</w:t>
            </w:r>
          </w:hyperlink>
        </w:p>
        <w:p>
          <w:pPr>
            <w:pStyle w:val="Contents2"/>
            <w:tabs>
              <w:tab w:val="clear" w:pos="8743"/>
              <w:tab w:val="right" w:pos="9026" w:leader="dot"/>
            </w:tabs>
            <w:rPr/>
          </w:pPr>
          <w:hyperlink w:anchor="__RefHeading___Toc507893_774463916">
            <w:r>
              <w:rPr>
                <w:webHidden/>
                <w:rStyle w:val="IndexLink"/>
                <w:rtl w:val="true"/>
              </w:rPr>
              <w:t>الخاتمة ونتائج البحث</w:t>
            </w:r>
            <w:r>
              <w:rPr>
                <w:rStyle w:val="IndexLink"/>
                <w:rtl w:val="true"/>
              </w:rPr>
              <w:tab/>
            </w:r>
            <w:r>
              <w:rPr>
                <w:rStyle w:val="IndexLink"/>
              </w:rPr>
              <w:t>301</w:t>
            </w:r>
          </w:hyperlink>
        </w:p>
        <w:p>
          <w:pPr>
            <w:pStyle w:val="Contents2"/>
            <w:tabs>
              <w:tab w:val="clear" w:pos="8743"/>
              <w:tab w:val="right" w:pos="9026" w:leader="dot"/>
            </w:tabs>
            <w:rPr/>
          </w:pPr>
          <w:hyperlink w:anchor="__RefHeading___Toc507895_774463916">
            <w:r>
              <w:rPr>
                <w:webHidden/>
                <w:rStyle w:val="IndexLink"/>
                <w:rtl w:val="true"/>
              </w:rPr>
              <w:t>کشَّاف المصادر والمراجع</w:t>
            </w:r>
            <w:r>
              <w:rPr>
                <w:rStyle w:val="IndexLink"/>
                <w:rtl w:val="true"/>
              </w:rPr>
              <w:tab/>
            </w:r>
            <w:r>
              <w:rPr>
                <w:rStyle w:val="IndexLink"/>
              </w:rPr>
              <w:t>305</w:t>
            </w:r>
          </w:hyperlink>
        </w:p>
        <w:p>
          <w:pPr>
            <w:pStyle w:val="Contents2"/>
            <w:tabs>
              <w:tab w:val="clear" w:pos="8743"/>
              <w:tab w:val="right" w:pos="9026" w:leader="dot"/>
            </w:tabs>
            <w:rPr/>
          </w:pPr>
          <w:hyperlink w:anchor="__RefHeading___Toc507897_774463916">
            <w:r>
              <w:rPr>
                <w:webHidden/>
                <w:rStyle w:val="IndexLink"/>
                <w:rtl w:val="true"/>
              </w:rPr>
              <w:t>المحتویات</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13_35210"/>
      <w:bookmarkStart w:id="1" w:name="pg5013_35210"/>
      <w:bookmarkEnd w:id="1"/>
    </w:p>
    <w:p>
      <w:pPr>
        <w:pStyle w:val="Heading2"/>
        <w:numPr>
          <w:ilvl w:val="1"/>
          <w:numId w:val="1"/>
        </w:numPr>
        <w:rPr/>
      </w:pPr>
      <w:bookmarkStart w:id="2" w:name="pg5013_35210"/>
      <w:bookmarkStart w:id="3" w:name="__RefHeading___Toc507599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النثر الفنِّی فی ثورة التوّابین وإمارة المختار الثقفی</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جبّار الرزاق</w:t>
      </w:r>
    </w:p>
    <w:p>
      <w:pPr>
        <w:pStyle w:val="BookText"/>
        <w:rPr/>
      </w:pPr>
      <w:r>
        <w:rPr>
          <w:rFonts w:ascii="IRNazanin" w:hAnsi="IRNazanin" w:eastAsia="IRNazanin"/>
          <w:color w:val="111111"/>
          <w:sz w:val="28"/>
          <w:sz w:val="28"/>
          <w:szCs w:val="28"/>
          <w:rtl w:val="true"/>
          <w:lang w:bidi="fa-IR"/>
        </w:rPr>
        <w:t>الإشراف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فی مؤسسة وارث الأنبیاء</w:t>
      </w:r>
    </w:p>
    <w:p>
      <w:pPr>
        <w:pStyle w:val="BookText"/>
        <w:rPr/>
      </w:pPr>
      <w:r>
        <w:rPr>
          <w:rFonts w:ascii="IRNazanin" w:hAnsi="IRNazanin" w:eastAsia="IRNazanin"/>
          <w:color w:val="111111"/>
          <w:sz w:val="28"/>
          <w:sz w:val="28"/>
          <w:szCs w:val="28"/>
          <w:rtl w:val="true"/>
          <w:lang w:bidi="fa-IR"/>
        </w:rPr>
        <w:t xml:space="preserve">بیانات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مؤسسة وارث الأنبیاء للدراسات التخصصیة فی النهضة الحسینیة، </w:t>
      </w:r>
      <w:r>
        <w:rPr>
          <w:rFonts w:eastAsia="IRNazanin" w:cs="IRNazanin"/>
          <w:color w:val="111111"/>
          <w:sz w:val="28"/>
          <w:szCs w:val="28"/>
          <w:lang w:bidi="fa-IR"/>
        </w:rPr>
        <w:t>2016/1437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الإخراج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المالکی</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7601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13_35216"/>
      <w:bookmarkStart w:id="8" w:name="pg5013_35216"/>
      <w:bookmarkEnd w:id="8"/>
    </w:p>
    <w:p>
      <w:pPr>
        <w:pStyle w:val="Heading2"/>
        <w:numPr>
          <w:ilvl w:val="1"/>
          <w:numId w:val="1"/>
        </w:numPr>
        <w:rPr/>
      </w:pPr>
      <w:bookmarkStart w:id="9" w:name="pg5013_35216"/>
      <w:bookmarkStart w:id="10" w:name="__RefHeading___Toc507603_774463916"/>
      <w:bookmarkStart w:id="11" w:name="_Toc3"/>
      <w:bookmarkEnd w:id="9"/>
      <w:bookmarkEnd w:id="10"/>
      <w:r>
        <w:rPr>
          <w:rtl w:val="true"/>
        </w:rPr>
        <w:t>الإهداء</w:t>
      </w:r>
      <w:r>
        <w:rPr>
          <w:rtl w:val="true"/>
        </w:rPr>
        <w:t>..</w:t>
      </w:r>
      <w:bookmarkEnd w:id="11"/>
    </w:p>
    <w:p>
      <w:pPr>
        <w:pStyle w:val="BookText"/>
        <w:rPr/>
      </w:pPr>
      <w:r>
        <w:rPr>
          <w:rFonts w:ascii="Amiri" w:hAnsi="Amiri" w:eastAsia="Amiri" w:cs="Amiri"/>
          <w:color w:val="111111"/>
          <w:sz w:val="28"/>
          <w:sz w:val="28"/>
          <w:szCs w:val="28"/>
          <w:rtl w:val="true"/>
          <w:lang w:bidi="ar-SA"/>
        </w:rPr>
        <w:t>إِلی مَن اصطفاهُ اللهُ تعالی، وجعلهُ حبیباً لهُ، رسولنا الأکرم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وإلی وصیِّه المرتضی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الطَّاهرة أُقدِّم هذا المجهود</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013_35218"/>
      <w:bookmarkStart w:id="13" w:name="pg5013_35218"/>
      <w:bookmarkEnd w:id="13"/>
    </w:p>
    <w:p>
      <w:pPr>
        <w:pStyle w:val="Heading2"/>
        <w:numPr>
          <w:ilvl w:val="1"/>
          <w:numId w:val="1"/>
        </w:numPr>
        <w:rPr/>
      </w:pPr>
      <w:bookmarkStart w:id="14" w:name="pg5013_35218"/>
      <w:bookmarkStart w:id="15" w:name="__RefHeading___Toc507605_774463916"/>
      <w:bookmarkStart w:id="16" w:name="_Toc4"/>
      <w:bookmarkEnd w:id="14"/>
      <w:bookmarkEnd w:id="15"/>
      <w:r>
        <w:rPr>
          <w:rtl w:val="true"/>
        </w:rPr>
        <w:t>(</w:t>
      </w:r>
      <w:r>
        <w:rPr>
          <w:rtl w:val="true"/>
        </w:rPr>
        <w:t>شکر وعرفان</w:t>
      </w:r>
      <w:r>
        <w:rPr>
          <w:rtl w:val="true"/>
        </w:rPr>
        <w:t>)</w:t>
      </w:r>
      <w:bookmarkEnd w:id="16"/>
    </w:p>
    <w:p>
      <w:pPr>
        <w:pStyle w:val="BookText"/>
        <w:rPr/>
      </w:pPr>
      <w:r>
        <w:rPr>
          <w:rFonts w:ascii="IRNazanin" w:hAnsi="IRNazanin" w:eastAsia="IRNazanin"/>
          <w:color w:val="111111"/>
          <w:sz w:val="28"/>
          <w:sz w:val="28"/>
          <w:szCs w:val="28"/>
          <w:rtl w:val="true"/>
          <w:lang w:bidi="fa-IR"/>
        </w:rPr>
        <w:t>أتقدّم بالشّکر والعرفان لکلّ من مدَّ لی ید العون والمساعدة، وأفاض علیّ بتوجیه أو نصیحة، وأخصّ بالذکر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أساتذتی الأجلاء فی قسم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الآداب لتوجیهاتهم المستمرة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أصدقائی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الحسن عباس الجمل، والدکتور محمد هادی البعاج، والأستاذ التربوی حسام جلیل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الجلیل الأُستاذ حامد المؤمن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زملائی فی السنة التحضیریة لطالما شددتم أزری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العاملین فی مکتبات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الروضة الحیدریّة المقدّسة، ومکتبة الإمام الحکیم العامَّة، ومکتبة کلیة الآداب، والمکتبة الأدبیَّة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المکتبات الخاصَّة ممَّن أعانَنِی، جزاهم الله جمیعاً عنی خیر الجزاء</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013_35220"/>
      <w:bookmarkStart w:id="18" w:name="pg5013_35220"/>
      <w:bookmarkEnd w:id="18"/>
    </w:p>
    <w:p>
      <w:pPr>
        <w:pStyle w:val="Heading2"/>
        <w:numPr>
          <w:ilvl w:val="1"/>
          <w:numId w:val="1"/>
        </w:numPr>
        <w:rPr/>
      </w:pPr>
      <w:bookmarkStart w:id="19" w:name="pg5013_35220"/>
      <w:bookmarkStart w:id="20" w:name="__RefHeading___Toc507607_774463916"/>
      <w:bookmarkStart w:id="21" w:name="_Toc5"/>
      <w:bookmarkEnd w:id="19"/>
      <w:bookmarkEnd w:id="20"/>
      <w:r>
        <w:rPr>
          <w:rtl w:val="true"/>
        </w:rPr>
        <w:t>مقدمة المؤسسة</w:t>
      </w:r>
      <w:bookmarkEnd w:id="21"/>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تنفیذ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أنّ القضیة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المبارکة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أولویات البحث العلمی، وضرورة التنقیب والتتبّع فی الجزئیات المتنوّعة والمتعدّدة، والتی تحتاج إلی الدراسة بشکلٍ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علمی، ووفق أسالیب متنوّعة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الإحساس بالمسؤولیة العظیمة الملقاة علی عاتق هذه المؤسّسة المبارکة؛ کونها مختصّة بأحد أهمّ القضایا الدینیة، بل والإنسانیة، فقد قامت بالعمل علی مجموعة من المشاریع العلمیة التخصّصیة، التی من شأنها أن تُعطی نقلة نوعیة للتراث، </w:t>
      </w:r>
    </w:p>
    <w:p>
      <w:pPr>
        <w:pStyle w:val="BookText"/>
        <w:rPr/>
      </w:pPr>
      <w:r>
        <w:rPr>
          <w:rFonts w:ascii="IRNazanin" w:hAnsi="IRNazanin" w:eastAsia="IRNazanin"/>
          <w:color w:val="111111"/>
          <w:sz w:val="28"/>
          <w:sz w:val="28"/>
          <w:szCs w:val="28"/>
          <w:rtl w:val="true"/>
          <w:lang w:bidi="fa-IR"/>
        </w:rPr>
        <w:t>والفکر، والثقافة الحسینیة، ومن تلک المشاریع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مستویین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قائم علی تألیف کتبٍ حول الموضوعات الحسینیة المهمّة،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الحسینیة المؤلَّفة خارج المؤسّسة، ومتابعتها علمیّاً وفنّیاً من قبل اللجنة العلمیة، وبعد إجراء التعدیلات والإصلاحات اللازمة یتمّ طباعتها ونشرها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جمع وتحقیق التراث المکتوب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سواء المقاتل منها، أو التاریخ، أو السیرة، أو غیرها، وسواء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الحسینیّة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 لغرض طباعتها 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وذلک بعد مراجعتها وتقییمها وإدخال التعدیلات الّلازمة علیها وتأیید صلاحیتها للنش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من قبل اللجنة العلمیة فی المؤسّسة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مجلّة فصلیة متخصّصة فی النهضة الحسینیة، تهتمّ بنش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معالم وآفاق الفکر الحسینی، وتسلیط الضوء علی تاریخ النهضة الحسینیة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ردّ الشبهات عن النهضة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ثمّ فرزها وتبویبها، ثمّ الرد علیها بشکل علمی تحقیقی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العلمیة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ثمّ تبویبها حسب التخصّصات العلمیة، ووضعها بین یدی ذوی الاختصاص؛ لیستخرجوا نظریات علمیّة ممازجة بین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دائرة معارف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موسوعة تشتمل علی کلّ ما یرتبط بالنهضة الحسینیة من أحداث، ووقائع، ومفاهیم، ورؤی، وأسماء أعلام وأماکن، وکتب، وغیر ذلک من الأُمور، مرتّبة حسب حروف الألف باء، کما هو معمول به فی دوائر المعارف والموسوعات، وعلی شکل مقالات علمیّة رصینة، تُراعی فیها کلّ شروط المقالة العلمیّة، ومکتوبةٌ بلغةٍ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وأُسلوبٍ سلس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الرسائل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إحصاء الرسائل الجامعیة التی کُتبتْ حول النهضة الحسینیة، ومتابعتها من قبل لجنة علمیة متخصّصة؛ لرفع النواقص العلمیة، وتهیئتها للطباعة والنشر، کما ویتمّ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فیه رصد جمیع القضایا الحسینیّة المطروحة فی 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 من خلاله إقامة ندوات علمیّة تخصّصیة فی النهضة </w:t>
      </w:r>
    </w:p>
    <w:p>
      <w:pPr>
        <w:pStyle w:val="BookText"/>
        <w:rPr/>
      </w:pPr>
      <w:r>
        <w:rPr>
          <w:rFonts w:ascii="IRNazanin" w:hAnsi="IRNazanin" w:eastAsia="IRNazanin"/>
          <w:color w:val="111111"/>
          <w:sz w:val="28"/>
          <w:sz w:val="28"/>
          <w:szCs w:val="28"/>
          <w:rtl w:val="true"/>
          <w:lang w:bidi="fa-IR"/>
        </w:rPr>
        <w:t>الحسینیة،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الباحثون، والمحقّقون، وذوو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المکتبة الحسینیة التخصّصیة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وتأسیساً علی ما سبق توضیحه حرصت المؤسّسة علی فتح أبوابها لاستقبال الکتب الحسینیة التخصّصیّة، ومتابعتها متابعة علمیّة وفنّیة من قبل اللجنة العلمیة المشرفة فی المؤسّسة، وفی هذا السیاق قدَّم فضیلة الدکتور هاشم جبار الزرفی دراسة علمیة مختصّة،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النَّثر الفنِّی فی ثورة التَّوَّابین وإمارة المختار الثقفی، دراسة لغویَّة أُسلوبیَّة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بذل المؤلّف جهداً مشکوراً فی تتبّعه وتنظیمه لکلمات وخطب تلک الحقبة الزمنیة المضطربة والحساسة، ومن ثَمّ دراستها من جهة أدبیّة لغویّة أسلوبیّة؛ فکانت حصیلة ذلک الجهد هذا الکتاب القیّم الماثل بین یدیک عزیزی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دوام السداد والتوفیق لخدمة القضیة الحسینیة، ونسأل الله تعالی أن یبارک لنا فی أعمالنا، إنّه سمیعٌ مجیبٌ</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فی مؤسّسة وارث الأنبیاء للدراسات التخصصیة فی النهضة الحسینیة </w:t>
      </w:r>
      <w:bookmarkStart w:id="22" w:name="pg5013_35224"/>
    </w:p>
    <w:p>
      <w:pPr>
        <w:pStyle w:val="Heading2"/>
        <w:numPr>
          <w:ilvl w:val="1"/>
          <w:numId w:val="1"/>
        </w:numPr>
        <w:rPr/>
      </w:pPr>
      <w:bookmarkStart w:id="23" w:name="__RefHeading___Toc507609_774463916"/>
      <w:bookmarkStart w:id="24" w:name="_Toc6"/>
      <w:bookmarkEnd w:id="22"/>
      <w:bookmarkEnd w:id="23"/>
      <w:r>
        <w:rPr>
          <w:rtl w:val="true"/>
        </w:rPr>
        <w:t>مقدمة المؤلف</w:t>
      </w:r>
      <w:bookmarkEnd w:id="2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الأنبیاء والمرسلین محمّد بن عبد الله المصطفی الأمین، وعلی آله الطیبین الطاهرین وصحبه المنتجبین،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مجال دراسة العربیة واسعٌ ممتدٌّ للبحث والتأمّل؛ وذلک لخصُوبتها وحیویَّتها، وقد اخترت الدراسة اللغویّة والأُسلوبیّة مُنطلقاً لی منها فی هذه الرسالة؛ لاستیعاب التحلیل بمستویاتها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 وبنیةً، وترکیباً، ودلالةً، استیعاباً موضوعیاً، فکانت الدراسة مُنْصَبّة علی النثر الفنّی فی ثورة التوّابین وإمارة المختار الثقفی؛ لأنّ النثر فی هاتین الحِقبتین لم یُدرس فی رسالة أکادیمیة أو أُطروحة علمیة علی هذا النحو، فضلاً عن أنّ هذا النثر کان یحمل فی طیاته نتاجاً خصباً من خُطب ورسائل، وعهود ووصایا کانت قد قیلت فی مرحلة تاریخیة، رافقتها ظروف السیاسة، التی ربَّما لا تسمح بصیاغة العمل جمالیاً، وهو ممَّا تعنی به الدراسة الأُسلوبیة، لکن البحث وجد غیر ذلک، إذ تمیّزت معظم هذه النصوص النثریّة بصیاغة وإجادة، من حیث استعمال الأصوات والصیغ والتراکیب استعمالاً فنیاً مؤثّراً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البحث مقسَّماً علی أربعة فصول هی هیاکل البحث مسبوقة بتمهید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النثر بین الموضوع والأداء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 عرضین کان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تعریفاً للنثر الفنی </w:t>
      </w:r>
    </w:p>
    <w:p>
      <w:pPr>
        <w:pStyle w:val="BookText"/>
        <w:rPr/>
      </w:pPr>
      <w:r>
        <w:rPr>
          <w:rFonts w:ascii="IRNazanin" w:hAnsi="IRNazanin" w:eastAsia="IRNazanin"/>
          <w:color w:val="111111"/>
          <w:sz w:val="28"/>
          <w:sz w:val="28"/>
          <w:szCs w:val="28"/>
          <w:rtl w:val="true"/>
          <w:lang w:bidi="fa-IR"/>
        </w:rPr>
        <w:t>ووظیفته، وجاء العرض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تنظیریاً للدراسة الأُسلوبیّة، إذ تناولت فیه تعریفات موجزة للأُسلوب والأُسلوبیّة من القدماء والمُحدَثین، ثمَّ عرَّجت علی مسوّغات دراسة النثر الفنّی أُسلوبیّاً، مُبَیّناً امتلاکه السمة الفنیة التی تجعله ینضوی فی فضاءات 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الأوّل، فقد کان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أنماط النثر الفنی ومواردها فی ثورة التوّابین وإمارة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وضمّ مبحثین، تناول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أنماط النثر الفنّی من العصر الجاهلی مروراً بعصر صدر الإسلام إلی ثورة التوّابین وإمارة المختار، وکان هذا المبحث قد تناول تطوّر الخطابة والرسائل والعهود والوصایا بإیجاز فی تلکم العصور؛ لیُسلّط الضوء علی التّطور الذی وصل إلیه النثر، والمستوی الفنّی الذی کان علیه فی حُقبة التوّابین وإمارة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تناول موارد ذلک النثر الفنی مبیناً أنّه کان ینهل من ثلاثة موارد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ونثر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ونثر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الفصل الثانی، فقد کشف عن النثر من حیث قیمته وإیحاءاته، فکان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الإیقاعیة للمستوی الصوتی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مقسّماً علی مبحثین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الوسائل التی توفّر تلکم القیم الإیقاعیة، کالجناس بأنواعه بحسب ورودها فی نثر الحِقبتین،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 والمضارع، واللّاحق، والاشتقاق، والمعکوس، والمحرّف، والمصحّف، وکذلک السّجع بنوعیة المتوازی والمطرّف، وتداخل کلُّ منها فی النص الواحد، فضلاً عن تداخل کلّ من الجناس والسجع لیؤلف الإیقاع الموسیقی، وصولاً إلی الموازنة، إذ کان المسوّغ عنده لدراسة الجانب الإیقاعی للنص؛ هو لکونه أحد أرکان الأُسلوبیّة الصوتیّة، أمّا الرکن الثانی من أرکان هذه الأُسلوبیّة هو الإیحاء الدلالی للصوت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المحاکاة الصوتیَّة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ضمّه المبحث الثانی من هذا الفصل، الذی کان </w:t>
      </w:r>
    </w:p>
    <w:p>
      <w:pPr>
        <w:pStyle w:val="BookText"/>
        <w:rPr/>
      </w:pP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التناسب المعنوی للإیحاء الصوتی، وهو ما کشفتُ فیه عن خاصیّة بعض الأصوات الأُسلوبیّة بإیحائها الدلالی بالحدث ومحاکاة ذلک من خلال جرسها ونغمها الموحی، سواء علی مستوی الصوت فی اللفظة المفردة، أم علی مستوی الأصوات المتکررة، وکانت الدلالة الإیحائیة للصوت فی کلّ ذلک منظوراً فیها إلی السیاق العام الذی یضمّه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الفصل الثالث وثیق الصلة بذلک النثر وآلیاته، فجاء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المستوی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فیه التوظیف الأُسلوبی والفنی للّفظة من خلال اختیارها، وقد قمت بتقسیمه علی ثلاثة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والفصاحة، درست فیه القیم الجمالیة الممیّزة للألفاظ مقتصراً علی تباعد مخارج الأصوات، وطول اللفظة وقص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وخِفّة أصواتها وأُلفة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والقصد لمِا یؤدّیه من آثار أُسلوبیّة ومعنویّة فی النص النثری عندها، تناولت استعمال الاسم کاستعمال اسم الفاعل، واسم المفعول، والمصدر، والصفة المشبهة، وصیغ المبالغة، وکذلک استعمال الفعل کاستعمال الفعل الماضی بنوعیه المجرَّد والمزید، کذلک استعمال الفعل المبنی للمجهول، وکانت تلک الدراسة مقتص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فقط علی الاستعمال الدلالی لتلک الصیغ اللفظیّة التی جاءت متکرّرة فی النصوص النثریّة؛ ذلک أنّ استعمال صیغة اللفظة مع تکرارها یُعدُّ مهیمناً أُسلوبیّاً ینبغی التوقف عنده ودراسته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 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سواء کان علی صعید اللفظ المفرد کالاستعارة والمجاز المُرسل، أم علی صعید الألفاظ المرکّبة کالکنایة، والمجاز العقلی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الفصل الرابع، فقد جاء متناولاً دلالاته وتراکیبه، وکان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دلالات المستوی الترکیبی وخصائصه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تناولت فیه مبحثین کان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 بدراسة الأنماط البنائیّة للأسالیب اللغویّة، فقسّمها علی أسالیب خبریّة ضمَّت النفی والقص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وعلی أسالیب إنشائیّة ضمَّت الأمر والنهی والاستفهام والنداء، وما تؤدّیه تلکم الأسالیب </w:t>
      </w:r>
    </w:p>
    <w:p>
      <w:pPr>
        <w:pStyle w:val="BookText"/>
        <w:rPr/>
      </w:pPr>
      <w:r>
        <w:rPr>
          <w:rFonts w:ascii="IRNazanin" w:hAnsi="IRNazanin" w:eastAsia="IRNazanin"/>
          <w:color w:val="111111"/>
          <w:sz w:val="28"/>
          <w:sz w:val="28"/>
          <w:szCs w:val="28"/>
          <w:rtl w:val="true"/>
          <w:lang w:bidi="fa-IR"/>
        </w:rPr>
        <w:t>من دلالات حقیقیّة، وأُخری مجازیّة لها صلة کبیرة بالطاقة الشعوریّة الخاصّة بالمتکلّم، ثمَّ کان القسم الثالث لأسالیب جمعت بین الخبر والإنشاء، أَلا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والقَسَم، ثمّ یأتی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فیه الخصائص المعنویة للتراکیب، إذ ضمّ مباحث الفصل والوصل، والتقدیم والتأخیر، والتعریف والتنکیر، والحذف والذکر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المنهج المتّبع فی هذه الفصول هو منهج علم الأُسلوب أو الأُسلوبیة بوصفها علماً لدراسة الأُسلوب، وهی علم وصفی حدیث یستعین بتحلیله للنص الأدبی بتقنیات منهجیة مستمدة من علوم ومناهج مختلفة کعلم اللغة والبلاغة، والدلالة والإحصاء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خلُص البحث إلی خاتمة بیّنت أهمّ النتائج التی توصّلت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قائمة المصادر والمراجع التی نهل منها البحث حاضنة لمظانّ کثیرة ومتنوّعة، منها الأدبیّة والأُسلوبیّة والبلاغیّة واللغویّة، وهی التی تطلّبها 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فلا أنسی جهود أُستاذی الفاضل الأُستاذ الدکتور مشکور کاظم العوَّادی الذی کان له فضل اختیار الموضوع والإشراف علیه، صابراً وراعیاً بالبحث والباحث طوال مدَّة البحث، علی ما رافقها من صعوبات استطاع أن یقوّمها من خلال عنایته الکبیرة وإشرافه الدقیق، وقد لمستُ فیه من الرعایة والنصح والتوجیه ما لا یسعنی ذکره وشکره، وفقه الله لخدمة لغة القرآن الکریم وطلبة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المرء أن یسعی، فإن وفّقت فلی فضل السعی، وإن أخطأت فهو من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فلله الکمال وحده، وله الحمد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25" w:name="pg5013_35228"/>
    </w:p>
    <w:p>
      <w:pPr>
        <w:pStyle w:val="Heading2"/>
        <w:numPr>
          <w:ilvl w:val="1"/>
          <w:numId w:val="1"/>
        </w:numPr>
        <w:rPr/>
      </w:pPr>
      <w:bookmarkStart w:id="26" w:name="__RefHeading___Toc507611_774463916"/>
      <w:bookmarkStart w:id="27" w:name="_Toc7"/>
      <w:bookmarkEnd w:id="25"/>
      <w:bookmarkEnd w:id="26"/>
      <w:r>
        <w:rPr>
          <w:rtl w:val="true"/>
        </w:rPr>
        <w:t>التمهید النثر بین الموضوع والأداء</w:t>
      </w:r>
      <w:bookmarkEnd w:id="2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507613_774463916"/>
      <w:bookmarkStart w:id="29" w:name="_Toc8"/>
      <w:bookmarkEnd w:id="28"/>
      <w:r>
        <w:rPr>
          <w:rtl w:val="true"/>
        </w:rPr>
        <w:t>اشارة</w:t>
      </w:r>
      <w:bookmarkEnd w:id="2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5013_35230"/>
      <w:bookmarkStart w:id="31" w:name="pg5013_35230"/>
      <w:bookmarkEnd w:id="31"/>
    </w:p>
    <w:p>
      <w:pPr>
        <w:pStyle w:val="Heading3"/>
        <w:numPr>
          <w:ilvl w:val="2"/>
          <w:numId w:val="1"/>
        </w:numPr>
        <w:rPr/>
      </w:pPr>
      <w:bookmarkStart w:id="32" w:name="pg5013_35230"/>
      <w:bookmarkStart w:id="33" w:name="__RefHeading___Toc507615_774463916"/>
      <w:bookmarkStart w:id="34" w:name="_Toc9"/>
      <w:bookmarkEnd w:id="32"/>
      <w:bookmarkEnd w:id="33"/>
      <w:r>
        <w:rPr>
          <w:rtl w:val="true"/>
        </w:rPr>
        <w:t>أوَّلاً</w:t>
      </w:r>
      <w:r>
        <w:rPr>
          <w:rtl w:val="true"/>
        </w:rPr>
        <w:t xml:space="preserve">: </w:t>
      </w:r>
      <w:r>
        <w:rPr>
          <w:rtl w:val="true"/>
        </w:rPr>
        <w:t>مفهوم النثر الفنی</w:t>
      </w:r>
      <w:bookmarkEnd w:id="34"/>
    </w:p>
    <w:p>
      <w:pPr>
        <w:pStyle w:val="Heading4"/>
        <w:numPr>
          <w:ilvl w:val="3"/>
          <w:numId w:val="1"/>
        </w:numPr>
        <w:rPr/>
      </w:pPr>
      <w:bookmarkStart w:id="35" w:name="__RefHeading___Toc507617_774463916"/>
      <w:bookmarkStart w:id="36" w:name="_Toc10"/>
      <w:bookmarkEnd w:id="35"/>
      <w:r>
        <w:rPr>
          <w:rtl w:val="true"/>
        </w:rPr>
        <w:t>النثر فی اللغة</w:t>
      </w:r>
      <w:r>
        <w:rPr>
          <w:rtl w:val="true"/>
        </w:rPr>
        <w:t>:</w:t>
      </w:r>
      <w:bookmarkEnd w:id="36"/>
    </w:p>
    <w:p>
      <w:pPr>
        <w:pStyle w:val="BookText"/>
        <w:rPr/>
      </w:pPr>
      <w:r>
        <w:rPr>
          <w:rFonts w:ascii="IRNazanin" w:hAnsi="IRNazanin" w:eastAsia="IRNazanin"/>
          <w:color w:val="111111"/>
          <w:sz w:val="28"/>
          <w:sz w:val="28"/>
          <w:szCs w:val="28"/>
          <w:rtl w:val="true"/>
          <w:lang w:bidi="fa-IR"/>
        </w:rPr>
        <w:t>مصدر للفعل نثر،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ویأتی النّثار بمعنی النثر، وهو الفتات المتناثرة من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القاموس المحیط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الشیء نثرهُ وینثره نثراً ونثاراً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کنثره فانتثرَ وتنثّر وتناثر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والنّثارة بالضّم والنثر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تناثر منه، أو الأُولی تخصُّ ما یُنتثر من المائدة فیُؤکل للثواب</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 ویُورِد لنا صاحب أساس البلاغة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معنویة أُخری تدلُّ علی کثرة الکلام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مهذار ومذیاع للإسرار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ثمّ دخلت هذه اللفظة البیئة الثقافیة الأدبیّة بهذا المعنی، أی بمعنی الکثیر والمتفرّق من الکلام، ثمّ بعدها أخذت تقتص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علی الکلام الأدبی الذی یرتفع علی الکلام العادی فی التعبیر والمعنی</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أخذ النُقّاد والأدباء یستعملونها فی هذا المفهوم، فعرّفه الدکتور شوقی ضیف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الذی لم ینظَّم فی أوزان وقوافٍ، وهو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الضرب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النثر العادی الذی یقال فی لغة التخاطب، ولیست لهذا الضرب قیمة أدبیّة إلّا ما یجری فیه أحیاناً من أمثال وحِکم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النثر الذی یرتفع فیه أصحابه إلی لغة </w:t>
      </w:r>
    </w:p>
    <w:p>
      <w:pPr>
        <w:pStyle w:val="BookText"/>
        <w:rPr/>
      </w:pPr>
      <w:r>
        <w:rPr>
          <w:rFonts w:ascii="IRNazanin" w:hAnsi="IRNazanin" w:eastAsia="IRNazanin"/>
          <w:color w:val="111111"/>
          <w:sz w:val="28"/>
          <w:sz w:val="28"/>
          <w:szCs w:val="28"/>
          <w:rtl w:val="true"/>
          <w:lang w:bidi="fa-IR"/>
        </w:rPr>
        <w:t>فیها فن ومهارة وبلاغة، وهذا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هو الذی یُعْنی النقاد فی اللغات المختلفة ببحثه ودرسه وبیان ما مرّ به من أحداث وأطوار، وما یمتاز به فی کلّ طور من صفات وخصائص، وهو یتفرّع إلی جدولین کبیرین، هما الخطابة والکتابة الفنیّة، ویُسمّیهما بعض الباحثین باسم النثر الفنی</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النثر الفنی وظیفتان مهمّتان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والإفادة، وقد جمع بعض النقّاد بینهما، وقد ذهب بعضهم إلی التفریق بینهما، وذهب فریق ثالث إلی جانب الإفادة وحدها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جمع اللّذة والإفادة یُعدُّ الأقرب إلی طبیعة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ونظرةً إلی وظیفة أشکال النثر الفنی التی عرضها التراث الأدبی، من الخطابة والرسالة والمقامة، نجدها دائرة فی إطار نفع المجتمع وخدمته، بإسهامها فی التعبیر عن جوانبه الاجتماعیّة والدینیّة، والسیاسیّة والثقافیّة، وإلی جانب هذه الوظیفة، فقد وفت الکتابة بأشکالها المتعدَّدة بالحاجات الجمالیة التی تحقَّق المتعة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الإبانة الدلالیة الموجزة لمفهوم النثر ووظیفته، سوف یمضی البحث لتتبع أنماط النثر الفنی خُطباً ورسائل وعهوداً ووصایا بأطوارها ومراحلها منذ العصر الجاهلی إلی ثورة التوّابین وإمارة المختار الثقفی؛ لتسلیط الضوء علی مدی الرقی الفنی الذی وصل إلیه النثر فی هاتین الحِقبتین بما استطاع إلی ذلک سبیلاً</w:t>
      </w:r>
      <w:r>
        <w:rPr>
          <w:rFonts w:eastAsia="IRNazanin" w:cs="IRNazanin"/>
          <w:color w:val="111111"/>
          <w:sz w:val="28"/>
          <w:szCs w:val="28"/>
          <w:rtl w:val="true"/>
          <w:lang w:bidi="fa-IR"/>
        </w:rPr>
        <w:t xml:space="preserve">. </w:t>
      </w:r>
      <w:bookmarkStart w:id="37" w:name="pg5013_35232"/>
    </w:p>
    <w:p>
      <w:pPr>
        <w:pStyle w:val="BookText"/>
        <w:rPr/>
      </w:pPr>
      <w:bookmarkEnd w:id="37"/>
      <w:r>
        <w:rPr>
          <w:rFonts w:ascii="IRNazanin" w:hAnsi="IRNazanin" w:eastAsia="IRNazanin"/>
          <w:color w:val="111111"/>
          <w:sz w:val="28"/>
          <w:sz w:val="28"/>
          <w:szCs w:val="28"/>
          <w:rtl w:val="true"/>
          <w:lang w:bidi="fa-IR"/>
        </w:rPr>
        <w:t>إذ کان النثر الفنی فی هاتین الحِقبتین ذا قصدیّة عالیة من ناحیة الأُسلوب والأفکار، إذ وظّفه الخُطباء والمترسّلون من أجل دعوتهم، فکان الخطیب أو المترسّل یستعین بکلّ قدراته اللغویّة والأُسلوبیّة وملکاته البیانیّة والبلاغیّة، من أجل التّأثیر فی السامعین، والأخذ بجوامع قلوبهم، فکان نتاجهم الأدبی یرتقی بحقٍّ إلی النَّمط العالی فی الأداء، وهو ضرب یستحقّ أَنْ یُدرس دراسةً أُسلوبیّةً من خلال تحلیل وظائف أصواته وأبنیته وتراکیبه؛ لأنَّ وظیفة الأُسلوبیّة دراسة الاختیارات اللغویّة الخاصّة التی یستعملها المُنشئ فی النص، والتی یتمیّز بها عن غیره من المنشئین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کان من المهمّ أن یُقدّم البحث مدخلاً تنظیریّاً لزاویة تناوله فی دراسته لنثر هاتین الحِقبتین للوقوف علی مهیمناتها الأُسلوبیّة عن کثب</w:t>
      </w:r>
      <w:r>
        <w:rPr>
          <w:rFonts w:eastAsia="IRNazanin" w:cs="IRNazanin"/>
          <w:color w:val="111111"/>
          <w:sz w:val="28"/>
          <w:szCs w:val="28"/>
          <w:rtl w:val="true"/>
          <w:lang w:bidi="fa-IR"/>
        </w:rPr>
        <w:t>.</w:t>
      </w:r>
    </w:p>
    <w:p>
      <w:pPr>
        <w:pStyle w:val="Heading3"/>
        <w:numPr>
          <w:ilvl w:val="2"/>
          <w:numId w:val="1"/>
        </w:numPr>
        <w:rPr/>
      </w:pPr>
      <w:bookmarkStart w:id="38" w:name="__RefHeading___Toc507619_774463916"/>
      <w:bookmarkStart w:id="39" w:name="_Toc11"/>
      <w:bookmarkEnd w:id="38"/>
      <w:r>
        <w:rPr>
          <w:rtl w:val="true"/>
        </w:rPr>
        <w:t>ثانیاً</w:t>
      </w:r>
      <w:r>
        <w:rPr>
          <w:rtl w:val="true"/>
        </w:rPr>
        <w:t xml:space="preserve">: </w:t>
      </w:r>
      <w:r>
        <w:rPr>
          <w:rtl w:val="true"/>
        </w:rPr>
        <w:t>مدخل تنظیری للأُسلوبیَّة</w:t>
      </w:r>
      <w:bookmarkEnd w:id="39"/>
    </w:p>
    <w:p>
      <w:pPr>
        <w:pStyle w:val="BookText"/>
        <w:rPr/>
      </w:pPr>
      <w:r>
        <w:rPr>
          <w:rFonts w:ascii="IRNazanin" w:hAnsi="IRNazanin" w:eastAsia="IRNazanin"/>
          <w:color w:val="111111"/>
          <w:sz w:val="28"/>
          <w:sz w:val="28"/>
          <w:szCs w:val="28"/>
          <w:rtl w:val="true"/>
          <w:lang w:bidi="fa-IR"/>
        </w:rPr>
        <w:t>الأُسلوبیة لفظة غربیَّة، ظهرت خلال القرن التاسع عشر، لکنَّها لم تصل إلی معنی محدّد إلّا فی السنوات الأُولی من القرن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حیث استقر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طریقة لدراسة العمل الأدبی من حیث أُسلوبه؛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النموذج الخاص الذی تُصاغ فیه اللغة وتستعمل</w:t>
      </w:r>
      <w:r>
        <w:rPr>
          <w:rStyle w:val="FootnoteAnchor"/>
          <w:rtl w:val="true"/>
        </w:rPr>
        <w:footnoteReference w:id="9"/>
      </w:r>
      <w:r>
        <w:rPr>
          <w:rFonts w:ascii="IRNazanin" w:hAnsi="IRNazanin" w:eastAsia="IRNazanin"/>
          <w:color w:val="111111"/>
          <w:sz w:val="28"/>
          <w:sz w:val="28"/>
          <w:szCs w:val="28"/>
          <w:rtl w:val="true"/>
          <w:lang w:bidi="fa-IR"/>
        </w:rPr>
        <w:t>، وقد دخلت هذه اللفظة فی المیدان النقدی العربی الحدیث، من ترجمة کلمة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stylistics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وهی تعنی الأُسلوبیة تارةً، وعلم الأُسلوب تارةً أُخری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ویُعدُّ الأُسلوب مادةَ الأُسلوبیة الخام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 وعلیه؛ یجب معرفة ماهیّة الأُسلوب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مادة الأُسلوبیة الخام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معرفة جذره اللّغوی، فقد جاء فی معجم </w:t>
      </w:r>
    </w:p>
    <w:p>
      <w:pPr>
        <w:pStyle w:val="BookText"/>
        <w:rPr/>
      </w:pPr>
      <w:r>
        <w:rPr>
          <w:rFonts w:ascii="IRNazanin" w:hAnsi="IRNazanin" w:eastAsia="IRNazanin"/>
          <w:color w:val="111111"/>
          <w:sz w:val="28"/>
          <w:sz w:val="28"/>
          <w:szCs w:val="28"/>
          <w:rtl w:val="true"/>
          <w:lang w:bidi="fa-IR"/>
        </w:rPr>
        <w:t xml:space="preserve">لسان العرب لابن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ویقال للسطر مِن النخیل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طریق ممّتد، فهو 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والأُسلوب الطریق، والوجه، والمذهب،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فی أُسلوب سوء، ویُجمع أسالیب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والأُسلوب،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فلانٌ فی أسالیب من القول،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أَفانین منه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ما جئنا إلی تعریفات الأُسلوب فی الاصطلاح؛ نجد أنّ القدماء من علماء العربیة حاولوا أنْ یحدّدوا مفهوماً للأُسلوب، فعرّفه عبد القاهر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من النظم والطریقة فیه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إذ هو مستمدٌّ من نظریته؛ لأنّه طریقة من نظم الکلام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فی الدلالة علی المعنی أو احتواء المضمون، وعندها یتحقّق القصد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العرب المُحدَثین، فقد عرّفه أحمد الشّایب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طریقة الکتابة أو طریقة الإنشاء، أو طریقة اختیار الألفاظ وتألیفها للتَّعبیر بها عن المعانی، قصد الإیضاح والتأثیر، أو الض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من النّظم والطریقة فیه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وذهب سعد مصلوح إلی أنّ الأُسلوب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تعریفه بأنَّه اختیار </w:t>
      </w:r>
      <w:r>
        <w:rPr>
          <w:rFonts w:eastAsia="Times New Roman" w:cs="Times New Roman" w:ascii="Times New Roman" w:hAnsi="Times New Roman"/>
          <w:color w:val="111111"/>
          <w:sz w:val="28"/>
          <w:szCs w:val="28"/>
          <w:lang w:val="en-US" w:bidi="en-US"/>
        </w:rPr>
        <w:t>Choice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انتقاء </w:t>
      </w:r>
      <w:r>
        <w:rPr>
          <w:rFonts w:eastAsia="Times New Roman" w:cs="Times New Roman" w:ascii="Times New Roman" w:hAnsi="Times New Roman"/>
          <w:color w:val="111111"/>
          <w:sz w:val="28"/>
          <w:szCs w:val="28"/>
          <w:lang w:val="en-US" w:bidi="en-US"/>
        </w:rPr>
        <w:t>Selection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یقوم به المنشئ لسمات لغویة معیّنة، بغرض التعبیر عن موقف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هذا الاختیار أو الانتقاء علی إیثار المنشئ وتفضیله لهذه السمات علی سمات أُخری بدیلة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 الاختیارات الخاصة بمنشئ معیَّن هی التی تشکل أُسلوبه الذی یمتاز به عن غیره من المنشئین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وإذا ما جئنا إلی تعریف الأُسلوب فی الدراسات الغربیة، نجد أنّ هناک عدّة تعریفات متنوّعة، بسبب تعدّد المدارس، والاتجاهات، ووجهات النظر، فالأُسلوب عند بییر غیرو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Piere Guiraud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طریقة للتعبیر عن الفکر بوساطة اللّغة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وجه للملفوظ، ینتج عن اختیار أدوات التعبیر، وتحدّده طبیعة المتکلِّم أو الکاتب ومقاصده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لیو سبیتزر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Leo Spitzer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فقد انطلق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قولة بیفون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Buffon(1788)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الشهیرة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الأُسلوب هو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لیحدّد من خلال الأُسلوب نفسیة الکاتب ومیوله ونزعاته، والترکیبة النفسیة التی جعلت أدواته اللغویة تتشکَّل بهذه الطریقة أو تلک</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فیلی ساندیرس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Willy Sanders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 ساق مجموعة کبیرة من التعریفات حول الأُسلوب وکلّها مختلفة، بلغت ثمانی وعشرین تعریفا</w:t>
      </w:r>
      <w:r>
        <w:rPr>
          <w:rStyle w:val="FootnoteAnchor"/>
          <w:rtl w:val="true"/>
        </w:rPr>
        <w:footnoteReference w:id="20"/>
      </w:r>
      <w:r>
        <w:rPr>
          <w:rFonts w:ascii="IRNazanin" w:hAnsi="IRNazanin" w:eastAsia="IRNazanin"/>
          <w:color w:val="111111"/>
          <w:sz w:val="28"/>
          <w:sz w:val="28"/>
          <w:szCs w:val="28"/>
          <w:rtl w:val="true"/>
          <w:lang w:bidi="fa-IR"/>
        </w:rPr>
        <w:t>، وواضح أنّ هذا التعدّد فی تعریف الأُسلوب، یُظهر صعوبة الإمساک بحدود معیّنة لماهیته، وعندها فقد تعدَّدت مفهوماته أیضاً عند الکُتّاب، بل عند الکاتب الواحد تبعاً لزاویة النظر والرؤیة التی یقف عندها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الموجز لتعریفات الأُسلوب، نلحظ أنَّ الأُسلوب هو موضوع الأُسلوبیة، أیْ مادتها الخام، یقول جوزیف میشال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الأُسلوبیة هی تحلیلٌ لغویٌّ موضوعه الأُسلوب وشرطه الموضوعیَّة</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لذا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بوصفها منهجاً نقدیّاً من أنجع المناهج القادرة علی دراسة أُسلوب المتکلّم أو الباحث عن طریق دراسة العناصر التی یلجأ إلیها</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کان مفهوم الأُسلوب هو مفهومٌ واسعٌ کما تقدّم، فکذلک تکون الأُسلوبیة هی الأُخری مفهوماً واسعاً، وبما أنَّ الواقع الأُسلوبی فی جمیع مستویاته هو واقع لغوی، فإنّنا نجد مثل هذه التعریفات تحاول ربط الأُسلوبیة بالمادة اللغویة؛ لذا رأی شارل بالی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Gharles Bally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وهو من أبرز مؤسّس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الأُسلوبیة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الأُسلوبیة تدرس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التَّعبیر اللغوی من ناحیة مضامینها الوجدانیَّة، أی إنَّها تدرس تعبیر الوقائع للحساسیّة المعبَّر عنها لغویّاً</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أی إن أُسلوبیة بالی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لغویُّ بشکل صارم، ومرامیها مقصاة عن المشاکل الناجمة عن الوظیفة الجمالیة 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نظام مکرَّس لدراسة عناصر التنوعات الطبیعیَّة ذات القیمة التعبیریَّة العاطفیَّة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وعرّفها بییر غیرو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اللسانیین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للتعبیر اللسانی</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أو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للمتغیرات اللسانیة إزاء المعیار القاعدی</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وأطلقها رومان یاکوبسن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Roman Jakobson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الدرس اللّسانی الذی یعنی بالجانب اللغوی فی النصوص الجمیلة</w:t>
      </w:r>
      <w:r>
        <w:rPr>
          <w:rStyle w:val="FootnoteAnchor"/>
          <w:rtl w:val="true"/>
        </w:rPr>
        <w:footnoteReference w:id="28"/>
      </w:r>
      <w:r>
        <w:rPr>
          <w:rFonts w:ascii="IRNazanin" w:hAnsi="IRNazanin" w:eastAsia="IRNazanin"/>
          <w:color w:val="111111"/>
          <w:sz w:val="28"/>
          <w:sz w:val="28"/>
          <w:szCs w:val="28"/>
          <w:rtl w:val="true"/>
          <w:lang w:bidi="fa-IR"/>
        </w:rPr>
        <w:t xml:space="preserve">، وهو یری أنّ الأُسلوبیة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من أفنان شجرة اللّسانیات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وجهة نظرٍ أُخری تری أنَّ الأُسلوبیة تتجسد فی دائرة البلاغة، کقول غیرو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الأُسلوبیة بلاغة حدیثة ذات شکل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علم التعبیر، وهی نقدٌ للأسالیب الفردیة</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أورد الدکتور عبد السلام المسدّی تعریفاً للأُسلوبیة ضمن هذا الإطار بقوله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الحدث الأدبی تکمن فی تجاوز الإبلاغ إلی الإثارة، وتأتی الأُسلوبیة فی هذا المقام لتتحدَّث بدراسة الخصائص اللغویَّة التی بها یتحول الخطاب عن سیاقه الإخباری إلی وظیفته التأثیریة الجمالیة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هذه الإبانة الدلالیة للأُسلوبیة عن طریق علاقتها بالمادة 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فرع من اللسانیات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والبلاغة، وکلاهما مرتبط بالآخر، یتّضح أن الأُسلوبیة هی منهج وممارسة تطمح للموضوعیة وتتحری کشف الأبعاد الدلالیة للنص، ومیزاته الجمالیة التأثیریة، بواسطة صیاغته اللغویة، وتشکیلاته البلاغیة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ویعدّ العمل الأدبی اختیاراً لأحدی الموضوعات الخاصّة بالحیاة، فیکون حقلاً خصباً للإبداع، وعندئذٍ یستعین الأدیب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ملکاته اللّغویة، وأدواته فی صیاغة العمل جمالیّاً، وعندها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تأتی الصیاغة الجمالیّة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ومن خلال هذا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بهدف نقل التجربة وتوصیلها من ناحیةٍ، وإفراغ انفعالات الأدیب تجاه موضوعه من ناحیةٍ أُخری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صیاغة العمل جمالیّاً هی التی سوّغت لهذه الدراسة أنْ تحمل 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النثر الفنی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فصفة الفنیة هی التی جعلتها تخوض فی نثر التوّابین وإمارة المختار الثقفی، ونختار منها ما هو ذو سمة أدبیّة عالیة، نستطیع أن نضعها تحت المجهر الأُسلوبی المتخلّق، والوقوف عند الخصوصیات التی یشملها النص الأدبی</w:t>
      </w:r>
      <w:r>
        <w:rPr>
          <w:rStyle w:val="FootnoteAnchor"/>
          <w:rtl w:val="true"/>
        </w:rPr>
        <w:footnoteReference w:id="34"/>
      </w:r>
      <w:r>
        <w:rPr>
          <w:rFonts w:ascii="IRNazanin" w:hAnsi="IRNazanin" w:eastAsia="IRNazanin"/>
          <w:color w:val="111111"/>
          <w:sz w:val="28"/>
          <w:sz w:val="28"/>
          <w:szCs w:val="28"/>
          <w:rtl w:val="true"/>
          <w:lang w:bidi="fa-IR"/>
        </w:rPr>
        <w:t xml:space="preserve">، وذلک بتعرّف </w:t>
      </w:r>
    </w:p>
    <w:p>
      <w:pPr>
        <w:pStyle w:val="BookText"/>
        <w:rPr/>
      </w:pPr>
      <w:r>
        <w:rPr>
          <w:rFonts w:ascii="IRNazanin" w:hAnsi="IRNazanin" w:eastAsia="IRNazanin"/>
          <w:color w:val="111111"/>
          <w:sz w:val="28"/>
          <w:sz w:val="28"/>
          <w:szCs w:val="28"/>
          <w:rtl w:val="true"/>
          <w:lang w:bidi="fa-IR"/>
        </w:rPr>
        <w:t>القیم الجمالیة التی تنبعث منه من خلال دراسة الجانب الفنی للأُسلوب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الصیاغة الفنیة للأُسلوب فی حقیقتها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تبتدئ من اللفظة، وإنَّ مهارة الفنّان تکمن فی قدرته علی اختیار اللفظة المؤثّرة بجرسها وظلالها ومعناها، حین تأتی فی مکانها المناسب من التّعبیر، لِتُربَط مع لفظةٍ أُخری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ولمّا کانت الأُسلوبیة تُعنی بدراسة النص ووصف طریقة تلک الصیاغة الفنیة، فذلک عن طریق تحلیلها لغویّاً بهدف الکشف عن الأبعاد النفسیة والقیَم الجمالیة؛ للوصول إلی أعماق فکر المنتج من خلال تحلیل نصّه، فمِن هنا تُعدُّ الدراسة الأُسلوبیة مدخلاً مناسباً یمکن الباحث من دراسة النصوص الأدبیة، دراسة شدیدة القرب من طبیعتها اللغویة</w:t>
      </w:r>
      <w:r>
        <w:rPr>
          <w:rStyle w:val="FootnoteAnchor"/>
          <w:rtl w:val="true"/>
        </w:rPr>
        <w:footnoteReference w:id="3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تُنیر للباحث طریقاً یلتمس فیه هداه إلی تحلیل النص الأدبی الذی هو نصٌّ لغوی، قدیماً کان أم حدیثاً؛ لأنّه یتکوَّن من ألفاظ وهی تتشکل فی ملمح لغوی، وعلیه فکلُّ نصّ أدبی إذا ما أراد الباحث تحلیله وجب دراسته من خلال مستویات التحلیل اللغوی،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الأصوات، وتحلیل الألفاظ، وتحلیل التراکیب</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المعنی فإنَّ علم 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ینقسم إلی مستویات علم اللّغة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تقبَّلنا الرأی القائل بحص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مستویات التَّحلیل اللغوی فی ثلاثة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الصوتی، والمعجمی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والنَّحوی، لأصبح بوسع التَّحلیل الأُسلوبی أن یتدرَّج علی النَّمط نفسه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وهذا ما سیتناوله البحث من خلال تحلیل النصوص النثریة بتتبع مستویاتها الأُسلوبیة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bookmarkStart w:id="40" w:name="pg5013_35238"/>
    </w:p>
    <w:p>
      <w:pPr>
        <w:pStyle w:val="Heading2"/>
        <w:numPr>
          <w:ilvl w:val="1"/>
          <w:numId w:val="1"/>
        </w:numPr>
        <w:rPr/>
      </w:pPr>
      <w:bookmarkStart w:id="41" w:name="__RefHeading___Toc507621_774463916"/>
      <w:bookmarkStart w:id="42" w:name="_Toc12"/>
      <w:bookmarkEnd w:id="40"/>
      <w:bookmarkEnd w:id="41"/>
      <w:r>
        <w:rPr>
          <w:rtl w:val="true"/>
        </w:rPr>
        <w:t>الفصل الأوَّل</w:t>
      </w:r>
      <w:r>
        <w:rPr>
          <w:rtl w:val="true"/>
        </w:rPr>
        <w:t xml:space="preserve">: </w:t>
      </w:r>
      <w:r>
        <w:rPr>
          <w:rtl w:val="true"/>
        </w:rPr>
        <w:t>أنماط النَّثر الفنِّی ومواردها فی ثورة التوّابین وإمارة المختار</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507623_774463916"/>
      <w:bookmarkStart w:id="44" w:name="_Toc13"/>
      <w:bookmarkEnd w:id="43"/>
      <w:r>
        <w:rPr>
          <w:rtl w:val="true"/>
        </w:rPr>
        <w:t>اشارة</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5013_35240"/>
      <w:bookmarkStart w:id="46" w:name="pg5013_35240"/>
      <w:bookmarkEnd w:id="46"/>
    </w:p>
    <w:p>
      <w:pPr>
        <w:pStyle w:val="Heading3"/>
        <w:numPr>
          <w:ilvl w:val="2"/>
          <w:numId w:val="1"/>
        </w:numPr>
        <w:rPr/>
      </w:pPr>
      <w:bookmarkStart w:id="47" w:name="pg5013_35240"/>
      <w:bookmarkStart w:id="48" w:name="__RefHeading___Toc507625_774463916"/>
      <w:bookmarkStart w:id="49" w:name="_Toc14"/>
      <w:bookmarkEnd w:id="47"/>
      <w:bookmarkEnd w:id="48"/>
      <w:r>
        <w:rPr>
          <w:rtl w:val="true"/>
        </w:rPr>
        <w:t xml:space="preserve">المبحث الأوَّل </w:t>
      </w:r>
      <w:r>
        <w:rPr>
          <w:rtl w:val="true"/>
        </w:rPr>
        <w:t>:</w:t>
      </w:r>
      <w:r>
        <w:rPr>
          <w:rtl w:val="true"/>
        </w:rPr>
        <w:t>أنماط النثر الفنَّی فی ثورة التوّابین وإمارة المختار</w:t>
      </w:r>
      <w:bookmarkEnd w:id="49"/>
    </w:p>
    <w:p>
      <w:pPr>
        <w:pStyle w:val="Heading4"/>
        <w:numPr>
          <w:ilvl w:val="3"/>
          <w:numId w:val="1"/>
        </w:numPr>
        <w:rPr/>
      </w:pPr>
      <w:bookmarkStart w:id="50" w:name="__RefHeading___Toc507627_774463916"/>
      <w:bookmarkStart w:id="51" w:name="_Toc15"/>
      <w:bookmarkEnd w:id="50"/>
      <w:r>
        <w:rPr>
          <w:rtl w:val="true"/>
        </w:rPr>
        <w:t>أولاً</w:t>
      </w:r>
      <w:r>
        <w:rPr>
          <w:rtl w:val="true"/>
        </w:rPr>
        <w:t xml:space="preserve">: </w:t>
      </w:r>
      <w:r>
        <w:rPr>
          <w:rtl w:val="true"/>
        </w:rPr>
        <w:t>الخطابة</w:t>
      </w:r>
      <w:bookmarkEnd w:id="51"/>
    </w:p>
    <w:p>
      <w:pPr>
        <w:pStyle w:val="Heading5"/>
        <w:numPr>
          <w:ilvl w:val="4"/>
          <w:numId w:val="1"/>
        </w:numPr>
        <w:rPr/>
      </w:pPr>
      <w:bookmarkStart w:id="52" w:name="__RefHeading___Toc507629_774463916"/>
      <w:bookmarkStart w:id="53" w:name="_Toc16"/>
      <w:bookmarkEnd w:id="52"/>
      <w:r>
        <w:rPr/>
        <w:t>1</w:t>
      </w:r>
      <w:r>
        <w:rPr>
          <w:rtl w:val="true"/>
        </w:rPr>
        <w:t xml:space="preserve">- </w:t>
      </w:r>
      <w:r>
        <w:rPr>
          <w:rtl w:val="true"/>
        </w:rPr>
        <w:t>الخطابة بین الجاهلیة وصدر الإسلام</w:t>
      </w:r>
      <w:bookmarkEnd w:id="53"/>
    </w:p>
    <w:p>
      <w:pPr>
        <w:pStyle w:val="BookText"/>
        <w:rPr/>
      </w:pPr>
      <w:r>
        <w:rPr>
          <w:rFonts w:ascii="IRNazanin" w:hAnsi="IRNazanin" w:eastAsia="IRNazanin"/>
          <w:color w:val="111111"/>
          <w:sz w:val="28"/>
          <w:sz w:val="28"/>
          <w:szCs w:val="28"/>
          <w:rtl w:val="true"/>
          <w:lang w:bidi="fa-IR"/>
        </w:rPr>
        <w:t xml:space="preserve">لا تتوافر بین أیدی الباحثین نصوص وثیقة من الخطابة الجاهلیة؛ وذلک 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بین العصر الذی قیلت فیه وعصور تدوینها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فالأُمیّة کانت غالبةً علی العرب فی ذلک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تکن الکتابة شائعةً فیه إلّا فی بیئات محدودة، ولغایات تجاریَّة علی الأغلب</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لا نُرید فی هذا المقام أن نُثبت مدی صحّة الخُطب الواردة عن الجاهلیین أو زیفها، فهذه المسألة مثار جدل بین الباحثین، فقد حاول أحدهم إنکارها وإنکار ازدهارها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بعض آخر أنَّ قِلَّة النصوص الجاهلیة لیست ذریعة لنکرانها، وإن لم تکن نصوص وثیقة، فنشأتها نشأة طبیعیة عند جمیع الأُمم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وعموماً، فقد عنی العرب فی الجاهلیة بأمر الخطابة عنایةً ملحوظةً، فکان لها عندهم شأنٌ عظیم، فقد أوردوها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منافراتهم ومفاخراتهم، وفی النُّصح والإرشاد، وفی الحثّ علی قتال الأعداء، وفی الدعوة إلی السِّلم وحقن الدماء، وفی مناسباتهم الاجتماعیة المختلفة، کالزواج والأصهار إلی الأشراف، وکانوا یخُطبون فی الأسواق والمحافل العظام، والوفادة علی الملوک والأُمراء</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کانت منزلة الخطیب تفوق منزلة الشاعر فی 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الجاهلی، فقد قال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الشَّاعر فی الجاهلیَّة یُقدَّم علی الخطیب، لفرط حاجتهم إلی الشِّعر الذی یُقَیِّد علیهم مآثرهم ویفخِّم شأنهم، ویُهوِّل علی عدوِّهم ومَن غزاهم، ویُهیْبُ مِن فرسانهم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کَثُرَ الشِّعر والشعراء، واتَّخذوا الشِّعر مکسبةً ورحلوا إلی السُّوقةِ، وتسرَّعوا إلی أعراض النَّاس، صار الخطیب عندهم فوق الشَّاعر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حفظ لنا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کبیرةً من خُطباء الجاهلیة الفصحاء، من أمثال قیس بن الشماس، وثابت ابنه خطیب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وسعد بن الربیع، وابنه عمار الطائی، وغیرهم الکثیر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فالخطابة کانت موجودة فعلاً فی العصر الجاهلی، والدلیل علی ذلک هو النضج الفنی الذی کانت علیه الخطابة فی العصر الإسلامی، فلیس من المعقول أن یکون ذلک النضج الکبیر من غیر أن یکون هناک من ممهدات مهدت له مسبقاً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ازدهرت الخطابة فی العصر الجاهلی، وقد ساعد علی ذلک الازدهار عوامل،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المنازعات والخصومات بینهم، والدعوة إلی الحرب مرَّة وإلی السِّلم مرَّة </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اتخذوا من مجالسهم فی مضارب خیامهم ومِن أسواقهم، ومن ساحات الأُمراء ووفاداتهم علیهم، میادین لإظهار براعتهم وتفننهم فی المقال وَحوْک الکلام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دالّة علی أغراض مختلفة، فدارت معانیها بحسب هذه الأغراض، فقد أوردوها فی المنافرات والمفاخرات، والأَحساب والأنساب، والمآثر والمناقب، وکذلک المصاهرة أو الوفادة علی الأمراء، أو النصح والإرشاد</w:t>
      </w:r>
      <w:r>
        <w:rPr>
          <w:rStyle w:val="FootnoteAnchor"/>
          <w:rtl w:val="true"/>
        </w:rPr>
        <w:footnoteReference w:id="47"/>
      </w:r>
      <w:r>
        <w:rPr>
          <w:rFonts w:ascii="IRNazanin" w:hAnsi="IRNazanin" w:eastAsia="IRNazanin"/>
          <w:color w:val="111111"/>
          <w:sz w:val="28"/>
          <w:sz w:val="28"/>
          <w:szCs w:val="28"/>
          <w:rtl w:val="true"/>
          <w:lang w:bidi="fa-IR"/>
        </w:rPr>
        <w:t xml:space="preserve">لتکون بحق مرآة تُظهر صورة المجتمع الجاهلی، ولذلک نجد العنایة الملحوظة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أنَّها تعبیر عن مجتمعاتهم فی سلمهم وحربهم، وقضایا عیشهم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شاع فی الجاهلیة ضربٌ من الخطابة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سجع الکُهَّان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کان یتعمَّده بعض الجاهلیین الذین یدَّعون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التنبُّؤ ومعرفة المغیَّبات، وأنَّها تنطق عن آلهتهم بما سُخِّر لها مِن الجن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انقرض هذا الضرب من الخطابة بظهور الإسلام؛ لأنَّ وجوده کان مرتبطاً بالدیانة الوثنیّة، وکان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وعته صدور العرب یومئذٍ، ثمَّ أهملوه ولکنَّهم لم ینسوا أُسلوبه، فلمَّا کانت الدولة الأُمویة أو العباسیة حملت الحماسة بعضهم علی أنطاق الکهَّان بأقوالٍ هی من قبیل الدعایة الدینیة، أو الحزبیة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أزالت أدبیات الإسلام کلّ لون من ألوان الخطابة الجاهلیة، بما فیها خُطب المفاخرات، والمنافرات، والخصومات، وسجع الکُهّان؛ لینذر بتحول مهمّ فی فنّ الخطابة الذی أصبح مسایراً للحیاة الاجتماعیة فی عصر صدر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جاء الإسلام أولی المسلمون وفی مقدّمتهم الرسول الکریم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عنایةً خاصّةً، لمِا لها من سمات وخصائص تجعلها خیر وسیلةٍ من وسائل الدعوة إلی الإسلام؛ لأنَّها کانت تستوعب أُسلوب المناظرة، والمناقشة، والمحاججة، والإقناع، وهذه کلّها مهمّة فی البیان والإبلاغ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هاجر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أصبحت الخطابة من وسائل بیان 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ریعات الإلهیة، والوعظ والإرشاد وتنظیم حیاة المسلمین، وعندها أصاب الخطابة فی هذا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تطوّرٌ وازدهارٌ، مقارنةً بحالها فی عصر ما قبل الإسلام؛ إذ حدث تغیّر وتحوّل فی هیکلها وأسالیبها ومعانیها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تلمّس الباحثون الأسباب التی أدت إلی تطور الخطابة وازدهارها فی هذا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فوجدوها تکمن فی عدّة أسباب،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اتَّخذها بعد الهجرة أداة لإیضاح تعالیم الإسلام ووعظ المسلمین</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 وکذلک إنَّها أصبحت فرضاً مکتوباً فی صلاة الجُمَع والعیدین، وفی مواسم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وبذلک عَرَفَ العرب ضرباً منظَّماً من الخطابة الدینیَّة، لم یکونوا یعرفونه فی الجاهلیَّة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کان لوجود القرآن الکریم الأثر الکبیر الذی أدَّی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تطوُّر الخطابة وارتقائها فی العصر الإسلامی، وفی العصور التی تلته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سمات التطور التی أصابت الخطابة فی هذا العصر، فتکمن فی خصائصها التی تمیّزت بها، وکانت من أهمّ تلکم الخصائص اشتمال الخطابة علی الوحدة الموضوعیة التی کان النثر الجاهلی یفتقد إلیها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قضی الإسلام علی کلّ لونٍ من ألوان الخطابة الجاهلیة ممَّا لا یتَّفق وروح </w:t>
      </w:r>
    </w:p>
    <w:p>
      <w:pPr>
        <w:pStyle w:val="BookText"/>
        <w:rPr/>
      </w:pPr>
      <w:r>
        <w:rPr>
          <w:rFonts w:ascii="IRNazanin" w:hAnsi="IRNazanin" w:eastAsia="IRNazanin"/>
          <w:color w:val="111111"/>
          <w:sz w:val="28"/>
          <w:sz w:val="28"/>
          <w:szCs w:val="28"/>
          <w:rtl w:val="true"/>
          <w:lang w:bidi="fa-IR"/>
        </w:rPr>
        <w:t xml:space="preserve">الإسلام، کالقضاء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الکُهّان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جاء عفواً من دون تکلّف، وکذلک نلحظ اختفاء خُطب المنافرات والمفاخرات التی کانت تُثیر الضغائن والأحقاد، فأبدلها بمعانی الخطابة الإسلامیة التی دارت فی معانی القرآن الکریم، وفی معانٍ جدیدةٍ لم یکن یألفها العرب من قبلُ، فکان الخطیب یبدأ خُطبته بالتحمید والثناء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والصلاة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xml:space="preserve">، ویعقبها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ینتقل إلی الغرض من خُطبته، ولعلَّ هذه العبارة کانت مستمدَّة من خُطب العصر الجاهلی</w:t>
      </w:r>
      <w:r>
        <w:rPr>
          <w:rStyle w:val="FootnoteAnchor"/>
          <w:rtl w:val="true"/>
        </w:rPr>
        <w:footnoteReference w:id="55"/>
      </w:r>
      <w:r>
        <w:rPr>
          <w:rFonts w:ascii="IRNazanin" w:hAnsi="IRNazanin" w:eastAsia="IRNazanin"/>
          <w:color w:val="111111"/>
          <w:sz w:val="28"/>
          <w:sz w:val="28"/>
          <w:szCs w:val="28"/>
          <w:rtl w:val="true"/>
          <w:lang w:bidi="fa-IR"/>
        </w:rPr>
        <w:t>، فیمکن عدَّها تقلیداً فنیّاً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أثّر القرآن الکریم فی أدب صدر الإسلام بصورةٍ عامّةٍ من خُطب ورسائل؛ لذلک کان المنهل العذب الذی ترتوی الخطابة منه، وعندها اغترف الخُطباء من معینه فوشّحوا کلامهم بلآلئ آیاته، فأخذوا یقتبسونها اقتباساً ویحاکونها من حیث الأُسلوب، أو من حیث الأفکار والمعانی، وهذا بحدّ ذاته تطوّر کبیر لم یألف العرب قبل الإسلام مثله؛ لأنَّ الأُسلوب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امتاز بأجمل طابعٍ، وأحکم صورةٍ، وأروع سمت، بما تهیأ له من حکم عالیة، ومعانٍ سامیة، وحسن ارتباط بین المعانی، وعذوبة محببة فی الألفاظ، ویکفی فیه أنَّه أُسلوب ربِّ العالمین، وخالق الخلق أجمعین، جلّت قدرته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أثّر القرآن الکریم فی أدب صدر الإسلام بصورةٍ عامّةٍ من شعر ونثر، وبذلک فإنَّ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حدث فی الأدب، إنّما کان مصدره الأوَّل القرآن الکریم الذی کان وحدة مصدر ثقافة المسلمین الدینیّة والعقلیّة، والاجتماعیة والأدبیة، وهو الذی أحال خشونة الطباع عذوبةً وسلاسة، وبدّل وحشیَّة الألسنة سهولةً ووضوحاً وبلاغةً</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کما أنَّه أثَّر فی أدب العصور الأُخری التی تلته</w:t>
      </w:r>
      <w:r>
        <w:rPr>
          <w:rFonts w:eastAsia="Amiri" w:cs="Amiri" w:ascii="Amiri" w:hAnsi="Amiri"/>
          <w:color w:val="111111"/>
          <w:sz w:val="28"/>
          <w:szCs w:val="28"/>
          <w:rtl w:val="true"/>
          <w:lang w:bidi="ar-SA"/>
        </w:rPr>
        <w:t xml:space="preserve">. </w:t>
      </w:r>
      <w:bookmarkStart w:id="54" w:name="pg5013_35245"/>
    </w:p>
    <w:p>
      <w:pPr>
        <w:pStyle w:val="Heading5"/>
        <w:numPr>
          <w:ilvl w:val="4"/>
          <w:numId w:val="1"/>
        </w:numPr>
        <w:rPr/>
      </w:pPr>
      <w:bookmarkStart w:id="55" w:name="__RefHeading___Toc507631_774463916"/>
      <w:bookmarkStart w:id="56" w:name="_Toc17"/>
      <w:bookmarkEnd w:id="54"/>
      <w:bookmarkEnd w:id="55"/>
      <w:r>
        <w:rPr/>
        <w:t>2</w:t>
      </w:r>
      <w:r>
        <w:rPr>
          <w:rtl w:val="true"/>
        </w:rPr>
        <w:t xml:space="preserve">- </w:t>
      </w:r>
      <w:r>
        <w:rPr>
          <w:rtl w:val="true"/>
        </w:rPr>
        <w:t>الخطابة فی ثورة التوّابین وإمارة المختار</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ازدهرت الخطابة فی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الأُموی، ازدهاراً واسعاً، وکان وراء هذا الازدهار عدَّة أسباب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 ومنها الدینی، ومنها العقلی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إلی جانب الحریة التی کان یتمتع بها الخطیب فی هذا العصر</w:t>
      </w:r>
      <w:r>
        <w:rPr>
          <w:rStyle w:val="FootnoteAnchor"/>
          <w:rtl w:val="true"/>
        </w:rPr>
        <w:footnoteReference w:id="59"/>
      </w:r>
      <w:r>
        <w:rPr>
          <w:rFonts w:ascii="IRNazanin" w:hAnsi="IRNazanin" w:eastAsia="IRNazanin"/>
          <w:color w:val="111111"/>
          <w:sz w:val="28"/>
          <w:sz w:val="28"/>
          <w:szCs w:val="28"/>
          <w:rtl w:val="true"/>
          <w:lang w:bidi="fa-IR"/>
        </w:rPr>
        <w:t>، فکان الخُطباء یخطبون فی مختلف الموضوعات من دون تخوَّف أو تحرَّج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الأسباب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السیاسی، والدینی، والعقلی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أدت إلی ازدهار الخطابة وتطورها، فالسبب الدینی یتمثل فی أنّ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شهد تأسیس المدارس الدینیة فی مختلف البلدان الإسلامیة، لیتعلَّم الناس فیها أُصول دینهم وفروعه، وکان العلماء القائمون علیها کثیراً ما یتحاورون فی وجهات نظرهم</w:t>
      </w:r>
      <w:r>
        <w:rPr>
          <w:rStyle w:val="FootnoteAnchor"/>
          <w:rtl w:val="true"/>
        </w:rPr>
        <w:footnoteReference w:id="60"/>
      </w:r>
      <w:r>
        <w:rPr>
          <w:rFonts w:ascii="IRNazanin" w:hAnsi="IRNazanin" w:eastAsia="IRNazanin"/>
          <w:color w:val="111111"/>
          <w:sz w:val="28"/>
          <w:sz w:val="28"/>
          <w:szCs w:val="28"/>
          <w:rtl w:val="true"/>
          <w:lang w:bidi="fa-IR"/>
        </w:rPr>
        <w:t xml:space="preserve">، ولم تلبث حتی تمخَّضت عن ذلک الجدال فِرق متعدِّدة ومذاهب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ذلک باعثاً علی ظهور المناظرات، وهی فرعٌ مهمٌّ من فروع الخطابة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السبب العقلی، فمردّه إلی عناصر الثقافات الأجنبیة، التی أخذ العقل العربی ینهل منها منذ هذا العصر؛ ممّا فتق فیه الحجاج والجدل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السبب الأهم الذی أدی إلی ازدهار الخطابة علی نحو ملحوظ، فهو السبب السیاسی المتمثل بکثرة الأحزاب السیاسیة التی عارضت الدولة الأُمویة؛ ممّا أسفر ذلک عن توالی الثورات ضدَّ هذه الدولة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هناک الحزب العلوی الذی یری أنّ الخلافة هی حقٌّ مطلق فی أهل بیت </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ورثتها الشرعیون، وهناک الحزب الزبیری الذی یری أنَّ الخلافة تقع فی قریش، ویجب أن تکون فی أحد أبناء أکبر الصحابة، وصاروا یدعون لابن الزبیر، فی حین ظهرت جماعة أُخری تری أنَّ الخلافة حقٌّ مطلق لعامّة المسلمین، فهی لا تقتصر علی فئةٍ دون أُخری، وهذه الجماعة هم الخوارج، وظهر غیر هذه الجماعات کثیرٌ ممَّن عارض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یکون لکلّ فرقةٍ من هذه الفرق شعراء أو خُطباء یدافعون عن قضیَّتهم، ویدحضون آراء خصومهم،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هناک حزب ولا 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أو 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وخُطباء کثیرون ینبرون للترویج لهذا الحزب، أو تلک الثورة</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کانت حُقبتا التوّابین والمختار تقع ضمن هذا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فإنَّ السبب السیاسی الذی ذکرناه هو الذی أدی إلی ظهور النثر بصورةٍ عامّةٍ من خُطب ورسائل، بل إنَّ النثر الفنی فیهما هو ولید التحولات السیاسیة التی شهدتها تلکم الحقبتان، والعص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الأُموی بصورةٍ عامَّةٍ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ثورة التوّابین، فإنَّ البحث قد عرض لأسباب ظهورها، وهی الممارسة القمعیة للأُمویین تجاه آل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وإقدامهم علی 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بصورة وحشیَّة یندی لها جبین التاریخ، فشعرت هذه الجماعة بعد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بالندم والملامة؛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دعوه للخروج إلیهم، ووعدوه المناصرة والبیعة، فتخاذلوا ولم یوفوا بوعودهم، فلاحظ بعضهم أنَّ هناک شبهاً عظیماً بینهم وبین توابی بنی إسرائیل، فتدبَّروا أمرهم وأخذوا یُهیئون لحرکة بها یتوبون، وبدأت حرکتهم سریَّة فجمعوا الأنصار معتمدین بما لهم من قدرة علی الإقناع والبیان، فقد کان فی زعمائهم الخطیب والشاعر والدَّاعیة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تجمع هؤلاء القوم وألقی کلّ واحدٍ منهم خُطبةً عندها خیّم طابع الندم علیها، ولم تقتصر هذه الخُطب علی الذی قال هؤلاء فی حال تجمعهم، بل کانت الخُطب التی أوردتها الکتب المؤرخة لهذه الحُقبة موزَّعة علی طولها منذ التقائهم واجتماعهم إلی ساعة استشهادهم، ومن الطبیعی أن یکون للطرف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أیضاً، فکانت تلک الخُطب موزّعة بین التوّابین ومناوئیهم علی وفق تدرجها الزمنی، وعلی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التوّابون وأنصارُهم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المسیب بن نجبة الفزاری، من رؤوس التوّابین خُطبتان</w:t>
      </w:r>
    </w:p>
    <w:p>
      <w:pPr>
        <w:pStyle w:val="BookText"/>
        <w:rPr/>
      </w:pPr>
      <w:r>
        <w:rPr>
          <w:rFonts w:ascii="IRNazanin" w:hAnsi="IRNazanin" w:eastAsia="IRNazanin"/>
          <w:color w:val="111111"/>
          <w:sz w:val="28"/>
          <w:sz w:val="28"/>
          <w:szCs w:val="28"/>
          <w:rtl w:val="true"/>
          <w:lang w:bidi="fa-IR"/>
        </w:rPr>
        <w:t>رفاعة بن شداد البجلی، من رؤوس التوّابین خُطبة واحدة</w:t>
      </w:r>
    </w:p>
    <w:p>
      <w:pPr>
        <w:pStyle w:val="BookText"/>
        <w:rPr/>
      </w:pPr>
      <w:r>
        <w:rPr>
          <w:rFonts w:ascii="IRNazanin" w:hAnsi="IRNazanin" w:eastAsia="IRNazanin"/>
          <w:color w:val="111111"/>
          <w:sz w:val="28"/>
          <w:sz w:val="28"/>
          <w:szCs w:val="28"/>
          <w:rtl w:val="true"/>
          <w:lang w:bidi="fa-IR"/>
        </w:rPr>
        <w:t>سلیمان بن صُرَد الخزاعی، من رؤوس التوّابین خمس خُطب</w:t>
      </w:r>
    </w:p>
    <w:p>
      <w:pPr>
        <w:pStyle w:val="BookText"/>
        <w:rPr/>
      </w:pPr>
      <w:r>
        <w:rPr>
          <w:rFonts w:ascii="IRNazanin" w:hAnsi="IRNazanin" w:eastAsia="IRNazanin"/>
          <w:color w:val="111111"/>
          <w:sz w:val="28"/>
          <w:sz w:val="28"/>
          <w:szCs w:val="28"/>
          <w:rtl w:val="true"/>
          <w:lang w:bidi="fa-IR"/>
        </w:rPr>
        <w:t>عبد الله بن وال التمیمی، من رؤوس التوّابین</w:t>
      </w:r>
    </w:p>
    <w:p>
      <w:pPr>
        <w:pStyle w:val="BookText"/>
        <w:rPr/>
      </w:pPr>
      <w:r>
        <w:rPr>
          <w:rFonts w:ascii="Amiri" w:hAnsi="Amiri" w:eastAsia="Amiri" w:cs="Amiri"/>
          <w:color w:val="111111"/>
          <w:sz w:val="28"/>
          <w:sz w:val="28"/>
          <w:szCs w:val="28"/>
          <w:rtl w:val="true"/>
          <w:lang w:bidi="ar-SA"/>
        </w:rPr>
        <w:t>خُطبة واحدة</w:t>
      </w:r>
    </w:p>
    <w:p>
      <w:pPr>
        <w:pStyle w:val="BookText"/>
        <w:rPr/>
      </w:pPr>
      <w:r>
        <w:rPr>
          <w:rFonts w:ascii="IRNazanin" w:hAnsi="IRNazanin" w:eastAsia="IRNazanin"/>
          <w:color w:val="111111"/>
          <w:sz w:val="28"/>
          <w:sz w:val="28"/>
          <w:szCs w:val="28"/>
          <w:rtl w:val="true"/>
          <w:lang w:bidi="fa-IR"/>
        </w:rPr>
        <w:t>عبد الله بن سعد بن نفیل، من رؤوس التوّابین</w:t>
      </w:r>
    </w:p>
    <w:p>
      <w:pPr>
        <w:pStyle w:val="BookText"/>
        <w:rPr/>
      </w:pPr>
      <w:r>
        <w:rPr>
          <w:rFonts w:ascii="Amiri" w:hAnsi="Amiri" w:eastAsia="Amiri" w:cs="Amiri"/>
          <w:color w:val="111111"/>
          <w:sz w:val="28"/>
          <w:sz w:val="28"/>
          <w:szCs w:val="28"/>
          <w:rtl w:val="true"/>
          <w:lang w:bidi="ar-SA"/>
        </w:rPr>
        <w:t>خُطبة واحدة</w:t>
      </w:r>
    </w:p>
    <w:p>
      <w:pPr>
        <w:pStyle w:val="BookText"/>
        <w:rPr/>
      </w:pPr>
      <w:r>
        <w:rPr>
          <w:rFonts w:ascii="IRNazanin" w:hAnsi="IRNazanin" w:eastAsia="IRNazanin"/>
          <w:color w:val="111111"/>
          <w:sz w:val="28"/>
          <w:sz w:val="28"/>
          <w:szCs w:val="28"/>
          <w:rtl w:val="true"/>
          <w:lang w:bidi="fa-IR"/>
        </w:rPr>
        <w:t>خالد بن سعد بن نفیل، مناصر خُطبة واحدة</w:t>
      </w:r>
    </w:p>
    <w:p>
      <w:pPr>
        <w:pStyle w:val="BookText"/>
        <w:rPr/>
      </w:pPr>
      <w:r>
        <w:rPr>
          <w:rFonts w:ascii="IRNazanin" w:hAnsi="IRNazanin" w:eastAsia="IRNazanin"/>
          <w:color w:val="111111"/>
          <w:sz w:val="28"/>
          <w:sz w:val="28"/>
          <w:szCs w:val="28"/>
          <w:rtl w:val="true"/>
          <w:lang w:bidi="fa-IR"/>
        </w:rPr>
        <w:t>سعد بن حذیفة بن الیمان، مناصر خُطبة واحدة</w:t>
      </w:r>
    </w:p>
    <w:p>
      <w:pPr>
        <w:pStyle w:val="BookText"/>
        <w:rPr/>
      </w:pPr>
      <w:r>
        <w:rPr>
          <w:rFonts w:ascii="IRNazanin" w:hAnsi="IRNazanin" w:eastAsia="IRNazanin"/>
          <w:color w:val="111111"/>
          <w:sz w:val="28"/>
          <w:sz w:val="28"/>
          <w:szCs w:val="28"/>
          <w:rtl w:val="true"/>
          <w:lang w:bidi="fa-IR"/>
        </w:rPr>
        <w:t>عبد الله بن الحنظل الطائی، مناصر خُطبة واحدة</w:t>
      </w:r>
    </w:p>
    <w:p>
      <w:pPr>
        <w:pStyle w:val="BookText"/>
        <w:rPr/>
      </w:pPr>
      <w:r>
        <w:rPr>
          <w:rFonts w:ascii="IRNazanin" w:hAnsi="IRNazanin" w:eastAsia="IRNazanin"/>
          <w:color w:val="111111"/>
          <w:sz w:val="28"/>
          <w:sz w:val="28"/>
          <w:szCs w:val="28"/>
          <w:rtl w:val="true"/>
          <w:lang w:bidi="fa-IR"/>
        </w:rPr>
        <w:t>عبید الله بن عبد الله المری، مناصر خُطبة واحدة</w:t>
      </w:r>
    </w:p>
    <w:p>
      <w:pPr>
        <w:pStyle w:val="BookText"/>
        <w:rPr/>
      </w:pPr>
      <w:r>
        <w:rPr>
          <w:rFonts w:ascii="IRNazanin" w:hAnsi="IRNazanin" w:eastAsia="IRNazanin"/>
          <w:color w:val="111111"/>
          <w:sz w:val="28"/>
          <w:sz w:val="28"/>
          <w:szCs w:val="28"/>
          <w:rtl w:val="true"/>
          <w:lang w:bidi="fa-IR"/>
        </w:rPr>
        <w:t>صخیر بن حذیفة بن هلال، مناصر</w:t>
      </w:r>
    </w:p>
    <w:p>
      <w:pPr>
        <w:pStyle w:val="BookText"/>
        <w:rPr/>
      </w:pPr>
      <w:r>
        <w:rPr>
          <w:rFonts w:ascii="Amiri" w:hAnsi="Amiri" w:eastAsia="Amiri" w:cs="Amiri"/>
          <w:color w:val="111111"/>
          <w:sz w:val="28"/>
          <w:sz w:val="28"/>
          <w:szCs w:val="28"/>
          <w:rtl w:val="true"/>
          <w:lang w:bidi="ar-SA"/>
        </w:rPr>
        <w:t>خُطبة واحدة</w:t>
      </w:r>
    </w:p>
    <w:p>
      <w:pPr>
        <w:pStyle w:val="BookText"/>
        <w:rPr/>
      </w:pPr>
      <w:r>
        <w:rPr>
          <w:rFonts w:ascii="IRNazanin" w:hAnsi="IRNazanin" w:eastAsia="IRNazanin"/>
          <w:color w:val="111111"/>
          <w:sz w:val="28"/>
          <w:sz w:val="28"/>
          <w:szCs w:val="28"/>
          <w:rtl w:val="true"/>
          <w:lang w:bidi="fa-IR"/>
        </w:rPr>
        <w:t>الفریق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المناوئون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یزید، الوالی الزبیری علی الکوفة</w:t>
      </w:r>
    </w:p>
    <w:p>
      <w:pPr>
        <w:pStyle w:val="BookText"/>
        <w:rPr/>
      </w:pPr>
      <w:r>
        <w:rPr>
          <w:rFonts w:ascii="Amiri" w:hAnsi="Amiri" w:eastAsia="Amiri" w:cs="Amiri"/>
          <w:color w:val="111111"/>
          <w:sz w:val="28"/>
          <w:sz w:val="28"/>
          <w:szCs w:val="28"/>
          <w:rtl w:val="true"/>
          <w:lang w:bidi="ar-SA"/>
        </w:rPr>
        <w:t>خُطبتان</w:t>
      </w:r>
    </w:p>
    <w:p>
      <w:pPr>
        <w:pStyle w:val="BookText"/>
        <w:rPr/>
      </w:pPr>
      <w:r>
        <w:rPr>
          <w:rFonts w:ascii="IRNazanin" w:hAnsi="IRNazanin" w:eastAsia="IRNazanin"/>
          <w:color w:val="111111"/>
          <w:sz w:val="28"/>
          <w:sz w:val="28"/>
          <w:szCs w:val="28"/>
          <w:rtl w:val="true"/>
          <w:lang w:bidi="fa-IR"/>
        </w:rPr>
        <w:t>إبراهیم بن محمد بن طلحة، الوالی الزبیری علی خراج الکوفة خُطبة واحدة</w:t>
      </w:r>
    </w:p>
    <w:p>
      <w:pPr>
        <w:pStyle w:val="BookText"/>
        <w:rPr/>
      </w:pPr>
      <w:r>
        <w:rPr>
          <w:rFonts w:ascii="IRNazanin" w:hAnsi="IRNazanin" w:eastAsia="IRNazanin"/>
          <w:color w:val="111111"/>
          <w:sz w:val="28"/>
          <w:sz w:val="28"/>
          <w:szCs w:val="28"/>
          <w:rtl w:val="true"/>
          <w:lang w:bidi="fa-IR"/>
        </w:rPr>
        <w:t>عبد الملک بن مروان، خلیفة أُموی فی الشام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واحدة </w:t>
      </w:r>
    </w:p>
    <w:p>
      <w:pPr>
        <w:pStyle w:val="BookText"/>
        <w:rPr/>
      </w:pPr>
      <w:r>
        <w:rPr>
          <w:rFonts w:ascii="IRNazanin" w:hAnsi="IRNazanin" w:eastAsia="IRNazanin"/>
          <w:color w:val="111111"/>
          <w:sz w:val="28"/>
          <w:sz w:val="28"/>
          <w:szCs w:val="28"/>
          <w:rtl w:val="true"/>
          <w:lang w:bidi="fa-IR"/>
        </w:rPr>
        <w:t>ومن الجدیر بالذکر أنَّ الخُطب الخاصّة بالتوّابین تتراوح بین الطّول والقص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بحسب الحاجة والمقام، فقد یطول بعضها لحاجة الخطیب إلی التفصیل والتماس الحجج وضرب الأمثال، حتی یتمَّ له إقناع الجمهور، وهذا واضح فی خُطبتی عبید الله المری، والمسیب بن نجبة الفزاری، وخُطبة ابن صُرَد الأُولی</w:t>
      </w:r>
      <w:r>
        <w:rPr>
          <w:rStyle w:val="FootnoteAnchor"/>
          <w:rtl w:val="true"/>
        </w:rPr>
        <w:footnoteReference w:id="65"/>
      </w:r>
      <w:r>
        <w:rPr>
          <w:rFonts w:ascii="IRNazanin" w:hAnsi="IRNazanin" w:eastAsia="IRNazanin"/>
          <w:color w:val="111111"/>
          <w:sz w:val="28"/>
          <w:sz w:val="28"/>
          <w:szCs w:val="28"/>
          <w:rtl w:val="true"/>
          <w:lang w:bidi="fa-IR"/>
        </w:rPr>
        <w:t>،وقد تقصر الخُطب کثیراً حتی تکاد تکون رأیاً من الآراء یبدیه الخطیب فی أمر یعرضه لأصحابه، وهذا کما فی خُطبة ابن صُرَد الخامسة أو خُطبة عبد الله بن الحنظل الطائی التی لم تتجاوز بضع کلمات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الخطابة فی إمارة المختار الثقفی، فبلغت اثنتین وعشرین خُطبةً، وهی کذلک موزَّعة بین المختار ومناصریه من جهة، ومناوئیه من جهة أُخری،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الثقفی عشر خُطب</w:t>
      </w:r>
    </w:p>
    <w:p>
      <w:pPr>
        <w:pStyle w:val="BookText"/>
        <w:rPr/>
      </w:pPr>
      <w:r>
        <w:rPr>
          <w:rFonts w:ascii="IRNazanin" w:hAnsi="IRNazanin" w:eastAsia="IRNazanin"/>
          <w:color w:val="111111"/>
          <w:sz w:val="28"/>
          <w:sz w:val="28"/>
          <w:szCs w:val="28"/>
          <w:rtl w:val="true"/>
          <w:lang w:bidi="fa-IR"/>
        </w:rPr>
        <w:t>عبد الرحمن بن شریح، مناصر ثلاث خُطب</w:t>
      </w:r>
    </w:p>
    <w:p>
      <w:pPr>
        <w:pStyle w:val="BookText"/>
        <w:rPr/>
      </w:pPr>
      <w:r>
        <w:rPr>
          <w:rFonts w:ascii="IRNazanin" w:hAnsi="IRNazanin" w:eastAsia="IRNazanin"/>
          <w:color w:val="111111"/>
          <w:sz w:val="28"/>
          <w:sz w:val="28"/>
          <w:szCs w:val="28"/>
          <w:rtl w:val="true"/>
          <w:lang w:bidi="fa-IR"/>
        </w:rPr>
        <w:t>محمد بن الحنفیة، مناصر خُطبتان</w:t>
      </w:r>
    </w:p>
    <w:p>
      <w:pPr>
        <w:pStyle w:val="BookText"/>
        <w:rPr/>
      </w:pPr>
      <w:r>
        <w:rPr>
          <w:rFonts w:ascii="IRNazanin" w:hAnsi="IRNazanin" w:eastAsia="IRNazanin"/>
          <w:color w:val="111111"/>
          <w:sz w:val="28"/>
          <w:sz w:val="28"/>
          <w:szCs w:val="28"/>
          <w:rtl w:val="true"/>
          <w:lang w:bidi="fa-IR"/>
        </w:rPr>
        <w:t>یزید بن أنس، مناصر خُطبة واحدة</w:t>
      </w:r>
    </w:p>
    <w:p>
      <w:pPr>
        <w:pStyle w:val="BookText"/>
        <w:rPr/>
      </w:pPr>
      <w:r>
        <w:rPr>
          <w:rFonts w:ascii="IRNazanin" w:hAnsi="IRNazanin" w:eastAsia="IRNazanin"/>
          <w:color w:val="111111"/>
          <w:sz w:val="28"/>
          <w:sz w:val="28"/>
          <w:szCs w:val="28"/>
          <w:rtl w:val="true"/>
          <w:lang w:bidi="fa-IR"/>
        </w:rPr>
        <w:t>إبراهیم الأشتر، مناصر خُطبتان</w:t>
      </w:r>
    </w:p>
    <w:p>
      <w:pPr>
        <w:pStyle w:val="BookText"/>
        <w:rPr/>
      </w:pPr>
      <w:r>
        <w:rPr>
          <w:rFonts w:ascii="IRNazanin" w:hAnsi="IRNazanin" w:eastAsia="IRNazanin"/>
          <w:color w:val="111111"/>
          <w:sz w:val="28"/>
          <w:sz w:val="28"/>
          <w:szCs w:val="28"/>
          <w:rtl w:val="true"/>
          <w:lang w:bidi="fa-IR"/>
        </w:rPr>
        <w:t>المناوئون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مطیع، الوالی الزبیری علی الکوفة</w:t>
      </w:r>
    </w:p>
    <w:p>
      <w:pPr>
        <w:pStyle w:val="BookText"/>
        <w:rPr/>
      </w:pPr>
      <w:r>
        <w:rPr>
          <w:rFonts w:ascii="Amiri" w:hAnsi="Amiri" w:eastAsia="Amiri" w:cs="Amiri"/>
          <w:color w:val="111111"/>
          <w:sz w:val="28"/>
          <w:sz w:val="28"/>
          <w:szCs w:val="28"/>
          <w:rtl w:val="true"/>
          <w:lang w:bidi="ar-SA"/>
        </w:rPr>
        <w:t>ثلاث خُطب</w:t>
      </w:r>
    </w:p>
    <w:p>
      <w:pPr>
        <w:pStyle w:val="BookText"/>
        <w:rPr/>
      </w:pPr>
      <w:r>
        <w:rPr>
          <w:rFonts w:ascii="IRNazanin" w:hAnsi="IRNazanin" w:eastAsia="IRNazanin"/>
          <w:color w:val="111111"/>
          <w:sz w:val="28"/>
          <w:sz w:val="28"/>
          <w:szCs w:val="28"/>
          <w:rtl w:val="true"/>
          <w:lang w:bidi="fa-IR"/>
        </w:rPr>
        <w:t>مصعب بن الزبیر، الوالی الزبیری علی البصرة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واحدة </w:t>
      </w:r>
      <w:bookmarkStart w:id="57" w:name="pg5013_35249"/>
    </w:p>
    <w:p>
      <w:pPr>
        <w:pStyle w:val="Heading4"/>
        <w:numPr>
          <w:ilvl w:val="3"/>
          <w:numId w:val="1"/>
        </w:numPr>
        <w:rPr/>
      </w:pPr>
      <w:bookmarkStart w:id="58" w:name="__RefHeading___Toc507633_774463916"/>
      <w:bookmarkStart w:id="59" w:name="_Toc18"/>
      <w:bookmarkEnd w:id="57"/>
      <w:bookmarkEnd w:id="58"/>
      <w:r>
        <w:rPr>
          <w:rtl w:val="true"/>
        </w:rPr>
        <w:t>ثانیاً</w:t>
      </w:r>
      <w:r>
        <w:rPr>
          <w:rtl w:val="true"/>
        </w:rPr>
        <w:t xml:space="preserve">: </w:t>
      </w:r>
      <w:r>
        <w:rPr>
          <w:rtl w:val="true"/>
        </w:rPr>
        <w:t>الرسائل الفنیة</w:t>
      </w:r>
      <w:bookmarkEnd w:id="59"/>
    </w:p>
    <w:p>
      <w:pPr>
        <w:pStyle w:val="Heading5"/>
        <w:numPr>
          <w:ilvl w:val="4"/>
          <w:numId w:val="1"/>
        </w:numPr>
        <w:rPr/>
      </w:pPr>
      <w:bookmarkStart w:id="60" w:name="__RefHeading___Toc507635_774463916"/>
      <w:bookmarkStart w:id="61" w:name="_Toc19"/>
      <w:bookmarkEnd w:id="60"/>
      <w:r>
        <w:rPr/>
        <w:t>1</w:t>
      </w:r>
      <w:r>
        <w:rPr>
          <w:rtl w:val="true"/>
        </w:rPr>
        <w:t xml:space="preserve">- </w:t>
      </w:r>
      <w:r>
        <w:rPr>
          <w:rtl w:val="true"/>
        </w:rPr>
        <w:t>الرسائل الفنیة بین الجاهلیة وعصر صدر الإسلام</w:t>
      </w:r>
      <w:bookmarkEnd w:id="61"/>
    </w:p>
    <w:p>
      <w:pPr>
        <w:pStyle w:val="BookText"/>
        <w:rPr/>
      </w:pPr>
      <w:r>
        <w:rPr>
          <w:rFonts w:ascii="IRNazanin" w:hAnsi="IRNazanin" w:eastAsia="IRNazanin"/>
          <w:color w:val="111111"/>
          <w:sz w:val="28"/>
          <w:sz w:val="28"/>
          <w:szCs w:val="28"/>
          <w:rtl w:val="true"/>
          <w:lang w:bidi="fa-IR"/>
        </w:rPr>
        <w:t>لا توجد بین أیدی الباحثین وثائق صحیحة تدلُّ علی أنَّ الجاهلیین عرفوا الرسائل الأدبیة وتداولوها، وهذا لا یعنی أنَّهم لم یعرفوا الکتابة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وخطَّاً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معروفة لدی العرب فی الشمال قبل الإسلام، وهی لا ترقی إلی ما قبل مئة وخمسین عاماً، فوجودها مقرون بوجود الشعر؛ إذ إنَّهما جناحان لطائر الکلمة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فالکتابة معروفة آنذاک إلّا أنَّ صعوبة وسائلها جعلتهم لا یعتمدونها فی الأغراض الأدبیة والنثریة والشعریة،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استخدموها فقط فی الأغراض السیاسیة والتجاریَة</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 وکانت رسائلهم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 فیها الإرسال وتتَّصف بالإیجاز والوضوح والصدق</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وصلنا إلی العصر الإسلامی، فإنَّنا نجد أنَّ الرسائل قد لقیت حظّاً من الاهتمام من لدُن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والخلفاء الراشدین، فقد کان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یکاتب الملوک والأمراء بکثیر من الرسائل، ویدعوهم فیها إلی الإسلام الحنیف</w:t>
      </w:r>
      <w:r>
        <w:rPr>
          <w:rStyle w:val="FootnoteAnchor"/>
          <w:rtl w:val="true"/>
        </w:rPr>
        <w:footnoteReference w:id="70"/>
      </w:r>
      <w:r>
        <w:rPr>
          <w:rFonts w:ascii="IRNazanin" w:hAnsi="IRNazanin" w:eastAsia="IRNazanin"/>
          <w:color w:val="111111"/>
          <w:sz w:val="28"/>
          <w:sz w:val="28"/>
          <w:szCs w:val="28"/>
          <w:rtl w:val="true"/>
          <w:lang w:bidi="fa-IR"/>
        </w:rPr>
        <w:t>، وکان کثیراً ما یکتب عهود الأمان والمعاهدات بینه وبین المشرکین أو غیرهم من الدیانات الأُخری،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معظم هذه الرسائل أو العهود لا یعتنی بتحبیر أو تزویق فنّی، بل کان یؤدی غرضاً سیاسیاً فی صورة موجزة من غیر تکلّف أو صنعة</w:t>
      </w:r>
      <w:r>
        <w:rPr>
          <w:rStyle w:val="FootnoteAnchor"/>
          <w:rtl w:val="true"/>
        </w:rPr>
        <w:footnoteReference w:id="71"/>
      </w:r>
      <w:r>
        <w:rPr>
          <w:rFonts w:ascii="IRNazanin" w:hAnsi="IRNazanin" w:eastAsia="IRNazanin"/>
          <w:color w:val="111111"/>
          <w:sz w:val="28"/>
          <w:sz w:val="28"/>
          <w:szCs w:val="28"/>
          <w:rtl w:val="true"/>
          <w:lang w:bidi="fa-IR"/>
        </w:rPr>
        <w:t xml:space="preserve">، وهی بذلک قد خلت من السجع والبدیع اللفظی، 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لغة المحادثة والتخاطب</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62" w:name="pg5013_35250"/>
    </w:p>
    <w:p>
      <w:pPr>
        <w:pStyle w:val="BookText"/>
        <w:rPr/>
      </w:pPr>
      <w:bookmarkEnd w:id="62"/>
      <w:r>
        <w:rPr>
          <w:rFonts w:ascii="IRNazanin" w:hAnsi="IRNazanin" w:eastAsia="IRNazanin"/>
          <w:color w:val="111111"/>
          <w:sz w:val="28"/>
          <w:sz w:val="28"/>
          <w:szCs w:val="28"/>
          <w:rtl w:val="true"/>
          <w:lang w:bidi="fa-IR"/>
        </w:rPr>
        <w:t>وکذلک الحال فی عهد الخلفاء الراشدین؛ إذ لم یعتنوا فی رسائلهم أیَّ ضربٍ من ضروب التزیین والتنمیق، فهی کالرسائل التی عهدناها فی حیاة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أدَّت دورها فی بساطةٍ ویُسرِ علی المستوی اللّغوی دون صنعةٍ ولا غموض ٍ ولا کهانةٍ ولا لبسٍ</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فقد کان حسبهم أنْ یؤدّوا الغرض فی لغة جزلة متینة،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کانت المُکاتبات فی أواخر العهد الراشدی خاصّةً، مرحلة ممهِّدة لتطوُّر أدب الرسائل فی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اتَّسمت به من ومضات فنیّة رائعة، إذ کانت الفیض الذی ینهل من معینه کثیر من المترسِّلین فی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الأُموی</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507637_774463916"/>
      <w:bookmarkStart w:id="64" w:name="_Toc20"/>
      <w:bookmarkEnd w:id="63"/>
      <w:r>
        <w:rPr/>
        <w:t>2</w:t>
      </w:r>
      <w:r>
        <w:rPr>
          <w:rtl w:val="true"/>
        </w:rPr>
        <w:t xml:space="preserve">- </w:t>
      </w:r>
      <w:r>
        <w:rPr>
          <w:rtl w:val="true"/>
        </w:rPr>
        <w:t>الرسائل الفنیّة فی ثورة التوّابین وإمارة المختار</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تمیَّزت الرسائل فی العصر الأُموی بکثیرٍ من الخصائص الأُسلوبیة والسمات الفنیة، وهذه الخصائص والسمات کانت امتداداً لرسائل عصر صدر الإسلام، فقد توافقت فی شکلها العام من حیث البناء، ومن حیث بعض الأسالیب الفنیة</w:t>
      </w:r>
      <w:r>
        <w:rPr>
          <w:rStyle w:val="FootnoteAnchor"/>
          <w:rtl w:val="true"/>
        </w:rPr>
        <w:footnoteReference w:id="75"/>
      </w:r>
      <w:r>
        <w:rPr>
          <w:rFonts w:ascii="IRNazanin" w:hAnsi="IRNazanin" w:eastAsia="IRNazanin"/>
          <w:color w:val="111111"/>
          <w:sz w:val="28"/>
          <w:sz w:val="28"/>
          <w:szCs w:val="28"/>
          <w:rtl w:val="true"/>
          <w:lang w:bidi="fa-IR"/>
        </w:rPr>
        <w:t>، ولکن سمات التطور والإنضاج الفنی ما لبثت أنْ طرأت علی کثیر من تلک الرسائل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هناک العدید من العوامل التی أدَّت إلی هذا التطور الفنی،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تشعُّب مواضیع الرسائل وتنوّع أغراضها، وتولّی الکُتّاب إنشاء رسائلهم بأُسلوبهم وما عُرفوا به من الفصاحة، وکان الکُتّاب قد حظوا بالمکانة الرفیعة من الخلفاء؛ الأمر الذی جعلهم یتنافسون فیما بینهم فی الافتنان بأسالیب الکتابة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لأُسلوب القرآن الکریم فی نفوس هؤلاء أثره البالغ، فصار القرآن الکریم المعین الذی تنهل الرسائل منه کثیراً من معانیها وصورها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فأدَّت کلُّ هذه العوامل إلی تطوّر فن الرسائل فی هذا العصر، وعندها تمیَّزت تلک الرسائل بعدَّة خصائص أُسلوبیة من الضروری الإشارة إلیها؛ لأنّ هذه الخصائص هی 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فنّ المراسلة فی حِقبتی التوّابین والمختار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الخصائص هی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استعمال السجع وتعمّده أحیاناً، وهذا الملمح مهمٌّ جدّاً فی رسائل هذا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لأنَّه یدلُّ علی إنضاجها وتطوّرها، وقد اتضح ذلک کثیراً فی المکاتبات الفنیة الرسمیة وغیر الرسمیة، إذ حرص بعض المترسلین علی تعمّد استعمال حلیة السجع لمِا یحقّقه من تنغیم وإیقاع فی رسائلهم، وکان خیر مَن یُمثّل هذا الجانب المختار بن أبی عبید؛ لأنَّه قصد ذلک قصداً فی مکاتباته وخُطبه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اتّشاح الرسائل بغریب اللفظ، وهی من السمات الأُسلوبیة التی تمیَّزت بها رسائل هذا العصر، بل هی ظاهرة دلَّت علی التأنّق والإعداد لرسائل العصر الأُموی، وتتمثَّل هذه المیزة الأُسلوبیة کثیراً فی بعض رسائل المختار الثقفی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الإیقاع والتنغیم الموسیقی، إذ حرص المنشئون علی إظهار عناصر الإیقاع وألوان التنغیم الصوتی؛ کی یجعلوا نثرهم بالموقع الذی تهشُّ إلیه النفس، فعمدوا إلی تحقیق هذه الغایة باستعمال صیغ معیّنه، والجنوح إلی التوازن والترادف وغیرها، وهذا واضح فی معظم رسائل هاتین الحِقبتین، کما فی رسالة ابن صُرَد إلی سعد بن حذیفة بن الیمان، ورسالة المختار إلی الأحنف بن قیس</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الجنوح إلی الإطناب وبسط المعانی وتفریعها، وهذا ما تمثَّل فی رسالة سلمان بن صُرَد إلی سعد بن حذیفة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التحمیدات فی فصول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بالتحمیدات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الثَّناء والحمد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ظاهرة فنّیة مُتأتیة من العصر الإسلامی، بل سمة واضحة فی جمیع الرسائل التی احتوتها هاتان الحِقبتان، وهکذا تکون الرسائل التی وصلت إلینا من هاتین الحِقبتین غیر مختلفة فی طابعها عن خصائص الرسائل فی العصر الأُموی؛ فالرسائل التی وصلت إلینا من حِقبة التوّابین خمس رسائل، وهی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الخزاعی رسالتان</w:t>
      </w:r>
    </w:p>
    <w:p>
      <w:pPr>
        <w:pStyle w:val="BookText"/>
        <w:rPr/>
      </w:pPr>
      <w:r>
        <w:rPr>
          <w:rFonts w:ascii="IRNazanin" w:hAnsi="IRNazanin" w:eastAsia="IRNazanin"/>
          <w:color w:val="111111"/>
          <w:sz w:val="28"/>
          <w:sz w:val="28"/>
          <w:szCs w:val="28"/>
          <w:rtl w:val="true"/>
          <w:lang w:bidi="fa-IR"/>
        </w:rPr>
        <w:t>سعد بن حذیفة بن الیمان رسالة واحدة</w:t>
      </w:r>
    </w:p>
    <w:p>
      <w:pPr>
        <w:pStyle w:val="BookText"/>
        <w:rPr/>
      </w:pPr>
      <w:r>
        <w:rPr>
          <w:rFonts w:ascii="IRNazanin" w:hAnsi="IRNazanin" w:eastAsia="IRNazanin"/>
          <w:color w:val="111111"/>
          <w:sz w:val="28"/>
          <w:sz w:val="28"/>
          <w:szCs w:val="28"/>
          <w:rtl w:val="true"/>
          <w:lang w:bidi="fa-IR"/>
        </w:rPr>
        <w:t>المثنی بن محزبة العبدی رسالة واحدة</w:t>
      </w:r>
    </w:p>
    <w:p>
      <w:pPr>
        <w:pStyle w:val="BookText"/>
        <w:rPr/>
      </w:pPr>
      <w:r>
        <w:rPr>
          <w:rFonts w:ascii="IRNazanin" w:hAnsi="IRNazanin" w:eastAsia="IRNazanin"/>
          <w:color w:val="111111"/>
          <w:sz w:val="28"/>
          <w:sz w:val="28"/>
          <w:szCs w:val="28"/>
          <w:rtl w:val="true"/>
          <w:lang w:bidi="fa-IR"/>
        </w:rPr>
        <w:t>عبد الله بن یزید رسالة واحدة</w:t>
      </w:r>
    </w:p>
    <w:p>
      <w:pPr>
        <w:pStyle w:val="BookText"/>
        <w:rPr/>
      </w:pPr>
      <w:r>
        <w:rPr>
          <w:rFonts w:ascii="IRNazanin" w:hAnsi="IRNazanin" w:eastAsia="IRNazanin"/>
          <w:color w:val="111111"/>
          <w:sz w:val="28"/>
          <w:sz w:val="28"/>
          <w:szCs w:val="28"/>
          <w:rtl w:val="true"/>
          <w:lang w:bidi="fa-IR"/>
        </w:rPr>
        <w:t>أمّا حِقبة المختار الثقفی، فقد أُثر عنها ثمانی عشرة رسالة، بحسب ما روتها کتب التاریخ، وکانت هذه الرسائل موزَّعة بین المختار، ومناصریه ومناوئیه، وهذه الرسائل قد توزَّعت بحسب تدرَّجها الزمنی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بن أبی عبید الثقفی</w:t>
      </w:r>
    </w:p>
    <w:p>
      <w:pPr>
        <w:pStyle w:val="BookText"/>
        <w:rPr/>
      </w:pPr>
      <w:r>
        <w:rPr>
          <w:rFonts w:ascii="Amiri" w:hAnsi="Amiri" w:eastAsia="Amiri" w:cs="Amiri"/>
          <w:color w:val="111111"/>
          <w:sz w:val="28"/>
          <w:sz w:val="28"/>
          <w:szCs w:val="28"/>
          <w:rtl w:val="true"/>
          <w:lang w:bidi="ar-SA"/>
        </w:rPr>
        <w:t>اثنتا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رسالة</w:t>
      </w:r>
    </w:p>
    <w:p>
      <w:pPr>
        <w:pStyle w:val="BookText"/>
        <w:rPr/>
      </w:pPr>
      <w:r>
        <w:rPr>
          <w:rFonts w:ascii="IRNazanin" w:hAnsi="IRNazanin" w:eastAsia="IRNazanin"/>
          <w:color w:val="111111"/>
          <w:sz w:val="28"/>
          <w:sz w:val="28"/>
          <w:szCs w:val="28"/>
          <w:rtl w:val="true"/>
          <w:lang w:bidi="fa-IR"/>
        </w:rPr>
        <w:t>محمد بن الحنفیة</w:t>
      </w:r>
    </w:p>
    <w:p>
      <w:pPr>
        <w:pStyle w:val="BookText"/>
        <w:rPr/>
      </w:pPr>
      <w:r>
        <w:rPr>
          <w:rFonts w:ascii="IRNazanin" w:hAnsi="IRNazanin" w:eastAsia="IRNazanin"/>
          <w:color w:val="111111"/>
          <w:sz w:val="28"/>
          <w:sz w:val="28"/>
          <w:szCs w:val="28"/>
          <w:rtl w:val="true"/>
          <w:lang w:bidi="fa-IR"/>
        </w:rPr>
        <w:t>ثلاث رسائل</w:t>
      </w:r>
    </w:p>
    <w:p>
      <w:pPr>
        <w:pStyle w:val="BookText"/>
        <w:rPr/>
      </w:pPr>
      <w:r>
        <w:rPr>
          <w:rFonts w:ascii="IRNazanin" w:hAnsi="IRNazanin" w:eastAsia="IRNazanin"/>
          <w:color w:val="111111"/>
          <w:sz w:val="28"/>
          <w:sz w:val="28"/>
          <w:szCs w:val="28"/>
          <w:rtl w:val="true"/>
          <w:lang w:bidi="fa-IR"/>
        </w:rPr>
        <w:t>عبد الرحمن بن سعید بن قیس</w:t>
      </w:r>
      <w:r>
        <w:rPr>
          <w:rStyle w:val="FootnoteAnchor"/>
          <w:rtl w:val="true"/>
        </w:rPr>
        <w:footnoteReference w:id="7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واحدة </w:t>
      </w:r>
      <w:bookmarkStart w:id="65" w:name="pg5013_35253"/>
    </w:p>
    <w:p>
      <w:pPr>
        <w:pStyle w:val="BookText"/>
        <w:rPr/>
      </w:pPr>
      <w:bookmarkEnd w:id="65"/>
      <w:r>
        <w:rPr>
          <w:rFonts w:ascii="IRNazanin" w:hAnsi="IRNazanin" w:eastAsia="IRNazanin"/>
          <w:color w:val="111111"/>
          <w:sz w:val="28"/>
          <w:sz w:val="28"/>
          <w:szCs w:val="28"/>
          <w:rtl w:val="true"/>
          <w:lang w:bidi="fa-IR"/>
        </w:rPr>
        <w:t>عبد الله بن الزبیر</w:t>
      </w:r>
    </w:p>
    <w:p>
      <w:pPr>
        <w:pStyle w:val="BookText"/>
        <w:rPr/>
      </w:pPr>
      <w:r>
        <w:rPr>
          <w:rFonts w:ascii="Amiri" w:hAnsi="Amiri" w:eastAsia="Amiri" w:cs="Amiri"/>
          <w:color w:val="111111"/>
          <w:sz w:val="28"/>
          <w:sz w:val="28"/>
          <w:szCs w:val="28"/>
          <w:rtl w:val="true"/>
          <w:lang w:bidi="ar-SA"/>
        </w:rPr>
        <w:t>رسالة واحدة</w:t>
      </w:r>
    </w:p>
    <w:p>
      <w:pPr>
        <w:pStyle w:val="BookText"/>
        <w:rPr/>
      </w:pPr>
      <w:r>
        <w:rPr>
          <w:rFonts w:ascii="IRNazanin" w:hAnsi="IRNazanin" w:eastAsia="IRNazanin"/>
          <w:color w:val="111111"/>
          <w:sz w:val="28"/>
          <w:sz w:val="28"/>
          <w:szCs w:val="28"/>
          <w:rtl w:val="true"/>
          <w:lang w:bidi="fa-IR"/>
        </w:rPr>
        <w:t>عبد الله بن عمر</w:t>
      </w:r>
    </w:p>
    <w:p>
      <w:pPr>
        <w:pStyle w:val="BookText"/>
        <w:rPr/>
      </w:pPr>
      <w:r>
        <w:rPr>
          <w:rFonts w:ascii="Amiri" w:hAnsi="Amiri" w:eastAsia="Amiri" w:cs="Amiri"/>
          <w:color w:val="111111"/>
          <w:sz w:val="28"/>
          <w:sz w:val="28"/>
          <w:szCs w:val="28"/>
          <w:rtl w:val="true"/>
          <w:lang w:bidi="ar-SA"/>
        </w:rPr>
        <w:t>رسالة واحدة</w:t>
      </w:r>
    </w:p>
    <w:p>
      <w:pPr>
        <w:pStyle w:val="BookText"/>
        <w:rPr/>
      </w:pPr>
      <w:r>
        <w:rPr>
          <w:rFonts w:ascii="IRNazanin" w:hAnsi="IRNazanin" w:eastAsia="IRNazanin"/>
          <w:color w:val="111111"/>
          <w:sz w:val="28"/>
          <w:sz w:val="28"/>
          <w:szCs w:val="28"/>
          <w:rtl w:val="true"/>
          <w:lang w:bidi="fa-IR"/>
        </w:rPr>
        <w:t>وقد تفاوتت هذه الرسائل کذلک من حیث الطول والقُصر، فقد تکون الرسالة قصیرة جدّاً کما فی رسالة المختار إلی عبد الله بن عمر</w:t>
      </w:r>
      <w:r>
        <w:rPr>
          <w:rStyle w:val="FootnoteAnchor"/>
          <w:rtl w:val="true"/>
        </w:rPr>
        <w:footnoteReference w:id="80"/>
      </w:r>
      <w:r>
        <w:rPr>
          <w:rFonts w:ascii="IRNazanin" w:hAnsi="IRNazanin" w:eastAsia="IRNazanin"/>
          <w:color w:val="111111"/>
          <w:sz w:val="28"/>
          <w:sz w:val="28"/>
          <w:szCs w:val="28"/>
          <w:rtl w:val="true"/>
          <w:lang w:bidi="fa-IR"/>
        </w:rPr>
        <w:t>، ورسالة الأخیر إلی عبد الله بن یزید وإبراهیم بن طلحة</w:t>
      </w:r>
      <w:r>
        <w:rPr>
          <w:rStyle w:val="FootnoteAnchor"/>
          <w:rtl w:val="true"/>
        </w:rPr>
        <w:footnoteReference w:id="81"/>
      </w:r>
      <w:r>
        <w:rPr>
          <w:rFonts w:ascii="IRNazanin" w:hAnsi="IRNazanin" w:eastAsia="IRNazanin"/>
          <w:color w:val="111111"/>
          <w:sz w:val="28"/>
          <w:sz w:val="28"/>
          <w:szCs w:val="28"/>
          <w:rtl w:val="true"/>
          <w:lang w:bidi="fa-IR"/>
        </w:rPr>
        <w:t>، وکذلک رسالة عبد الرحمن بن سعید إلی المختار، وردّ المختار علیه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القصر فی هذه الرسائل مردَّه إلی الحال غیر المستقرة، والظروف القلقة المحیطة بکلّ من المرسِل والمرسَل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یقف قصر بعض هذه الرسائل عند هذا الحدِّ، بل قد تقتص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کثیراً حتی تتحوَّل إلی إشارة خاطفة أو رأی من الآراء أو توجیه یوجّهه المرسِل، کما فی رسالة المختار إلی عبد الرحمن بن سعید التی لم تتجاوز بعضاً من الکلمات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507639_774463916"/>
      <w:bookmarkStart w:id="67" w:name="_Toc21"/>
      <w:bookmarkEnd w:id="66"/>
      <w:r>
        <w:rPr>
          <w:rtl w:val="true"/>
        </w:rPr>
        <w:t>ثالثاً</w:t>
      </w:r>
      <w:r>
        <w:rPr>
          <w:rtl w:val="true"/>
        </w:rPr>
        <w:t xml:space="preserve">: </w:t>
      </w:r>
      <w:r>
        <w:rPr>
          <w:rtl w:val="true"/>
        </w:rPr>
        <w:t>العهود والوصایا فی ثورة التوّابین وإمارة المختار</w:t>
      </w:r>
      <w:bookmarkEnd w:id="67"/>
    </w:p>
    <w:p>
      <w:pPr>
        <w:pStyle w:val="BookText"/>
        <w:rPr/>
      </w:pPr>
      <w:r>
        <w:rPr>
          <w:rFonts w:ascii="Amiri" w:hAnsi="Amiri" w:eastAsia="Amiri" w:cs="Amiri"/>
          <w:color w:val="111111"/>
          <w:sz w:val="28"/>
          <w:sz w:val="28"/>
          <w:szCs w:val="28"/>
          <w:rtl w:val="true"/>
          <w:lang w:bidi="ar-SA"/>
        </w:rPr>
        <w:t>تعرّف العهود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تکالیف تجیء فی صَفِّ المبایعات، ومرابط المواثیق، یُقصد بها ضمان القول بالاتفاق، والتَّعاون، والنّصرة، أو التَّهادُن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وُجِدَت العهود فی العصر الجاهلی علی شکل نوع من التحالف بین القبائل</w:t>
      </w:r>
      <w:r>
        <w:rPr>
          <w:rStyle w:val="FootnoteAnchor"/>
          <w:rtl w:val="true"/>
        </w:rPr>
        <w:footnoteReference w:id="85"/>
      </w:r>
      <w:r>
        <w:rPr>
          <w:rFonts w:ascii="IRNazanin" w:hAnsi="IRNazanin" w:eastAsia="IRNazanin"/>
          <w:color w:val="111111"/>
          <w:sz w:val="28"/>
          <w:sz w:val="28"/>
          <w:szCs w:val="28"/>
          <w:rtl w:val="true"/>
          <w:lang w:bidi="fa-IR"/>
        </w:rPr>
        <w:t xml:space="preserve">، لکن لقلَّة الکتابة والتدوین کان أکثرها یبقی عالقاً فی بال الأطراف المتعاقدة، فلمّا جاء </w:t>
      </w:r>
    </w:p>
    <w:p>
      <w:pPr>
        <w:pStyle w:val="BookText"/>
        <w:rPr/>
      </w:pPr>
      <w:r>
        <w:rPr>
          <w:rFonts w:ascii="Amiri" w:hAnsi="Amiri" w:eastAsia="Amiri" w:cs="Amiri"/>
          <w:color w:val="111111"/>
          <w:sz w:val="28"/>
          <w:sz w:val="28"/>
          <w:szCs w:val="28"/>
          <w:rtl w:val="true"/>
          <w:lang w:bidi="ar-SA"/>
        </w:rPr>
        <w:t>الإسلام کانت هذه العهود قد دُوّنت؛ لأنَّ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 أقام دولةً مستقرَّةً کَثُر فیها التدوین، وأصبحت الحیاة تتطلَّب ذلک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استمرَّت کتابة العهود فی العصر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التوّابین وإمارة المختار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تخرج عما کانت علیه فی عصر قبل الإسلام أو الإسلامی، ولقد وصل إلینا من هذه العهود، الدُّعاء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ردَّدته جماعات التوّابین یوم الوقوف علی قبر الحسین قبل ملاقاة العدوّ، ِفکان ذلک کالعهد قطعه التوّابون علی أنفسهم، فیه یُشْهِدُون الله علی أنّهم خرجوا ثأراً للحسین، وتوبةً من عظیم جرمهم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الکلام الذی ردَّده المختار الثقفی علی 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أیضاً کالعهد الذی قطعه متوعّداً بالثأر لدمه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ویتمیز هذان العهدان بکونهما قد جاءا شفاهاً، یضمن القائلان قولهم بالنُّصرة للأمام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والأخذ بثأره من قاتلیه، یرافق ذلک الشعور بالنَّدم علی قتله، والتباکی المثیر للأشجان، والاستشعار بعدم جدوی الحیاة، والاستعداد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العهد الذی قطعه المختار بالأمان لعمر بن سعد بن أبی وقاص، فقد جاء مکتوباً، ولم یخرج هذا العهد عن کتب العهد المعروفة فی الإسلام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الوصایا، فقد جاء أغلبها فی هاتین الحِقبتین ضمن الخُطب والرسائل، وفیها یبدو الخطیب أو المترسِّل، موصیاً واعظاً، وهذا یشابه ما کانت علیه بعض خُطب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کخُطبته فی حَجَّة الوداع التی اشتملت علی مجموعة من الوصایا، </w:t>
      </w:r>
    </w:p>
    <w:p>
      <w:pPr>
        <w:pStyle w:val="BookText"/>
        <w:rPr/>
      </w:pPr>
      <w:r>
        <w:rPr>
          <w:rFonts w:ascii="IRNazanin" w:hAnsi="IRNazanin" w:eastAsia="IRNazanin"/>
          <w:color w:val="111111"/>
          <w:sz w:val="28"/>
          <w:sz w:val="28"/>
          <w:szCs w:val="28"/>
          <w:rtl w:val="true"/>
          <w:lang w:bidi="fa-IR"/>
        </w:rPr>
        <w:t>ومن هذه الخُطب والرسائل التی جاءت مفعمة بالوصایا هی بعض خُطب سلیمان بن صُرَد، ورسالة عبد الله بن یزید إلی ابن صُرَد، وخُطبة یزید بن أنس فی أصحابه، وخُطبة إبراهیم بن الأشتر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أُثرت أربع وصایا خالصة، أی لم تقع ضمن خُطبة أو رسالة،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وصیّتان للمختار إلی إبراهیم الأشتر</w:t>
      </w:r>
      <w:r>
        <w:rPr>
          <w:rStyle w:val="FootnoteAnchor"/>
          <w:rtl w:val="true"/>
        </w:rPr>
        <w:footnoteReference w:id="91"/>
      </w:r>
      <w:r>
        <w:rPr>
          <w:rFonts w:ascii="IRNazanin" w:hAnsi="IRNazanin" w:eastAsia="IRNazanin"/>
          <w:color w:val="111111"/>
          <w:sz w:val="28"/>
          <w:sz w:val="28"/>
          <w:szCs w:val="28"/>
          <w:rtl w:val="true"/>
          <w:lang w:bidi="fa-IR"/>
        </w:rPr>
        <w:t>، ووصیَّة المختار إلی یزید بن أنس</w:t>
      </w:r>
      <w:r>
        <w:rPr>
          <w:rStyle w:val="FootnoteAnchor"/>
          <w:rtl w:val="true"/>
        </w:rPr>
        <w:footnoteReference w:id="92"/>
      </w:r>
      <w:r>
        <w:rPr>
          <w:rFonts w:ascii="IRNazanin" w:hAnsi="IRNazanin" w:eastAsia="IRNazanin"/>
          <w:color w:val="111111"/>
          <w:sz w:val="28"/>
          <w:sz w:val="28"/>
          <w:szCs w:val="28"/>
          <w:rtl w:val="true"/>
          <w:lang w:bidi="fa-IR"/>
        </w:rPr>
        <w:t>، ووصیَّة لیزید بن أنس لأصحابه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68" w:name="pg5013_35256"/>
    </w:p>
    <w:p>
      <w:pPr>
        <w:pStyle w:val="Heading3"/>
        <w:numPr>
          <w:ilvl w:val="2"/>
          <w:numId w:val="1"/>
        </w:numPr>
        <w:rPr/>
      </w:pPr>
      <w:bookmarkStart w:id="69" w:name="__RefHeading___Toc507641_774463916"/>
      <w:bookmarkStart w:id="70" w:name="_Toc22"/>
      <w:bookmarkEnd w:id="68"/>
      <w:bookmarkEnd w:id="69"/>
      <w:r>
        <w:rPr>
          <w:rtl w:val="true"/>
        </w:rPr>
        <w:t xml:space="preserve">المبحث الثانی </w:t>
      </w:r>
      <w:r>
        <w:rPr>
          <w:rtl w:val="true"/>
        </w:rPr>
        <w:t>:</w:t>
      </w:r>
      <w:r>
        <w:rPr>
          <w:rtl w:val="true"/>
        </w:rPr>
        <w:t>موارد النثر الفنی فی ثورة التوّابین وإمارة المختار</w:t>
      </w:r>
      <w:bookmarkEnd w:id="70"/>
    </w:p>
    <w:p>
      <w:pPr>
        <w:pStyle w:val="Heading4"/>
        <w:numPr>
          <w:ilvl w:val="3"/>
          <w:numId w:val="1"/>
        </w:numPr>
        <w:rPr/>
      </w:pPr>
      <w:bookmarkStart w:id="71" w:name="__RefHeading___Toc507643_774463916"/>
      <w:bookmarkStart w:id="72" w:name="_Toc23"/>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کان الناثرون فی هاتین الحِقبتین قد اغترفوا من موارد عدّة واعتمدوها فی نثرهم، ولعلّ أکثرها بروزاً ثلاثة موارد رئیسة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73" w:name="__RefHeading___Toc507645_774463916"/>
      <w:bookmarkStart w:id="74" w:name="_Toc24"/>
      <w:bookmarkEnd w:id="73"/>
      <w:r>
        <w:rPr>
          <w:rtl w:val="true"/>
        </w:rPr>
        <w:t>أوّلاً</w:t>
      </w:r>
      <w:r>
        <w:rPr>
          <w:rtl w:val="true"/>
        </w:rPr>
        <w:t xml:space="preserve">: </w:t>
      </w:r>
      <w:r>
        <w:rPr>
          <w:rtl w:val="true"/>
        </w:rPr>
        <w:t>القرآن الکریم</w:t>
      </w:r>
      <w:bookmarkEnd w:id="74"/>
    </w:p>
    <w:p>
      <w:pPr>
        <w:pStyle w:val="Heading5"/>
        <w:numPr>
          <w:ilvl w:val="4"/>
          <w:numId w:val="1"/>
        </w:numPr>
        <w:rPr/>
      </w:pPr>
      <w:bookmarkStart w:id="75" w:name="__RefHeading___Toc507647_774463916"/>
      <w:bookmarkStart w:id="76" w:name="_Toc25"/>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یُعدُّ القرآن الکریم المورد العذب الذی ینهل منه الأُدباء والکُتّاب والشعراء، بل مصدر ثقافة المسلمین الدینیة والعقلیة والاجتماعیة والأدبیة ؛ ذلک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خشونة الطباع عذوبةً وسلاسةً، وبدَّل حوشیَّة الألسنة سهولةً ووضوحاً وبلاغةً، وأورث العرب دقَّةً فی التفکیر، وقوَّةً فی التَّعبیر، وجمالاً فی التَّصویر، ورقَّةً فی الأُسلوب، وروعةً فی الحجَّة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ومنذ أن نزل فی أُمَّة العرب بهرهم بیانه وأُسلوبه، وأَخذ بألبابهم بحسن وقع جرسه، وأسَّر نفوسهم بجمال لفظه وبراعة صوره وروعة أدائه، ثمّ کان شغف العلماء </w:t>
      </w:r>
    </w:p>
    <w:p>
      <w:pPr>
        <w:pStyle w:val="BookText"/>
        <w:rPr/>
      </w:pPr>
      <w:r>
        <w:rPr>
          <w:rFonts w:ascii="IRNazanin" w:hAnsi="IRNazanin" w:eastAsia="IRNazanin"/>
          <w:color w:val="111111"/>
          <w:sz w:val="28"/>
          <w:sz w:val="28"/>
          <w:szCs w:val="28"/>
          <w:rtl w:val="true"/>
          <w:lang w:bidi="fa-IR"/>
        </w:rPr>
        <w:t>والمفکّرین کشف السّر الذی یحمله إعجازه، فأینعت الآراء والأفکار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أحسن ممَّن وصف هذا الکتاب العظیم سیّد البلغاء وربیب مدرسة القرآن والنبوة،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وصفه فی خُطبة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علیه الکتاب نوراً لا تُطفأ مصابیحه، وسراجاً لا یخبو توقّده، وبحراً لا یُدرک قعره، ومنهاجاً لا یضلُّ نهجه، وشعاعاً لا یظلم ضوؤه، وفرقاناً لا یخمد 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جعله الله ریّاً لعطش العلماء، وربیعاً لقلوب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وبرهانا لمَن تکلَّم به، وشاهداً لمَن خاصم به، وفلجاً لَمن حاجّ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 لَمن وعی، وحدیثاً لمَن روی، وحُکماً لمَن قضی</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فمنذُ أن نزل القرآن الکریم علی قلب الرسول الأمین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له الأثر البالغ فی النثر العربی،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معیناً للأُدباء ینهلون منه ویقتبسون، ویسعون إلی محاکاة أُسلوبه، وکان أثره فی النثر أبرز منه فی الشعر</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أثره واضحاً فی خُطب ورسائل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الأُموی، سواء من حیث الأُسلوب والصیاغة، أو من حیث الأفکار والمعانی؛ وذلک لأنَّ کثرة الأحزاب السیاسیة واختلاف منازعاتها واتجاهاتها، إنَّما کانت مرتبطة بالدین أشدّ الارتباط فی هذا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وادعاء کلّ فرقةٍ أنَّ هدفها نصرة الدین وإعلاء کلمته، ومن هنا کانت الخُطب والرسائل وغیرها من الفنون النثریة مزدحمة بالأفکار الإسلامیة، والمعانی القرآنیة فی هذا العصر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استحوذ هذا الکتاب السماوی علی أداء الخُطباء والمترسلین؛ لأنَّ أُسلوبه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الجزالة والسّلاسة والقوَّة والعذوبة، ضمَّ البلاغة من أطرافها فهو السّحر السَّاحر، والنّور </w:t>
      </w:r>
    </w:p>
    <w:p>
      <w:pPr>
        <w:pStyle w:val="BookText"/>
        <w:rPr/>
      </w:pPr>
      <w:r>
        <w:rPr>
          <w:rFonts w:ascii="IRNazanin" w:hAnsi="IRNazanin" w:eastAsia="IRNazanin"/>
          <w:color w:val="111111"/>
          <w:sz w:val="28"/>
          <w:sz w:val="28"/>
          <w:szCs w:val="28"/>
          <w:rtl w:val="true"/>
          <w:lang w:bidi="fa-IR"/>
        </w:rPr>
        <w:t>الباهر، والحقّ السّاطع، والصّدق المبین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فأخذوا یحاکون أُسلوبه، ویترسَّمون خطاه، ویقتبسون من آیاته لیزیّنوا بها نتاجهم الأدبی، فیضیفوا علیه طابع الجزالة والرصانة والرونق والبهاء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الخُطباء، فقد کانوا یکثرون الاقتباس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والمهارة فی وضع الآیات بالمواضع الملائمة لها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عمد الخُطباء إلی الاقتباس؛ لأنّهم متذوّقون لبلاغة القرآن، فهم یجدون فی هذه الآیات تعبیراً صادقاً عمَّا یُریدون أن یقولوا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الجاحظ أنَّ الخُطباء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یستحسنون أن یکون فی الخُطب یوم الحفل، وفی الکلام یوم الجمع آیٍ من القرآن؛ فإنَّ ذلک ممّا یُورث الکلام البهاء والوقار، والرقَّة، وسلس الموقع</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وذکر أنَّ الخُطبة التی تخلو من آیات القرآن قد سُمّیت بالشوهاء</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الرسائل، فلم تکن أقلّ شأناً آنذاک من الخُطب فی تأثرها بالقرآن الکریم واحتذاء أُسلوبه، وترسُّم معانیه، فقد برع المترسّلون فی مُکاتباتهم بالنصوص القرآنیة، تأکیداً لِما یسوقه الکاتب من آراء أو تقویة لحجَّة ما</w:t>
      </w:r>
      <w:r>
        <w:rPr>
          <w:rStyle w:val="FootnoteAnchor"/>
          <w:rtl w:val="true"/>
        </w:rPr>
        <w:footnoteReference w:id="102"/>
      </w:r>
      <w:r>
        <w:rPr>
          <w:rFonts w:ascii="IRNazanin" w:hAnsi="IRNazanin" w:eastAsia="IRNazanin"/>
          <w:color w:val="111111"/>
          <w:sz w:val="28"/>
          <w:sz w:val="28"/>
          <w:szCs w:val="28"/>
          <w:rtl w:val="true"/>
          <w:lang w:bidi="fa-IR"/>
        </w:rPr>
        <w:t xml:space="preserve">، وکانت هذه السمة الأُسلوبیة فی فن الترسُّل هی امتداد لمِا عهده فن الترسُّل فی عصر صدر الإسلام والخلفاء الراشدین؛ إذ إنَّ الکُتّاب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تأثَّروا بالقرآن الکریم الذی ترک آثاراً واضحةً فی توجهات بلاغة العربی وفصاحته، فکان الاقتباس من آی الذکر الحکیم، وکان الصدور عن الحس الدینی العام، وکان التأثّر الواضح ببلاغته فی تجنّب الغریب الوحشی مع الحرص علی وضوح المقصد والإقناع</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77" w:name="pg5013_35259"/>
    </w:p>
    <w:p>
      <w:pPr>
        <w:pStyle w:val="BookText"/>
        <w:rPr/>
      </w:pPr>
      <w:bookmarkEnd w:id="77"/>
      <w:r>
        <w:rPr>
          <w:rFonts w:ascii="IRNazanin" w:hAnsi="IRNazanin" w:eastAsia="IRNazanin"/>
          <w:color w:val="111111"/>
          <w:sz w:val="28"/>
          <w:sz w:val="28"/>
          <w:szCs w:val="28"/>
          <w:rtl w:val="true"/>
          <w:lang w:bidi="fa-IR"/>
        </w:rPr>
        <w:t>وعموماً، فقد کان تأثیر القرآن الکریم متبلوراً فی طرائق المترسّلین؛ إذ کان هذا واضحاً فی رسائل أصحاب المذاهب ورؤساء النِحل الدینیة، حتی أضحی القرآن الکریم معیناً تنهل منه الرسائل کثیراً من معانیها، وتستمد من فیضه ذلک العطاء الخصْب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العامل السیاسی المتمثّل بکثرة الأحزاب السیاسیة من العوامل المهمَّة فی کثرة التّراسلات الفنیة، وإنَّ هذه الأحزاب السیاسیة قد ارتبطت ارتباطاً مباشراً بالدین؛ ذلک أنَّ کلّ حزب یدّعی أنَّه ناصرٌ له، فکان تأثیر القرآن عندها واضحاً فی تلک الرسائل، کما کان هذا واضحاً فی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ثورة التوّابین وإمارة المختار الثقفی إنَّما قامتا علی اعتبار سیاسی عقائدی، فإنَّ غایتها الأُولی والأخیرة هی التمسُّک بقیم القرآن والسُّنة النبویة وإرجاع الحقِّ إلی أهله الشرعیین، ومن هذا المنطلق کان القرآن الکریم هو المصدر الأوَّل من مصادر نثر هاتین الحِقبتین، فأخذ الخُطباء والمترسّلون فیهما یقتبسون من آیاته، ویحتذون أُسلوبه، تأییداً لفکرةٍ، أو دحضاً لرأی، أو تزییناً وتنمیقاً لأُسلوب، وسوف یعرض البحث أنماط التأثیر القرآنی فی خُطب هاتین الحِقبتین ورسائلهما</w:t>
      </w:r>
      <w:r>
        <w:rPr>
          <w:rFonts w:eastAsia="IRNazanin" w:cs="IRNazanin"/>
          <w:color w:val="111111"/>
          <w:sz w:val="28"/>
          <w:szCs w:val="28"/>
          <w:rtl w:val="true"/>
          <w:lang w:bidi="fa-IR"/>
        </w:rPr>
        <w:t>.</w:t>
      </w:r>
    </w:p>
    <w:p>
      <w:pPr>
        <w:pStyle w:val="Heading5"/>
        <w:numPr>
          <w:ilvl w:val="4"/>
          <w:numId w:val="1"/>
        </w:numPr>
        <w:rPr/>
      </w:pPr>
      <w:bookmarkStart w:id="78" w:name="__RefHeading___Toc507649_774463916"/>
      <w:bookmarkStart w:id="79" w:name="_Toc26"/>
      <w:bookmarkEnd w:id="78"/>
      <w:r>
        <w:rPr/>
        <w:t>1</w:t>
      </w:r>
      <w:r>
        <w:rPr>
          <w:rtl w:val="true"/>
        </w:rPr>
        <w:t xml:space="preserve">- </w:t>
      </w:r>
      <w:r>
        <w:rPr>
          <w:rtl w:val="true"/>
        </w:rPr>
        <w:t>الاقتباس القرآنی</w:t>
      </w:r>
      <w:bookmarkEnd w:id="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الاقتباس فی اللغة مأخوذ من القبس،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شعلة من نار تقتبسها مِن مُعْظَم، واقتباسها الأخذ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بِشِهَابٍ قَبَسٍ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علیٍّ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أوْرِی قبساً لِقابسِ، أی أظهر نوراً من الحقّ لطالبه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واقتبست منه علماً أیضاً، أی استفدته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وفی الاصطلاح، فقد عرَّفه القلقشندی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یُضمَّن الکلام شیئاً من القرآن، ولا ینبَّه علیه</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ویجب أنْ لا یذکر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أو نحوه، فإنَّ ذلک حینئذٍ لا یکون اقتباساً</w:t>
      </w:r>
      <w:r>
        <w:rPr>
          <w:rStyle w:val="FootnoteAnchor"/>
          <w:rtl w:val="true"/>
        </w:rPr>
        <w:footnoteReference w:id="108"/>
      </w:r>
      <w:r>
        <w:rPr>
          <w:rFonts w:ascii="Amiri" w:hAnsi="Amiri" w:eastAsia="Amiri" w:cs="Amiri"/>
          <w:color w:val="111111"/>
          <w:sz w:val="28"/>
          <w:sz w:val="28"/>
          <w:szCs w:val="28"/>
          <w:rtl w:val="true"/>
          <w:lang w:bidi="ar-SA"/>
        </w:rPr>
        <w:t xml:space="preserve">، وقد خُصَّ الاقتباس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تمیُّزاً له عن سائر الکلام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والاقتباس من التعابیر الجاهزة التی یستعملها الناثر داخل الترکیب، وهی تؤدی سمة جمالیة ومعنویة داخل الأُسلوب، فهی من الناحیة الجمالیة تُضفی علی الصورة ألواناً، ومن الناحیة المعنویة تُضفی علی الدلالة عمقاً وتأصیلاً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الاقتباس بکثرة فی خُطب ورسائل الحِقبتین حتی أصبح میزة أُسلوبیة فنیة تشترک فیها معظم تلکم الخُطب والرسائل، من ذلک ما جاء فی خُطبة سلیمان بن صُرَد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أُثْنی علی الله خَیْراً، وأحمد آلاءَه وبلاءَهَ، وأشهدُ أنْ لا إله إلّا الله، وأنّ محُمّداً رسولُه، أمَّا بعدُ، فإنّی والله لخائفٌ إلّا یکون آخِرُنا إلی هذا الدَّهر الذی نَکِدَت فیه المَعیشة، وَعَظُمَت فیه الرَّزیة، وشَمِلَ فیه الجَورُ أولی الفضل مِن هذه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ترجعوا إلی الحلائل والأبناء حتی یرضی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کالأولی مِن بنی إسرائیلَ إذْ قال لهم نبیّهم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ظَلَمْتُمْ أَنْفُسَکُمْ بِاتِّخَاذِکُمُ الْعِجْلَ فَتُوبُوا إِلَی بَارِئِکُمْ فَاقْتُلُوا أَنْفُسَکُمْ ذَلِکُمْ خَیْرٌ لَکُمْ عِنْدَ بَارِئِکُمْ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فَعلَ القوم؟ جَثَوا علی الرُکبْ والله، ومدُّوا الأعناق ورَضُوا بالقضاء حتی حین عَلمُوا أنَّه لا یُنجِیهم مِن عظیمِ الذَّنب إلا الصَّبرَ علی القتل، فکیفَ بِکُم لو قدْ دُعیتُ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إلی مِثلِ ما دُعِیَ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إلیه؟ 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حَذوا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یوف، ورکّبوا الأسنَّة،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الْخَیْلِ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فی هذه الخُطبة اقتباسین قرآنیین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کان لآیة من سورة البقرة،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إذ أراد الخطیب أن یستثمر من قصَّة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قومه، فکان غرضه أن یُشبّه قومه ونفسه بأصحاب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سَمّوا أنفسهم بالتوّابین؛ لأنَّهم تابوا من عظیم جرمهم، حینما دعوا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ینصروه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والاقتباس الثانی کان من سورة الأنفال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وَآخَرِینَ مِنْ دُونِهِمْ لَا تَعْلَمُونَهُمُ اللَّهُ یَعْلَمُهُمْ وَمَا تُنْفِقُوا مِنْ شَیْءٍ فِی سَبِیلِ اللَّهِ یُوَفَّ إِلَیْکُمْ وَأَنْتُمْ لَا تُظْلَمُونَ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وأراد بهذا الاقتباس أیضاً أن یشحذ الهمم قبل شحذ السیوف وترکیب الأسنّة، لعلمه بتأثیر الأُسلوب القرآنی، فهو أقوی وأعمق فی النفوس، کیف لا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العرب رونقه، وخلب ألبابهم جرسه ووقعه، وملک نفوسهم ما فیه من جمال اللّفظ، وبراعة الصورة، وسمو البیان، وروعة الأداء</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الأداء البدیعی فی اقتباس الآیات الکریمة، والمهارة فی إحکام وضعها موضعاً ملائماً فی الکلام، لهو دلیلٌ واضحٌ علی ملکة الخطیب وإلمامه بالمضمونات القرآنیّة، حتی نجدها قد ملأت قلبه، وانسابت علی لسانه انسیاباً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یکن ابن صُرَد یعْمد إلی الاقتباس القرآنی فی خُطبه فقط، وإنَّما نجد هذا واضحاً </w:t>
      </w:r>
    </w:p>
    <w:p>
      <w:pPr>
        <w:pStyle w:val="BookText"/>
        <w:rPr/>
      </w:pPr>
      <w:r>
        <w:rPr>
          <w:rFonts w:ascii="Amiri" w:hAnsi="Amiri" w:eastAsia="Amiri" w:cs="Amiri"/>
          <w:color w:val="111111"/>
          <w:sz w:val="28"/>
          <w:sz w:val="28"/>
          <w:szCs w:val="28"/>
          <w:rtl w:val="true"/>
          <w:lang w:bidi="ar-SA"/>
        </w:rPr>
        <w:t>فی رسائله، فمن ذلک ما جاء فی رسالته التی بعث بها إلی سعد بن حذیفة بن الیمان التی جاء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أولیاءَ الله مِنْ إخوانِکُم وشیعةِ آل نبیّکم، نظروا لأنفسِهِم فیما ابتُلوا به مِن أمر ابنِ بِنتِ نَبیّهم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وبعینِ الله ما یَعْمَلون، وإلی الله ما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فالمهارة الفائقة للخطیب تکمن فی وضع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مع ما سبقها من کلام له فواصل مماثلة لفاصلة الآیة المنتهیة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 والنون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کی یحقِّق الانسجام الصوتی بین العبارات، حتی تنساب متتابعة، من دون تعقید أو تلکّؤ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تفسیر کثرة الاقتباسات وتأثر المنشئ وشغفه بأُسلوب القرآن الکریم، بأنَّه کان صحابیاً</w:t>
      </w:r>
      <w:r>
        <w:rPr>
          <w:rStyle w:val="FootnoteAnchor"/>
          <w:rtl w:val="true"/>
        </w:rPr>
        <w:footnoteReference w:id="117"/>
      </w:r>
      <w:r>
        <w:rPr>
          <w:rFonts w:ascii="IRNazanin" w:hAnsi="IRNazanin" w:eastAsia="IRNazanin"/>
          <w:color w:val="111111"/>
          <w:sz w:val="28"/>
          <w:sz w:val="28"/>
          <w:szCs w:val="28"/>
          <w:rtl w:val="true"/>
          <w:lang w:bidi="fa-IR"/>
        </w:rPr>
        <w:t>صحب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وتأثر به وبدعوته الإسلامیة، فکان لا بدَّ من أن یترک ذلک أثراً وظلالاً علی هذا الرجل، ومن الطبیعی أنّ تکون آیات القرآن الکریم ومعانیه ماثلة فی ذهنه ووجدانه، وهذا ینمُّ عن استیعابه وتذوّقه للنص القرآنی، فإذا ما أراد شیئاً من القرآن لم یتکلّفه، بل یأتیه متی ما أراده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من الاقتباس القرآنی أیضاً کان فی خُطبة محمد بن الحنفیة حین قدِمَ علیه عبد الرحمن بن شریح یسأله عن مصداق دعوة المختار الثقفی، فجاء فی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ذکرتُم ممّا خَصَّصنا الله بهِ مِنْ فَضلٍ، فإنَّ الله یؤتیهِ مَنْ یشاء واللهُ ذو الفضلِ العَظیم، فللهِ الحَمدُ، وأمَّا ما ذکرتُم مِنْ مصیبتنا بحُسینٍ، فإنَّ ذلک کانَ فی الذّکرِ الحکیم، وهیَ ملحمةٌ کُتِبَتْ علیه، وکرامةٌ أهْداها الله لهُ، رَفَعَ بما کان مِنها درجاتِ قومٍ عندهُ، ووضع بها آخرین، </w:t>
      </w:r>
    </w:p>
    <w:p>
      <w:pPr>
        <w:pStyle w:val="BookText"/>
        <w:rPr/>
      </w:pPr>
      <w:r>
        <w:rPr>
          <w:rFonts w:ascii="Amiri" w:hAnsi="Amiri" w:eastAsia="Amiri" w:cs="Amiri"/>
          <w:color w:val="111111"/>
          <w:sz w:val="28"/>
          <w:sz w:val="28"/>
          <w:szCs w:val="28"/>
          <w:rtl w:val="true"/>
          <w:lang w:bidi="ar-SA"/>
        </w:rPr>
        <w:t>وکان أمرُ الله مفعولاً، وکانَ أمرُ الله قَدَرَاً مَقْدُورَاً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أنَّ الاقتباس القرآنی قد وقع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یؤتیه مَن یشاء والله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فَضْلُ اللَّهِ یُؤْتِیهِ مَنْ یَشَاءُ وَاللَّهُ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الاقتباس الثانی نجده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أمر الله مفعولاً، وکان أمر الله قدراً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وَکَانَ أَمْرُ اللَّهِ قَدَرًا مَقْدُورًا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فنجد أنَّ هذا النص بما احتوی من اقتباسات قرآنیة، قد کشف لنا عن جانب من جوانب تمرُّس الخطیب، وتمکُّنه فی الاختیار والتوزیع، وذلک من خلال انتقاء اقتباسین متفرّقین یحملان دلالة متقاربة، یتحدَّث الأوَّل منها عن إیتاء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علی مَن یشاء من عباده الصالحین، ویعنی به فضل آل البیت من ناحیة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شرَّفهم بمنزلتهم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العظیم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الثانی عن إتیان الکرامة والفضل للإمام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واستشهاده من أجل إحیاء دین الله القویم، فکان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قضاه علیه مفعولاً، ویقول الدکتور محمد أبو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أَمْرُ اللَّهِ قَدَرًا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صِیْغَ علی طریقة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وکید، فهو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ألیَل، ویومٌ أیوَم، وظلٌ ظلیل، فهو توکید لنفاذ ما قدَّره الله وقضاه، وحین تقارن بین قوله فی الآیة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أَمْرُ اللَّهِ قَدَرًا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تلحظ أنَّ الفاصلة الثانیة أوکد من الأُولی؛ وذلک لأنَّ ما قرَّرته آیة الفاصلة </w:t>
      </w:r>
    </w:p>
    <w:p>
      <w:pPr>
        <w:pStyle w:val="BookText"/>
        <w:rPr/>
      </w:pPr>
      <w:r>
        <w:rPr>
          <w:rFonts w:ascii="IRNazanin" w:hAnsi="IRNazanin" w:eastAsia="IRNazanin"/>
          <w:color w:val="111111"/>
          <w:sz w:val="28"/>
          <w:sz w:val="28"/>
          <w:szCs w:val="28"/>
          <w:rtl w:val="true"/>
          <w:lang w:bidi="fa-IR"/>
        </w:rPr>
        <w:t>الثانیة أشمل وأکثر للأعباء والصعاب التی یواجهها النبیّون وأهل البلاغ؛ لأنَّها تشمل کلُّ ما یتّصل بذلک من أذًی، وعناء، فناسبها التَّوکید الذی یُقرّر أنَّ ذلک قدر هؤلاء، وأنَّهم منتهون إلی الفوز حتماً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التحلیل الذی قال به الدکتور أبو موسی یتَّضح لنا، أنَّ الخطیب کان حاذقاً فی انتقائه لهذه الآیات المبارکة، وإیداعها فی خُطبتهِ إیداعاً موفَّقاً، وما یتأتَّی ذلک إلّا لَمن وعی آیات القرآن تأمُّلاً وتدبُّراً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الاقتباسات القرآنیة ما جاء فی رسالة عبد الله بن یزید إلی ابن صُرَدْ طالباً منه الرجوع هو وأصحابه عن قتال الجیش الأُموی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مِنْ عَبْدِ اللهِ بن یَزیدَ إلی سلیمانَ بن صُرَدْ ومَنْ مَعَهُ مِنَ المسلمین، سلامٌ علیکم، أمَّا بعدُ، فإنَّ کتابی هذا إلیکم کتابُ ناصح ٍذی إرعاء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قومنا لا تُطْمِعُوا عدوّکُم فی أهل بلادکم، فإنّکم خیارٌ کلّکم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إِنْ یَظْهَرُوا عَلَیْکُمْ یَرْجُمُوکُمْ أَوْ یُعِیدُوکُمْ فِی مِلَّتِهِمْ وَلَنْ تُفْلِحُوا إِذًا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قومنا إنَّ أیدینا وأیدکم الیوم واحدة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فالاقتباس واضح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إِنْ یَظْهَرُوا عَلَیْکُمْ یَرْجُمُوکُمْ أَوْ یُعِیدُوکُمْ فِی مِلَّتِهِمْ وَلَنْ تُفْلِحُوا إِذًا أَبَدًا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اختیاره فی هذا الموضع مقصوداً فیه؛ لأنَّه یحتوی علی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متلائماً مع ما سبقه، أو جاء بعده من جمل تصدَّرت بأداة النداء ما جعل درج الکلام واحداً متناسقاً فی العبارة، فلم یکن متکلَّفاً ثقیلاً، بل جاء عن فطرة وطبع سلیم، فنسق العبارة مع الاقتباس القرآنی جاء منساباً علی لسانه وتمازج مع خاطره، وما کان ذلک إلّا عن </w:t>
      </w:r>
    </w:p>
    <w:p>
      <w:pPr>
        <w:pStyle w:val="BookText"/>
        <w:rPr/>
      </w:pPr>
      <w:r>
        <w:rPr>
          <w:rFonts w:ascii="IRNazanin" w:hAnsi="IRNazanin" w:eastAsia="IRNazanin"/>
          <w:color w:val="111111"/>
          <w:sz w:val="28"/>
          <w:sz w:val="28"/>
          <w:szCs w:val="28"/>
          <w:rtl w:val="true"/>
          <w:lang w:bidi="fa-IR"/>
        </w:rPr>
        <w:t xml:space="preserve">تأثر بالقرآن الکریم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روح الفطرة اللغویّة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وجه الکمال اللغویّ الذی عرف أرواحهم، واطّلع علی قلوبهم</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أیضاً فی خُطبة مصعب بن الزبیر الذی ألقاها حین قدم إلی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لقتال المختار، وقد اعتمد فیها علی القرآن وحده، وعندها جاء باختیار الآیات المعبّرة،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نَتْلُو عَلَیْکَ مِنْ نَبَإِ مُوسَی وَفِرْعَوْنَ بِالْحَقِّ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فِرْعَوْنَ عَلَا فِی الْأَرْضِ وَجَعَلَ أَهْلَهَا شِیَعًا یَسْتَضْعِفُ طَائِفَةً مِنْهُمْ یُذَبِّحُ أَبْنَاءَهُمْ وَیَسْتَحْیِی نِسَاءَهُمْ إِنَّهُ کَانَ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بیده نحو الحجاز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وَنُمَکِّنَ لَهُمْ فِی الْأَرْضِ وَنُرِیَ فِرْعَوْنَ وَهَامَانَ وَجُنُودَهُمَا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وأشار بیده نحو العراق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الاقتباس فی صدر النص واستمر حتی توّزع علی أسیقته کاملة حتی خاتمته، وإنَّما کان کذلک حتی یُضفی علی کلامه طابع الفخامة والجزالة والرونق؛ لکی یشدَّ المتلقَّی إلیه ویدعوه إلی التواصل الفکری مع تراکیبه اللغویة والقرآنیة المکوّنة للنص، ولاسیّما إذا کانت الفقرات اللاحقة للنص المقتبس هی کیان دلالی واحد؛ کونه مقتبساً من سورة واحدة، وبآیاتها المتتالیة المتناسقة، وقد أراد الخطیب من هذا الاقتباس أیضاً أنْ یُشبّه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أُمیة بفرعون فی الطُّغیان والاعتداء علی حقِّ الحیاة، وتکهَّن بأنَّ الزبیریین الذین یُنَکِّل بهم بنو أُمیة هم الذین سینزعون الملک منهم ویرثونهم، وبأنَّ العراق سیکون مقرَّ ملکهم، وبأنَّ بنی أُمیة سیصطلون من نار الزبیریّین ما کانوا یخشونه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80" w:name="pg5013_35266"/>
    </w:p>
    <w:p>
      <w:pPr>
        <w:pStyle w:val="BookText"/>
        <w:rPr/>
      </w:pPr>
      <w:bookmarkEnd w:id="80"/>
      <w:r>
        <w:rPr>
          <w:rFonts w:ascii="IRNazanin" w:hAnsi="IRNazanin" w:eastAsia="IRNazanin"/>
          <w:color w:val="111111"/>
          <w:sz w:val="28"/>
          <w:sz w:val="28"/>
          <w:szCs w:val="28"/>
          <w:rtl w:val="true"/>
          <w:lang w:bidi="fa-IR"/>
        </w:rPr>
        <w:t xml:space="preserve">ومن هنا یتَّضح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الأمثلة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الاقتباس القرآنی کان مقصوداً من الخُطباء والمترسِّلین؛ لیؤدّی أغراضاً بعینها هی کامنة، وعندها کانوا ماهرین فی وضع الآیات بالمواضع الملائمة لها من الخُطب والرسائل</w:t>
      </w:r>
      <w:r>
        <w:rPr>
          <w:rFonts w:eastAsia="IRNazanin" w:cs="IRNazanin"/>
          <w:color w:val="111111"/>
          <w:sz w:val="28"/>
          <w:szCs w:val="28"/>
          <w:rtl w:val="true"/>
          <w:lang w:bidi="fa-IR"/>
        </w:rPr>
        <w:t>.</w:t>
      </w:r>
    </w:p>
    <w:p>
      <w:pPr>
        <w:pStyle w:val="Heading5"/>
        <w:numPr>
          <w:ilvl w:val="4"/>
          <w:numId w:val="1"/>
        </w:numPr>
        <w:rPr/>
      </w:pPr>
      <w:bookmarkStart w:id="81" w:name="__RefHeading___Toc507651_774463916"/>
      <w:bookmarkStart w:id="82" w:name="_Toc27"/>
      <w:bookmarkEnd w:id="81"/>
      <w:r>
        <w:rPr/>
        <w:t>2</w:t>
      </w:r>
      <w:r>
        <w:rPr>
          <w:rtl w:val="true"/>
        </w:rPr>
        <w:t xml:space="preserve">- </w:t>
      </w:r>
      <w:r>
        <w:rPr>
          <w:rtl w:val="true"/>
        </w:rPr>
        <w:t>الاستشهاد بالآیات القرآنیَّة</w:t>
      </w:r>
      <w:bookmarkEnd w:id="82"/>
    </w:p>
    <w:p>
      <w:pPr>
        <w:pStyle w:val="BookText"/>
        <w:rPr/>
      </w:pPr>
      <w:r>
        <w:rPr>
          <w:rFonts w:ascii="IRNazanin" w:hAnsi="IRNazanin" w:eastAsia="IRNazanin"/>
          <w:color w:val="111111"/>
          <w:sz w:val="28"/>
          <w:sz w:val="28"/>
          <w:szCs w:val="28"/>
          <w:rtl w:val="true"/>
          <w:lang w:bidi="fa-IR"/>
        </w:rPr>
        <w:t>یختلف الاستشهاد بالآیات القرآنیة عن الاقتباس القرآنی، بأنَّ الأخیر تُذکر الآیة ولا یُذکر أنَّها من القرآن، فی حین أنَّ الاستشهاد یکون بقول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 ذلک، وقد أشار ابن معصوم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الأخذ من القرآن اقتباساً إذا قال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w:t>
      </w:r>
      <w:r>
        <w:rPr>
          <w:rStyle w:val="FootnoteAnchor"/>
          <w:rtl w:val="true"/>
        </w:rPr>
        <w:footnoteReference w:id="127"/>
      </w:r>
      <w:r>
        <w:rPr>
          <w:rFonts w:ascii="Amiri" w:hAnsi="Amiri" w:eastAsia="Amiri" w:cs="Amiri"/>
          <w:color w:val="111111"/>
          <w:sz w:val="28"/>
          <w:sz w:val="28"/>
          <w:szCs w:val="28"/>
          <w:rtl w:val="true"/>
          <w:lang w:bidi="ar-SA"/>
        </w:rPr>
        <w:t>، فإذا لم یکن الأخذ علی هذه الشاکلة اقتباساً؛ فلم یبقَ إلّا أن یکون استشهاداً بالآیات القرآنیة، وقد ورد مثل هذا الاستشهاد فی خُطبة المسیَّب بن نجبة الفزاری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فإنّا قدْ ابتُلینا بطولِ العُمر، والتَّعرُّض لأنواع الفِتن، فنرغبُ إلی رَبّنا ألّا یَجعلنا مِمَّن یقولُ 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نُعَمِّرْکُمْ مَا یَتَذَکَّرُ فِیهِ مَنْ تَذَکَّرَ وَجَاءَکُمُ النَّذِیرُ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استشهد الخطیب بآی الذّکر الحکیم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یَصْطَرِخُونَ فِیهَا رَبَّنَا أَخْرِجْنَا نَعْمَلْ صَالِحًا غَیْرَ الَّذِی کُنَّا نَعْمَلُ أَوَلَمْ نُعَمِّرْکُمْ مَا یَتَذَکَّرُ فِیهِ مَنْ تَذَکَّرَ وَجَاءَکُمُ النَّذِیرُ فَذُوقُوا فَمَا لِلظَّالِمِینَ مِنْ نَصِیرٍ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هذا الاستشهاد تنبیهاً للسامع بما تحمل هذه الآیة من مضمونات دلالیة، وتذکیره بذلک الموقف الصعب الذی یقف فیه العباد أمام ربهم؛ لیسألهم عما أقدموا علیه، وهنا أورده حتی یأخذ المتلقی مراجعة نفسه ومحاسبتها، بما بدر عنها من قصور أو تقصیر، وإذا ما عرفنا أنَّ الخطیب کان یُفرغ زفرات همومه وندمه علی خذلانه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 xml:space="preserve">وأضرابه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وتقصیرهم تجاه قضیة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لنا سبب ذلک الاستشهاد بهذه الآیة الکریمة من دون سواها؛ لأنَّه فی معرض الدعاء مع ربّه ألّا یجعله یوم القیامة فی ذلک الموقف الذی یُسأل عنه العباد فی تقصیرهم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یری فی قتل قاتلی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والموالین لهم أو القتل فی سبیل ذلک هی السبیل الوحیدة التی تدرأ عنهم ذلک السؤال یوم القیامة، والرضوان من الله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عُذْرَ دُون أنْ تَقْتُلُوا قاتِلَه والموالینَ علیه أو تُقْتَلُوا فی طلَبِ ذلک، فعسی ربّنا أن یَرضَی عَنَّا عِنْدَ ذلک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جاء من الآیات القرآنیة علی سبیل الاستشهاد کان فی رسالة سلیمان بن صُرَد إلی عبد الله بن یزید،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للأمیر عبد الله بن یزید مِنْ سلیمان ابِنْ صُرَدْ ومَنْ معَهُ من المؤمِنین، سلامٌ علیک،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قرأنا کتابَکَ، وفَهِمْنا ما نَویت، فَنِعَ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والله الوالی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الله عزَّ 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وَالنَّاهُونَ عَنِ الْمُنْکَرِ وَالْحَافِظُونَ لِحُدُودِ اللَّهِ وَبَشِّرِ الْمُؤْمِنِینَ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استشهد المرسِل بهاتین الآیتین الطویلتین إلی حدٍّ ما، وفی ذلک دلیلٌ علی إلمامه بالنص القرآنی، وحفظه آیاته، وکان هذا شأن ابن صُرَد فیما یرتجله من خُطب أو ما یحبّره من رسائل</w:t>
      </w:r>
      <w:r>
        <w:rPr>
          <w:rFonts w:eastAsia="IRNazanin" w:cs="IRNazanin"/>
          <w:color w:val="111111"/>
          <w:sz w:val="28"/>
          <w:szCs w:val="28"/>
          <w:rtl w:val="true"/>
          <w:lang w:bidi="fa-IR"/>
        </w:rPr>
        <w:t xml:space="preserve">. </w:t>
      </w:r>
      <w:bookmarkStart w:id="83" w:name="pg5013_35268"/>
    </w:p>
    <w:p>
      <w:pPr>
        <w:pStyle w:val="BookText"/>
        <w:rPr/>
      </w:pPr>
      <w:bookmarkEnd w:id="83"/>
      <w:r>
        <w:rPr>
          <w:rFonts w:ascii="IRNazanin" w:hAnsi="IRNazanin" w:eastAsia="IRNazanin"/>
          <w:color w:val="111111"/>
          <w:sz w:val="28"/>
          <w:sz w:val="28"/>
          <w:szCs w:val="28"/>
          <w:rtl w:val="true"/>
          <w:lang w:bidi="fa-IR"/>
        </w:rPr>
        <w:t>ومن هذا الاستشهاد تتحقّق وظیفته الأُسلوبیة، ففی الوقت الذی یحقّق فیه وظیفة دلالیة، فإنَّه یحمل وظیفة نفسیة من خلال إقناع المتلقی بمشروعیة قضیتهم التی عقدوا العزم علیها وصمَّموا لتأدیتها، وکان ذلک من خلال هذا الاستشهاد القرآنی، وبهذه الآیات التی یتحدّث فیها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الجهاد، الذی سنّه علی المسلمین دفاعاً عن الحقّ فی مواجهة الباطل</w:t>
      </w:r>
      <w:r>
        <w:rPr>
          <w:rFonts w:eastAsia="IRNazanin" w:cs="IRNazanin"/>
          <w:color w:val="111111"/>
          <w:sz w:val="28"/>
          <w:szCs w:val="28"/>
          <w:rtl w:val="true"/>
          <w:lang w:bidi="fa-IR"/>
        </w:rPr>
        <w:t>.</w:t>
      </w:r>
    </w:p>
    <w:p>
      <w:pPr>
        <w:pStyle w:val="Heading5"/>
        <w:numPr>
          <w:ilvl w:val="4"/>
          <w:numId w:val="1"/>
        </w:numPr>
        <w:rPr/>
      </w:pPr>
      <w:bookmarkStart w:id="84" w:name="__RefHeading___Toc507653_774463916"/>
      <w:bookmarkStart w:id="85" w:name="_Toc28"/>
      <w:bookmarkEnd w:id="84"/>
      <w:r>
        <w:rPr/>
        <w:t>3</w:t>
      </w:r>
      <w:r>
        <w:rPr>
          <w:rtl w:val="true"/>
        </w:rPr>
        <w:t xml:space="preserve">- </w:t>
      </w:r>
      <w:r>
        <w:rPr>
          <w:rtl w:val="true"/>
        </w:rPr>
        <w:t>محاکاة أُسلوب القرآن الکریم</w:t>
      </w:r>
      <w:bookmarkEnd w:id="85"/>
    </w:p>
    <w:p>
      <w:pPr>
        <w:pStyle w:val="BookText"/>
        <w:rPr/>
      </w:pPr>
      <w:r>
        <w:rPr>
          <w:rFonts w:ascii="IRNazanin" w:hAnsi="IRNazanin" w:eastAsia="IRNazanin"/>
          <w:color w:val="111111"/>
          <w:sz w:val="28"/>
          <w:sz w:val="28"/>
          <w:szCs w:val="28"/>
          <w:rtl w:val="true"/>
          <w:lang w:bidi="fa-IR"/>
        </w:rPr>
        <w:t xml:space="preserve">من صور التأثیر القرآنی محاکاة أُسلوبه واستعارة عبارته وألفاظه وطرائق تعبیره، واستلهام معانیه، وکان هذا شائعاً فی خُطب ورسائل الحِقبتین، وهو دلیلٌ علی إعجاب الخُطباء والمترسّلین بأُسلوب القرآن الکریم ورغبتهم بمحاکاته،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یتهیّأ ذلک إلّا لمَن کانت آیات القرآن تنساب علی لسانه انسیاباً، وترسخ معانیه فی ذهنه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 وعندها نجد أنَّ محاکاة أُسلوبه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آخر من مظاهر التّأثّر القرآنی، فقد بلغ من إعجاب الأُدباء بهذا الأُسلوب أن نهجوا نهجه فی بعض عباراتهم؛ إذ توخّوا محاکاة ألفاظه وتعابیره وطریقة أَدائِه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وکانت تلک المحاکاة علی نمطین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علی ألفاظ القرآن کما هی، مع تصرُّف یسیر فی صیاغتها، أی أنّ الخطیب أو المترسّل یأتی ببعض الآیات الکریمة من النص القرآنی، ویتصرَّف ببعض ألفاظها، تحویلاً إلی تراکیب جدیدة تکون معزَّزة دلالیاً بتوظیف المعانی القرآنیة بألفاظها المنقولة من النص</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علی معانی النص القرآنی من دون صیاغته،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الخطیب أو </w:t>
      </w:r>
    </w:p>
    <w:p>
      <w:pPr>
        <w:pStyle w:val="BookText"/>
        <w:rPr/>
      </w:pPr>
      <w:r>
        <w:rPr>
          <w:rFonts w:ascii="IRNazanin" w:hAnsi="IRNazanin" w:eastAsia="IRNazanin"/>
          <w:color w:val="111111"/>
          <w:sz w:val="28"/>
          <w:sz w:val="28"/>
          <w:szCs w:val="28"/>
          <w:rtl w:val="true"/>
          <w:lang w:bidi="fa-IR"/>
        </w:rPr>
        <w:t>المترسّل علی استمداد واستیحاء المعانی القرآنیة، وإفراغها فی بُنی ترکیبیة جدیدة ذات دلالات قائمة علی المعانی المستلة من ذلک النص</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کان بعض الخُطباء والمترسّلین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یستمدُّون من القرآن الکریم بعض المعانی، یجرونها علی ألسنتهم عامدین؛ لیفخّموا بها أقوالهم، ویجتذبوا نفوس سامعیهم، أو غیر عامدین أن یقتبسوا هذه المعانی، وإنَّما جرت علی ألسنتهم؛ لأنَّهم حفاظ قد فهموا ما حفظوا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جاء علی النمط الأوَّل کان فی قول یزید بن أنس الأسدی فی خُطبةٍ له، محرضاً أصحاب المختار لملاقاة جند ابن مطیع الوالی الزبیری،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الشّیعة، قد کُنْتُمْ تُقْتَلون وتُقطَّعْ أیدیکُم وأرجلُکُم، وتُسْمَل أعینکم، وتُرفَعون علی جذوعِ النخلِ فی حُبِّ أهل بیت نبیّکم؛ وأنتم مقیمون فی بیوتکم، وطاعة عدوّکم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فواضح أنَّ أُسلوبه کان مستمداً من أُسلوب القرآن الکریم، ومن الآیة الکریمة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وَأَرْجُلَکُمْ مِنْ خِلَافٍ وَلَأُصَلِّبَنَّکُمْ فِی جُذُوعِ النَّخْلِ وَلَتَعْلَمُنَّ أَیُّنَا أَشَدُّ عَذَابًا وَأَبْقَی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الاحتذاء الأُسلوبی للآیة یؤکد الخطیب مدی الظّلم الذی لحق بمعش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الشیعة من ولاة ذلک العصر، الذین نکَّلوا بهم وساموهم سوء العذاب، وهو بهذا یجتذب إلیه أذهان السامعین؛ لکی یلتفتوا لعظم الخطر المُحدق بهم، لو أنَّهم أدرکهم </w:t>
      </w:r>
    </w:p>
    <w:p>
      <w:pPr>
        <w:pStyle w:val="BookText"/>
        <w:rPr/>
      </w:pPr>
      <w:r>
        <w:rPr>
          <w:rFonts w:ascii="IRNazanin" w:hAnsi="IRNazanin" w:eastAsia="IRNazanin"/>
          <w:color w:val="111111"/>
          <w:sz w:val="28"/>
          <w:sz w:val="28"/>
          <w:szCs w:val="28"/>
          <w:rtl w:val="true"/>
          <w:lang w:bidi="fa-IR"/>
        </w:rPr>
        <w:t>أصحاب ابن مطیع، فالاستعداد لهم أولی، لکی لا تعود الصورة المأساویّة مرَّة أُخری، ولم یجد الخطیب سبیلاً من إیصال الدَّلالات وتکریسها إلّا باحتذاء الأُسلوب القرآنی، الذی یتمیَّز بالإبانة الموجزة المحکمة فی قوَّة المنطق، وصدق الحجَّة وبلوغ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النمط الثانی من محاکاة الأُسلوب القرآنی، وهو استمداد معانیه وإفراغها فی بُنی ترکیبیة جدیدة بقول المختار فی خُطبة لهُ حین شیَّع ابن الأشتر لقتال عبید الله بن زیاد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اسْتَقَمْتُمْ فَبِنَصْرِالله، وإنْ حُصْتُمْ حِیْصَةً فإنِّی أجدُ فی مُحْکَمِ الکِتَابِ، وفی الیقینِ والصوابِ، أنَّ اللهَ مؤیّدکم بملائکةٍ غِضَابٍ</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أنَّه أراد أن یثبِّت فؤاد ابن الأشتر وأصحابه، ویُطمئنهم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ناصرهم ومؤیّدهم بملائکة غضاب، فلم یجد بُدَّاً من أن ینهل من معانی الآیة الکریمة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تَقُولُ لِلْمُؤْمِنِینَ أَلَنْ یَکْفِیَکُمْ أَنْ یُمِدَّکُمْ رَبُّکُمْ بِثَلَاثَةِ آلَافٍ مِنَ الْمَلَائِکَةِ مُنْزَلِینَ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إِنْ تَصْبِرُوا وَتَتَّقُوا وَیَأْتُوکُمْ مِنْ فَوْرِهِمْ هَذَا یُمْدِدْکُمْ رَبُّکُمْ بِخَمْسَةِ آلَافٍ مِنَ الْمَلَائِکَةِ مُسَوِّمِینَ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فالارتشاف من معانی القرآن الکریم وتوظیفها فی هذا الموقف، کان له أثره البالغ فی نفسیة السامع لثبات عقیدته علی المجاهدة والصبر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رسالة المختار التی بعث بها إلی محمّد بن الحنفیة،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للمهدیّ محمَّد بن علیّ مِن المختار بن أَبی عُبَید، سلامٌ علیکَ یا أیُّها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بَعَثَنی نِقْمَةً علی أعدائِکم، فهم بیْنَ قتیلٍ وأسیرٍ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بعثتُ إلیکَ برأسِ عمر بن سعد وابنه، وقدْ قتلنا مَنْ شَرَکَ فی دمِ الحسین وأهلِ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یُعجزَ الله مَن بَقی، ولسْتُ </w:t>
      </w:r>
    </w:p>
    <w:p>
      <w:pPr>
        <w:pStyle w:val="BookText"/>
        <w:rPr/>
      </w:pPr>
      <w:r>
        <w:rPr>
          <w:rFonts w:ascii="Amiri" w:hAnsi="Amiri" w:eastAsia="Amiri" w:cs="Amiri"/>
          <w:color w:val="111111"/>
          <w:sz w:val="28"/>
          <w:sz w:val="28"/>
          <w:szCs w:val="28"/>
          <w:rtl w:val="true"/>
          <w:lang w:bidi="ar-SA"/>
        </w:rPr>
        <w:t>بِمُنْجِمٍ عَنْهم حتی لا یبلغْنی أنَّ علی أدیمِ الأرض مِنْهم أرمِیّاً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یعجز الله مَن بَقی، ولست بمُنجِمٍ عنهم حتی لا یبلغنی أنَّ علی أدیم الأرض منهم أرمیاً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 فی معناه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تقدَّم نجد أنّ المختار قد صاغ ضروباً متفرّقة من معانی الآیات القرآنیة، وذلک بما ینسجم مع مقتضیات المقام والحال التی هو فی صدَدِها، وهو بهذا یکشف عن براعته فی الإفادة من تلک المعانی القرآنیة العالیة وتسخیرها بالکیفیة التی یُرید، وإنَّ تلک الإفادة من المعانی، والسعی إلی تکریسها لهو مظهر من مظاهر التأثیر الکبیر من الخُطباء والمترسّلین فی هذا العصر ببدیع أُسلوب القرآن الکریم ونَظْمه وقوَّة 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یداور المعانی، ویُریغُ الأسالیب، ویخاطب الرّوح بمنطقها من ألوان الکلام لا من حروفه، وهو</w:t>
      </w:r>
    </w:p>
    <w:p>
      <w:pPr>
        <w:pStyle w:val="BookText"/>
        <w:rPr/>
      </w:pPr>
      <w:r>
        <w:rPr>
          <w:rFonts w:ascii="Amiri" w:hAnsi="Amiri" w:eastAsia="Amiri" w:cs="Amiri"/>
          <w:color w:val="111111"/>
          <w:sz w:val="28"/>
          <w:sz w:val="28"/>
          <w:szCs w:val="28"/>
          <w:rtl w:val="true"/>
          <w:lang w:bidi="ar-SA"/>
        </w:rPr>
        <w:t>یتألَّف النَّاس بهذه الخصوصیّة فیه، حتی ینتهی بهم ممَّا یفهمون إلی ما یجب أن یفهموا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اجتماع النمطین معاً من محاکاة النص القرآنی فی رسالة سلیمان بن صُرَد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فَاصْبِرُوا رَحِمَکُمُ اللهُ علی البأساءِ والضرَّاءِ وحینَ البأسِ، وتوبوا إلی اللهِ عن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التقوی أفضلُ الزَّادِ فی الدّنیا، وما سِوَی ذلکَ یبورُ ویَفْنَی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أحیانا الله وإیّاکم حیاةً طیّبةً، وأجارنا وإیَّاکم مِنَ النَّار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86" w:name="pg5013_35272"/>
    </w:p>
    <w:p>
      <w:pPr>
        <w:pStyle w:val="BookText"/>
        <w:rPr/>
      </w:pPr>
      <w:bookmarkEnd w:id="86"/>
      <w:r>
        <w:rPr>
          <w:rFonts w:ascii="Amiri" w:hAnsi="Amiri" w:eastAsia="Amiri" w:cs="Amiri"/>
          <w:color w:val="111111"/>
          <w:sz w:val="28"/>
          <w:sz w:val="28"/>
          <w:szCs w:val="28"/>
          <w:rtl w:val="true"/>
          <w:lang w:bidi="ar-SA"/>
        </w:rPr>
        <w:t>فقد استمدَّ ابن صُرَد ضروباً مختلفة من آی الذَّکر الحکیم، ووشَّح بها أُسلوبه لیُضفی علیه حُلّة بدیعیة تجتذب إلیها أسماع المتلقّین، فهو تارةً یعتمد علی آیات قرآنیة فی ألفاظها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 جزئیاً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فاصبروا رحمکم الله علی البأساء وَالضَّ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وحین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مأخوذ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الزَّکَاةَ وَالْمُوفُونَ بِعَهْدِهِمْ إِذَا عَاهَدُوا وَالصَّابِرِینَ فِی الْبَأْسَاءِ وَالضَّرَّاءِ وَحِینَ الْبَأْسِ أُولَئِکَ الَّذِینَ صَدَقُوا وَأُولَئِکَ هُمُ الْمُتَّقُونَ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یعتمد علی معانی النص القرآنی من دون صیاغته، فیُفرغها فی بُنی جدیدة تحمل دلالات النص القرآنی المعتمد، کمثل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التقوی أفضل الزاد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المعنی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أخوذ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وَتَزَوَّدُوا فَإِنَّ خَیْرَ الزَّادِ التَّقْوَی وَاتَّقُونِ یَا أُولِی الْأَلْبَابِ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أحیانا الله وإیّاکم حیاة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معنی مستمدٌّ ضمناَ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ذَکَرٍ أَوْ أُنْثَی وَهُوَ مُؤْمِنٌ فَلَنُحْیِیَنَّهُ حَیَاةً طَیِّبَةً وَلَنَجْزِیَنَّهُمْ أَجْرَهُمْ بِأَحْسَنِ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اعتمد ابنُ صُرَدْ علی ألفاظ ومعانی آیات متفرّقة من القرآن الکریم، فأحکم رصفها وتسخیرها حتی یُضفی علی أُسلوبه طابع الجزالة والرصانة؛ وذلک لیُمیل نحوه الأسماع، ویصرف إلیه الأنظار، ویأخذ بمجامع القلوب، ونجد أنَّ هذا التنویع فی التقاط أکبر عدد ممکن من الآیات دلالة واضحة علی تأثر المنشئ بآیات القرآن الکریم</w:t>
      </w:r>
      <w:r>
        <w:rPr>
          <w:rFonts w:eastAsia="IRNazanin" w:cs="IRNazanin"/>
          <w:color w:val="111111"/>
          <w:sz w:val="28"/>
          <w:szCs w:val="28"/>
          <w:rtl w:val="true"/>
          <w:lang w:bidi="fa-IR"/>
        </w:rPr>
        <w:t>.</w:t>
      </w:r>
    </w:p>
    <w:p>
      <w:pPr>
        <w:pStyle w:val="Heading4"/>
        <w:numPr>
          <w:ilvl w:val="3"/>
          <w:numId w:val="1"/>
        </w:numPr>
        <w:rPr/>
      </w:pPr>
      <w:bookmarkStart w:id="87" w:name="__RefHeading___Toc507655_774463916"/>
      <w:bookmarkStart w:id="88" w:name="_Toc29"/>
      <w:bookmarkEnd w:id="87"/>
      <w:r>
        <w:rPr>
          <w:rtl w:val="true"/>
        </w:rPr>
        <w:t>ثانیاً</w:t>
      </w:r>
      <w:r>
        <w:rPr>
          <w:rtl w:val="true"/>
        </w:rPr>
        <w:t xml:space="preserve">: </w:t>
      </w:r>
      <w:r>
        <w:rPr>
          <w:rtl w:val="true"/>
        </w:rPr>
        <w:t>نثر الرسول محمد</w:t>
      </w:r>
      <w:r>
        <w:rPr>
          <w:rtl w:val="true"/>
        </w:rPr>
        <w:t>(</w:t>
      </w:r>
      <w:r>
        <w:rPr>
          <w:rtl w:val="true"/>
        </w:rPr>
        <w:t xml:space="preserve">صلّی الله علیه و آله وسلّم </w:t>
      </w:r>
      <w:r>
        <w:rPr>
          <w:rtl w:val="true"/>
        </w:rPr>
        <w:t>)</w:t>
      </w:r>
      <w:bookmarkEnd w:id="88"/>
    </w:p>
    <w:p>
      <w:pPr>
        <w:pStyle w:val="Heading5"/>
        <w:numPr>
          <w:ilvl w:val="4"/>
          <w:numId w:val="1"/>
        </w:numPr>
        <w:rPr/>
      </w:pPr>
      <w:bookmarkStart w:id="89" w:name="__RefHeading___Toc507657_774463916"/>
      <w:bookmarkStart w:id="90" w:name="_Toc30"/>
      <w:bookmarkEnd w:id="89"/>
      <w:r>
        <w:rPr>
          <w:rtl w:val="true"/>
        </w:rPr>
        <w:t>اشارة</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أُثِرَ عن النبی الأکرم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ورسائل وعهود ووصایا، وما </w:t>
      </w:r>
    </w:p>
    <w:p>
      <w:pPr>
        <w:pStyle w:val="BookText"/>
        <w:rPr/>
      </w:pPr>
      <w:r>
        <w:rPr>
          <w:rFonts w:ascii="IRNazanin" w:hAnsi="IRNazanin" w:eastAsia="IRNazanin"/>
          <w:color w:val="111111"/>
          <w:sz w:val="28"/>
          <w:sz w:val="28"/>
          <w:szCs w:val="28"/>
          <w:rtl w:val="true"/>
          <w:lang w:bidi="fa-IR"/>
        </w:rPr>
        <w:t>صاحب ذلک من أقوال وآثار وأفکار إسلامیة، ومعانٍ قرآنیة، لم یکن العرب فی الجاهلیة قد ألفوا مثلها فی أدبهم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فالأدب فی عصر النبوة کان ینتمی بجمیع أنواعه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الإسلام، ویستمدُّ جمیع أُصوله منه، ویتأثّر به وحده فی کلِّ شیء، فی ألفاظه وأسالیبه، فی معانیه وأخیلته، فی صوره ومرائیه، فی أفکاره وثقافته، فهو أدبٌ یستمدُّ أفکارهُ وقیمهُ من الإسلام، ویُنسج علی منوال القرآن الکریم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کان المصدر الأوَّل فی کلّ تغییر علی الأدب العربی، وکان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اقتبس من آی الذکر الحکیم فی خُطبه ورسائله، بل حتی فی حدیثه العام، فقد کان یستمد معانیه منه، ویتمثَّل أُسلوبه لیدعم بها قوله، ولیزیده قوَّة ووضوحاً، فقد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یستعین بخلابة ولا تزویق، إذ برئت ألفاظه من الأغراب والتعقید والاستکراه</w:t>
      </w:r>
      <w:r>
        <w:rPr>
          <w:rStyle w:val="FootnoteAnchor"/>
          <w:rtl w:val="true"/>
        </w:rPr>
        <w:footnoteReference w:id="148"/>
      </w:r>
      <w:r>
        <w:rPr>
          <w:rFonts w:ascii="IRNazanin" w:hAnsi="IRNazanin" w:eastAsia="IRNazanin"/>
          <w:color w:val="111111"/>
          <w:sz w:val="28"/>
          <w:sz w:val="28"/>
          <w:szCs w:val="28"/>
          <w:rtl w:val="true"/>
          <w:lang w:bidi="fa-IR"/>
        </w:rPr>
        <w:t>، بل امتازت بسهولتها ووضوح معناها، وبلوغه المرام بأقص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السُّبل وأیس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بعیداً عن الصناعة اللفظیة والتکلُّف، مع المیل إلی الإیجاز</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أثَّر نثر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الأدب الذی جاء بعده، فسار الخلفاء الراشدون علی نهجه فی خُطبهم ورسائلهم، وبعد ذلک تأثَّرت الخُطب والرسائل فی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الأُموی به، فکان یَستمدُّ هذا الأدب جمیع مقوماته من الإسلام والقرآن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یهمُّ البحث هو تأثر النثر الفنّی فی حِقبتی التوّابین وإمارة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بالفکر الإسلامی الذی رسمه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نثره، ومدی استفادة </w:t>
      </w:r>
      <w:bookmarkStart w:id="91" w:name="pg5013_35274"/>
    </w:p>
    <w:p>
      <w:pPr>
        <w:pStyle w:val="BookText"/>
        <w:rPr/>
      </w:pPr>
      <w:bookmarkEnd w:id="91"/>
      <w:r>
        <w:rPr>
          <w:rFonts w:ascii="IRNazanin" w:hAnsi="IRNazanin" w:eastAsia="IRNazanin"/>
          <w:color w:val="111111"/>
          <w:sz w:val="28"/>
          <w:sz w:val="28"/>
          <w:szCs w:val="28"/>
          <w:rtl w:val="true"/>
          <w:lang w:bidi="fa-IR"/>
        </w:rPr>
        <w:t>الخُطباء والمترسّلین فی هاتین الحِقبتین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القراءة المتأنیة فی خُطب ورسائل الحِقبتین، وُجِدَ أنَّها قد تأثَّرت بشیء غیر قلیل من نثر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نهل الخُطباء والمترسّلون من موارد سُنَّته التی سنَّها فی أدبه، وتمثَّلوا روحها بکلّ ما تحمله فی تضاعیفها من أحادیث أو بناء فنّی کان یلتزمه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وسیکون الحدیث عن المورد الأوَّل الذی استقی منه هؤلاء الخُطباء والمترسّلون من سُنَّة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وهو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5"/>
        <w:numPr>
          <w:ilvl w:val="4"/>
          <w:numId w:val="1"/>
        </w:numPr>
        <w:rPr/>
      </w:pPr>
      <w:bookmarkStart w:id="92" w:name="__RefHeading___Toc507659_774463916"/>
      <w:bookmarkStart w:id="93" w:name="_Toc31"/>
      <w:bookmarkEnd w:id="92"/>
      <w:r>
        <w:rPr/>
        <w:t>‌</w:t>
      </w:r>
      <w:r>
        <w:rPr/>
        <w:t>1</w:t>
      </w:r>
      <w:r>
        <w:rPr>
          <w:rtl w:val="true"/>
        </w:rPr>
        <w:t xml:space="preserve"> - </w:t>
      </w:r>
      <w:r>
        <w:rPr>
          <w:rtl w:val="true"/>
        </w:rPr>
        <w:t>الحدیث النَّبوی الشَّریف</w:t>
      </w:r>
      <w:bookmarkEnd w:id="93"/>
    </w:p>
    <w:p>
      <w:pPr>
        <w:pStyle w:val="BookText"/>
        <w:rPr/>
      </w:pPr>
      <w:r>
        <w:rPr>
          <w:rFonts w:ascii="IRNazanin" w:hAnsi="IRNazanin" w:eastAsia="IRNazanin"/>
          <w:color w:val="111111"/>
          <w:sz w:val="28"/>
          <w:sz w:val="28"/>
          <w:szCs w:val="28"/>
          <w:rtl w:val="true"/>
          <w:lang w:bidi="fa-IR"/>
        </w:rPr>
        <w:t>کان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العرب لساناً، وأفصحهم بیاناً، وأصدقهم لهجةً، وأعذبهم أُسلوباً، وأروعهم حکمةً،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العرب فکانت بلاغته فی منزلتها بلاغة الذکر الحکیم، وهی البلاغة التی سجدت الأفکار لفصولها، وحسرت العقل دون غایاتها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عاش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وتنقَّل فی أخلص القبائل منطقاً وأعذبهم بیاناً، فقد ولد فی بنی هاشم، ونشأ فی قریش، واسترضع فی بنی سعد، فکانت فصاحته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بالإلهام والفیض، فلم یعانِها ولم یتکلّفها ولم یرتض لها، وإنّما أسلست له الألفاظ وأُسْمِحَت له المعانی، فلم یند فی لسانه لفظ، ولم یضطرب فی أُسلوبه عبارة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الجاحظ واصفاً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الکلام الذی قلَّ عددُ حروفه، وکثر عدد معانیه، وجلَّ عن الصنعة، ونزه عن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المبسوط فی موضع البسط، والمقصور فی موضع 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وهَجَر الغریب الوحشی، ورغب عن الهجین السّوقی، فلم </w:t>
      </w:r>
    </w:p>
    <w:p>
      <w:pPr>
        <w:pStyle w:val="BookText"/>
        <w:rPr/>
      </w:pPr>
      <w:r>
        <w:rPr>
          <w:rFonts w:ascii="Amiri" w:hAnsi="Amiri" w:eastAsia="Amiri" w:cs="Amiri"/>
          <w:color w:val="111111"/>
          <w:sz w:val="28"/>
          <w:sz w:val="28"/>
          <w:szCs w:val="28"/>
          <w:rtl w:val="true"/>
          <w:lang w:bidi="ar-SA"/>
        </w:rPr>
        <w:t>ینطق إلّا عن میراث حکمة، ولم یتکلَّم إلّا بکلام قد حُفَّ بالعصمة، وشیّد بالتأیید، ویُسّرَ بالتوفیق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یَسْمع الناس بکلام قطُّ أعمّ نفعاً، ولا أقصد لفظاً، ولا أعدل وزناً، ولا أجمل مذهباً، ولا أکرم مطلباً، ولا أحسن موقعاً، ولا أسهل مخرجاً، ولا أفصح معنًی، ولا أبین فی فحوًی من کلامه صلّی الله علیه وسلّم کثیراً</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ومن الطبیعی أن یکون الخُطباء والمترسّلون قد تأثروا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فاخذوا یحاکون أُسلوبه، وینهلون من معانیه، وربَّما کان المنشِئون یفعلون ذلک لیؤکّدوا صِحَّة مذهبهم وسلامة رأیهم، فکان واحدهم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کلامه علی أصل لا یزلزل، ویسوق مقاصده إلی سبیل لا یضلُّ عنه، فإنَّ الدلیل علی المقصد إذا أُسند إلی النص قویت فیه الحجَّة، وسلَّم له الخصم، وأذعن له المعاند، والفصاحة والبلاغة إذا طلبت غایتها فإنَّها بعد کتاب الله فی کلام مَن أُوتی جوامع الکلم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جاء علی سبیل التأثر بالحدیث النبوی الشریف واقتداء أُسلوبه، والأخذ بمعانیه فی خُطبة عبد الله بن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 أخو المسلمِ لا یخونه، ولا یغشُّه، وأنتم إخوانُنا، وأهلُ بلدنا، وأحبُّ أهلِ مصْر خَلَقَهُ اللهُ إلینا، فلا تُفْجِعونا بأنفُسکم، ولا تُنْقِصوا عدَدنا بخروجِکُم من جماعَتِنا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 أخو المسلم لا یخونه ولا یغشُّه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أو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یخذله ولا یخونه ولا یسلمه فی مصیبة نزلت به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وکذلک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له عن أبی موسی الأشعری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غشَّنا فلیس مِنَّا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المسلمین فلیس مِنْهم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ذکر الخطیب فی کلامه هذه الأحادیث الشریفة ضمناً، فکأنَّه قد وعی أحادیث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والتقط منها ما یناسب الموضوع الذی هو فی صدده، وما هذا إلّا دلیل علی المعرفة المستقصیة من الخطیب، بالأحادیث والقدرة علی الإفادة منها فی الوقت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 فقد أراد الخطیب بهذا لفت تنبّه السامع مع الحثّ علی التمسک بالأخلاق الحمیدة التی یجب أن یتحلَّی بها المسلم، والتی أکَّدها بالجمع من معانی أحادیث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خیانة المسلم أو غشّه، ثمّ قرن هذا الإخبار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المؤکدة لترسیخ الخبر فی ذهن السامع، ولیبدی الخطیب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المعانی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نیَّته فی عدم غشّ التوّابین أو خیانتهم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ونجد عند سلیمان بن صُرَد ترسُّماً لمعانی الحدیث الشریف واقتباساً لصورته فی خُطبته التی ألقاها أمام الثائرین،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الجهادَ سنامُ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وإیّاکم مِنَ</w:t>
      </w:r>
    </w:p>
    <w:p>
      <w:pPr>
        <w:pStyle w:val="BookText"/>
        <w:rPr/>
      </w:pPr>
      <w:r>
        <w:rPr>
          <w:rFonts w:ascii="Amiri" w:hAnsi="Amiri" w:eastAsia="Amiri" w:cs="Amiri"/>
          <w:color w:val="111111"/>
          <w:sz w:val="28"/>
          <w:sz w:val="28"/>
          <w:szCs w:val="28"/>
          <w:rtl w:val="true"/>
          <w:lang w:bidi="ar-SA"/>
        </w:rPr>
        <w:t>العباد الصَّالحیَن، المجاهدیَن الصَّابرین علی الَّلأواء</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ویمضی ابن صُرَد هنا فی الحثّ علی الجهاد وتزیینه فی قلوب الثائرین، مستعیناً بحدیث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حینما أخبر معاذ بن جبل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أنبأتک برأسِ الأمرِ وَعَمودِهِ وَذرْوَةِ 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رَأسُ الأمرِ فالإسلام، وأمَّا عمودهُ فالصلاة، وأما ذَرْوَةُ سَنامهِ فالجِهاد</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اقتبس ابنُ صُرَد من هذا الحدیث جملته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سنام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یناسب موضوع خُطبته، وکان اقتباساً موفقاً فی موضعه، والقول الذی ساقه ابنُ صُرَد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رفعة الجهاد وعلّوه، وبهذا یقول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الجهاد ذروة سنامه؛ لأنَّه یعدُّ الرأس أعلی مشارفه، وأرفع مراتبه، وبه یُشاد بناؤه، ویقام لواؤه، ویُقْمَع أعداؤه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الاقتباس یکون ابن صُرَد قد وصَّل مقاصده بدلیلٍ مفحمٍ من الحدیث؛ وذلک لیحثَّ السامع علی التفانی من أجل مجاهدة الظالمین، ولمَّا کان الجهاد أرفع الأعمال وأشرفها؛ بدلیل قول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سرعة انجازه وعدم التوانی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جاء علی سبیل الاحتذاء الأُسلوبی لأقوال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واستثمار معانیها فی الحال المناسبة ما جاء فی خُطبة المختار الثقفی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إنَّما أعملُ علی مثالٍ قد مثل لی، وأمرٍ قَد بُیّنَ لی، فیه عزُّ ولِیّکُمْ، وقَتْلُ عَدوّکُم،وشِفاءُ صدورِکم، فاسمعوا منّی قولی، وأطیعوا أمری، ثمّ أبشروا وتباشروا، فإنّی لکم بکلّ ما تأملون خیر زعیم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لکم بکلّ ما تأملون خیر زعیم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والزَّعیم هنا بمعنی الکفیل</w:t>
      </w:r>
      <w:r>
        <w:rPr>
          <w:rStyle w:val="FootnoteAnchor"/>
          <w:rtl w:val="true"/>
        </w:rPr>
        <w:footnoteReference w:id="163"/>
      </w:r>
      <w:r>
        <w:rPr>
          <w:rFonts w:ascii="IRNazanin" w:hAnsi="IRNazanin" w:eastAsia="IRNazanin"/>
          <w:color w:val="111111"/>
          <w:sz w:val="28"/>
          <w:sz w:val="28"/>
          <w:szCs w:val="28"/>
          <w:rtl w:val="true"/>
          <w:lang w:bidi="fa-IR"/>
        </w:rPr>
        <w:t>، فکأنّما یُرید المختار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سأحقّق هذه الغایة، وأنتقم من الظالمین، وأنا خیر کفیل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یذکّرنا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والزعیم الحمیل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آمن وأسلم وجاهد فی سبیل الله ببیتٍ فی رَبَض الجَنة، وببیتٍ فی وَسَط الجنة، وأنا زعیم لمَن آمن ببیتٍ فی وسط الجنة، وأنا زعیم لَمن آمن وأسلم وهاجر ببیتٍ فی ربض الجنة، وببیتٍ فی وسط </w:t>
      </w:r>
      <w:bookmarkStart w:id="94" w:name="pg5013_35278"/>
    </w:p>
    <w:p>
      <w:pPr>
        <w:pStyle w:val="BookText"/>
        <w:rPr/>
      </w:pPr>
      <w:bookmarkEnd w:id="94"/>
      <w:r>
        <w:rPr>
          <w:rFonts w:ascii="IRNazanin" w:hAnsi="IRNazanin" w:eastAsia="IRNazanin"/>
          <w:color w:val="111111"/>
          <w:sz w:val="28"/>
          <w:sz w:val="28"/>
          <w:szCs w:val="28"/>
          <w:rtl w:val="true"/>
          <w:lang w:bidi="fa-IR"/>
        </w:rPr>
        <w:t>الجنة، وببیت فی أعلی الجنة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استعان المختار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أوردها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بصورةٍ متکرَّرةٍ، کی یحقّق قصده منها فی إیصاله للمعانی والأفکار؛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الحدیث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 مألوفة ترتاح إلیها الأسماع، ویستسیغها فی النطق اللسان، ترقُّ فی موضع اللین، وتجزل حین یقتض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الأمر الجزالة، تراعی مقتضی الحال، فتؤدّی وظیفتها الدلالیّة واللفظیّة بکفاءة عالیة ونسیج فرید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تأثّر المنشِئون فی هاتین الحِقبتین بأحادیث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فاقتبسوا منها، وأفادوا من معانیها؛ لیزیدوا من قوّة أُسلوبهم جمالاً وإحکاماً</w:t>
      </w:r>
      <w:r>
        <w:rPr>
          <w:rFonts w:eastAsia="IRNazanin" w:cs="IRNazanin"/>
          <w:color w:val="111111"/>
          <w:sz w:val="28"/>
          <w:szCs w:val="28"/>
          <w:rtl w:val="true"/>
          <w:lang w:bidi="fa-IR"/>
        </w:rPr>
        <w:t>.</w:t>
      </w:r>
    </w:p>
    <w:p>
      <w:pPr>
        <w:pStyle w:val="Heading5"/>
        <w:numPr>
          <w:ilvl w:val="4"/>
          <w:numId w:val="1"/>
        </w:numPr>
        <w:rPr/>
      </w:pPr>
      <w:bookmarkStart w:id="95" w:name="__RefHeading___Toc507661_774463916"/>
      <w:bookmarkStart w:id="96" w:name="_Toc32"/>
      <w:bookmarkEnd w:id="95"/>
      <w:r>
        <w:rPr/>
        <w:t>2</w:t>
      </w:r>
      <w:r>
        <w:rPr>
          <w:rtl w:val="true"/>
        </w:rPr>
        <w:t xml:space="preserve">- </w:t>
      </w:r>
      <w:r>
        <w:rPr>
          <w:rtl w:val="true"/>
        </w:rPr>
        <w:t>خُطب النبی</w:t>
      </w:r>
      <w:r>
        <w:rPr>
          <w:rtl w:val="true"/>
        </w:rPr>
        <w:t>(</w:t>
      </w:r>
      <w:r>
        <w:rPr>
          <w:rtl w:val="true"/>
        </w:rPr>
        <w:t xml:space="preserve">صلّی الله علیه و آله وسلّم </w:t>
      </w:r>
      <w:r>
        <w:rPr>
          <w:rtl w:val="true"/>
        </w:rPr>
        <w:t xml:space="preserve">) </w:t>
      </w:r>
      <w:r>
        <w:rPr>
          <w:rtl w:val="true"/>
        </w:rPr>
        <w:t>ورسائله</w:t>
      </w:r>
      <w:bookmarkEnd w:id="96"/>
    </w:p>
    <w:p>
      <w:pPr>
        <w:pStyle w:val="Heading6"/>
        <w:numPr>
          <w:ilvl w:val="5"/>
          <w:numId w:val="1"/>
        </w:numPr>
        <w:rPr/>
      </w:pPr>
      <w:bookmarkStart w:id="97" w:name="__RefHeading___Toc507663_774463916"/>
      <w:bookmarkStart w:id="98" w:name="_Toc33"/>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وقد أخذ أغلب الخُطباء والمترسّلون من خُطب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ورسائله، فاحتذوا</w:t>
      </w:r>
    </w:p>
    <w:p>
      <w:pPr>
        <w:pStyle w:val="BookText"/>
        <w:rPr/>
      </w:pPr>
      <w:r>
        <w:rPr>
          <w:rFonts w:ascii="IRNazanin" w:hAnsi="IRNazanin" w:eastAsia="IRNazanin"/>
          <w:color w:val="111111"/>
          <w:sz w:val="28"/>
          <w:sz w:val="28"/>
          <w:szCs w:val="28"/>
          <w:rtl w:val="true"/>
          <w:lang w:bidi="fa-IR"/>
        </w:rPr>
        <w:t>حذوه فیما جاء بتلک الخُطب والرسائل، سواء أکان فی معانیها وأفکارها، أم فی أُسلوبها وبنائها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الخُطب فکانت معانیها تدور فی معانی القرآن الکریم، والحثّ علی الجهاد والاستشهاد فی سبیل الله، وإثارة الإیمان والعقیدة فی النفوس، حتی تُقبِل علی الحرب صادقة، وکذلک الدعوة إلی الزهد وترک ملذات الدنیا وزخارفها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أُسلوبها، فقد کان أهمّ ما یُمیّزه عذوبة ألفاظه، وقوّة تأثیره وتناسب اقتباسه من القرآن الکریم، وکان أُسلوباً فطریّاً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یساوق الطَّبع، ویوائم السلیقة، ولا یتعسَّف فی لفظٍ </w:t>
      </w:r>
    </w:p>
    <w:p>
      <w:pPr>
        <w:pStyle w:val="BookText"/>
        <w:rPr/>
      </w:pPr>
      <w:r>
        <w:rPr>
          <w:rFonts w:ascii="IRNazanin" w:hAnsi="IRNazanin" w:eastAsia="IRNazanin"/>
          <w:color w:val="111111"/>
          <w:sz w:val="28"/>
          <w:sz w:val="28"/>
          <w:szCs w:val="28"/>
          <w:rtl w:val="true"/>
          <w:lang w:bidi="fa-IR"/>
        </w:rPr>
        <w:t>أو فکرٍ أو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لیِّن هادئ، أو ثائر عاصف، علی حسب المقتضیات، ووفقاً للأحوال مع وضوح اللفظ وسهولة الأُسلوب، والانسجام التام فی بناء الکلمات</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حیث اعتماد السجع فإنّه کان قلیلاً جدّاً، وإذا وقع فهو غیر متکلّف أو ممجوج، والسبب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ینفر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بسبب استعمال الکهّان له فی الجاهلیّة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فخُطب الرسول الکریم إذاً کانت سهلة الاستیعاب، غیر متکلّفة لا تعنی بتزویق أو خلابة فی عبارتها، فکان همُّها تأدیة الغرض الذی یقصده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وعلیه کانت ألفاظها ومعانیها فی خدمة مضموناتها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نهج فی افتتاح خُطبه نهجاً جدیداً لم یألفه العرب فی الجاهلیة من قبلُ، وهو البدء 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والصلاة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واقتران ذلک</w:t>
      </w:r>
    </w:p>
    <w:p>
      <w:pPr>
        <w:pStyle w:val="BookText"/>
        <w:rPr/>
      </w:pPr>
      <w:r>
        <w:rPr>
          <w:rFonts w:ascii="IRNazanin" w:hAnsi="IRNazanin" w:eastAsia="IRNazanin"/>
          <w:color w:val="111111"/>
          <w:sz w:val="28"/>
          <w:sz w:val="28"/>
          <w:szCs w:val="28"/>
          <w:rtl w:val="true"/>
          <w:lang w:bidi="fa-IR"/>
        </w:rPr>
        <w:t xml:space="preserve">بالشهادتین، کما تقترن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الخاتمة، فقد کان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یختتم خُطبه بالتحمید أو الدعاء، مردوفة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استقرینا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التوّابین والمختار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فنجد أن الخطیب العلوی کان یعمل مثلما یعمل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افتتاح خُطبه، فأکثرها مبدوءٌ 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والثّناء علیه، والصلاة والسلام علی رسوله</w:t>
      </w:r>
      <w:r>
        <w:rPr>
          <w:rStyle w:val="FootnoteAnchor"/>
          <w:rtl w:val="true"/>
        </w:rPr>
        <w:footnoteReference w:id="172"/>
      </w:r>
      <w:r>
        <w:rPr>
          <w:rFonts w:ascii="Amiri" w:hAnsi="Amiri" w:eastAsia="Amiri" w:cs="Amiri"/>
          <w:color w:val="111111"/>
          <w:sz w:val="28"/>
          <w:sz w:val="28"/>
          <w:szCs w:val="28"/>
          <w:rtl w:val="true"/>
          <w:lang w:bidi="ar-SA"/>
        </w:rPr>
        <w:t xml:space="preserve">، حتی أنَّه کانت </w:t>
      </w:r>
    </w:p>
    <w:p>
      <w:pPr>
        <w:pStyle w:val="BookText"/>
        <w:rPr/>
      </w:pPr>
      <w:r>
        <w:rPr>
          <w:rFonts w:ascii="Amiri" w:hAnsi="Amiri" w:eastAsia="Amiri" w:cs="Amiri"/>
          <w:color w:val="111111"/>
          <w:sz w:val="28"/>
          <w:sz w:val="28"/>
          <w:szCs w:val="28"/>
          <w:rtl w:val="true"/>
          <w:lang w:bidi="ar-SA"/>
        </w:rPr>
        <w:t>تُسمَّی الخُطبة التی لا تبدأ بالحمد بالبتراء</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فکانت خُطب ثورة التوّابین وإمارة المختار صورة صادقة عن خُطب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الافتتاح والاختتام، شأنها فی ذلک شأن خُطب العصر الأُموی، فمن ذلک ما نجد فی خُطبة سلیمان بن صُرَد فی افتتاحه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أُثْنی علی اللهِ خَیْراً، وأحمد آلاءَه وبلاءَه، وأشهدُ أنْ لا اله إلّا الله، وأنَّ محمداً رسولُ الله، أمَّا بعدُ</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مطلع خُطبة المختار فی دار إبراهیم الأشتر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وأشهدُ أنْ لا إله إلّا الله، وصلَّی الله علی محمدٍ، والسَّلامُ علیه، أمَّا بعدُ</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تفتتح الخُطب فی هاتین الحِقبتین، فهی لم تخرج عمّا ما کانت علیه خُطب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الخواتیم، فهی الأُخری کانت علی سَمْتِ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خُطبة المسیب ابن نجبة کان قد بدأها 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والثناء علیه والصلاة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وختمها بعبارة الدعاء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قولی هذا، وأسْتَغْفِرُ الله لی ولکم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ومثل هذا الاختتام اختتم عبد الله بن یزید الأنصاری خُطبته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آلکم نصحاً، جمع الله لنا کلمتنا، وأصلح لنا أئمتنا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رسائل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کانت مثل خُطبه تؤدّی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دورها فی بساطةٍ ویُسْ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علی المستوی اللُّغوی، دون صَنْعةٍ ولا غموضٍ، ولا کهانةٍ ولا لَبْسٍ</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یعتنی </w:t>
      </w:r>
      <w:bookmarkStart w:id="99" w:name="pg5013_35281"/>
    </w:p>
    <w:p>
      <w:pPr>
        <w:pStyle w:val="BookText"/>
        <w:rPr/>
      </w:pPr>
      <w:bookmarkEnd w:id="99"/>
      <w:r>
        <w:rPr>
          <w:rFonts w:ascii="IRNazanin" w:hAnsi="IRNazanin" w:eastAsia="IRNazanin"/>
          <w:color w:val="111111"/>
          <w:sz w:val="28"/>
          <w:sz w:val="28"/>
          <w:szCs w:val="28"/>
          <w:rtl w:val="true"/>
          <w:lang w:bidi="fa-IR"/>
        </w:rPr>
        <w:t xml:space="preserve">فیها بتحبیر فنّی، وعندها کانت تخلو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الصناعة اللفظیة، تکثر فیها الإشارة إلی المعانی، والبُعد عن تکلُّف السجع أو البدیع، هی أقرب إلی لغة المحادثة والتخاطب</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 أمّا أُسلوبها، فقد کان جزل الألفاظ، فخم التراکیب، خالیاً من التطویل والمبالغة،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طُبِعَ علی الإرسال، والإیجاز المُحْکَم، فلا حشوٌ ولا فضولٌ، ولا استطراد ولا تفریع</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معانیها مثل معانی خُطبه أیضاً تدور فی معانی القرآن الکریم، فتقتبس منه وتحتذی أُسلوبه</w:t>
      </w:r>
      <w:r>
        <w:rPr>
          <w:rStyle w:val="FootnoteAnchor"/>
          <w:rtl w:val="true"/>
        </w:rPr>
        <w:footnoteReference w:id="181"/>
      </w:r>
      <w:r>
        <w:rPr>
          <w:rFonts w:ascii="IRNazanin" w:hAnsi="IRNazanin" w:eastAsia="IRNazanin"/>
          <w:color w:val="111111"/>
          <w:sz w:val="28"/>
          <w:sz w:val="28"/>
          <w:szCs w:val="28"/>
          <w:rtl w:val="true"/>
          <w:lang w:bidi="fa-IR"/>
        </w:rPr>
        <w:t>، وکذلک کان لمعانی الجهاد والزهد فی الدنیا، والحثّ علی التقوی نصیب کبیر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البناء الأُسلوبی لرسائل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 ذلک فی حدّ ذاته ابتکاراً لم تشهده الرسائل من قبل، سواءً کانت فی افتتاحها أم خواتیمها، وسوف یُبیّن البحث الملامح المهمّة التی کان یتبعها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 وسنقف منها إیجازاً عند الآتی</w:t>
      </w:r>
      <w:r>
        <w:rPr>
          <w:rFonts w:eastAsia="IRNazanin" w:cs="IRNazanin"/>
          <w:color w:val="111111"/>
          <w:sz w:val="28"/>
          <w:szCs w:val="28"/>
          <w:rtl w:val="true"/>
          <w:lang w:bidi="fa-IR"/>
        </w:rPr>
        <w:t>:</w:t>
      </w:r>
    </w:p>
    <w:p>
      <w:pPr>
        <w:pStyle w:val="Heading6"/>
        <w:numPr>
          <w:ilvl w:val="5"/>
          <w:numId w:val="1"/>
        </w:numPr>
        <w:rPr/>
      </w:pPr>
      <w:bookmarkStart w:id="100" w:name="__RefHeading___Toc507665_774463916"/>
      <w:bookmarkStart w:id="101" w:name="_Toc34"/>
      <w:bookmarkEnd w:id="100"/>
      <w:r>
        <w:rPr>
          <w:rtl w:val="true"/>
        </w:rPr>
        <w:t xml:space="preserve">أ </w:t>
      </w:r>
      <w:r>
        <w:rPr>
          <w:rtl w:val="true"/>
        </w:rPr>
        <w:t xml:space="preserve">- </w:t>
      </w:r>
      <w:r>
        <w:rPr>
          <w:rtl w:val="true"/>
        </w:rPr>
        <w:t>البسملة</w:t>
      </w:r>
      <w:bookmarkEnd w:id="101"/>
    </w:p>
    <w:p>
      <w:pPr>
        <w:pStyle w:val="BookText"/>
        <w:rPr/>
      </w:pPr>
      <w:r>
        <w:rPr>
          <w:rFonts w:ascii="IRNazanin" w:hAnsi="IRNazanin" w:eastAsia="IRNazanin"/>
          <w:color w:val="111111"/>
          <w:sz w:val="28"/>
          <w:sz w:val="28"/>
          <w:szCs w:val="28"/>
          <w:rtl w:val="true"/>
          <w:lang w:bidi="fa-IR"/>
        </w:rPr>
        <w:t>کان الجاهلیون یفتتحون رسائلهم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سُلَیْمَانَ وَإِنَّهُ بِسْمِ اللَّهِ الرَّحْمَنِ الرَّحِیمِ </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صدر الکتاب، فجعلت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507667_774463916"/>
      <w:bookmarkStart w:id="103" w:name="_Toc35"/>
      <w:bookmarkEnd w:id="102"/>
      <w:r>
        <w:rPr>
          <w:rtl w:val="true"/>
        </w:rPr>
        <w:t xml:space="preserve">ب </w:t>
      </w:r>
      <w:r>
        <w:rPr>
          <w:rtl w:val="true"/>
        </w:rPr>
        <w:t xml:space="preserve">- </w:t>
      </w:r>
      <w:r>
        <w:rPr>
          <w:rtl w:val="true"/>
        </w:rPr>
        <w:t>العنوان</w:t>
      </w:r>
      <w:bookmarkEnd w:id="103"/>
    </w:p>
    <w:p>
      <w:pPr>
        <w:pStyle w:val="BookText"/>
        <w:rPr/>
      </w:pPr>
      <w:r>
        <w:rPr>
          <w:rFonts w:ascii="IRNazanin" w:hAnsi="IRNazanin" w:eastAsia="IRNazanin"/>
          <w:color w:val="111111"/>
          <w:sz w:val="28"/>
          <w:sz w:val="28"/>
          <w:szCs w:val="28"/>
          <w:rtl w:val="true"/>
          <w:lang w:bidi="fa-IR"/>
        </w:rPr>
        <w:t xml:space="preserve">وهو ذکر اسم المرسِل، واسم المرسَل إلیه فی مطلع الرسالة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04" w:name="pg5013_35282"/>
    </w:p>
    <w:p>
      <w:pPr>
        <w:pStyle w:val="BookText"/>
        <w:rPr/>
      </w:pPr>
      <w:bookmarkEnd w:id="104"/>
      <w:r>
        <w:rPr>
          <w:rFonts w:ascii="IRNazanin" w:hAnsi="IRNazanin" w:eastAsia="IRNazanin"/>
          <w:color w:val="111111"/>
          <w:sz w:val="28"/>
          <w:sz w:val="28"/>
          <w:szCs w:val="28"/>
          <w:rtl w:val="true"/>
          <w:lang w:bidi="fa-IR"/>
        </w:rPr>
        <w:t>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إلی فلان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 وقد ذکر أبو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قس بن ساعدة الأیادی وأقرَّه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مکاتباته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الوضع الطبیعی فی صیغة العنوان أن یبدأ الکاتب والمرسِل باسمه، ثمّ یثنی بکتابة اسم المرسَل إلیه، ویبدو أنَّ ذلک کان هو التقلید الغالب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ظهور الکتب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واطّرادها دفع بمعظم الصحابة الذین یکتبون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یُبْدأ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ولقبه تعظیماً له وتأدّباً معه فی الخطاب</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 w:name="__RefHeading___Toc507669_774463916"/>
      <w:bookmarkStart w:id="106" w:name="_Toc36"/>
      <w:bookmarkEnd w:id="105"/>
      <w:r>
        <w:rPr>
          <w:rtl w:val="true"/>
        </w:rPr>
        <w:t xml:space="preserve">ج </w:t>
      </w:r>
      <w:r>
        <w:rPr>
          <w:rtl w:val="true"/>
        </w:rPr>
        <w:t xml:space="preserve">- </w:t>
      </w:r>
      <w:r>
        <w:rPr>
          <w:rtl w:val="true"/>
        </w:rPr>
        <w:t>السلام</w:t>
      </w:r>
      <w:bookmarkEnd w:id="106"/>
    </w:p>
    <w:p>
      <w:pPr>
        <w:pStyle w:val="BookText"/>
        <w:rPr/>
      </w:pPr>
      <w:r>
        <w:rPr>
          <w:rFonts w:ascii="IRNazanin" w:hAnsi="IRNazanin" w:eastAsia="IRNazanin"/>
          <w:color w:val="111111"/>
          <w:sz w:val="28"/>
          <w:sz w:val="28"/>
          <w:szCs w:val="28"/>
          <w:rtl w:val="true"/>
          <w:lang w:bidi="fa-IR"/>
        </w:rPr>
        <w:t>کان السلام هو بمثابة الاستفتاح بالرسائل؛ لأنَّه أوَّل ما یبتدأ به الکلام، وقد 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القلقشندی استعمال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تحیَّة الإسلام المطلوبة لتألیف القلوب</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وکان افتتاح الرسائل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507671_774463916"/>
      <w:bookmarkStart w:id="108" w:name="_Toc37"/>
      <w:bookmarkEnd w:id="107"/>
      <w:r>
        <w:rPr>
          <w:rtl w:val="true"/>
        </w:rPr>
        <w:t xml:space="preserve">د </w:t>
      </w:r>
      <w:r>
        <w:rPr>
          <w:rtl w:val="true"/>
        </w:rPr>
        <w:t xml:space="preserve">- </w:t>
      </w:r>
      <w:r>
        <w:rPr>
          <w:rtl w:val="true"/>
        </w:rPr>
        <w:t>التخلّص</w:t>
      </w:r>
      <w:bookmarkEnd w:id="10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کان لا بدَّ من وسیلة للتخلص من هذه المقدمات والدخول فی المضمون، وقد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یتخلَّص من المقدمات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أنَّ أوَّل مَن قالها هو قس بن ساعدة الأیادی</w:t>
      </w:r>
      <w:r>
        <w:rPr>
          <w:rStyle w:val="FootnoteAnchor"/>
          <w:rtl w:val="true"/>
        </w:rPr>
        <w:footnoteReference w:id="190"/>
      </w:r>
      <w:r>
        <w:rPr>
          <w:rFonts w:ascii="Amiri" w:hAnsi="Amiri" w:eastAsia="Amiri" w:cs="Amiri"/>
          <w:color w:val="111111"/>
          <w:sz w:val="28"/>
          <w:sz w:val="28"/>
          <w:szCs w:val="28"/>
          <w:rtl w:val="true"/>
          <w:lang w:bidi="ar-SA"/>
        </w:rPr>
        <w:t xml:space="preserve">، وذکر القلقشندی أنَّ أوَّل مَن قال هذه العبارة </w:t>
      </w:r>
      <w:bookmarkStart w:id="109" w:name="pg5013_35283"/>
    </w:p>
    <w:p>
      <w:pPr>
        <w:pStyle w:val="BookText"/>
        <w:rPr/>
      </w:pPr>
      <w:bookmarkEnd w:id="109"/>
      <w:r>
        <w:rPr>
          <w:rFonts w:ascii="IRNazanin" w:hAnsi="IRNazanin" w:eastAsia="IRNazanin"/>
          <w:color w:val="111111"/>
          <w:sz w:val="28"/>
          <w:sz w:val="28"/>
          <w:szCs w:val="28"/>
          <w:rtl w:val="true"/>
          <w:lang w:bidi="fa-IR"/>
        </w:rPr>
        <w:t>هو کعب بن لؤی</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بهذه العبارة،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إنَّما یکون بعد حمد الله، أو بعد الدعاء، أو بعد قولهم من فلان إلی فلان، فیفصل بها بین الخطاب المتقدِّم وبین الخطاب الذی یجیء بعد، ولا تقع إلّا بعد ما ذکرناه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یسبق هذا الفصل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أحمد إلیک الله الذی لا اله إلّا هو</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507673_774463916"/>
      <w:bookmarkStart w:id="111" w:name="_Toc38"/>
      <w:bookmarkEnd w:id="110"/>
      <w:r>
        <w:rPr>
          <w:rtl w:val="true"/>
        </w:rPr>
        <w:t>‌</w:t>
      </w:r>
      <w:r>
        <w:rPr>
          <w:rtl w:val="true"/>
        </w:rPr>
        <w:t>ه</w:t>
      </w:r>
      <w:r>
        <w:rPr>
          <w:rtl w:val="true"/>
        </w:rPr>
        <w:t xml:space="preserve">- - </w:t>
      </w:r>
      <w:r>
        <w:rPr>
          <w:rtl w:val="true"/>
        </w:rPr>
        <w:t>الختام</w:t>
      </w:r>
      <w:bookmarkEnd w:id="111"/>
    </w:p>
    <w:p>
      <w:pPr>
        <w:pStyle w:val="BookText"/>
        <w:rPr/>
      </w:pPr>
      <w:r>
        <w:rPr>
          <w:rFonts w:ascii="IRNazanin" w:hAnsi="IRNazanin" w:eastAsia="IRNazanin"/>
          <w:color w:val="111111"/>
          <w:sz w:val="28"/>
          <w:sz w:val="28"/>
          <w:szCs w:val="28"/>
          <w:rtl w:val="true"/>
          <w:lang w:bidi="fa-IR"/>
        </w:rPr>
        <w:t>کانت الرسائل فی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تختم بعد الفراغ من المضمون بأشکال متعددة من التعابیر، وکان أتمَّها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ورحمة الله وبرکاته</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 إلّا أنَّها قد تُختص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علیک</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مَنِ اتَّبَعَ الْهُدَی</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 أو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الأخیرة هی الغالبة علی الاستعمال، نظراً لمِا فیها من اختصار وإفادة الدلالة نفسها للصیغ السابقة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 أنَّ هذه الخصائص التی اتَّبعها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رسائله سار علیها المترسّلون بعده، ولاسیّما فی حِقبتی التوّابین والمختار الثقفی، سواء من حیث المعانی والمضمونات، أم من حیث الأسالیب أو الهیکل العام، فکانت معانی </w:t>
      </w:r>
    </w:p>
    <w:p>
      <w:pPr>
        <w:pStyle w:val="BookText"/>
        <w:rPr/>
      </w:pPr>
      <w:r>
        <w:rPr>
          <w:rFonts w:ascii="IRNazanin" w:hAnsi="IRNazanin" w:eastAsia="IRNazanin"/>
          <w:color w:val="111111"/>
          <w:sz w:val="28"/>
          <w:sz w:val="28"/>
          <w:szCs w:val="28"/>
          <w:rtl w:val="true"/>
          <w:lang w:bidi="fa-IR"/>
        </w:rPr>
        <w:t>رسائلهم، تدور حول معانی القرآن الکریم، والدعوة إلی الجهاد، واستنفار الهمم، والحثّ علی التقوی والتزهید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أسالیبها، فقد کانت واضحةً سهلةً خالیةً من مظاهر التبجیل والتفخیم، وکانت الألفاظ علی قدر المعانی، ولم یحتفلوا بزخرف فی اللفظ، ولم یهتموا بالسجع، إلّا ما کان عفوا من دون تصنّع، ویُستثنی من ذلک ما کانت علیه رسائل المختار الثقفی فی بعضها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کانت موجزةً حیث یتطلّب الإیجاز، وطویلةً حیث یتطلب 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ناحیة بنائها العام، فقد کانت صورةً صادقةً من صور البنی الأُسلوبیة لرسائل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تبدأ بالبسملة عموماً، وذکر اسم المرسِل واسم المرسَل إلیه إذا کان المرسِل أعلی منزلةً من المرسَل إلیه، والعکس بالعکس، فقد یذکر اسم المرسل إلیه قبل اسم المرسِل إذا کان المرسل إلیه أعلی منزلةً من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فی رسالة سلیمان بن صُرَد إلی سعد بن حذیفة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مِن سُلیَمان بن صُرَد إلی سعد بن حذیفة ومَن قِبَله مِنَ المؤمنین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علیه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إلی سلیمان بن صُرَد، مِنْ سَعد بن حذیفة ومِنْ قِبَله مِنَ المؤمنین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هذا تقلیداً فنیّاً لرسائل عصر الإسلام، إذ إنَّ المرسَل إلیه یُقدَّم إذا کان أعلی منزلةً من المرسل، وقد فُعل ذلک أیّام النبی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المترسّلون یراسلونه وهم یذکرون اسمه بدءاً تشریفاً له؛ لأنّه أعلی منزلةً منهم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السلام، فقد کان المترسّلون یحتذون العبارة المشهورة التی کانت فی صدر </w:t>
      </w:r>
    </w:p>
    <w:p>
      <w:pPr>
        <w:pStyle w:val="BookText"/>
        <w:rPr/>
      </w:pPr>
      <w:r>
        <w:rPr>
          <w:rFonts w:ascii="IRNazanin" w:hAnsi="IRNazanin" w:eastAsia="IRNazanin"/>
          <w:color w:val="111111"/>
          <w:sz w:val="28"/>
          <w:sz w:val="28"/>
          <w:szCs w:val="28"/>
          <w:rtl w:val="true"/>
          <w:lang w:bidi="fa-IR"/>
        </w:rPr>
        <w:t>الإسلام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واضحٌ فی جمیع خُطب ورسائل الحِقبتین، وکذلک کان التخلص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مسبوقة أحیاناً بحمد الله جلَّ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الختام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ورحمة الله وبرکاته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وکلّ ذلک تقلید لفن الترسّل الذی کان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ویمثل هذا خیر تمثیل کتاب المختار إلی محمد بن الحنفیة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للمهدی محمّد بنِ علی مِنَ المختارِ بنِ أبی عُبَید، سلامٌ علیکَ یا أیُّها المهدی، فإنّی أحمد إلیکَ الله الّذیْ لا أله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بعَثنی نقمةً علی أعدائکم، فَهُم بین قتیل وأسیْر، وطَریْدٍ وشَریْدٍ، فالحمدُ لله الذی قتل قاتلیکم، ونَص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مؤازِرِیکم، وَقدَ بعَثْتُ إلیک برأسِ عمرَ بن سعدٍ وابنهُ، وقَدْ قتلنا مَنْ شَرَک فی دم الحسین وأهل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قدَرْنا َعلیه، وَلْن یُعْجزَ الله مَنْ بقی، وَلَسْتُ بِمُنْجِمٍ عنهم حتی لا یَبلغَنی أنَّ علی أدیمِ الأرضِ مَنْهُم أرمیاً، فاکتبْ إلیَّ أیَّها المهدی برأیک أتبّعه وأکون علیه، والسلام علیک أیّها المهدی ورحمةُ الله وبرکاتُه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الرسالة تمثّل صورة صادقة للرسائل التی کانت فی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أکان ذلک فی معانیها وأفکارها أو فی أُسلوبها وبنائها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ابتدأ المختار رسالته هذه بالبسملة، وذکر المرسَل إلیه قبل المرسِل؛ وذلک لأنَّه یری أنَّ المرسَل إلیه أعلی منه منزلاً ورتبةً، ثمّ أردف ذلک بعبارة السلام،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متلوّةٌ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أحمد إلیک 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شاکلة رسائل النبی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وتخلَّص بعدها من هذه المقدّمات بالعبارة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دخل فی غرضه الذی یتحدّث عن انتقامه من قتلة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وبعثه برأس ابن سعد وابنه إلی محمد بن الحنفیة، وکان أُسلوبه جزلاً فصیحاً لیس فیه غموض ولا </w:t>
      </w:r>
    </w:p>
    <w:p>
      <w:pPr>
        <w:pStyle w:val="BookText"/>
        <w:rPr/>
      </w:pPr>
      <w:r>
        <w:rPr>
          <w:rFonts w:ascii="IRNazanin" w:hAnsi="IRNazanin" w:eastAsia="IRNazanin"/>
          <w:color w:val="111111"/>
          <w:sz w:val="28"/>
          <w:sz w:val="28"/>
          <w:szCs w:val="28"/>
          <w:rtl w:val="true"/>
          <w:lang w:bidi="fa-IR"/>
        </w:rPr>
        <w:t>تکلّف، ولا نجد للسجع مکاناً فی الرسالة مع أنَّه کان طابعاً أُسلوبیّاً حاضراً فی رسائله وحتی فی کلامه، فکأنَّما أراد لهذه الرسالة أنْ تکون تقلیداً فنیاً للرسائل النبویة التی قد خلت من حلیة السجع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للقرآن الکریم واستمداد معانی آیاته الشریفة نصیبٌ من الحضور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لا یبلغنی أنَّ علی أدیم الأرض منهم أرمیاً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معنی مأخوذٌ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وما هذا إلّا لإسباغ طابع التأثیر، وتقویة العبارات بالمعانی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نجد طابع الإیجاز والسهولة علی الرسالة علی الرغم من وجود بعض الکلمات غیر المألوفة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لا یخرجها علی ما هو علیه من أُسلوب الرسائل النبویة فی 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یعنی أنَّ رسائل هاتین الحِقبتین کانت تتمیَّز بالقص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والإیجاز والخلو من حلیة السجع وعدم اعتماد الغریب من الألفاظ، بل کان بعض المترسّلین یعتمدون فی تحبیر رسائلهم علی أُسلوب السجع، وإیراد الغریب من الألفاظ، وما ذلک إلّا مظهر من مظاهر النضج الفنّی الذی بلغته الرسائل فی العصر الأُموی</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یتبیَّن للبحث أنَّ النثر الفنّی فی خُطبه ورسائله کان صورةً صادقةً للنثر النبوی الذی سنَّهُ الرسول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وساروا علیها فیما بعد</w:t>
      </w:r>
      <w:r>
        <w:rPr>
          <w:rFonts w:eastAsia="Amiri" w:cs="Amiri" w:ascii="Amiri" w:hAnsi="Amiri"/>
          <w:color w:val="111111"/>
          <w:sz w:val="28"/>
          <w:szCs w:val="28"/>
          <w:rtl w:val="true"/>
          <w:lang w:bidi="ar-SA"/>
        </w:rPr>
        <w:t xml:space="preserve">. </w:t>
      </w:r>
      <w:bookmarkStart w:id="112" w:name="pg5013_35287"/>
    </w:p>
    <w:p>
      <w:pPr>
        <w:pStyle w:val="Heading4"/>
        <w:numPr>
          <w:ilvl w:val="3"/>
          <w:numId w:val="1"/>
        </w:numPr>
        <w:rPr/>
      </w:pPr>
      <w:bookmarkStart w:id="113" w:name="__RefHeading___Toc507675_774463916"/>
      <w:bookmarkStart w:id="114" w:name="_Toc39"/>
      <w:bookmarkEnd w:id="112"/>
      <w:bookmarkEnd w:id="113"/>
      <w:r>
        <w:rPr>
          <w:rtl w:val="true"/>
        </w:rPr>
        <w:t>ثالثاً</w:t>
      </w:r>
      <w:r>
        <w:rPr>
          <w:rtl w:val="true"/>
        </w:rPr>
        <w:t xml:space="preserve">: </w:t>
      </w:r>
      <w:r>
        <w:rPr>
          <w:rtl w:val="true"/>
        </w:rPr>
        <w:t>نثر الإمام علی بن أبی طالب</w:t>
      </w:r>
      <w:r>
        <w:rPr>
          <w:rtl w:val="true"/>
        </w:rPr>
        <w:t>(</w:t>
      </w:r>
      <w:r>
        <w:rPr>
          <w:rtl w:val="true"/>
        </w:rPr>
        <w:t>علیه السّلام</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الثالث من موارد نثر التوّابین وإمارة المختار هو النثر الفنی لأمیر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طبع هذا النثر بصماته علی أدب هاتین الحِقبتین، فتمثَّله الخُطباء والمترسّلون، وساروا علی نهجه، سواء أکان فی أُسلوبه وصیاغته أم فی معانیه وأفکاره، وقد بلغ فی ذلک شأناً کبیراً یُقارب فی تأثره تأثرهم بالقرآن الکریم، ممَّا أسبغ علی بعض تلکم الخُطب والرسائل بطابع أُسلوبی واضح، ولا شکّ أنَّ ذلک متأتٍ من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أبلغ الخُطباء وأعلامهم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له بذلک کلّ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نشأ فی بیت النبوة، وتغذی بالبیان والحکمة، وتفقه بالکتاب والسّنة، وتفوَّق فی العلم والمعرفة، وتألَّق فی الحکمة والخطابة، وهذه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لنشأته الرفیعة، وبیئته العجیبة، وحیاته الخصبة، وتجاربه الجلیلة فی الحیاة، فکان حکیماً تتفجَّر الحکمة من بیانه، وخطیباً تتدفَّق البلاغة علی لسانه، وواعظاً ملئ السمع والقلب، وکاتباً بلیغاً مترسلاً بعیدُ غور الحجَّة، ومتکلّماً یجول ببیانه فی کلِّ مجالٍ، ویصول به فی کلِّ نضالٍ، ویناضل به عن الدِّین، والدَّعوة أروع نضال</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قد أثر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أدب هاتین الحِقبتین، خصوصاً إذا ما علمنا أنّهما قامتا بقیادات موالیة للإمام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وسائرة علی خطَّه، علی النقیض من خصومهم، أی أنّهم کانوا یتوسلون بنثر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ویودعونه فی خُطبهم ورسائلهم، لیدْعموا بها آراءهم وحججهم؛ لأنَّ نثر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یواکب مجریات الحزب الشیعی، فکان لسانه الناطق، وقلبه النابض، وعقله الجدلی الواعی الذی لا یکلُّ ولا یملُّ، فاتخذوه مورداً من موارد نثرهم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 نقرأ فی نثرهم ونحکم علیه بالتأثر بنثر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یکون ذلک بالمقارنة بما جاء فی نثرهم ونثر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یضمه بین دفتیه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الکتاب الجلیل والأثر الأدبی الخالد، بعد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جمعه الشریف الرضی وهو مشتمل علی ما ورد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ووصایا، ونصائح وحکم، وأمثال ومواعظ، ومحاورات ورسائل، وعهود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 الشریف الرضی واصفاً کلام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الفصاحة ومَوْرِدُها، ومَنْشَأ البلاغة ومَوْلِدها، 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مکنونها، وعنه أُخذت قوانینها، وعلی أمثلته حذا کلُّ قائلٍ خطیبٍ، وبکلامه استعان کلُّ واعظٍ 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الذی علیه مسحة من العلم الإلهی، وفیه عبقة من الکلام النبوی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البحر الذی لا یُساجَل، والجمُّ الذی لا یُحافَل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تأثر النثر الفنی فی هاتین الحِقبتین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فزیَّنوا به خُطبهم ورسائلهم، مضیفین إلی الجانب الدلالی، الجانب الجمالی والتأنق بالعبارة، وسوف نلحظ مدی تأثر النثر فی هاتین الحِقبتین بنثر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الأمثلة التی وردت فی خُطبهم ورسائلهم، فممَّا جاء علی طریق التأثر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خُطبة المسیَّب بن نجبة 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فانّا قدَ ابتُلینا بطولِ العُمر، والتعرّض لأنواع الِفَتَن فنرغَبُ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الذی أعذر الله فیه إلی </w:t>
      </w:r>
    </w:p>
    <w:p>
      <w:pPr>
        <w:pStyle w:val="BookText"/>
        <w:rPr/>
      </w:pPr>
      <w:r>
        <w:rPr>
          <w:rFonts w:ascii="Amiri" w:hAnsi="Amiri" w:eastAsia="Amiri" w:cs="Amiri"/>
          <w:color w:val="111111"/>
          <w:sz w:val="28"/>
          <w:sz w:val="28"/>
          <w:szCs w:val="28"/>
          <w:rtl w:val="true"/>
          <w:lang w:bidi="ar-SA"/>
        </w:rPr>
        <w:t>ابن آدم ستّون سنة، ولیس فینا رجلٌ إلّا وقدْ بَلَغَه</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فنجد أنَّ الخطیب قد تمثَّل مقولة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لیتمکن من إیصال الدلالات إلی ذهن السامع، ویجذب تنبهه عن طریق هذا الاستشهاد، وهذا القول موجود بنصه فی نهج البلاغة،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 الذی أعذر الله فیه إلی ابن آدم ستون سنة</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وتدلُّ هذه المقولة التی استشهد بها المسیب أن هؤلاء التوّابین قد أصبحوا شیوخاً متجاوزین مرحلة الطیش، وقد اختاروا طریق التوبة</w:t>
      </w:r>
      <w:r>
        <w:rPr>
          <w:rStyle w:val="FootnoteAnchor"/>
          <w:rtl w:val="true"/>
        </w:rPr>
        <w:footnoteReference w:id="209"/>
      </w:r>
      <w:r>
        <w:rPr>
          <w:rFonts w:ascii="IRNazanin" w:hAnsi="IRNazanin" w:eastAsia="IRNazanin"/>
          <w:color w:val="111111"/>
          <w:sz w:val="28"/>
          <w:sz w:val="28"/>
          <w:szCs w:val="28"/>
          <w:rtl w:val="true"/>
          <w:lang w:bidi="fa-IR"/>
        </w:rPr>
        <w:t>، فلا عذر بعد ذلک للقعود عن الجهاد والسکوت علی الهوان والظلم، قد ساق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یراه حجة علیه، فالأخذ به واجب لا مناص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جاء فی ذلک أیضاً ما نجد فی خُطبة سلیمان بن صُرَد الخزاعی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أتاکم الله بعدوّکم الذی دأبتم فی المسیر إلیه آناء اللّیل والنَّهار، تُریدون فیما تُظْهِرون</w:t>
      </w:r>
    </w:p>
    <w:p>
      <w:pPr>
        <w:pStyle w:val="BookText"/>
        <w:rPr/>
      </w:pPr>
      <w:r>
        <w:rPr>
          <w:rFonts w:ascii="Amiri" w:hAnsi="Amiri" w:eastAsia="Amiri" w:cs="Amiri"/>
          <w:color w:val="111111"/>
          <w:sz w:val="28"/>
          <w:sz w:val="28"/>
          <w:szCs w:val="28"/>
          <w:rtl w:val="true"/>
          <w:lang w:bidi="ar-SA"/>
        </w:rPr>
        <w:t>التَّوبة النَّصُوح، ولقاءَ الله مُعذِرین، فقد جاءوکم بل جئتموهم أنتم فی دارهم وحَیّزهِم، فإذا لقیتموهم فأصدقُوهم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مُدْبِراً، ولا تُجهزوا علی جریحٍ، ولا تقتلوا أسیراً من أهل دعوَتکُم، إلّا أنْ یقاتلکم بعدَ أنْ تأسروه، أو یکون من قَتَلَةِ إخواننا بالطَّف رحمة ُالله علیهم؛ فإنَّ هذهِ کانتْ سیرةُ أمیر المؤمنین علی بن أبی طالب فی أهلِ هذه الدّعوة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اعتمد ابن صُرَد فی خُطبته هذه اقتباساً دالاً مؤکّداً یحیل إلی سیرة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مدبراً، ولا تجهزوا علی جریح، ولا تقتلوا أسیرا ًمن أهل دعوتکم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القول مأخوذ من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حتی یَبْدَأَوکم، فإنَّکم بحمد الله علی حُجَّةٍ، وتَرْکُکُم إیَّاهم حتی یبدأَوکم حجَّةٌ أُخری لکم علیهم، فإذا کانت الهزیمة بإذن الله، فلا تقتلوا مدْبِراً، ولا تُصْیبوا مُعْوِراً، لا تُجْهِزوا علی جَریح، ولا تهیجوا النساء بأَذی</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تمثَّل الخطیب وصیَّة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جنده؛ لتظهر علی فعله وفعل أصحابه فی قتال أعدائهم، حتی یُبرهن علی التواصل والامتداد الفکری والفعلی بینه وبین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وإنّهم لم یثوروا طلاب ملذَّة أو متاع، علاوة علی ذلک أنَّ التمسک بسیرة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التمسک بالأخلاق العلیا والمعانی الإسلامیة السامیة، فی عدم قتل الجرحی، أو اضطهاد الأسری، وسبی النساء إنْ هم خاضوا غمار الحروب، وإنَّ سیرة أمیر المؤمنین هذه هی عینها سیرة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عن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أنَّه إذا بعث سریة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باسم الله، وقاتلوا مَن کفر بالله، ولا تمثِّلوا، ولا تغلوا، ولا تغدروا، ولا تقتلوا ولیداً ولا شیخاً کبیراً</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فهذه السیرة فی الحرب هی سیرة الرسول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جسَّدها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حروبه، وأوعز بها إلی ولاته تنفیذاً، وهی سیرة النبلاء والصالحین، وقد وصَّی بها ابن صُرَد قومه انسجاماً مع خط رسول الله نبی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وولیّه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لیبرهن علی أنَّهم أصحاب حقّ وأصحاب رسالة، وبالموازنة بین سیرة الإمام والتوّابین وسیرة بنی أُمیّة عندما قاتلوا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قتلوا الولدان، وسبوا النساء، وقتلوا الأطفال، یتبیَّن مَنْ هو علی الهدی ومَن هو فی الضلال المبین،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فَمَاذَا بَعْدَ الْحَقِّ إِلَّا الضَّلَالُ فَأَنَّی تُصْرَفُونَ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علی سبیل الأخذ بأُسلوب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خُطبه، واستمداد معانیه ما ورد فی خُطبة عبید الله المرّی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اصطفی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خلقه بنبوَّته، وخصَّه بالفضلِ کلِّه، وأعزَّکم باتباعه وأکرمکم بالإیمان به، فَحَقَن بهِ دماءَکم المسفوکَة، وأمَّنَ به سُبُلَکُم المَخُوفَة،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عَلَی شَفَا حُفْرَةٍ مِنَ النَّارِ فَأَنْقَذَکُمْ مِنْهَا کَذَلِکَ </w:t>
      </w:r>
    </w:p>
    <w:p>
      <w:pPr>
        <w:pStyle w:val="BookText"/>
        <w:rPr/>
      </w:pPr>
      <w:r>
        <w:rPr>
          <w:rFonts w:ascii="Amiri" w:hAnsi="Amiri" w:eastAsia="Amiri" w:cs="Amiri"/>
          <w:color w:val="111111"/>
          <w:sz w:val="28"/>
          <w:sz w:val="28"/>
          <w:szCs w:val="28"/>
          <w:rtl w:val="true"/>
          <w:lang w:bidi="ar-SA"/>
        </w:rPr>
        <w:t xml:space="preserve">یُبَیِّنُ اللَّهُ لَکُمْ آیَاتِهِ لَعَلَّکُمْ تَهْتَدُونَ </w:t>
      </w:r>
      <w:r>
        <w:rPr>
          <w:rFonts w:eastAsia="Amiri" w:cs="Amiri" w:ascii="Amiri" w:hAnsi="Amiri"/>
          <w:color w:val="111111"/>
          <w:sz w:val="28"/>
          <w:szCs w:val="28"/>
          <w:rtl w:val="true"/>
          <w:lang w:bidi="ar-SA"/>
        </w:rPr>
        <w:t>»</w:t>
      </w:r>
      <w:r>
        <w:rPr>
          <w:rStyle w:val="FootnoteAnchor"/>
          <w:rtl w:val="true"/>
        </w:rPr>
        <w:footnoteReference w:id="214"/>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وأُسلوب هذه الخُطبة هو احتذاء لأُسلوب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إحدی خُطبه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بعث محمَّداً نذیراً للعالمین وأمیناً علی التنزیل وأنتم معشر العرب علی شرّ دین، وفی شرّ دار، مُنتخون بین حجارةٍ خُشْن، وحَیَّاتٍ صمٍّ،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ربون الکَدِرَ، وتأکلون الجَشِبَ، وتَسفکون دماءکم، وتَقْطعُون أرحامکم، الأصنام فیکم منصوبة، والآثام بکم معصوبة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نجد أنَّ خطیب التوّابین کان ینهل من أُسلوب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فیتمثَّله فی خُطبته، وکان قصده أنْ یأتی بالأفکار التی قالها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العرب، وحقن دماءهم بعدما کانت مسفوکة بین الحین والآخر، وأنَّ الرسول هو الذی خلَّص هذه البشریة من الاقتتال والظلمات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الخطیب من هذه المقاربة الأُسلوبیة أنْ یذکّر الأُمّة بعظیم فضل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فالواجب احترام ذریته المتمثلة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الأطهار، ولکنَّ الذی جری هو علی النقیض تماماً فبدلاً من أنْ یحترموا ذریته جزاءً له أخذوا بقتلهم والتنکیل بهم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أنَّ الخطیب اتَّخذ من أُسلوب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لتوصیل هذه الأفکار، وبثّها فی أذهان سامعیه، لاسیّما أنَّ الخط العقدی موصول بین الإمام والتوّابین فی هذا الباب المهم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وإلی جانب السیر علی خطی أسالیب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خُطبه ورسائله وأقواله، نجد أنَّ الخُطباء والمترسّلین فی هاتین الحِقبتین قد نهلوا من أفکاره، واقتبسوا من معانیه التی کان یرددها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نثره، وأوَّل ما یطالعنا فی ذلک فکرة الجهاد التی کانت ممتدَّة فی خُطب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ورسائله، نظراً للمصاعب والمؤامرات والحروب التی تعرّض لها آنذاک، فقد حارب الخوارج، وحارب طلحة والزبیر، وحارب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ثَمَّ فإنَّه من الطبیعی أنْ تتَّسم خطاباته بالطابع الحربی والجهادی، کما تتَّسم أیضاً بالطابع الجدلی؛ لأنَّ کثیراً مِمَّنْ خرجوا علیه إنَّما خرجوا لخلافٍ معه فی آراء بعینها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هذا واضحاً فی خُطب التوّابین خاصّةً، نظراً للظروف التی أحاطت بهم، فکان إعلان الجهاد والدعوة إلیه هو الطابع العام الذی کان یتردَّد فی خُطبهم ورسائلهم، فکانوا یتوسَّلون فی طلب ذلک بالنصوص القرآنیة التی تحثُّ علی الجهاد، وبمقولات الإمام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فکرته عنه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أوِلَیائِه، وهوَ لِبِاسُ التقوی، ودِرْعُ الله الحَصینة، وجُنَّتهُ الوْثِیقةُ، فمَنْ ترکهُ رغبةً منه أَلبسهُ الله ثوبَ الذُّلِّ، وشمِلهُ البَلاء</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هذه فکرة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الطبیعی أنْ یتدافع الشیعة للامتثال لذلک من دون تردُّد، وهم أولی الناس به، وهکذا نجد الدعوة إلی الجهاد، والتحریض علیه من المیزات المهمَّة فی نثر التوّابین، فقد جاء فی خُطبة ابن صُرَد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فإنَّ الله قد علم ما تَنوُون، وما خَرَجْتُم تَطلبُون، وإنَّ للدّنیا تجاراً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وجْهِکم هذا بطول الصلاة فی جوفِ الّلیل، وبذکر الله کثیراً علی کلّ حال، وتقرَّبوا إلی الله </w:t>
      </w:r>
    </w:p>
    <w:p>
      <w:pPr>
        <w:pStyle w:val="BookText"/>
        <w:rPr/>
      </w:pPr>
      <w:r>
        <w:rPr>
          <w:rFonts w:ascii="Amiri" w:hAnsi="Amiri" w:eastAsia="Amiri" w:cs="Amiri"/>
          <w:color w:val="111111"/>
          <w:sz w:val="28"/>
          <w:sz w:val="28"/>
          <w:szCs w:val="28"/>
          <w:rtl w:val="true"/>
          <w:lang w:bidi="ar-SA"/>
        </w:rPr>
        <w:t>جلّ ذِکرهُ بکلّ خیرٍ قدرتم علیه، حتی تلقَوا هذا العدو والمحلِّ القاسط فتجاهدوه، فإنَّکم لم تتوسَّلوا إلی ربکم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یء هو أعظم عنده ثواباً من الجهادِ والصَّلاة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لم تتوسلوا إلی ربکم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یء، هو أعظم عنده ثواباً من الجهاد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احتذی به أُسلوب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واستمد منه معانیه، فقد قال الإمام فی خُطبة له فی أرکان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ما توسَّل به المتوسّلون إلی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الأیمان به وبرسوله، والجهاد فی سبیله فإنّه ذِروة الإسلام، وکلمة الإخلاص فإنّها الفطرة، وإقام الصلاة فإنّها الملّة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ابن صُرَدْ من کلام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یجده مناسباً، محوّلاً نصّه بصیاغة جدیدة وراعی فیه حال المخاطب ومقتضی المقام، فلم یفصل کما فصل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بل أوجزه ما أمکنه ذلک، مکتفیاً باستمداد المعانی التی یجدها مناسبة لقوله، حاثّاً أنصاره علی الصلاة والجهاد، وهما خیر ما یتوسل بهما المسلم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ونلحظ أنّ الخطیب لم یتکلّف ذلک الاستمداد، ولم یرهق ذهنه باستحضار المعانی، فکانت تلک المعانی الخاصّة بأُسلوب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ماثله فی ذهنه وفکره وروحه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مثل هذا فی رسالته حین بعث بها إلی سعد بن حذیفة، إذ تمثّل أُسلوب الإمام ومعانیه فی فکرة الجهاد،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رغبتکم فی دارِ عافیَتکمُ، وجهاد عدّو الله وعدّوکم، وعدو أهلِ بیت نبیکمِ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مستمدٌّ من قول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 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فانفذوا عَلَی </w:t>
      </w:r>
    </w:p>
    <w:p>
      <w:pPr>
        <w:pStyle w:val="BookText"/>
        <w:rPr/>
      </w:pPr>
      <w:r>
        <w:rPr>
          <w:rFonts w:ascii="IRNazanin" w:hAnsi="IRNazanin" w:eastAsia="IRNazanin"/>
          <w:color w:val="111111"/>
          <w:sz w:val="28"/>
          <w:sz w:val="28"/>
          <w:szCs w:val="28"/>
          <w:rtl w:val="true"/>
          <w:lang w:bidi="fa-IR"/>
        </w:rPr>
        <w:t>بصائرکم، ولتصدق نیاتکم فی جهاد عدوِّکم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الطلب فیهما بصیغة الأمر، والحثّ علی الجهاد، فکان ابن صُرَدْ قد تأثر بفکرة الجهاد التی أمر بها الدین الحنیف، وسار علیها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 المنشئ بُدّاً من أنْ ینهل من أُسلوب خُطب الإمام وأقواله حول مشروعیة الجهاد؛ لیدعم بها أُسلوبه ویقوّی حجته، وهکذا شاعت روح الجهاد فی خُطب التوّابین ورسائلهم شیوعاً یتماشی مع ظروف الثورة التی قاموا بها، فکانوا یدعون إلی جهاد أعدائهم الذی یسمونهم تارةً القاسطین والمُحلّین، والخارجین علی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تارةً أُخری</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الأفکار والمعانی التی استلهمها الخُطباء والمترسّلون فی هذه الحِقبة هی الزهد فی الدنیا وترک ملذاتها، والحثّ علی طلب التقوی، فکان ذلک هاجسا آخر یتردد فی خُطبهم ورسائلهم، وقد تکررت هذه المعانی کثیراً علی لسان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نثره الذی ضمّه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یکون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المسلمین إسلاماً، وأقدمهم إیماناً، زاهداً فی الدنیا، داعیاً إلی 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هی مبادئ الإسلام العظیم الذی جاء بها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أکَّد القرآن الکریم بالکثیر من آیاته التی تدعو إلی الزهد فی الدنیا، والحثّ علی طلب التقوی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أن تکون هذه المعانی راسخة فی أذهان التوّابین؛ لأنَّهم طلاب آخرة، وأصحاب ثورة، فکان التزهید فی الدنیا، وطلب التقوی مضموناً قصدیّاً تردَّد فی </w:t>
      </w:r>
    </w:p>
    <w:p>
      <w:pPr>
        <w:pStyle w:val="BookText"/>
        <w:rPr/>
      </w:pPr>
      <w:r>
        <w:rPr>
          <w:rFonts w:ascii="Amiri" w:hAnsi="Amiri" w:eastAsia="Amiri" w:cs="Amiri"/>
          <w:color w:val="111111"/>
          <w:sz w:val="28"/>
          <w:sz w:val="28"/>
          <w:szCs w:val="28"/>
          <w:rtl w:val="true"/>
          <w:lang w:bidi="ar-SA"/>
        </w:rPr>
        <w:t>خُطبهم ورسائلهم، من ذلک ما جاء فی رسالة ابن صُرَد إلی سعد بن حذیفة ینفُّر فیها من الدنیا ویدعو إلی التقوی والجهاد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مِنْ سُلیمان بنِ صُرَد إلی سعد بن حذیفةَ وَمَنْ قِبَلهِ ِمن المؤمنین، سلامٌ علیکم، أمَّا بعدُ، فإنَّ الدَّنیا دارٌ قْد أدبرَ منْها ما کان معروفاً، وأقبلَ منها ما کان مُنْکَراً، وأصبحت قدْ تشنّأت إلی ذوی الألباب، وأزمع بالتّرحال مِنْها عبادُ الله الأَخیار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المعنی مأخوذ من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یدعو فیها إلی التزهید فی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الدُّنْیا قد أدبْرتَ، وآذنَت بوَداع، وإنَّ الآخرة قد أقبلت وأشْرَفت</w:t>
      </w:r>
    </w:p>
    <w:p>
      <w:pPr>
        <w:pStyle w:val="BookText"/>
        <w:rPr/>
      </w:pPr>
      <w:r>
        <w:rPr>
          <w:rFonts w:ascii="Amiri" w:hAnsi="Amiri" w:eastAsia="Amiri" w:cs="Amiri"/>
          <w:color w:val="111111"/>
          <w:sz w:val="28"/>
          <w:sz w:val="28"/>
          <w:szCs w:val="28"/>
          <w:rtl w:val="true"/>
          <w:lang w:bidi="ar-SA"/>
        </w:rPr>
        <w:t>باطّلاع</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أو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الدُنْیَا قَدْ تَصرَّمَتَ، وآذنَتْ بانِقضَاءٍ، وتَنَکّر مَعْرُوفها، وأدْبَرتَ ْحَذَّاَءَ، فهَیَ تَحْفُز بالفناءِ سُکَّانَهَا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ذلک یمضی ابن صُرَد حاثّاً علی التقوی،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التَّقوی أفضلُ الزَّادِ فی الدّنیا، وما سوی ذلک یبورُ وَیَفنی، فلتَعزِف عنْها أنفُسُکم، ولِتَکُنْ رَغبَتُکُمْ فی دارِ عافیتِکم، وجِهادِ عدوّ اللهِ وعدوّکم، وعدوّ أهلِ بیتِ نَبِیّکُمْ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یستمدُّ ابن صُرَد معانیه من المعانی القرآنیة المتمثلة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وَتَزَوَّدُوا فَإِنَّ خَیْرَ الزَّادِ التَّقْوَی وَاتَّقُونِ یَا أُولِی الْأَلْبَابِ </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وهو أیضاً یُذکّرنا بأقواله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التمسُّک بالتقوی والعمل الصالح، وبالدعوة إلی جهاد أعداء الله، فکانت طابعاً قصدیّاً مهیمناً علی خُطبه ورسائله</w:t>
      </w:r>
      <w:r>
        <w:rPr>
          <w:rFonts w:eastAsia="IRNazanin" w:cs="IRNazanin"/>
          <w:color w:val="111111"/>
          <w:sz w:val="28"/>
          <w:szCs w:val="28"/>
          <w:rtl w:val="true"/>
          <w:lang w:bidi="fa-IR"/>
        </w:rPr>
        <w:t xml:space="preserve">. </w:t>
      </w:r>
      <w:bookmarkStart w:id="115" w:name="pg5013_35296"/>
    </w:p>
    <w:p>
      <w:pPr>
        <w:pStyle w:val="Heading2"/>
        <w:numPr>
          <w:ilvl w:val="1"/>
          <w:numId w:val="1"/>
        </w:numPr>
        <w:rPr/>
      </w:pPr>
      <w:bookmarkStart w:id="116" w:name="__RefHeading___Toc507677_774463916"/>
      <w:bookmarkStart w:id="117" w:name="_Toc40"/>
      <w:bookmarkEnd w:id="115"/>
      <w:bookmarkEnd w:id="116"/>
      <w:r>
        <w:rPr>
          <w:rtl w:val="true"/>
        </w:rPr>
        <w:t>الفصل الثانی</w:t>
      </w:r>
      <w:r>
        <w:rPr>
          <w:rtl w:val="true"/>
        </w:rPr>
        <w:t xml:space="preserve">: </w:t>
      </w:r>
      <w:r>
        <w:rPr>
          <w:rtl w:val="true"/>
        </w:rPr>
        <w:t>القیم الإیقاعیَّة للمستوی الصَّوتی</w:t>
      </w:r>
      <w:bookmarkEnd w:id="11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507679_774463916"/>
      <w:bookmarkStart w:id="119" w:name="_Toc41"/>
      <w:bookmarkEnd w:id="118"/>
      <w:r>
        <w:rPr>
          <w:rtl w:val="true"/>
        </w:rPr>
        <w:t>اشارة</w:t>
      </w:r>
      <w:bookmarkEnd w:id="1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5013_35298"/>
      <w:bookmarkStart w:id="121" w:name="pg5013_35298"/>
      <w:bookmarkEnd w:id="121"/>
    </w:p>
    <w:p>
      <w:pPr>
        <w:pStyle w:val="Heading3"/>
        <w:numPr>
          <w:ilvl w:val="2"/>
          <w:numId w:val="1"/>
        </w:numPr>
        <w:rPr/>
      </w:pPr>
      <w:bookmarkStart w:id="122" w:name="pg5013_35298"/>
      <w:bookmarkStart w:id="123" w:name="__RefHeading___Toc507681_774463916"/>
      <w:bookmarkStart w:id="124" w:name="_Toc42"/>
      <w:bookmarkEnd w:id="122"/>
      <w:bookmarkEnd w:id="123"/>
      <w:r>
        <w:rPr>
          <w:rtl w:val="true"/>
        </w:rPr>
        <w:t>مدخل</w:t>
      </w:r>
      <w:bookmarkEnd w:id="124"/>
    </w:p>
    <w:p>
      <w:pPr>
        <w:pStyle w:val="BookText"/>
        <w:rPr/>
      </w:pPr>
      <w:r>
        <w:rPr>
          <w:rFonts w:ascii="IRNazanin" w:hAnsi="IRNazanin" w:eastAsia="IRNazanin"/>
          <w:color w:val="111111"/>
          <w:sz w:val="28"/>
          <w:sz w:val="28"/>
          <w:szCs w:val="28"/>
          <w:rtl w:val="true"/>
          <w:lang w:bidi="fa-IR"/>
        </w:rPr>
        <w:t>﻿یُعدُّ المستوی الصوتی هو المدخل الأساس للبناء الأُسلوبی؛ لأنّ الصوت کما یقول 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آلة اللفظ، والجوهر الذی یقوم به التقطیع، وبه یوجد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تکون حرکات اللسان لفظاً ولا کلاماً موزوناً ولا منثوراً إلّا بظهور الصوت، ولا تکون الحروف کلاماً إلّا بالتقطیع والتألیف</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 والصوت اللغوی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linguistic – sound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هو الذی تؤلّف مادته علم الصوت، ویُعرّف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السمعی الذی یصدر طواعیة من تلک الأعضاء المسماة تجوّزاً أعضاء النطق</w:t>
      </w:r>
      <w:r>
        <w:rPr>
          <w:rStyle w:val="FootnoteAnchor"/>
          <w:rtl w:val="true"/>
        </w:rPr>
        <w:footnoteReference w:id="230"/>
      </w:r>
      <w:r>
        <w:rPr>
          <w:rFonts w:ascii="IRNazanin" w:hAnsi="IRNazanin" w:eastAsia="IRNazanin"/>
          <w:color w:val="111111"/>
          <w:sz w:val="28"/>
          <w:sz w:val="28"/>
          <w:szCs w:val="28"/>
          <w:rtl w:val="true"/>
          <w:lang w:bidi="fa-IR"/>
        </w:rPr>
        <w:t>، ثمّ إنَّ هذه الأصوات اللغویة تنتظم فیما بینها لتؤلّف الألفاظ التی تمثل فی النتیجة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عنی العلماء قدیماً بدراسة الصوت اللغوی، فوضّحوا طریقة حدوثه ومخارجه، وطریقة انتقاله وانتشاره، وکیفیة سمعه وإدراکه، وبیّنوا صفاته العامّة من جهر وهمس، وشدّة ورخاوة، وکذلک صفاته الخاصّة من تکرار وانحراف وتَفَشّ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سبّاقاً إلی هذه المضمار إذ کان للدراسة الصوتیة نصیبٌ کبیرٌ من عنایته،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تحدَّث الخلیل عن الجهاز الصوتی من </w:t>
      </w:r>
    </w:p>
    <w:p>
      <w:pPr>
        <w:pStyle w:val="BookText"/>
        <w:rPr/>
      </w:pPr>
      <w:r>
        <w:rPr>
          <w:rFonts w:ascii="IRNazanin" w:hAnsi="IRNazanin" w:eastAsia="IRNazanin"/>
          <w:color w:val="111111"/>
          <w:sz w:val="28"/>
          <w:sz w:val="28"/>
          <w:szCs w:val="28"/>
          <w:rtl w:val="true"/>
          <w:lang w:bidi="fa-IR"/>
        </w:rPr>
        <w:t>الحلق والفم إلی الشفتین، وبیَّن مواطن إخراج الحروف منه، من حلقیة، وشجریَّة، ونطعیَّة، وذلقیَّة، وشفویَّة، وبین مخرج کلِّ حرف علی وجه التحدید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رسم الخلیل الطریقة التی یمکن بها معرفة مخرج الصوت الحقیقی، وکان فی ذلک موفَّقاً کلَّ التوفیق إلی حدِّ أنَّ علم الأصوات الحدیث یعترف بکثیرٍ من آرائه ومقاییسه الصحیحة</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یعنینا فی هذا المقام الأداء الصوتی، لأهمّیته ببحث الأُسلوبیة</w:t>
      </w:r>
      <w:r>
        <w:rPr>
          <w:rStyle w:val="FootnoteAnchor"/>
          <w:rtl w:val="true"/>
        </w:rPr>
        <w:footnoteReference w:id="233"/>
      </w:r>
      <w:r>
        <w:rPr>
          <w:rFonts w:ascii="IRNazanin" w:hAnsi="IRNazanin" w:eastAsia="IRNazanin"/>
          <w:color w:val="111111"/>
          <w:sz w:val="28"/>
          <w:sz w:val="28"/>
          <w:szCs w:val="28"/>
          <w:rtl w:val="true"/>
          <w:lang w:bidi="fa-IR"/>
        </w:rPr>
        <w:t>، إذ یوظّفه المنشئ لیؤدّی به غایات إبلاغیة غرضها التأثیر، من خلال المخارج حینا، والصفات حینا آخر</w:t>
      </w:r>
      <w:r>
        <w:rPr>
          <w:rStyle w:val="FootnoteAnchor"/>
          <w:rtl w:val="true"/>
        </w:rPr>
        <w:footnoteReference w:id="234"/>
      </w:r>
      <w:r>
        <w:rPr>
          <w:rFonts w:ascii="IRNazanin" w:hAnsi="IRNazanin" w:eastAsia="IRNazanin"/>
          <w:color w:val="111111"/>
          <w:sz w:val="28"/>
          <w:sz w:val="28"/>
          <w:szCs w:val="28"/>
          <w:rtl w:val="true"/>
          <w:lang w:bidi="fa-IR"/>
        </w:rPr>
        <w:t>فضلاً عن الإیقاع</w:t>
      </w:r>
      <w:r>
        <w:rPr>
          <w:rStyle w:val="FootnoteAnchor"/>
          <w:rtl w:val="true"/>
        </w:rPr>
        <w:footnoteReference w:id="235"/>
      </w:r>
      <w:r>
        <w:rPr>
          <w:rFonts w:ascii="IRNazanin" w:hAnsi="IRNazanin" w:eastAsia="IRNazanin"/>
          <w:color w:val="111111"/>
          <w:sz w:val="28"/>
          <w:sz w:val="28"/>
          <w:szCs w:val="28"/>
          <w:rtl w:val="true"/>
          <w:lang w:bidi="fa-IR"/>
        </w:rPr>
        <w:t xml:space="preserve">والعلاقة الطبیعیة بین إیحاء الصوت والمعنی، وهذا ما أکّده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بییر غیرو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المعاصرین حین عرّف الأُسلوبیة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دراسة المتغیرات الصوتیة للسلسلة الکلامیة، واستعمال بعض العناصر الصوتیة لغایات أُسلوبیة، بإقرار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حوزة اللغة نسقاً کاملاً من المتغیرات الأُسلوبیة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نمیز من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التَّکرار، المحاکاة الصوتیة، الجناس</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تقدَّم کان البحث فی هذا الفصل مقسّماً علی مبحثین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الإیقاع وقیمته الموسیقیَّة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فیه آلیات الإیقاع کالجناس والسجع والموازنة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التناسب المعنوی للإیحاء الصوتی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فیه الإیحاء الدلالی الصوتی ضمن السیاق العام، سواء فی اللفظة المفردة، أم فی الأصوات المتکررة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الإیقاع الصوتی والإیحاء الدلالی للأصوات، هما رکنا الأُسلوبیة الصوتیة فی اللغة العربیة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فإنّ دراسة المستوی الصوتی فی الدراسة اللغویة أو الأُسلوبیة، تعدُّ الأساس الذی تقوم علیه بناء مفرداتها وصیغتها وتراکیبها</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5013_35302"/>
      <w:bookmarkStart w:id="126" w:name="pg5013_35302"/>
      <w:bookmarkEnd w:id="126"/>
    </w:p>
    <w:p>
      <w:pPr>
        <w:pStyle w:val="Heading3"/>
        <w:numPr>
          <w:ilvl w:val="2"/>
          <w:numId w:val="1"/>
        </w:numPr>
        <w:rPr/>
      </w:pPr>
      <w:bookmarkStart w:id="127" w:name="pg5013_35302"/>
      <w:bookmarkStart w:id="128" w:name="__RefHeading___Toc507683_774463916"/>
      <w:bookmarkStart w:id="129" w:name="_Toc43"/>
      <w:bookmarkEnd w:id="127"/>
      <w:bookmarkEnd w:id="128"/>
      <w:r>
        <w:rPr>
          <w:rtl w:val="true"/>
        </w:rPr>
        <w:t xml:space="preserve">المبحث الأوَّل </w:t>
      </w:r>
      <w:r>
        <w:rPr>
          <w:rtl w:val="true"/>
        </w:rPr>
        <w:t>:</w:t>
      </w:r>
      <w:r>
        <w:rPr>
          <w:rtl w:val="true"/>
        </w:rPr>
        <w:t>قیمة الإیقاع الصوتی</w:t>
      </w:r>
      <w:bookmarkEnd w:id="129"/>
    </w:p>
    <w:p>
      <w:pPr>
        <w:pStyle w:val="Heading4"/>
        <w:numPr>
          <w:ilvl w:val="3"/>
          <w:numId w:val="1"/>
        </w:numPr>
        <w:rPr/>
      </w:pPr>
      <w:bookmarkStart w:id="130" w:name="__RefHeading___Toc507685_774463916"/>
      <w:bookmarkStart w:id="131" w:name="_Toc44"/>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تتجلَّی حرکة المعانی حینما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یمنح الصوت الاستعمال الفنّی للُّغة عنصراً مهمّاً هو عنصر الإیقاع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عنصر أساس فی الموسیقی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ذلک یُعدُّ الصوت أمراً مشترکاً بین اللّغة والموسیقی</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ولهذا یقول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الأصوات والحروف له تعلّق ومشارکة للموسیقی، لما فیه من صنعة الأصوات والنغم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فالإیقاع یتجلَّی بوضوح فی موسیقی الشعر والنثر</w:t>
      </w:r>
      <w:r>
        <w:rPr>
          <w:rStyle w:val="FootnoteAnchor"/>
          <w:rtl w:val="true"/>
        </w:rPr>
        <w:footnoteReference w:id="240"/>
      </w:r>
      <w:r>
        <w:rPr>
          <w:rFonts w:ascii="IRNazanin" w:hAnsi="IRNazanin" w:eastAsia="IRNazanin"/>
          <w:color w:val="111111"/>
          <w:sz w:val="28"/>
          <w:sz w:val="28"/>
          <w:szCs w:val="28"/>
          <w:rtl w:val="true"/>
          <w:lang w:bidi="fa-IR"/>
        </w:rPr>
        <w:t>، وهو أحد أرکان الأُسلوبیة الصوتیة فی اللغة العربیة</w:t>
      </w:r>
      <w:r>
        <w:rPr>
          <w:rStyle w:val="FootnoteAnchor"/>
          <w:rtl w:val="true"/>
        </w:rPr>
        <w:footnoteReference w:id="241"/>
      </w:r>
      <w:r>
        <w:rPr>
          <w:rFonts w:ascii="IRNazanin" w:hAnsi="IRNazanin" w:eastAsia="IRNazanin"/>
          <w:color w:val="111111"/>
          <w:sz w:val="28"/>
          <w:sz w:val="28"/>
          <w:szCs w:val="28"/>
          <w:rtl w:val="true"/>
          <w:lang w:bidi="fa-IR"/>
        </w:rPr>
        <w:t xml:space="preserve">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وحدات صوتیة فی السیاق علی مسافات متقایسة بالتساوی أو بالتناسب</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وعندها یشکَّل حرکات صوتیة منتظمة فی الکلام نتیجة لذلک التردد الصوتی المنتظم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الأُسلوبیة الصوتیة هی دراسة المتغیرات الصوتیة للسلسة الکلامیة واستعمال بعض العناصر الصوتیة لغایات أُسلوبیة</w:t>
      </w:r>
      <w:r>
        <w:rPr>
          <w:rStyle w:val="FootnoteAnchor"/>
          <w:rtl w:val="true"/>
        </w:rPr>
        <w:footnoteReference w:id="243"/>
      </w:r>
      <w:r>
        <w:rPr>
          <w:rFonts w:ascii="IRNazanin" w:hAnsi="IRNazanin" w:eastAsia="IRNazanin"/>
          <w:color w:val="111111"/>
          <w:sz w:val="28"/>
          <w:sz w:val="28"/>
          <w:szCs w:val="28"/>
          <w:rtl w:val="true"/>
          <w:lang w:bidi="fa-IR"/>
        </w:rPr>
        <w:t xml:space="preserve">، وأنَّ فی حوزة اللغة نسقاً کاملاً من تلکم المتغیرات، کالتَکرار والجناس، والسجع والتوازن، والإحالة الإیحائیة بین الصوت والمعنی، وهو ما أُطلق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المحاکاة الصوتیة</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 xml:space="preserve">، ولا شکّ فی أنَّ </w:t>
      </w:r>
    </w:p>
    <w:p>
      <w:pPr>
        <w:pStyle w:val="BookText"/>
        <w:rPr/>
      </w:pPr>
      <w:r>
        <w:rPr>
          <w:rFonts w:ascii="IRNazanin" w:hAnsi="IRNazanin" w:eastAsia="IRNazanin"/>
          <w:color w:val="111111"/>
          <w:sz w:val="28"/>
          <w:sz w:val="28"/>
          <w:szCs w:val="28"/>
          <w:rtl w:val="true"/>
          <w:lang w:bidi="fa-IR"/>
        </w:rPr>
        <w:t>الإیقاع المتکوّن نتیجة تردّد هذه المتغیرات الصوتیّة یُضفی علی الکلام نغماً موسیقیاً مؤثراً، یحسن من قصدیة الناص فی شعره أو نثره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الإیقاع من العناصر البارزة فی بناء النثر الفنّی سواء کان خُطباً أم رسائل، فذلک لما له من تأثیر فی نفس المتلقی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یمنحه من جمال وروعة بتناسقه من خلال توفیر جرس صوتی، یناغم جمیع الألفاظ والعبارات الموجودة داخل النص</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تنبَّه القدماء إلی أهمیه الإیقاع، فذکروا أنَّ العرب عنیت بإبراز موسیقی النثر من خلال موازنة الکلام، والاهتمام بمصاریعه من حیث الطول والقص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وکذلک الاهتمام بالسجع وتشابه حروف الأجزاء</w:t>
      </w:r>
      <w:r>
        <w:rPr>
          <w:rStyle w:val="FootnoteAnchor"/>
          <w:rtl w:val="true"/>
        </w:rPr>
        <w:footnoteReference w:id="247"/>
      </w:r>
      <w:r>
        <w:rPr>
          <w:rFonts w:ascii="IRNazanin" w:hAnsi="IRNazanin" w:eastAsia="IRNazanin"/>
          <w:color w:val="111111"/>
          <w:sz w:val="28"/>
          <w:sz w:val="28"/>
          <w:szCs w:val="28"/>
          <w:rtl w:val="true"/>
          <w:lang w:bidi="fa-IR"/>
        </w:rPr>
        <w:t xml:space="preserve">، فنجد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مضمونات الأُسلوبیة لدی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مستویاتها الصوتیة والعروضیة وهی تتجلی فی مباحثه، إذ توخَّی منها تحقیق البناء الإیقاعی، وتعیین ضوابطه فی الأداء البیانی للغة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یمکن القول إنَّ آلیات الإیقاع تتجلَّی فی الجناس والسجع، والتوازن وغیرها، وإنَّ الأُسلوبیة الصوتیة تسعی إلی دراسة هذه الآلیات ورصدها وتصنیفها</w:t>
      </w:r>
      <w:r>
        <w:rPr>
          <w:rStyle w:val="FootnoteAnchor"/>
          <w:rtl w:val="true"/>
        </w:rPr>
        <w:footnoteReference w:id="249"/>
      </w:r>
      <w:r>
        <w:rPr>
          <w:rFonts w:ascii="IRNazanin" w:hAnsi="IRNazanin" w:eastAsia="IRNazanin"/>
          <w:color w:val="111111"/>
          <w:sz w:val="28"/>
          <w:sz w:val="28"/>
          <w:szCs w:val="28"/>
          <w:rtl w:val="true"/>
          <w:lang w:bidi="fa-IR"/>
        </w:rPr>
        <w:t xml:space="preserve">لأنَّها تسعی فی ذلک لدراسة مواطن الجمال وطرائق تأثیرها من وجهة نظر صوتیة، </w:t>
      </w:r>
      <w:bookmarkStart w:id="132" w:name="pg5013_35304"/>
    </w:p>
    <w:p>
      <w:pPr>
        <w:pStyle w:val="BookText"/>
        <w:rPr/>
      </w:pPr>
      <w:bookmarkEnd w:id="132"/>
      <w:r>
        <w:rPr>
          <w:rFonts w:ascii="IRNazanin" w:hAnsi="IRNazanin" w:eastAsia="IRNazanin"/>
          <w:color w:val="111111"/>
          <w:sz w:val="28"/>
          <w:sz w:val="28"/>
          <w:szCs w:val="28"/>
          <w:rtl w:val="true"/>
          <w:lang w:bidi="fa-IR"/>
        </w:rPr>
        <w:t>وعلی ذلک سیتناول هذا المبحث آلیات الإیقاع وجرس الألفاظ؛ ذلک أنَّ دراسة هذه الآلیات سیکون بحسب شیوع کلٍّ منها فی خُطب ورسائل هاتین الحِقبتین، وهی علی النحو الآتی</w:t>
      </w:r>
      <w:r>
        <w:rPr>
          <w:rFonts w:eastAsia="IRNazanin" w:cs="IRNazanin"/>
          <w:color w:val="111111"/>
          <w:sz w:val="28"/>
          <w:szCs w:val="28"/>
          <w:rtl w:val="true"/>
          <w:lang w:bidi="fa-IR"/>
        </w:rPr>
        <w:t>:</w:t>
      </w:r>
    </w:p>
    <w:p>
      <w:pPr>
        <w:pStyle w:val="Heading4"/>
        <w:numPr>
          <w:ilvl w:val="3"/>
          <w:numId w:val="1"/>
        </w:numPr>
        <w:rPr/>
      </w:pPr>
      <w:bookmarkStart w:id="133" w:name="__RefHeading___Toc507687_774463916"/>
      <w:bookmarkStart w:id="134" w:name="_Toc45"/>
      <w:bookmarkEnd w:id="133"/>
      <w:r>
        <w:rPr>
          <w:rtl w:val="true"/>
        </w:rPr>
        <w:t>أوَّلاً</w:t>
      </w:r>
      <w:r>
        <w:rPr>
          <w:rtl w:val="true"/>
        </w:rPr>
        <w:t xml:space="preserve">: </w:t>
      </w:r>
      <w:r>
        <w:rPr>
          <w:rtl w:val="true"/>
        </w:rPr>
        <w:t>الجناس</w:t>
      </w:r>
      <w:bookmarkEnd w:id="134"/>
    </w:p>
    <w:p>
      <w:pPr>
        <w:pStyle w:val="Heading5"/>
        <w:numPr>
          <w:ilvl w:val="4"/>
          <w:numId w:val="1"/>
        </w:numPr>
        <w:rPr/>
      </w:pPr>
      <w:bookmarkStart w:id="135" w:name="__RefHeading___Toc507689_774463916"/>
      <w:bookmarkStart w:id="136" w:name="_Toc46"/>
      <w:bookmarkEnd w:id="135"/>
      <w:r>
        <w:rPr>
          <w:rtl w:val="true"/>
        </w:rPr>
        <w:t>اشارة</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الجناس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المجانسة والتَّجنیس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یجانس هذا، أی یشاکله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تعریفه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البلاغیّین مُجمعون علی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اللفظتین فی وجه من الوجوه والاختلاف فی المعنی</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وللجناس وظیفتان من ناحیة الشکل، ومن ناحیة المضمون، فهو من ناحیة الشکل یزید من القیمة الإیقاعیة والموسیقیة، لمِا فیه من تشابه جزئی أو کلَّی فی ترکیب الألفاظ، أمَّا من ناحیة المضمون، فهو یزید من الانسجام بین المعانی، وذلک عن طریق الأُسلوب المنساب المحبب</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یکتسب الجناس أهمیة بارزة من وقعه الجمالی الذی یضفیه علی النص،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الحُلی اللفظیة والألوان البدیعیّة التی لها تأثیر بلیغ، تجذب السامع، وتُحدث فی نفسه میلاً إلی الإصغاء والتلذّذ بنغمته العذبة، وتجعل العبارة علی الأذن سهلةً ومستساغة، فتجد من النفس القبول، وتتأثَّر به أیّ تأثیر، وتقع فی القلب أحسن موقع</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37" w:name="pg5013_35305"/>
    </w:p>
    <w:p>
      <w:pPr>
        <w:pStyle w:val="BookText"/>
        <w:rPr/>
      </w:pPr>
      <w:bookmarkEnd w:id="137"/>
      <w:r>
        <w:rPr>
          <w:rFonts w:ascii="IRNazanin" w:hAnsi="IRNazanin" w:eastAsia="IRNazanin"/>
          <w:color w:val="111111"/>
          <w:sz w:val="28"/>
          <w:sz w:val="28"/>
          <w:szCs w:val="28"/>
          <w:rtl w:val="true"/>
          <w:lang w:bidi="fa-IR"/>
        </w:rPr>
        <w:t>ولمَّا کان الجناس کما مرَّ تعریفه اتفاق اللفظتین فی وجه من الوجوه والاختلاف فی المعنی، فهو بذلک یکون تکراراً للأصوات نفسها، أو بعضها ممَّا ینتج الإیقاع الموسیقی من ذلک، ویولّد بالمقابل تغایراً بالمعنی، وعندها یتحقَّق مقصد الأُسلوبیة الصوتیة فی الترکیب؛ لأنَّه یتیح للغة حریة التصرف ببعض العناصر الصوتیة فی السلسلة الکلامیة، واستعمالها لغایات أُسلوبیة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وسوف یتناول هذا المبحث ما ورد منه فی خُطب ورسائل هاتین الحِقبتین، ومن الجدیر بالذکر أنَّ الجناس التام لم یرد فی هذه الخُطب أو الرسائل، لذا سیکون الحدیث عن الجناس غیر التام وأنواعه فقط، وهو الجناس الذی تکون فیه اللفظتان مختلفتین فی أحد أربعة أُمور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الأصوات، وأعدادها، وهیئاتها، وترتیبها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507691_774463916"/>
      <w:bookmarkStart w:id="139" w:name="_Toc47"/>
      <w:bookmarkEnd w:id="138"/>
      <w:r>
        <w:rPr/>
        <w:t>1</w:t>
      </w:r>
      <w:r>
        <w:rPr>
          <w:rtl w:val="true"/>
        </w:rPr>
        <w:t xml:space="preserve">- </w:t>
      </w:r>
      <w:r>
        <w:rPr>
          <w:rtl w:val="true"/>
        </w:rPr>
        <w:t>الجناس الناقص</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الخطیب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أصوات اللفظتین المتجانستین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اختلفا فی أعدادها سُمّیَ ناقصاً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ویکون الاختلاف بین اللفظتین بزیادة صوت واحد، وهذه الزیادة تکون إمّا فی بدایة اللفظة، أو فی وسطها، أو فی نهایتها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الجناس الناقص بکثرة فی الخُطب والرسائل، إذ سنُبیّن قیمته الأُسلوبیة داخل السیاق الذی برز فیه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فی خُطبة المختار حین استنصره ابن الحنفیة،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تُرِکِوا محظُوراً </w:t>
      </w:r>
      <w:bookmarkStart w:id="140" w:name="pg5013_35306"/>
    </w:p>
    <w:p>
      <w:pPr>
        <w:pStyle w:val="BookText"/>
        <w:rPr/>
      </w:pPr>
      <w:bookmarkEnd w:id="140"/>
      <w:r>
        <w:rPr>
          <w:rFonts w:ascii="Amiri" w:hAnsi="Amiri" w:eastAsia="Amiri" w:cs="Amiri"/>
          <w:color w:val="111111"/>
          <w:sz w:val="28"/>
          <w:sz w:val="28"/>
          <w:szCs w:val="28"/>
          <w:rtl w:val="true"/>
          <w:lang w:bidi="ar-SA"/>
        </w:rPr>
        <w:t>علیهم کما یُحْظَرُ علی الغنم، ینتظِرون القتلَ والتَّحریق بالنَّار فی آناء اللیل وتارات النَّهار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نلحظ أنَّ الجناس الناقص قد وقع بین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والاختلاف بینهما واضح، وقد نقصت الکلمة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وسطها، وهذا الجناس له أثره الموسیقی الذی تستعذبه الأذن؛ لأنَّه عمل علی استرجاع تردّد الأصوات من خلال التکرار بالألفاظ المتجانسة، وهو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ضروب التکرار المؤکِّد للنغم، من خلال التشابه الکلِّی أو الجزئی فی ترکیب الألفاظ، وهذا التشابه فی الجرس یدفع الذهن إلی التماس معنی تنصرف إلیه اللفظتان</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 وعندها کادت اللفظتان أنْ تتّفقا فی جمیع الأصوات لولا وجود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الکلمة الثانیة، وهو صوت حلقی</w:t>
      </w:r>
      <w:r>
        <w:rPr>
          <w:rStyle w:val="FootnoteAnchor"/>
          <w:rtl w:val="true"/>
        </w:rPr>
        <w:footnoteReference w:id="260"/>
      </w:r>
      <w:r>
        <w:rPr>
          <w:rFonts w:ascii="Amiri" w:hAnsi="Amiri" w:eastAsia="Amiri" w:cs="Amiri"/>
          <w:color w:val="111111"/>
          <w:sz w:val="28"/>
          <w:sz w:val="28"/>
          <w:szCs w:val="28"/>
          <w:rtl w:val="true"/>
          <w:lang w:bidi="ar-SA"/>
        </w:rPr>
        <w:t>من صفاته الهمس والرخاوة</w:t>
      </w:r>
      <w:r>
        <w:rPr>
          <w:rStyle w:val="FootnoteAnchor"/>
          <w:rtl w:val="true"/>
        </w:rPr>
        <w:footnoteReference w:id="261"/>
      </w:r>
      <w:r>
        <w:rPr>
          <w:rFonts w:ascii="IRNazanin" w:hAnsi="IRNazanin" w:eastAsia="IRNazanin"/>
          <w:color w:val="111111"/>
          <w:sz w:val="28"/>
          <w:sz w:val="28"/>
          <w:szCs w:val="28"/>
          <w:rtl w:val="true"/>
          <w:lang w:bidi="fa-IR"/>
        </w:rPr>
        <w:t xml:space="preserve">، وهذه الصفة جعلته لا یتطلَّب مجهوداً عند النطق به، کما هو واضح عند نطق الکلمتین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نکاد نحسُّ جهداً مطلوباً کبیراً عند النطق به، فکأنَّما جاءت هاتان اللّفظتان علی اتّفاق فی جمیع الصفات، وعند ذلک وفَّرَ للمنشئ جوَّاً موسیقیاً حرکیاً من خلال هذا الإیقاع المتکوَّن نتیجة إعادة الأصوات المتشابهة فی اللَّفظتین المتجانستین</w:t>
      </w:r>
      <w:r>
        <w:rPr>
          <w:rFonts w:eastAsia="IRNazanin" w:cs="IRNazanin"/>
          <w:color w:val="111111"/>
          <w:sz w:val="28"/>
          <w:szCs w:val="28"/>
          <w:rtl w:val="true"/>
          <w:lang w:bidi="fa-IR"/>
        </w:rPr>
        <w:t>.</w:t>
      </w:r>
    </w:p>
    <w:p>
      <w:pPr>
        <w:pStyle w:val="Heading5"/>
        <w:numPr>
          <w:ilvl w:val="4"/>
          <w:numId w:val="1"/>
        </w:numPr>
        <w:rPr/>
      </w:pPr>
      <w:bookmarkStart w:id="141" w:name="__RefHeading___Toc507693_774463916"/>
      <w:bookmarkStart w:id="142" w:name="_Toc48"/>
      <w:bookmarkEnd w:id="141"/>
      <w:r>
        <w:rPr/>
        <w:t>2</w:t>
      </w:r>
      <w:r>
        <w:rPr>
          <w:rtl w:val="true"/>
        </w:rPr>
        <w:t xml:space="preserve">- </w:t>
      </w:r>
      <w:r>
        <w:rPr>
          <w:rtl w:val="true"/>
        </w:rPr>
        <w:t>الجناس المضارع واللاحق</w:t>
      </w:r>
      <w:bookmarkEnd w:id="14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الجناس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تختلف فیه اللفظتان المتجانستان بصوت واحد متقارب فی المخرج، وقد یأتی هذا الاختلاف فی الصوت الأوَّل من اللفظة، أو فی وسطها أو فی آخرها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الجناس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تختلف فیه اللفظتان بصوت واحد متباعد فی المخرج، وهو أیضاً یکون فی أوَّل اللفظة، أو فی وسطها، أو فی آخرها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وسُمّیَ هذا الصوت المختلف الذی یؤدی إلی تغیّر المعنی فی الجناسین المضارع واللّاحق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فالفونیم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الذی یؤدی تغیّره إلی تغیّر المعنی، أو هو أصغر وحدة صوتیة عن طریقها یمکن التفریق بین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ورد فیه الجناس المضارع کان فی خُطبة المسیّب بن نجبة الفزاری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بَلَغَتْنَا قَبْلَ ذلکَ کُتُبه، وقَدِمَتْ عَلَیْنا رُسُلُهُ، وأعْذَرَ إلینا یَسْألنُا نَصْرَهُ عَوْدَاً وبِدْءَاً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نجد هذا الجناس قد وقع بین لفظتین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 وکان الاختلاف بین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من مخرجین متقاربین، أمَّا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صوت حلقی یخرج من وسط الحلق</w:t>
      </w:r>
      <w:r>
        <w:rPr>
          <w:rStyle w:val="FootnoteAnchor"/>
          <w:rtl w:val="true"/>
        </w:rPr>
        <w:footnoteReference w:id="266"/>
      </w:r>
      <w:r>
        <w:rPr>
          <w:rFonts w:ascii="IRNazanin" w:hAnsi="IRNazanin" w:eastAsia="IRNazanin"/>
          <w:color w:val="111111"/>
          <w:sz w:val="28"/>
          <w:sz w:val="28"/>
          <w:szCs w:val="28"/>
          <w:rtl w:val="true"/>
          <w:lang w:bidi="fa-IR"/>
        </w:rPr>
        <w:t>، وأمَّا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صوت حنجری</w:t>
      </w:r>
      <w:r>
        <w:rPr>
          <w:rStyle w:val="FootnoteAnchor"/>
          <w:rtl w:val="true"/>
        </w:rPr>
        <w:footnoteReference w:id="267"/>
      </w:r>
      <w:r>
        <w:rPr>
          <w:rFonts w:ascii="IRNazanin" w:hAnsi="IRNazanin" w:eastAsia="IRNazanin"/>
          <w:color w:val="111111"/>
          <w:sz w:val="28"/>
          <w:sz w:val="28"/>
          <w:szCs w:val="28"/>
          <w:rtl w:val="true"/>
          <w:lang w:bidi="fa-IR"/>
        </w:rPr>
        <w:t xml:space="preserve">، والحنجرة قریبة من الحلق، وهذا التَّقارب المخرجی سوَّغ للجناس أنْ یکون مضارعاً، والملاحظ أنَّ هاتین اللفظتین متساویتان فی عدد الأصوات، وهیئتها، وترتیبها، لکنَّهما مختلفتان فی النوعیة، وهذا الاختلاف أوجد اتفاقاً ایقاعیاً، وأعطی نغمة موسیقیة مکرَّرة تکاد تعطی لفظة معادة لولا هذا الاختلاف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فیه الجناس المضارع کان فی خُطبة المختار حین قدم إلی الکوفة فی النصف </w:t>
      </w:r>
    </w:p>
    <w:p>
      <w:pPr>
        <w:pStyle w:val="BookText"/>
        <w:rPr/>
      </w:pPr>
      <w:r>
        <w:rPr>
          <w:rFonts w:ascii="Amiri" w:hAnsi="Amiri" w:eastAsia="Amiri" w:cs="Amiri"/>
          <w:color w:val="111111"/>
          <w:sz w:val="28"/>
          <w:sz w:val="28"/>
          <w:szCs w:val="28"/>
          <w:rtl w:val="true"/>
          <w:lang w:bidi="ar-SA"/>
        </w:rPr>
        <w:t xml:space="preserve">من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المهدیَّ بن الوصیّ، محمّد بن علی، بعثنی إلیکم أمِینَاً، وَوَزیرَاً، ومُنْتَجَبَاً، وأمیراً، وأمرنی بقتل المُلحِدین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فالجناس المضارع یتمثَّل فی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فاتفق وزنهما، لکنَّهما اختلفا بترکیبهما بصوت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حرفان متقاربان فی المخرج، قال ابن 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طرف اللّسان بینه وبین ما فُوَیْق الثَّنایا مخرج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مخرج النَّون غیر أنَّه أدخل فی ظهر اللسان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الراء</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هذا التقارب المخرجی بین الصوتین من الجناس قویّ الجرس، وعندها أضفی علی العبارة إیقاعاً حرکیاً واضحاً، وأحدث فی نفس المتلقی متعة ولذَّة تعشقها الأُذن التی هزَّها هذا التردید للأصوات، فأحدث فیها نوعاً من الاستجابة والإثارة والمشارکة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الجناس اللّاحق، فنجده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سلیمان بن صُرَد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أثْنی علی اللهِ خیراً، وأحمد آلاءَهُ وبلاءَه، وأشهدُ أنْ لا اله إلّا الله</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 فوقع الجناس بین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والاختلاف بینهما کان فی صوتین هما صوت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المتکوّن نتیجة اجتماع الهمزة مع الألف، ومخرجه من الجوف </w:t>
      </w:r>
      <w:r>
        <w:rPr>
          <w:rStyle w:val="FootnoteAnchor"/>
          <w:rtl w:val="true"/>
        </w:rPr>
        <w:footnoteReference w:id="271"/>
      </w:r>
      <w:r>
        <w:rPr>
          <w:rFonts w:ascii="IRNazanin" w:hAnsi="IRNazanin" w:eastAsia="IRNazanin"/>
          <w:color w:val="111111"/>
          <w:sz w:val="28"/>
          <w:sz w:val="28"/>
          <w:szCs w:val="28"/>
          <w:rtl w:val="true"/>
          <w:lang w:bidi="fa-IR"/>
        </w:rPr>
        <w:t>ومخرج الباء من الشفتین</w:t>
      </w:r>
      <w:r>
        <w:rPr>
          <w:rStyle w:val="FootnoteAnchor"/>
          <w:rtl w:val="true"/>
        </w:rPr>
        <w:footnoteReference w:id="272"/>
      </w:r>
      <w:r>
        <w:rPr>
          <w:rFonts w:ascii="Amiri" w:hAnsi="Amiri" w:eastAsia="Amiri" w:cs="Amiri"/>
          <w:color w:val="111111"/>
          <w:sz w:val="28"/>
          <w:sz w:val="28"/>
          <w:szCs w:val="28"/>
          <w:rtl w:val="true"/>
          <w:lang w:bidi="ar-SA"/>
        </w:rPr>
        <w:t xml:space="preserve">، وإنَّ هذا التباعد المخرجی قد سوَّغ للجناس أنْ یکون لاحقاً، ولمَّا تکرَّرت الأصوات </w:t>
      </w:r>
    </w:p>
    <w:p>
      <w:pPr>
        <w:pStyle w:val="BookText"/>
        <w:rPr/>
      </w:pPr>
      <w:r>
        <w:rPr>
          <w:rFonts w:ascii="IRNazanin" w:hAnsi="IRNazanin" w:eastAsia="IRNazanin"/>
          <w:color w:val="111111"/>
          <w:sz w:val="28"/>
          <w:sz w:val="28"/>
          <w:szCs w:val="28"/>
          <w:rtl w:val="true"/>
          <w:lang w:bidi="fa-IR"/>
        </w:rPr>
        <w:t>فی کلتا اللفظتین، فقد أشاع ذلک إیقاعاً تستهویه النفوس، وتثیر فیها الرغبة لمعرفة مداخل المعنی بین اللفظتین فی محاولة لإدراک دلالاتهما، فدلالة اللفظتین المتجانستین تحمل سمة أُسلوبیة، بلحاظ استعمال إحداهما نقیضة للأُخری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التناقض المعنوی بین دلالتی اللفظتین قد زاد من إلفات المتلقّی وتنبّهه، ووقع اقتران الجناس المضارع مع اللاحق فی خُطبة المختار بعد هروب ابن مطیع، وعندها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إنَّه رُفِعَت لنا رایة، ومُدَّت لنا غایة، فقیل لنا فی الرَّایة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ارفعوها ولا تَضَعوها، وفی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اجْروا إلیها ولا تَعْدوها، فسمعْنا دعوةَ الدَّاعی، ومقالةَ الواعی، فکم مِنْ ناعٍ وناعیة لَقَتْلَی فی الواعیة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هذا المقطع من الخُطبة نلحظ کثرة واضحة لاستعمال هذا الجناس فی ذائقة المختار، وهو من بین فقرات الخُطبة، إذ کان هذا التوزیع بعیداً عن التکلّف والابتذال، من منطلق أنّ تکرار الخاصیّة نفسها فی النص نفسه قد تضعف من مقاومتها الأُسلوبیة</w:t>
      </w:r>
      <w:r>
        <w:rPr>
          <w:rStyle w:val="FootnoteAnchor"/>
          <w:rtl w:val="true"/>
        </w:rPr>
        <w:footnoteReference w:id="275"/>
      </w:r>
      <w:r>
        <w:rPr>
          <w:rFonts w:ascii="IRNazanin" w:hAnsi="IRNazanin" w:eastAsia="IRNazanin"/>
          <w:color w:val="111111"/>
          <w:sz w:val="28"/>
          <w:sz w:val="28"/>
          <w:szCs w:val="28"/>
          <w:rtl w:val="true"/>
          <w:lang w:bidi="fa-IR"/>
        </w:rPr>
        <w:t>، ولکن هذا لم یحصل، بل کان لتکرار الجناس وتوزیعه میزة إیقاعیة وحرکیة عالیة، جعلته یفض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إلی میزة أدائیة بدیعیة واضحة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فنجد الجناس اللّاحق هنا قد وقع بین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والمضارع بین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وعندها اختلفت کلّ واحدة ٍ‌من هذا </w:t>
      </w:r>
      <w:bookmarkStart w:id="143" w:name="pg5013_35310"/>
    </w:p>
    <w:p>
      <w:pPr>
        <w:pStyle w:val="BookText"/>
        <w:rPr/>
      </w:pPr>
      <w:bookmarkEnd w:id="143"/>
      <w:r>
        <w:rPr>
          <w:rFonts w:ascii="IRNazanin" w:hAnsi="IRNazanin" w:eastAsia="IRNazanin"/>
          <w:color w:val="111111"/>
          <w:sz w:val="28"/>
          <w:sz w:val="28"/>
          <w:szCs w:val="28"/>
          <w:rtl w:val="true"/>
          <w:lang w:bidi="fa-IR"/>
        </w:rPr>
        <w:t xml:space="preserve">الألفاظ عن نظیرتها المتجانسة معها بحرف واحد لکلّ منهما، وکذلک تکاد أن تکون الکلمتان المتجانستان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المقطع متطابقتین بأصواتهما، إلّا أنَّهما مختلفتان بصوت واحد فی کلّ منهما،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صوتان متباعدان فی المخرج،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من اللثة، فهو صوت لثوی</w:t>
      </w:r>
      <w:r>
        <w:rPr>
          <w:rStyle w:val="FootnoteAnchor"/>
          <w:rtl w:val="true"/>
        </w:rPr>
        <w:footnoteReference w:id="276"/>
      </w:r>
      <w:r>
        <w:rPr>
          <w:rFonts w:ascii="IRNazanin" w:hAnsi="IRNazanin" w:eastAsia="IRNazanin"/>
          <w:color w:val="111111"/>
          <w:sz w:val="28"/>
          <w:sz w:val="28"/>
          <w:szCs w:val="28"/>
          <w:rtl w:val="true"/>
          <w:lang w:bidi="fa-IR"/>
        </w:rPr>
        <w:t xml:space="preserve">،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أدنی الحلق</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الجناس المضارع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فهما متماثلان فی أصواتهما عدا هذا الاختلاف بین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المتقاربین فی المخرج،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لثوی أسنانی</w:t>
      </w:r>
      <w:r>
        <w:rPr>
          <w:rStyle w:val="FootnoteAnchor"/>
          <w:rtl w:val="true"/>
        </w:rPr>
        <w:footnoteReference w:id="278"/>
      </w:r>
      <w:r>
        <w:rPr>
          <w:rFonts w:ascii="IRNazanin" w:hAnsi="IRNazanin" w:eastAsia="IRNazanin"/>
          <w:color w:val="111111"/>
          <w:sz w:val="28"/>
          <w:sz w:val="28"/>
          <w:szCs w:val="28"/>
          <w:rtl w:val="true"/>
          <w:lang w:bidi="fa-IR"/>
        </w:rPr>
        <w:t xml:space="preserve">، وهو قریب المخرج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الصائت الذی هو شفوی المخرج</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اللفظتان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فهما متجانستان فی أصواتهما إلّا أنَّ الاختلاف کان بین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ومخرجه، وهو أسنانی أنفی</w:t>
      </w:r>
      <w:r>
        <w:rPr>
          <w:rStyle w:val="FootnoteAnchor"/>
          <w:rtl w:val="true"/>
        </w:rPr>
        <w:footnoteReference w:id="280"/>
      </w:r>
      <w:r>
        <w:rPr>
          <w:rFonts w:ascii="IRNazanin" w:hAnsi="IRNazanin" w:eastAsia="IRNazanin"/>
          <w:color w:val="111111"/>
          <w:sz w:val="28"/>
          <w:sz w:val="28"/>
          <w:szCs w:val="28"/>
          <w:rtl w:val="true"/>
          <w:lang w:bidi="fa-IR"/>
        </w:rPr>
        <w:t xml:space="preserve">وهو یقترب من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الشفوی، فکوّن بذلک جناساً مضارعاً لتقارب مخارج الأصوات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اتخذ المختار من دلالة هذه التجانسات مؤکّدات لتثبیت الخبر فی ذهن السامع، فضلاً عن إثراء عباراته بالجرس الموسیقی، وإعلاء نغمته من خلال التلوین الصوتی للألفاظ ذات الوظائف المختلفة</w:t>
      </w:r>
      <w:r>
        <w:rPr>
          <w:rFonts w:eastAsia="IRNazanin" w:cs="IRNazanin"/>
          <w:color w:val="111111"/>
          <w:sz w:val="28"/>
          <w:szCs w:val="28"/>
          <w:rtl w:val="true"/>
          <w:lang w:bidi="fa-IR"/>
        </w:rPr>
        <w:t>.</w:t>
      </w:r>
    </w:p>
    <w:p>
      <w:pPr>
        <w:pStyle w:val="Heading5"/>
        <w:numPr>
          <w:ilvl w:val="4"/>
          <w:numId w:val="1"/>
        </w:numPr>
        <w:rPr/>
      </w:pPr>
      <w:bookmarkStart w:id="144" w:name="__RefHeading___Toc507695_774463916"/>
      <w:bookmarkStart w:id="145" w:name="_Toc49"/>
      <w:bookmarkEnd w:id="144"/>
      <w:r>
        <w:rPr/>
        <w:t>3</w:t>
      </w:r>
      <w:r>
        <w:rPr>
          <w:rtl w:val="true"/>
        </w:rPr>
        <w:t xml:space="preserve">- </w:t>
      </w:r>
      <w:r>
        <w:rPr>
          <w:rtl w:val="true"/>
        </w:rPr>
        <w:t>جناس الاشتقاق</w:t>
      </w:r>
      <w:bookmarkEnd w:id="14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اجتماع اللفظتین المتجانستین فی أصل الاشتقاق</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بید أنّه فی حقیقته تکرار </w:t>
      </w:r>
    </w:p>
    <w:p>
      <w:pPr>
        <w:pStyle w:val="BookText"/>
        <w:rPr/>
      </w:pPr>
      <w:r>
        <w:rPr>
          <w:rFonts w:ascii="IRNazanin" w:hAnsi="IRNazanin" w:eastAsia="IRNazanin"/>
          <w:color w:val="111111"/>
          <w:sz w:val="28"/>
          <w:sz w:val="28"/>
          <w:szCs w:val="28"/>
          <w:rtl w:val="true"/>
          <w:lang w:bidi="fa-IR"/>
        </w:rPr>
        <w:t>لیس بذات اللفظ وإنَّما یشتق منه</w:t>
      </w:r>
      <w:r>
        <w:rPr>
          <w:rStyle w:val="FootnoteAnchor"/>
          <w:rtl w:val="true"/>
        </w:rPr>
        <w:footnoteReference w:id="282"/>
      </w:r>
      <w:r>
        <w:rPr>
          <w:rFonts w:ascii="IRNazanin" w:hAnsi="IRNazanin" w:eastAsia="IRNazanin"/>
          <w:color w:val="111111"/>
          <w:sz w:val="28"/>
          <w:sz w:val="28"/>
          <w:szCs w:val="28"/>
          <w:rtl w:val="true"/>
          <w:lang w:bidi="fa-IR"/>
        </w:rPr>
        <w:t>، أی أنّ ألفاظه المتجانسة ترجع إلی جذر لغوی واحد، وورد هذا الجناس علی نحو کبیر فی خُطب ورسائل هاتین الحِقبتین، فلا مبالغة إن قلنا إنَّ أکثر أنواع الجناس غیر التام وروداً کان فیهما، فمن ذلک ما ورد فی کتاب سلیمان بن صُرَد إلی سعد بن حذیفة بن الیمان، وهو فی المدائن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 رَحِمَکُمْ الله علی البأسَاءِ والضَّراءِ وحینَ البأسِ، وتوبوا إلی الله عَنْ قریب</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ووقع الجناس الاشتقاقی بین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زادت اللفظة الأُولی بصوتین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اللفظة الثانیة، علی الرغم من اتحاد هاتین اللفظتین فی جذرهما اللغوی، فإنَّهما قد اختلفتا من ناحیة المعنی، فالبأساء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للحرب والمشقَّة والضرب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للعذاب أو الشدَّة فی الحرب</w:t>
      </w:r>
      <w:r>
        <w:rPr>
          <w:rStyle w:val="FootnoteAnchor"/>
          <w:rtl w:val="true"/>
        </w:rPr>
        <w:footnoteReference w:id="284"/>
      </w:r>
      <w:r>
        <w:rPr>
          <w:rFonts w:ascii="IRNazanin" w:hAnsi="IRNazanin" w:eastAsia="IRNazanin"/>
          <w:color w:val="111111"/>
          <w:sz w:val="28"/>
          <w:sz w:val="28"/>
          <w:szCs w:val="28"/>
          <w:rtl w:val="true"/>
          <w:lang w:bidi="fa-IR"/>
        </w:rPr>
        <w:t xml:space="preserve">، وهذا الفرق اللغوی بین الکلمتین حقَّق قیمة أُسلوبیة عالیة؛ لأنَّ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صوت مدّ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لیحقّق غَرَضَاً یقتضیه المعنی، ویفرضه السیاق، فالألف یُعطی معنی المبالغة، والتفخیم فی استطالة نطقها، وهو یتمیّز بین سائر أصوات المدّ فی وضوحه السمعی</w:t>
      </w:r>
      <w:r>
        <w:rPr>
          <w:rStyle w:val="FootnoteAnchor"/>
          <w:rtl w:val="true"/>
        </w:rPr>
        <w:footnoteReference w:id="285"/>
      </w:r>
      <w:r>
        <w:rPr>
          <w:rFonts w:ascii="IRNazanin" w:hAnsi="IRNazanin" w:eastAsia="IRNazanin"/>
          <w:color w:val="111111"/>
          <w:sz w:val="28"/>
          <w:sz w:val="28"/>
          <w:szCs w:val="28"/>
          <w:rtl w:val="true"/>
          <w:lang w:bidi="fa-IR"/>
        </w:rPr>
        <w:t>إلی جانب الامتداد</w:t>
      </w:r>
      <w:r>
        <w:rPr>
          <w:rStyle w:val="FootnoteAnchor"/>
          <w:rtl w:val="true"/>
        </w:rPr>
        <w:footnoteReference w:id="286"/>
      </w:r>
      <w:r>
        <w:rPr>
          <w:rFonts w:ascii="IRNazanin" w:hAnsi="IRNazanin" w:eastAsia="IRNazanin"/>
          <w:color w:val="111111"/>
          <w:sz w:val="28"/>
          <w:sz w:val="28"/>
          <w:szCs w:val="28"/>
          <w:rtl w:val="true"/>
          <w:lang w:bidi="fa-IR"/>
        </w:rPr>
        <w:t xml:space="preserve">، وعندها یتناسب مع استطالة وقع الحرب والمشقَّة؛ لذا کان هنالک توافق بین هذا الصوت ودلالة اللفظة، وأنّ هذه الإعادة لأصوات اللفظتین المتجانستین قد وفَّر نغماً موسیقیاً محبَّباً لدی السامع، وکذلک کانت </w:t>
      </w:r>
    </w:p>
    <w:p>
      <w:pPr>
        <w:pStyle w:val="BookText"/>
        <w:rPr/>
      </w:pPr>
      <w:r>
        <w:rPr>
          <w:rFonts w:ascii="IRNazanin" w:hAnsi="IRNazanin" w:eastAsia="IRNazanin"/>
          <w:color w:val="111111"/>
          <w:sz w:val="28"/>
          <w:sz w:val="28"/>
          <w:szCs w:val="28"/>
          <w:rtl w:val="true"/>
          <w:lang w:bidi="fa-IR"/>
        </w:rPr>
        <w:t>بمثابة التأکید للسامع ومن ثَمَّ زیادة تنبّهه وإلفاته، وهذه کلّها تهدف إلی توصیله بالأفکار والمقاصد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ورد فی خُطبة عبد الله بن مطیع حین خرج لقتال أصحاب المختار،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مِنْ أعْجَبِ العَجَبِ عَجزُکم عن عُصْبةٍ مِنْکُمْ، قلیلٍ عدَدُها خَبیثٍ دینُها، ضالّةٍ مضلّة، اخرجوا إلیهم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فنجد الجناس الاشتقاقی وقع مرَّتین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مشتقان من أصل واحد،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ولکنَّهما مختلفان بالمعنی، وهذا من شروط الجناس، وإنَّ الذی سوّغ الاختلاف فی معانیها هو ذلک التغیّر الذی حصل فی بنیة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لإعادة الأصوات فی هذه الألفاظ التی اشتقت من مادة واحدة أثراً کبیراً فی إسباغ الإیقاع الحرکی علی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جناس الاشتقاق أیضاً فی کتاب المختار وهو فی سجنه إلی فلول التوّابین وقائدهم رفاعة بن شداد، حین قدموا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فمرحباً بالعُصَبِ الذین أعظَم الله لهم الأجر حینَ انصرفوا، ورضیَ انصرافَهم حینَ قَفَلُوا، أمَا وربّ البنیة التی بَنَی ما خطا خاطٍ مِنْکم خُطوةً، ولا رَتَا رَتْوَة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الأمیرُ المأمور، والأمین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فأعدّوا واستعدّوا، وأبش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واستبْشروا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فالسمة الأُسلوبیة التی حملها هذا الجناس هی أن اللفظتین اللتین وقع عندهما تعودان إلی جذر لغوی واحد، غیر أنّهما جاءتا لتُضفیا ظلالاً إیقاعیة علی طول </w:t>
      </w:r>
      <w:bookmarkStart w:id="146" w:name="pg5013_35313"/>
    </w:p>
    <w:p>
      <w:pPr>
        <w:pStyle w:val="BookText"/>
        <w:rPr/>
      </w:pPr>
      <w:bookmarkEnd w:id="146"/>
      <w:r>
        <w:rPr>
          <w:rFonts w:ascii="IRNazanin" w:hAnsi="IRNazanin" w:eastAsia="IRNazanin"/>
          <w:color w:val="111111"/>
          <w:sz w:val="28"/>
          <w:sz w:val="28"/>
          <w:szCs w:val="28"/>
          <w:rtl w:val="true"/>
          <w:lang w:bidi="fa-IR"/>
        </w:rPr>
        <w:t xml:space="preserve">العبارات، فالجناس الاشتقاقی واقع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فعل ماض،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مصدر، وکلاهما مُشتق من مادة واحدة، وکذلک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بین الفعل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استبشروا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 هذا الجناس علی نحو حاشد فی المقطوعة، ممّا کوّن میزة أُسلوبیة ملحوظة عملت علی جذب تنبه السامع أو إلفاته، فجاءت الاشتقاقات متتابعة، مشتق فی أثر مشتق، لتمنح النص قیمته الحرکیة من خلال تکثیف الجرس باسترجاع الأصوات فی ذلک الجناس، وعندها بدا الجناس ملمحاً أُسلوبیاً، فأدَّی المعنی بأوجز عبارة، لیؤشر للمتلقی آفاقاً رحبة فی وقع مراداتها</w:t>
      </w:r>
      <w:r>
        <w:rPr>
          <w:rFonts w:eastAsia="IRNazanin" w:cs="IRNazanin"/>
          <w:color w:val="111111"/>
          <w:sz w:val="28"/>
          <w:szCs w:val="28"/>
          <w:rtl w:val="true"/>
          <w:lang w:bidi="fa-IR"/>
        </w:rPr>
        <w:t>.</w:t>
      </w:r>
    </w:p>
    <w:p>
      <w:pPr>
        <w:pStyle w:val="Heading5"/>
        <w:numPr>
          <w:ilvl w:val="4"/>
          <w:numId w:val="1"/>
        </w:numPr>
        <w:rPr/>
      </w:pPr>
      <w:bookmarkStart w:id="147" w:name="__RefHeading___Toc507697_774463916"/>
      <w:bookmarkStart w:id="148" w:name="_Toc50"/>
      <w:bookmarkEnd w:id="147"/>
      <w:r>
        <w:rPr/>
        <w:t>4</w:t>
      </w:r>
      <w:r>
        <w:rPr>
          <w:rtl w:val="true"/>
        </w:rPr>
        <w:t xml:space="preserve"> - </w:t>
      </w:r>
      <w:r>
        <w:rPr>
          <w:rtl w:val="true"/>
        </w:rPr>
        <w:t>جناس التحریف</w:t>
      </w:r>
      <w:bookmarkEnd w:id="148"/>
    </w:p>
    <w:p>
      <w:pPr>
        <w:pStyle w:val="BookText"/>
        <w:rPr/>
      </w:pPr>
      <w:r>
        <w:rPr>
          <w:rFonts w:ascii="IRNazanin" w:hAnsi="IRNazanin" w:eastAsia="IRNazanin"/>
          <w:color w:val="111111"/>
          <w:sz w:val="28"/>
          <w:sz w:val="28"/>
          <w:szCs w:val="28"/>
          <w:rtl w:val="true"/>
          <w:lang w:bidi="fa-IR"/>
        </w:rPr>
        <w:t>وهو تشابه اللّفظتین المتجانستین فی رسم الأصوات واختلافهما فی الحرکات</w:t>
      </w:r>
      <w:r>
        <w:rPr>
          <w:rStyle w:val="FootnoteAnchor"/>
          <w:rtl w:val="true"/>
        </w:rPr>
        <w:footnoteReference w:id="289"/>
      </w:r>
      <w:r>
        <w:rPr>
          <w:rFonts w:ascii="Amiri" w:hAnsi="Amiri" w:eastAsia="Amiri" w:cs="Amiri"/>
          <w:color w:val="111111"/>
          <w:sz w:val="28"/>
          <w:sz w:val="28"/>
          <w:szCs w:val="28"/>
          <w:rtl w:val="true"/>
          <w:lang w:bidi="ar-SA"/>
        </w:rPr>
        <w:t>، وقد وقع مثل هذا الجناس فی خُطبة المسیب بن نجبة الفزاری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عُذرَ دونَ أنْ تَقْتُلُوا قاتِلَهُ والمُوالِین علیه، أو تُقْتَلُوا فی طلبِ ذلک، فعسی ربّنا أنْ یَرضَی عنّا عندَ ذلک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فالجناس واقع بین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اللّتین تطابقتا فی رسم الأصوات وعددها، إلّا فی حرکة الصوت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للمضارعة، فجاء فی اللفظة الأُولی مفتوحاً، وفی الثانیة مضموماً، وکذلک الصوت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أصل بناء </w:t>
      </w:r>
      <w:bookmarkStart w:id="149" w:name="pg5013_35314"/>
    </w:p>
    <w:p>
      <w:pPr>
        <w:pStyle w:val="BookText"/>
        <w:rPr/>
      </w:pPr>
      <w:bookmarkEnd w:id="149"/>
      <w:r>
        <w:rPr>
          <w:rFonts w:ascii="IRNazanin" w:hAnsi="IRNazanin" w:eastAsia="IRNazanin"/>
          <w:color w:val="111111"/>
          <w:sz w:val="28"/>
          <w:sz w:val="28"/>
          <w:szCs w:val="28"/>
          <w:rtl w:val="true"/>
          <w:lang w:bidi="fa-IR"/>
        </w:rPr>
        <w:t>الفعل والذی جاء فی اللفظة الأُولی مضموماً وفی الثانیة مفتوحاً، وکان لهذه الحرکات المختلفة أثر مهمّ فی خروج اللفظة من دلالة إلی أُخری، فالأُولی دلَّت علی المضارع المبنی للمعلوم، والثانیة دلَّت علی المضارع المبنی للمجهول، ولکلّ دلالته الخاصّة به علی الرغم من أنّ اللفظتین قد تجانستا فی شکلهما، وعندها استحوذ علی النص إیقاعٌ واضح التَّردُّد فی هذا الأداء الأُسلوبی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کذلک فی خُطبة سلیمان بن صُرَد الخزاعی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ورجَونا أنْ یَدِینَ لَکُمْ مَنْ ورائکم مِنْ أهلِ مِصْرِکُم فی عافیة، فتنظرون إلی کلّ مَنْ شَرکَ فی دمِ الحسینِ فتقاتلونَهُ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وقع الجناس المحرَّف بین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اسم موصول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حروف الجر، فهما متجانسان فی الرسم، مختلفان فی المعنی، وأنّ الذی سوّغ ذلک الاختلاف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فی الثانی، بما شکّل بکلّ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 لکلّ لفظة معناها الخاصّ بها، ومن هنا؛ فإنّ تکرار الأصوات المتجانسة قد أوجد جرساً إیقاعیّاً تستهویه النفوس، فلم تکن ثقیلة علی السمع، بل جاءت منسابة رائقة؛ وذلک لتشابهها فی کلّ من اللفظتین المتجانستین</w:t>
      </w:r>
      <w:r>
        <w:rPr>
          <w:rFonts w:eastAsia="IRNazanin" w:cs="IRNazanin"/>
          <w:color w:val="111111"/>
          <w:sz w:val="28"/>
          <w:szCs w:val="28"/>
          <w:rtl w:val="true"/>
          <w:lang w:bidi="fa-IR"/>
        </w:rPr>
        <w:t>.</w:t>
      </w:r>
    </w:p>
    <w:p>
      <w:pPr>
        <w:pStyle w:val="Heading5"/>
        <w:numPr>
          <w:ilvl w:val="4"/>
          <w:numId w:val="1"/>
        </w:numPr>
        <w:rPr/>
      </w:pPr>
      <w:bookmarkStart w:id="150" w:name="__RefHeading___Toc507699_774463916"/>
      <w:bookmarkStart w:id="151" w:name="_Toc51"/>
      <w:bookmarkEnd w:id="150"/>
      <w:r>
        <w:rPr/>
        <w:t>5</w:t>
      </w:r>
      <w:r>
        <w:rPr>
          <w:rtl w:val="true"/>
        </w:rPr>
        <w:t xml:space="preserve"> - </w:t>
      </w:r>
      <w:r>
        <w:rPr>
          <w:rtl w:val="true"/>
        </w:rPr>
        <w:t>الجناس المعکوس</w:t>
      </w:r>
      <w:bookmarkEnd w:id="1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الخطیب القزوینی هذا الجناس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اللفظة المقدَّمة من الکلام وتقدیم اللفظة المؤخَّرة، وسمَّاه، بجناس القلب</w:t>
      </w:r>
      <w:r>
        <w:rPr>
          <w:rStyle w:val="FootnoteAnchor"/>
          <w:rtl w:val="true"/>
        </w:rPr>
        <w:footnoteReference w:id="292"/>
      </w:r>
      <w:r>
        <w:rPr>
          <w:rFonts w:ascii="IRNazanin" w:hAnsi="IRNazanin" w:eastAsia="IRNazanin"/>
          <w:color w:val="111111"/>
          <w:sz w:val="28"/>
          <w:sz w:val="28"/>
          <w:szCs w:val="28"/>
          <w:rtl w:val="true"/>
          <w:lang w:bidi="fa-IR"/>
        </w:rPr>
        <w:t>، وهو عند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تعکس الکلام فتجعل فی الجزء الأخیر منه، ما جعلته فی الجزء الأوَّل</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 وأثره بیّن فی الکلام، </w:t>
      </w:r>
    </w:p>
    <w:p>
      <w:pPr>
        <w:pStyle w:val="BookText"/>
        <w:rPr/>
      </w:pPr>
      <w:r>
        <w:rPr>
          <w:rFonts w:ascii="Amiri" w:hAnsi="Amiri" w:eastAsia="Amiri" w:cs="Amiri"/>
          <w:color w:val="111111"/>
          <w:sz w:val="28"/>
          <w:sz w:val="28"/>
          <w:szCs w:val="28"/>
          <w:rtl w:val="true"/>
          <w:lang w:bidi="ar-SA"/>
        </w:rPr>
        <w:t xml:space="preserve">ذلک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فی التجنیس حلاوةٌ، ویفید الکلام رونقاً وطُلاوةً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من هذا الجناس کان فی خُطبة إبراهیم بن محمد بن طلحة، 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استیقنّا أنَّ قوماً یُریدون الخروجَ علینا لنأخُذَنَّ الوالدَ بولدِه، والمولودَ بوالدِه، ولنأخُذَنَّ الحمیمَ بالحمیم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تأخَّر ما کان متقدَّماً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وتقدَّم ما کان متأخَّراً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هذا الجناس کان سبباً فی إشاعة جو موسیقی جاء نتیجة الإیقاع المتولد عن التبادل الموضعی بین الکلمات، إذ عمل ذلک علی إعادة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واللّام، والدال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وکلّها مجهورة، ممَّا أکسبت العبارة وضوحاً سمعیّاً، فضلاً عن التَّأکید الذی أدَّاه العکس فی موقعیَة الدَّلالة، فحقَّق القصد الرئیس الذی أراد الخطیب إیصاله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ورد من الجناس المعکوس أیضاً، کان فی کتاب عبد الله بن یزید إلی ابن صُرَد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کتابی هذا إلیکم کتابُ ناصحٍ ذی إرعاء، وکمْ مِنْ ناصحٍ مُسْتَغَشّ، وکمْ مِنْ غاشّ مُسْتَنْصَحٍ مُحَبّ</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عمل التبادل فی عناصر هذا الجناس علی إعادة الأصوات التی تألفت منها تلک الکلمات المتجانسة، فضلاً عن تقابل المعنی المراد إیصاله؛ فالجناس لا یرجع إلی تکرار الجرس الصوتی فحسب، وإنما یرجع إلی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المعنی، وقد ساعد علی إظهاره تبادل العبارات، وقد تألفت من أصوات غلب علیها طابع الهمس والرخاوة،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 والحاء، والسین، والشین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فجاءت منسجمة مع السیاق الذی وضُعت فیه، </w:t>
      </w:r>
      <w:bookmarkStart w:id="152" w:name="pg5013_35316"/>
    </w:p>
    <w:p>
      <w:pPr>
        <w:pStyle w:val="BookText"/>
        <w:rPr/>
      </w:pPr>
      <w:bookmarkEnd w:id="152"/>
      <w:r>
        <w:rPr>
          <w:rFonts w:ascii="IRNazanin" w:hAnsi="IRNazanin" w:eastAsia="IRNazanin"/>
          <w:color w:val="111111"/>
          <w:sz w:val="28"/>
          <w:sz w:val="28"/>
          <w:szCs w:val="28"/>
          <w:rtl w:val="true"/>
          <w:lang w:bidi="fa-IR"/>
        </w:rPr>
        <w:t xml:space="preserve">وهو سیاق محبَّب إلی نفس المتلقی، وقد توخَّاه المنشئ وقصده محاولاً إغراء التوّابین بالرجوع عمَّا عزموا علیه، ولا شکّ فی أنّ شیوع مثل هذه الأصوات فی عباراته قد أدی فی النهایة إلی إضفاء طابع الهمس والهدوء؛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الأصوات فی نظام اللُّغة الفنولوجی لا قیمة رمزیَّة لها، بینما هی تُثیر بعض مشاعر القارئ أو المستمع فی فعل کلام محدَّد، مکتوب أو شفهی، بالاتفاق مع المعنی</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فالذی یُرید الناثر توصیله التماس الرجوع عن الأمر الذی همّ به هؤلاء الثّوار، لذلک نری شیوع هذه الأصوات المهموسة فی مثل هذا السیاق الهادئ المحبَّب، وقد اتسقت بهذا الأداء البدیعی</w:t>
      </w:r>
      <w:r>
        <w:rPr>
          <w:rFonts w:eastAsia="IRNazanin" w:cs="IRNazanin"/>
          <w:color w:val="111111"/>
          <w:sz w:val="28"/>
          <w:szCs w:val="28"/>
          <w:rtl w:val="true"/>
          <w:lang w:bidi="fa-IR"/>
        </w:rPr>
        <w:t>.</w:t>
      </w:r>
    </w:p>
    <w:p>
      <w:pPr>
        <w:pStyle w:val="Heading5"/>
        <w:numPr>
          <w:ilvl w:val="4"/>
          <w:numId w:val="1"/>
        </w:numPr>
        <w:rPr/>
      </w:pPr>
      <w:bookmarkStart w:id="153" w:name="__RefHeading___Toc507701_774463916"/>
      <w:bookmarkStart w:id="154" w:name="_Toc52"/>
      <w:bookmarkEnd w:id="153"/>
      <w:r>
        <w:rPr/>
        <w:t>6</w:t>
      </w:r>
      <w:r>
        <w:rPr>
          <w:rtl w:val="true"/>
        </w:rPr>
        <w:t xml:space="preserve">- </w:t>
      </w:r>
      <w:r>
        <w:rPr>
          <w:rtl w:val="true"/>
        </w:rPr>
        <w:t>جناس التَّصحیف</w:t>
      </w:r>
      <w:bookmarkEnd w:id="154"/>
    </w:p>
    <w:p>
      <w:pPr>
        <w:pStyle w:val="BookText"/>
        <w:rPr/>
      </w:pPr>
      <w:r>
        <w:rPr>
          <w:rFonts w:ascii="IRNazanin" w:hAnsi="IRNazanin" w:eastAsia="IRNazanin"/>
          <w:color w:val="111111"/>
          <w:sz w:val="28"/>
          <w:sz w:val="28"/>
          <w:szCs w:val="28"/>
          <w:rtl w:val="true"/>
          <w:lang w:bidi="fa-IR"/>
        </w:rPr>
        <w:t>وهو أن تتَّفق اللفظتان المتجانستان فی شکل الأصوات، وتختلف فی تنقیطهما</w:t>
      </w:r>
      <w:r>
        <w:rPr>
          <w:rStyle w:val="FootnoteAnchor"/>
          <w:rtl w:val="true"/>
        </w:rPr>
        <w:footnoteReference w:id="29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تختلفان فی تنقیط الإعجام، ویُسمَّی أیضاً بجناس الخط</w:t>
      </w:r>
      <w:r>
        <w:rPr>
          <w:rStyle w:val="FootnoteAnchor"/>
          <w:rtl w:val="true"/>
        </w:rPr>
        <w:footnoteReference w:id="299"/>
      </w:r>
      <w:r>
        <w:rPr>
          <w:rFonts w:ascii="Amiri" w:hAnsi="Amiri" w:eastAsia="Amiri" w:cs="Amiri"/>
          <w:color w:val="111111"/>
          <w:sz w:val="28"/>
          <w:sz w:val="28"/>
          <w:szCs w:val="28"/>
          <w:rtl w:val="true"/>
          <w:lang w:bidi="ar-SA"/>
        </w:rPr>
        <w:t>، وقد ورد مثل هذا الجناس فی خُطبة عبید الله بن عبد الله المرّی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فَعَسَی الله عِنْدَ ذلکَ أنْ یَقْبَلَ التَّوبة ویُقِیلَ العَثْرة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فالجناس بین لفظتی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جناس مصَّحف؛ لأنَّ اللفظتین قد تماثلتا فی رسم الأصوات، واختلفتا فی نقط الإعجام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ظلَّت هذه الأصوات متَّفقة فی اللفظتین، ممَّا أحدث إیقاعاً منتظماً أثار تنبُّه المتلقی، فأعاد علیه تردّدات قد سمعها، فکان لهذه الإعادة وقع حسن علی أذنه وتلقّیه</w:t>
      </w:r>
      <w:r>
        <w:rPr>
          <w:rFonts w:eastAsia="IRNazanin" w:cs="IRNazanin"/>
          <w:color w:val="111111"/>
          <w:sz w:val="28"/>
          <w:szCs w:val="28"/>
          <w:rtl w:val="true"/>
          <w:lang w:bidi="fa-IR"/>
        </w:rPr>
        <w:t xml:space="preserve">. </w:t>
      </w:r>
      <w:bookmarkStart w:id="155" w:name="pg5013_35317"/>
    </w:p>
    <w:p>
      <w:pPr>
        <w:pStyle w:val="Heading4"/>
        <w:numPr>
          <w:ilvl w:val="3"/>
          <w:numId w:val="1"/>
        </w:numPr>
        <w:rPr/>
      </w:pPr>
      <w:bookmarkStart w:id="156" w:name="__RefHeading___Toc507703_774463916"/>
      <w:bookmarkStart w:id="157" w:name="_Toc53"/>
      <w:bookmarkEnd w:id="155"/>
      <w:bookmarkEnd w:id="156"/>
      <w:r>
        <w:rPr>
          <w:rtl w:val="true"/>
        </w:rPr>
        <w:t>ثانیاً</w:t>
      </w:r>
      <w:r>
        <w:rPr>
          <w:rtl w:val="true"/>
        </w:rPr>
        <w:t xml:space="preserve">: </w:t>
      </w:r>
      <w:r>
        <w:rPr>
          <w:rtl w:val="true"/>
        </w:rPr>
        <w:t>السَّجع</w:t>
      </w:r>
      <w:bookmarkEnd w:id="157"/>
    </w:p>
    <w:p>
      <w:pPr>
        <w:pStyle w:val="Heading5"/>
        <w:numPr>
          <w:ilvl w:val="4"/>
          <w:numId w:val="1"/>
        </w:numPr>
        <w:rPr/>
      </w:pPr>
      <w:bookmarkStart w:id="158" w:name="__RefHeading___Toc507705_774463916"/>
      <w:bookmarkStart w:id="159" w:name="_Toc54"/>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السجع فی اللغة مأخوذ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سجع الرجل، إذا نطق بکلام له فواصل کقوافی الشَّعر من غیر وزن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والسجع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المقفَّی، وسجع یسجع سجعاً</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والسجع فی الاصطلاح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تواطؤ الفواصل فی الکلام المنثور علی حرف واحد</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 xml:space="preserve">، إلّا أنَّ بعض البلاغیین یوسِّع السجع لیشمل الاتفاق فی الوزن الصرفی، قال ابن الزملکانی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أن یتَّفق آخر الکلمتین اللَّتین بهما تکمل القرینتان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الفقرتان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 ولفظاً فی الحرف الأخیر،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وَأَکْوَابٌ مَوْضُوعَةٌ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العلوی إلی مثل هذا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الفواصل فی الکلام المنثور فی الحرف، أو فی الوزن، أو فی مجموعهما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ویُعدُّ السجع من ممیزات البلاغة الفطریة</w:t>
      </w:r>
      <w:r>
        <w:rPr>
          <w:rStyle w:val="FootnoteAnchor"/>
          <w:rtl w:val="true"/>
        </w:rPr>
        <w:footnoteReference w:id="307"/>
      </w:r>
      <w:r>
        <w:rPr>
          <w:rFonts w:ascii="IRNazanin" w:hAnsi="IRNazanin" w:eastAsia="IRNazanin"/>
          <w:color w:val="111111"/>
          <w:sz w:val="28"/>
          <w:sz w:val="28"/>
          <w:szCs w:val="28"/>
          <w:rtl w:val="true"/>
          <w:lang w:bidi="fa-IR"/>
        </w:rPr>
        <w:t>، بل هو من المقاصد التی تمیل إلیها النفوس البشریة، لکونه من الضروب الکفیلة بإحداث إیقاع فی النص النثری یکون مشابهاً لإیقاع القافیة فی الشعر</w:t>
      </w:r>
      <w:r>
        <w:rPr>
          <w:rStyle w:val="FootnoteAnchor"/>
          <w:rtl w:val="true"/>
        </w:rPr>
        <w:footnoteReference w:id="308"/>
      </w:r>
      <w:r>
        <w:rPr>
          <w:rFonts w:ascii="IRNazanin" w:hAnsi="IRNazanin" w:eastAsia="IRNazanin"/>
          <w:color w:val="111111"/>
          <w:sz w:val="28"/>
          <w:sz w:val="28"/>
          <w:szCs w:val="28"/>
          <w:rtl w:val="true"/>
          <w:lang w:bidi="fa-IR"/>
        </w:rPr>
        <w:t xml:space="preserve">، وفی هذا الصدد یقول ابن وهب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القرن الرابع الهجری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السجع فی الکلام کمثل القافیة فی الشعر، وإن کانت القافیة غیر مستغنی عنها، والسجع مستغنی عنه</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 إذاً أثره یکون إضافیاً، لتثبیت المعانی بإیقاعیة </w:t>
      </w:r>
      <w:bookmarkStart w:id="160" w:name="pg5013_35318"/>
    </w:p>
    <w:p>
      <w:pPr>
        <w:pStyle w:val="BookText"/>
        <w:rPr/>
      </w:pPr>
      <w:bookmarkEnd w:id="160"/>
      <w:r>
        <w:rPr>
          <w:rFonts w:ascii="IRNazanin" w:hAnsi="IRNazanin" w:eastAsia="IRNazanin"/>
          <w:color w:val="111111"/>
          <w:sz w:val="28"/>
          <w:sz w:val="28"/>
          <w:szCs w:val="28"/>
          <w:rtl w:val="true"/>
          <w:lang w:bidi="fa-IR"/>
        </w:rPr>
        <w:t>حرکیة فی ذهن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التزام العرب به نتیجة للموسیقی الکامنة وراء أنساقه،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یلتزمونه لوقعه فی آذانهم من حیث جرس الألفاظ ورنینها، ووزن موسیقاها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الخطیب فی الجاهلیة یعمدُ إلی السجع للتأثیر علی السامعین من تلک الناحیة</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یُعطی للنص موسیقیة، وللألفاظ جرساً یلقیان بأثرهما فی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یهُمُنا فی هذا الجانب أنّ السجع کان من السمات الأُسلوبیة التی تمیَّز بها النثر الفنّی فی ثورة التوّابین وإمارة المختار الثقفی، وله أنواع مختلفة، سوف یتناول البحث ما ورد منها فی خُطبها ورسائلها موضّحاً قیمها الأُسلوبیة والإبداعیة</w:t>
      </w:r>
      <w:r>
        <w:rPr>
          <w:rFonts w:eastAsia="IRNazanin" w:cs="IRNazanin"/>
          <w:color w:val="111111"/>
          <w:sz w:val="28"/>
          <w:szCs w:val="28"/>
          <w:rtl w:val="true"/>
          <w:lang w:bidi="fa-IR"/>
        </w:rPr>
        <w:t>.</w:t>
      </w:r>
    </w:p>
    <w:p>
      <w:pPr>
        <w:pStyle w:val="Heading5"/>
        <w:numPr>
          <w:ilvl w:val="4"/>
          <w:numId w:val="1"/>
        </w:numPr>
        <w:rPr/>
      </w:pPr>
      <w:bookmarkStart w:id="161" w:name="__RefHeading___Toc507707_774463916"/>
      <w:bookmarkStart w:id="162" w:name="_Toc55"/>
      <w:bookmarkEnd w:id="161"/>
      <w:r>
        <w:rPr/>
        <w:t>1</w:t>
      </w:r>
      <w:r>
        <w:rPr>
          <w:rtl w:val="true"/>
        </w:rPr>
        <w:t xml:space="preserve">- </w:t>
      </w:r>
      <w:r>
        <w:rPr>
          <w:rtl w:val="true"/>
        </w:rPr>
        <w:t>السجع المتوازی</w:t>
      </w:r>
      <w:bookmarkEnd w:id="1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ویُقصد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الفاصلتین أو الفواصل فی الوزن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والتّقفیة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الأخیر</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من السجع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یتطلب مهارة فی الانتقاء وتفنناً فی الترکیب، علاوة علی ما یعکسه من متانة الرصید اللغوی لصاحبه</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إذ یعمد المنشئ إلی اختیار لفظة تطابق أختها المسجوعة معها وزناً ورویّاً، وواضح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کثیر من الأحیان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 عفواً فی الکلام، وإنَّما قد یقع عن قصد وإدراک، فقد وقع منه فی رسالة المختار إلی الأحنف بن قیس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مِنَ المختارِ بنِ أبی عُبید إلی الأحنف بن قیس، ومَنْ قِبَله، فَسَلْمٌ أنتم، أمَّا بعدُ، فویلِ أُمِّ ربیعةَ مِنْ مُضَرَ، فإنَّ الأحنفَ مُوردٌ قومَه سَقَرَ، حیثُ لا یستطیعُ لهمُ الصَّدَرَ، وإنّی لا أملکُ ما خُطَّ فی القَدَرِ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ففی هذا النص سجعٌ متوازٍ بین الفواصل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مُضَر ←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اتَّفقت أوزانها کما اتَّفقت فی رویّها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الأخیر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صوت متوسط بین الشدَّة والرخاوة</w:t>
      </w:r>
      <w:r>
        <w:rPr>
          <w:rStyle w:val="FootnoteAnchor"/>
          <w:rtl w:val="true"/>
        </w:rPr>
        <w:footnoteReference w:id="314"/>
      </w:r>
      <w:r>
        <w:rPr>
          <w:rFonts w:ascii="Amiri" w:hAnsi="Amiri" w:eastAsia="Amiri" w:cs="Amiri"/>
          <w:color w:val="111111"/>
          <w:sz w:val="28"/>
          <w:sz w:val="28"/>
          <w:szCs w:val="28"/>
          <w:rtl w:val="true"/>
          <w:lang w:bidi="ar-SA"/>
        </w:rPr>
        <w:t>، یتمُّ نطقه بضرب اللسان للَّثة مرتین أو ثلاثة</w:t>
      </w:r>
      <w:r>
        <w:rPr>
          <w:rStyle w:val="FootnoteAnchor"/>
          <w:rtl w:val="true"/>
        </w:rPr>
        <w:footnoteReference w:id="315"/>
      </w:r>
      <w:r>
        <w:rPr>
          <w:rFonts w:ascii="IRNazanin" w:hAnsi="IRNazanin" w:eastAsia="IRNazanin"/>
          <w:color w:val="111111"/>
          <w:sz w:val="28"/>
          <w:sz w:val="28"/>
          <w:szCs w:val="28"/>
          <w:rtl w:val="true"/>
          <w:lang w:bidi="fa-IR"/>
        </w:rPr>
        <w:t>، وهو بذلک یحمل صفة التکرار والحرکة، فیوصف بأنَّه صوت مکَّرر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فتکرار هذا الصوت قد أحدث إیقاعاً نغمیّاً یقرع سمع المتلقی، ویثیر فی نفسه المعنی الذی أراده من هذه الأسجاع، ویمکن لنا أنْ نعدَّ هذا السجع ذا إیقاع مزدوج،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بتکرار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الفواصل،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بتکرار الوزن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 للفواصل المسجوعة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السجع المتوازی أیضاً ما جاء فی خُطبةِ المختار، وکان قد استنص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ابن الحنفیة لیخلِّصه من سجن عبد الله بن الزبیر،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أبا إسحاقَ إنْ لَمْ أنْصُ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مُؤزَّراً، وإنْ لَمْ أسرّب إلیْهم الخیْلَ فی أثرِ الخَیْلِ، کالسَّیلِ یتلُوهُ السَّیل، حتی یَحُلُّ بابنِ الکاهلیَّة الوَیْل</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فنجد السجع بین الفواصل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 السیل ← الویل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وکلّها تنتهی بصوت 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صوت یمتاز بکونه متوسطاً، والصوت المتوسط هو الذی یکون بین الشدَّة والرخاوة</w:t>
      </w:r>
      <w:r>
        <w:rPr>
          <w:rStyle w:val="FootnoteAnchor"/>
          <w:rtl w:val="true"/>
        </w:rPr>
        <w:footnoteReference w:id="318"/>
      </w:r>
      <w:r>
        <w:rPr>
          <w:rFonts w:ascii="Amiri" w:hAnsi="Amiri" w:eastAsia="Amiri" w:cs="Amiri"/>
          <w:color w:val="111111"/>
          <w:sz w:val="28"/>
          <w:sz w:val="28"/>
          <w:szCs w:val="28"/>
          <w:rtl w:val="true"/>
          <w:lang w:bidi="ar-SA"/>
        </w:rPr>
        <w:t xml:space="preserve">، ویُسمّیه المُحدَثون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صوتاً مائعاً</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 وعلیه کان بتردّده قد أضفی علی النص وضوحاً أدائیاً، إذ جاء بتردّد صوت واحد فی نهایة الفواصل، لیؤدّی </w:t>
      </w:r>
      <w:bookmarkStart w:id="163" w:name="pg5013_35320"/>
    </w:p>
    <w:p>
      <w:pPr>
        <w:pStyle w:val="BookText"/>
        <w:rPr/>
      </w:pPr>
      <w:bookmarkEnd w:id="163"/>
      <w:r>
        <w:rPr>
          <w:rFonts w:ascii="IRNazanin" w:hAnsi="IRNazanin" w:eastAsia="IRNazanin"/>
          <w:color w:val="111111"/>
          <w:sz w:val="28"/>
          <w:sz w:val="28"/>
          <w:szCs w:val="28"/>
          <w:rtl w:val="true"/>
          <w:lang w:bidi="fa-IR"/>
        </w:rPr>
        <w:t xml:space="preserve">غرضه فی جلب تنبه السامع بتلک النغمة الموسیقیة التی تطرب إلیها أُذن السامع، وعندها أعطی إیقاعاً جمیلاً تستهویه الأسماع؛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 هو سمة السجع الغالبة، وجوهره الفنّی الذی یجعل إلیه النفوس أمْیَل، والآذان لسماعه أنْشَط</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السجع المتوازی أیضاً فی خُطبته حین شیّع إبراهیم بن مالک الأشتر لقتال عبید الله بن زیاد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استقمتم فبنصرِ الله، وإنْ حِصْتُم حَیْصَة فإنّی أجدُ فی مُحْکَم الکتاب، وفی الیقینِ والصَّواب، أنَّ الله مؤیِّدُکُم بملائکةٍ غِضَاب، تأتی فی صُوَر الحمامِ دُوَیْنَ السَّحاب</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وقع السجع المتوازی بین الفواصل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غضاب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المتساویة فی الوزن، والمنتهیة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صوت انفجاری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والشدید عند ابن جنی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الحرف الذی یمنع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یجری فیه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 وشدَّته قد تکون جاءت منسجمة مع الموقف الشدید الذی کان المختار فی صدده، فضلاً عن کونه صوتاً مجهوراً </w:t>
      </w:r>
      <w:r>
        <w:rPr>
          <w:rStyle w:val="FootnoteAnchor"/>
          <w:rtl w:val="true"/>
        </w:rPr>
        <w:footnoteReference w:id="323"/>
      </w:r>
      <w:r>
        <w:rPr>
          <w:rFonts w:ascii="IRNazanin" w:hAnsi="IRNazanin" w:eastAsia="IRNazanin"/>
          <w:color w:val="111111"/>
          <w:sz w:val="28"/>
          <w:sz w:val="28"/>
          <w:szCs w:val="28"/>
          <w:rtl w:val="true"/>
          <w:lang w:bidi="fa-IR"/>
        </w:rPr>
        <w:t xml:space="preserve">، وجاء مسبوقاً بصوت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من أوضح أصوات المدّ</w:t>
      </w:r>
      <w:r>
        <w:rPr>
          <w:rStyle w:val="FootnoteAnchor"/>
          <w:rtl w:val="true"/>
        </w:rPr>
        <w:footnoteReference w:id="324"/>
      </w:r>
      <w:r>
        <w:rPr>
          <w:rFonts w:ascii="IRNazanin" w:hAnsi="IRNazanin" w:eastAsia="IRNazanin"/>
          <w:color w:val="111111"/>
          <w:sz w:val="28"/>
          <w:sz w:val="28"/>
          <w:szCs w:val="28"/>
          <w:rtl w:val="true"/>
          <w:lang w:bidi="fa-IR"/>
        </w:rPr>
        <w:t>، فتعاضد هذان الصوتان معاً فی إیضاح العبارات ومکنون الدلالات وتردَّدا علی طول الخُطبة، بما ضمن للنص تدفقاً إیقاعیّاً وانسیابیّة عالیة</w:t>
      </w:r>
      <w:r>
        <w:rPr>
          <w:rFonts w:eastAsia="IRNazanin" w:cs="IRNazanin"/>
          <w:color w:val="111111"/>
          <w:sz w:val="28"/>
          <w:szCs w:val="28"/>
          <w:rtl w:val="true"/>
          <w:lang w:bidi="fa-IR"/>
        </w:rPr>
        <w:t>.</w:t>
      </w:r>
    </w:p>
    <w:p>
      <w:pPr>
        <w:pStyle w:val="Heading5"/>
        <w:numPr>
          <w:ilvl w:val="4"/>
          <w:numId w:val="1"/>
        </w:numPr>
        <w:rPr/>
      </w:pPr>
      <w:bookmarkStart w:id="164" w:name="__RefHeading___Toc507709_774463916"/>
      <w:bookmarkStart w:id="165" w:name="_Toc56"/>
      <w:bookmarkEnd w:id="164"/>
      <w:r>
        <w:rPr/>
        <w:t>2</w:t>
      </w:r>
      <w:r>
        <w:rPr>
          <w:rtl w:val="true"/>
        </w:rPr>
        <w:t xml:space="preserve">- </w:t>
      </w:r>
      <w:r>
        <w:rPr>
          <w:rtl w:val="true"/>
        </w:rPr>
        <w:t>السَّجع المطرَّف</w:t>
      </w:r>
      <w:bookmarkEnd w:id="16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ما اختلفت فاصلتاه المسجوعتان فی الوزن واتفقتا فی التقفیة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الأخیر</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 وقد شاع هذا النمط من السجع فی نثر ثورة التوّابین وإمارة المختار؛ لأنَّه </w:t>
      </w:r>
    </w:p>
    <w:p>
      <w:pPr>
        <w:pStyle w:val="BookText"/>
        <w:rPr/>
      </w:pPr>
      <w:r>
        <w:rPr>
          <w:rFonts w:ascii="Amiri" w:hAnsi="Amiri" w:eastAsia="Amiri" w:cs="Amiri"/>
          <w:color w:val="111111"/>
          <w:sz w:val="28"/>
          <w:sz w:val="28"/>
          <w:szCs w:val="28"/>
          <w:rtl w:val="true"/>
          <w:lang w:bidi="ar-SA"/>
        </w:rPr>
        <w:t>یقع بصورة عفویة، وعندها فلا یبذل المتکلّم جهداً فی إیجاد وزن متفق فی نهایة الفقرات، بل لیس علی المتکلّم إلّا أنْ یأتی بعبارات منتهیة بأصوات متشابهة، ونجد مثل هذا النوع من السجع فی خُطبة عبد الله بن یزید الأنصاری حین علم بتأهب التوّابین للخروج،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هؤلاءِ القومِ آمِنُونَ، فَلیَخْرُجُوا وَلینتشروا ظَاهرینَ، لیسیروا إلی مَنْ قَاتَل الحسین، فقد أقبلَ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قد أقبلَ إلیکم أعدی خَلْقِ الله لکم، من ولِّیَ علیکم هو وأبوه سبعَ سنین، لا یُقْلِعَانِ عن قتال أهل العفاف والدِّین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فنجد أنَّ فواصل العبارات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 ← سنین ← ظاهرین ← الحسین ← سنین←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تشابهت بصوت النُّون فی نهایتها، واختلفت فی وزنها، وقد ساعد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إظهار النغمة المحبَّبة للنفس، لاشتماله علی الغنّة، فضلاً عن أنَّه قد سُبِقَ بأصوات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أحدثت انسیاباً إیقاعیاً لامتدادهما، وعندها تعاضد هذا التراخی مع غنّة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لیمنحا النص قیمةً أُسلوبیةً متمثِّلةً بالإیحاء الصوتی الهادئ الذی جاء منسجماً مع ذلک السیاق، ممَّا أدّی بالخطیب إلی استثماره لإظهار التلطُّف والتعاطف مع هؤلاء الثائرین، والعمل علی صرف الأنظار الموجهة إلیه؛ لکونه والیاً لعبد الله بن الزبیر الذی کان موقفه سلبیاً من قضیة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هذا السجع فی کتاب المختار إلی أصحاب ابن صُرَد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لو قَدْ خرجتُ إلیکمُ قد بَرَّدْتُ فیما بین المشرق والمغرب فی عدوّکم السیف بإذن الله، فجعلتهم بإذن الله رُکَاماً، وقتلتُهم فذّاً وتَوْأماً، فرحَّب الله بمَن قاربَ منکم واهتدی، ولا یُبْعِد اللهُ إلّا مَنْ عَصی وأبَی، والسَّلام علیکم یا أهل الهدی</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66" w:name="pg5013_35322"/>
    </w:p>
    <w:p>
      <w:pPr>
        <w:pStyle w:val="BookText"/>
        <w:rPr/>
      </w:pPr>
      <w:bookmarkEnd w:id="166"/>
      <w:r>
        <w:rPr>
          <w:rFonts w:ascii="IRNazanin" w:hAnsi="IRNazanin" w:eastAsia="IRNazanin"/>
          <w:color w:val="111111"/>
          <w:sz w:val="28"/>
          <w:sz w:val="28"/>
          <w:szCs w:val="28"/>
          <w:rtl w:val="true"/>
          <w:lang w:bidi="fa-IR"/>
        </w:rPr>
        <w:t xml:space="preserve">فقد انتهت فواصل العبارات المسجوعة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رکاماً ← توأماً ← اهتدی ← أبی ←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وکلَّها مختلفة فی أوزانها، وأمّا الفاصلتان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 وإن انتهتا بتنوین الفتح؛ لأنَّهما فی موقع نصب، لکن هذا التنوین یُقلب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الوقف فی الکلام، فالسجع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الوقف، وکلمات الأسجاع موضوعة علی أنْ تکون ساکنة الأعجاز موقوفاً علیها؛ لأنَّ الغرض أن یجانس المنشئ بین القرائن ویزاوج، ولا یتمُّ ذلک إلّا بالوقف إذ لو ظهر الإعراب لفات ذلک الغرض وضاق الحال علی قاصده</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فإنَّ قافیة السجعة إذا کانت فی محلِّ نصبٍ أو جرٍّ فالسکون الذی یعمله الوقف یساوی بینهما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وعموماً، فقد انتهت هذه الفواصل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أصوات المدّ الذی یتمیز بوضوحه السمعی</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لتردّده فی نهایة الفواصل مدعاة لتوافر المناخ الإیقاعی بین الکلمات المسجوعة إلی جانب ذلک الوضوح السمعی لهذا الصوت، وکان لهذا التوافق بینهما قیمة موسیقیة تمنح النص جمالیة وتکسبه اهتماماً من المتلقی</w:t>
      </w:r>
      <w:r>
        <w:rPr>
          <w:rFonts w:eastAsia="IRNazanin" w:cs="IRNazanin"/>
          <w:color w:val="111111"/>
          <w:sz w:val="28"/>
          <w:szCs w:val="28"/>
          <w:rtl w:val="true"/>
          <w:lang w:bidi="fa-IR"/>
        </w:rPr>
        <w:t>.</w:t>
      </w:r>
    </w:p>
    <w:p>
      <w:pPr>
        <w:pStyle w:val="Heading5"/>
        <w:numPr>
          <w:ilvl w:val="4"/>
          <w:numId w:val="1"/>
        </w:numPr>
        <w:rPr/>
      </w:pPr>
      <w:bookmarkStart w:id="167" w:name="__RefHeading___Toc507711_774463916"/>
      <w:bookmarkStart w:id="168" w:name="_Toc57"/>
      <w:bookmarkEnd w:id="167"/>
      <w:r>
        <w:rPr/>
        <w:t>3</w:t>
      </w:r>
      <w:r>
        <w:rPr>
          <w:rtl w:val="true"/>
        </w:rPr>
        <w:t xml:space="preserve">- </w:t>
      </w:r>
      <w:r>
        <w:rPr>
          <w:rtl w:val="true"/>
        </w:rPr>
        <w:t>تداخل السجع المطرَّف والمتوازی</w:t>
      </w:r>
      <w:bookmarkEnd w:id="16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تداخل نوعی 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المطرَّف والمتوازی فی خُطبةِ المختار التی کان یردّدها علی زائریه وهو فی سجنه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وربِّ البحار، والنخیل والأشجار، والمَهامِهِ والقِفَار، والملائکةِ الأَبرار، والمُصطَفَین الأخیار، لأقتلنَّ کلَّ جبَّار، بکلِّ لدْن خَطَّار، ومهنَّد بَتَّار، فی جُموع من الأنصار، لیسوا بمیّل أغمار، ولا بعزّلٍ أشرار، حتَّی إذا أقمتُ عمود الدِّین، </w:t>
      </w:r>
    </w:p>
    <w:p>
      <w:pPr>
        <w:pStyle w:val="BookText"/>
        <w:rPr/>
      </w:pPr>
      <w:r>
        <w:rPr>
          <w:rFonts w:ascii="Amiri" w:hAnsi="Amiri" w:eastAsia="Amiri" w:cs="Amiri"/>
          <w:color w:val="111111"/>
          <w:sz w:val="28"/>
          <w:sz w:val="28"/>
          <w:szCs w:val="28"/>
          <w:rtl w:val="true"/>
          <w:lang w:bidi="ar-SA"/>
        </w:rPr>
        <w:t>ورَأَبْت صدعَ المسلمین، وشَفَیْتُ غلیلَ صُدُورِ المُؤمنین، وأَدْرَکْتُ بِثأر النَّبیِّین، وَلمْ یکبر علیَّ زوال الدُّنیا، ولمْ أَحفل بالموت إِذا أَتی</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القطعة لتکشف عن التنوع فی اختیار الفواصل، وهو یزید من رغبة السامع علی مواصلة الاستماع لتنوع الإیقاع الذی کونته تلک الفواصل، فضلاً عن الدهشة التی تُصیب القارئ، وذلک بسبب إزالة التماثل الصوتی بین الفواصل، وبإعادة النظر فی هذا النص نجد نوعی السجع المطرَّف والمتوازی، وهی علی النحو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السجع المطرَّف</w:t>
      </w:r>
    </w:p>
    <w:p>
      <w:pPr>
        <w:pStyle w:val="BookText"/>
        <w:rPr/>
      </w:pPr>
      <w:r>
        <w:rPr>
          <w:rFonts w:ascii="Amiri" w:hAnsi="Amiri" w:eastAsia="Amiri" w:cs="Amiri"/>
          <w:color w:val="111111"/>
          <w:sz w:val="28"/>
          <w:sz w:val="28"/>
          <w:szCs w:val="28"/>
          <w:rtl w:val="true"/>
          <w:lang w:bidi="ar-SA"/>
        </w:rPr>
        <w:t>نوع السَّجعة</w:t>
      </w:r>
    </w:p>
    <w:p>
      <w:pPr>
        <w:pStyle w:val="BookText"/>
        <w:rPr/>
      </w:pPr>
      <w:r>
        <w:rPr>
          <w:rFonts w:ascii="IRNazanin" w:hAnsi="IRNazanin" w:eastAsia="IRNazanin"/>
          <w:color w:val="111111"/>
          <w:sz w:val="28"/>
          <w:sz w:val="28"/>
          <w:szCs w:val="28"/>
          <w:rtl w:val="true"/>
          <w:lang w:bidi="fa-IR"/>
        </w:rPr>
        <w:t>البحار ← الأشجار ←القفار</w:t>
      </w:r>
    </w:p>
    <w:p>
      <w:pPr>
        <w:pStyle w:val="BookText"/>
        <w:rPr/>
      </w:pPr>
      <w:r>
        <w:rPr>
          <w:rFonts w:ascii="Amiri" w:hAnsi="Amiri" w:eastAsia="Amiri" w:cs="Amiri"/>
          <w:color w:val="111111"/>
          <w:sz w:val="28"/>
          <w:sz w:val="28"/>
          <w:szCs w:val="28"/>
          <w:rtl w:val="true"/>
          <w:lang w:bidi="ar-SA"/>
        </w:rPr>
        <w:t>الراءالدّین ← النبیِّین</w:t>
      </w:r>
    </w:p>
    <w:p>
      <w:pPr>
        <w:pStyle w:val="BookText"/>
        <w:rPr/>
      </w:pPr>
      <w:r>
        <w:rPr>
          <w:rFonts w:ascii="Amiri" w:hAnsi="Amiri" w:eastAsia="Amiri" w:cs="Amiri"/>
          <w:color w:val="111111"/>
          <w:sz w:val="28"/>
          <w:sz w:val="28"/>
          <w:szCs w:val="28"/>
          <w:rtl w:val="true"/>
          <w:lang w:bidi="ar-SA"/>
        </w:rPr>
        <w:t>النون السَّجع المتوازی</w:t>
      </w:r>
    </w:p>
    <w:p>
      <w:pPr>
        <w:pStyle w:val="BookText"/>
        <w:rPr/>
      </w:pPr>
      <w:r>
        <w:rPr>
          <w:rFonts w:ascii="Amiri" w:hAnsi="Amiri" w:eastAsia="Amiri" w:cs="Amiri"/>
          <w:color w:val="111111"/>
          <w:sz w:val="28"/>
          <w:sz w:val="28"/>
          <w:szCs w:val="28"/>
          <w:rtl w:val="true"/>
          <w:lang w:bidi="ar-SA"/>
        </w:rPr>
        <w:t>نوع السَّجعة الأبرار← الأخیار، جبَّار← خطَّار← بتَّار، أنصار← أغمار← أشرار الراء</w:t>
      </w:r>
    </w:p>
    <w:p>
      <w:pPr>
        <w:pStyle w:val="BookText"/>
        <w:rPr/>
      </w:pPr>
      <w:r>
        <w:rPr>
          <w:rFonts w:ascii="IRNazanin" w:hAnsi="IRNazanin" w:eastAsia="IRNazanin"/>
          <w:color w:val="111111"/>
          <w:sz w:val="28"/>
          <w:sz w:val="28"/>
          <w:szCs w:val="28"/>
          <w:rtl w:val="true"/>
          <w:lang w:bidi="fa-IR"/>
        </w:rPr>
        <w:t>المسلمین ← المؤمنین النون</w:t>
      </w:r>
    </w:p>
    <w:p>
      <w:pPr>
        <w:pStyle w:val="BookText"/>
        <w:rPr/>
      </w:pPr>
      <w:r>
        <w:rPr>
          <w:rFonts w:ascii="IRNazanin" w:hAnsi="IRNazanin" w:eastAsia="IRNazanin"/>
          <w:color w:val="111111"/>
          <w:sz w:val="28"/>
          <w:sz w:val="28"/>
          <w:szCs w:val="28"/>
          <w:rtl w:val="true"/>
          <w:lang w:bidi="fa-IR"/>
        </w:rPr>
        <w:t>إنَّ هذا الأداء البدیعی فی تلوین الفواصل کان عن طریق تنویع البُنی الترکیبیة للمقطع الواحد، وذلک دلالة واضحة علی إدراک المنشئ لأهمیّة الإیقاع فی دیمومة التواصل مع الحرص علی عرض الأفکار وإیصال الدلالة علی نحو متوازن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ضوء ما تقدّم نجد أنَّ هذا النص یزخر بمنظومة سجعیة متکوّنة من تداخل </w:t>
      </w:r>
      <w:bookmarkStart w:id="169" w:name="pg5013_35324"/>
    </w:p>
    <w:p>
      <w:pPr>
        <w:pStyle w:val="BookText"/>
        <w:rPr/>
      </w:pPr>
      <w:bookmarkEnd w:id="169"/>
      <w:r>
        <w:rPr>
          <w:rFonts w:ascii="IRNazanin" w:hAnsi="IRNazanin" w:eastAsia="IRNazanin"/>
          <w:color w:val="111111"/>
          <w:sz w:val="28"/>
          <w:sz w:val="28"/>
          <w:szCs w:val="28"/>
          <w:rtl w:val="true"/>
          <w:lang w:bidi="fa-IR"/>
        </w:rPr>
        <w:t>نوعی السجع المطرَّف والمتوازی، استثمرها المختار کی یکشف عن الحال التی جاء الکلام فی صددها، فکان فی معرض التهدید والوعید والاقتصاص من قاتلی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اقتضی بمقطع مطرز بأنواع السجع؛ لیجعل من الکلام متدفّقاً ومنساباً وبالدرجة ذاتها من الثّقة بالنفس</w:t>
      </w:r>
      <w:r>
        <w:rPr>
          <w:rFonts w:eastAsia="IRNazanin" w:cs="IRNazanin"/>
          <w:color w:val="111111"/>
          <w:sz w:val="28"/>
          <w:szCs w:val="28"/>
          <w:rtl w:val="true"/>
          <w:lang w:bidi="fa-IR"/>
        </w:rPr>
        <w:t>.</w:t>
      </w:r>
    </w:p>
    <w:p>
      <w:pPr>
        <w:pStyle w:val="Heading4"/>
        <w:numPr>
          <w:ilvl w:val="3"/>
          <w:numId w:val="1"/>
        </w:numPr>
        <w:rPr/>
      </w:pPr>
      <w:bookmarkStart w:id="170" w:name="__RefHeading___Toc507713_774463916"/>
      <w:bookmarkStart w:id="171" w:name="_Toc58"/>
      <w:bookmarkEnd w:id="170"/>
      <w:r>
        <w:rPr>
          <w:rtl w:val="true"/>
        </w:rPr>
        <w:t>ثالثاً</w:t>
      </w:r>
      <w:r>
        <w:rPr>
          <w:rtl w:val="true"/>
        </w:rPr>
        <w:t xml:space="preserve">: </w:t>
      </w:r>
      <w:r>
        <w:rPr>
          <w:rtl w:val="true"/>
        </w:rPr>
        <w:t>تداخل السجع مع الجناس</w:t>
      </w:r>
      <w:bookmarkEnd w:id="171"/>
    </w:p>
    <w:p>
      <w:pPr>
        <w:pStyle w:val="BookText"/>
        <w:rPr/>
      </w:pPr>
      <w:r>
        <w:rPr>
          <w:rFonts w:ascii="Amiri" w:hAnsi="Amiri" w:eastAsia="Amiri" w:cs="Amiri"/>
          <w:color w:val="111111"/>
          <w:sz w:val="28"/>
          <w:sz w:val="28"/>
          <w:szCs w:val="28"/>
          <w:rtl w:val="true"/>
          <w:lang w:bidi="ar-SA"/>
        </w:rPr>
        <w:t>وجاء تداخل السجع والجناس فی نصٍ واحدٍ فی خُطبة للمختار بعد هرب ابن مُطیع،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وَعَدَ ولیّه النّصر، وعدوَّه الخُسْرَ، وجعله فیه إلی آخرِ الدَّهر، وَعْداً مفعولاً وقضاءً مقضَّیاً، وقدْ خابَ مَنِ افتری، أیُّها النَّاس، إنَّه رُفِعَتْ لنا رایة، ومُدَّتْ لنا غایة، فقیل لنا فی الرایة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ارفعوها ولا تَضَعوها، وفی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اجْروا إلیها ولا تَعدوها، فسمعنا دعوةَ الدَّاعی، ومقالةَ الواعی، فکم من ناعٍ وناعیة، لَقَتلی فی الواعیة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وبُعْداً لِمَنْ طَغَی، وأدْبَرَ وعَصَ، وکذَّبَ وتولَّی، ألا فادخلوا أیّها الناس فبایعوا بیعةَ هدی، فلا والَّذی جعلَ السَّماء سَقْفاً مکفوفاً، والأرضَ فِجَاجاً سُبُلا، ما بایعْتُم بعدَ بیعةِ علی بن أبی طالب وآل علی أهدی مِنْها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یلحظ المتأمّل أنَّ شیوع السجع المتوازی فی النص کان علی نحوٍ مقصود، وعندها أوجد إیقاعاً موسیقیاً نتیجة تردُّد أوزانه المتماثلة، فضلاً عن المخالفة الحاصلة فی الفواصل المسجوعة، ممَّا حقَّقَ ظاهرة أُسلوبیة صوتیة عملت علی کسر التماثل الصوتی بین الفواصل، ومن ثَمَّ إخراج النص من حیّز النمطیة الموسیقیة المطَّردة وإدخاله فی دائرة التناغمات الحرکیة المختلفة، فضلاً عن وجود ظاهرة أُسلوبیّة أُخری، هی ظاهرة </w:t>
      </w:r>
      <w:bookmarkStart w:id="172" w:name="pg5013_35325"/>
    </w:p>
    <w:p>
      <w:pPr>
        <w:pStyle w:val="BookText"/>
        <w:rPr/>
      </w:pPr>
      <w:bookmarkEnd w:id="172"/>
      <w:r>
        <w:rPr>
          <w:rFonts w:ascii="IRNazanin" w:hAnsi="IRNazanin" w:eastAsia="IRNazanin"/>
          <w:color w:val="111111"/>
          <w:sz w:val="28"/>
          <w:sz w:val="28"/>
          <w:szCs w:val="28"/>
          <w:rtl w:val="true"/>
          <w:lang w:bidi="fa-IR"/>
        </w:rPr>
        <w:t>ازدواج السجع والجناس فی الفاصلة الواحدة، وهذه الظاهرة تحتل مکانة مهمّة فی أنساق الخطاب، بل وتُعدُّ إحدی المهیمنات الأُسلوبیة علی مستوی الإیحاء الصوتی</w:t>
      </w:r>
      <w:r>
        <w:rPr>
          <w:rStyle w:val="FootnoteAnchor"/>
          <w:rtl w:val="true"/>
        </w:rPr>
        <w:footnoteReference w:id="332"/>
      </w:r>
      <w:r>
        <w:rPr>
          <w:rFonts w:ascii="IRNazanin" w:hAnsi="IRNazanin" w:eastAsia="IRNazanin"/>
          <w:color w:val="111111"/>
          <w:sz w:val="28"/>
          <w:sz w:val="28"/>
          <w:szCs w:val="28"/>
          <w:rtl w:val="true"/>
          <w:lang w:bidi="fa-IR"/>
        </w:rPr>
        <w:t>، فالفواصل المسجوعة والمتجانسة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رایة ← 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 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ناعیة ←واعیة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إنَّ بناء فواصل الفقرات بجعلها مسجوعة ومتجانسة فی آن واحد، یُفصِح عن مهارة فائقة واختیار متذوق لدی المنشئ؛ لأنَّه جعلها تحمل ظاهرتی السجع والجناس معاً، وهذا ما منح الإیقاع استمراراً وتدفّقاً حرکیین عِبْرَ الانتقال بین هاتین الظاهرتین فضلاً عن وضوح المعانی المراد توصیلها، وهذا یعنی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هائل من الحریة متاح للمتکلّم فی اختیار الصیغ والأسالیب المعبّرة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توخِّیاً لتوصیل قصده إلی السامع والتأثیر فیه</w:t>
      </w:r>
      <w:r>
        <w:rPr>
          <w:rFonts w:eastAsia="IRNazanin" w:cs="IRNazanin"/>
          <w:color w:val="111111"/>
          <w:sz w:val="28"/>
          <w:szCs w:val="28"/>
          <w:rtl w:val="true"/>
          <w:lang w:bidi="fa-IR"/>
        </w:rPr>
        <w:t>.</w:t>
      </w:r>
    </w:p>
    <w:p>
      <w:pPr>
        <w:pStyle w:val="Heading4"/>
        <w:numPr>
          <w:ilvl w:val="3"/>
          <w:numId w:val="1"/>
        </w:numPr>
        <w:rPr/>
      </w:pPr>
      <w:bookmarkStart w:id="173" w:name="__RefHeading___Toc507715_774463916"/>
      <w:bookmarkStart w:id="174" w:name="_Toc59"/>
      <w:bookmarkEnd w:id="173"/>
      <w:r>
        <w:rPr>
          <w:rtl w:val="true"/>
        </w:rPr>
        <w:t>رابعاً</w:t>
      </w:r>
      <w:r>
        <w:rPr>
          <w:rtl w:val="true"/>
        </w:rPr>
        <w:t xml:space="preserve">: </w:t>
      </w:r>
      <w:r>
        <w:rPr>
          <w:rtl w:val="true"/>
        </w:rPr>
        <w:t xml:space="preserve">الموازنة </w:t>
      </w:r>
      <w:r>
        <w:rPr>
          <w:rtl w:val="true"/>
        </w:rPr>
        <w:t>(</w:t>
      </w:r>
      <w:r>
        <w:rPr>
          <w:rtl w:val="true"/>
        </w:rPr>
        <w:t>الازدواج</w:t>
      </w:r>
      <w:r>
        <w:rPr>
          <w:rtl w:val="true"/>
        </w:rPr>
        <w:t>)</w:t>
      </w:r>
      <w:bookmarkEnd w:id="174"/>
    </w:p>
    <w:p>
      <w:pPr>
        <w:pStyle w:val="BookText"/>
        <w:rPr/>
      </w:pPr>
      <w:r>
        <w:rPr>
          <w:rFonts w:ascii="IRNazanin" w:hAnsi="IRNazanin" w:eastAsia="IRNazanin"/>
          <w:color w:val="111111"/>
          <w:sz w:val="28"/>
          <w:sz w:val="28"/>
          <w:szCs w:val="28"/>
          <w:rtl w:val="true"/>
          <w:lang w:bidi="fa-IR"/>
        </w:rPr>
        <w:t>عرَّف الخطیب القزوینی الموازنة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تساوی الفاصلتین فی الوزن دون التقفیة</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 وقد أَدْرَجَ البلاغیون هذا النوع من السجع تحت مصطلح مستقل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وجعلوها أعمّ من السجع، أی أنَّ فیها ما یکون سجعاً وما هو لیس بسجع،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سجع موازنة، ولیس کلّ موازنة سجعاً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ویقوم الأُسلوب المتوازن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تقسیم العبارات إلی مقاطع متوازنة، ومعادلة الألفاظ </w:t>
      </w:r>
    </w:p>
    <w:p>
      <w:pPr>
        <w:pStyle w:val="BookText"/>
        <w:rPr/>
      </w:pPr>
      <w:r>
        <w:rPr>
          <w:rFonts w:ascii="IRNazanin" w:hAnsi="IRNazanin" w:eastAsia="IRNazanin"/>
          <w:color w:val="111111"/>
          <w:sz w:val="28"/>
          <w:sz w:val="28"/>
          <w:szCs w:val="28"/>
          <w:rtl w:val="true"/>
          <w:lang w:bidi="fa-IR"/>
        </w:rPr>
        <w:t>بعضها مع بعض، لتعطی إیقاعاً موسیقیاً، من خلال التشابه فی الجرس الصوتی؛ إذ تزدوج أکثر من جملة أو عبارة فی تنسیق 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یقتضیه المقام، هو شبیه بالسَّجع إلّا أنَّه لا یتقیَّد بالتقفیة</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وقد سُمّیَ هذا الضرب لدی البلاغیین العرب بالسجع المتوازن، أو السجع العاطل، أو الازدواج، أو الموازنة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یفرّق العسکری بین الازدواج والسجع، فکان الازدواج عنده مرتبطاً بالسجع بأن تکون ألفاظ الجزأین المزدوجة مسجوعة، وعندها یکون الکلام سجعاً فی سجع، وتکون الفواصل علی أحرف متقاربة المخارج إن لم یمکن أن تکون من جنس واحد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التوازن فی نثر ثورة التوّابین وإمارة المختار مقترناً بکثیر من السجع، فنجد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الأُسلوب فی رسالةِ سلیمان بن صُرَد إلی سعد بن حذیفة بن الیمان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الدّنیا دارٌ قد أدبرَ منها ما کان معروفاً، وأقبلَ منها ما کان مُنکَراً، وأصبحت قد تشنَّأتْ إلی ذوِی الألباب، وأزمَع الترحال مِنْها عبادُ الله الأخیار، وباعوا قلیلاً من الدنیا لا یبقَی، بجزیلِ مثوبةٍ عند الله لا تَفْنی، إنَّ أولیاء الله مِن إخوانکم، وشیعة آل نبیکم، نظروا لأنفُسِهِم فیما ابتُلوا به مِن أمر ابن بنت نبیهم الذی دُعِیِ فأجاب، ودَعا فلم یُجَبْ، وأرادَ الرَّجعة فَحُبِس، وسألَ الأمانَ فَمُنِع، وتَرَکَ النَّاس فلم یترکوه، وعَدوا علیه فقتلوه، ثمَّ سَلَبوه وجرَّدوه ظلماً وعُدواناً وغرَّةً بالله وجهلاً، وبعینِ الله ما یعملون، وإلی الله ما یرجعون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وقع التوازن، بین الفواصل المتشابهة بالوزن، والمختلفة بالحرف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الألباب ←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 یَفْنَی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 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عمل هذا الازدواج فی تقریر المعنی وتمکینه فی ذهن السامع، وبذلک أضفی علی الرسالة حلَّة موسیقیة تستهوی السامعین، لاتفاق أوزانها فی نهایة کلّ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یلبث المنشئ أنْ عدل عن هذه الموازنة إلی استعمال السجع بنوعیه المتوازی والمطرَّف فی آنٍ واحد، فالمتوازی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 ← سلبوه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نوع السجع القصیر الذی یعطی النص حرکة إیقاعیة متتالیة عملت علی ترکیز الدلالة المقصودة، ثمَّ جاء بالسجع المطرَّف بین الفواصل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عاد إلی السجع المتوازی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التنوع الإیقاعی الحرکی فی إیراد السجع فی نصٍ واحدٍ لم یقع عفواً من المتکلّم، بل کان عن قصد ووعی کاسراً بذلک الرتابة، ومن ثَمَّ محفّزاً علی الترقب والتواصل، ومع هذه القصدیة فی تلوین النص بأنماط سجعیة مختلفة تطاولت فکوّنت جوّاً موسیقیاً هادئاً، إلّا أنَّ هذا الإیقاع لم یکن هو الهدف الرئیس، بل کان الهاجس الأکبر عند منشئ الخطاب هو تکریس الدلالات المختلفة،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 علیه أوَّلاً أن یُحَدِّد الإطار الدَّلالی الواسع الذی سوف یتحرَّک فیه، ثمّ یتبع ذلک اختیار الطریقة الملائمة التی ینظم بها مفرداته لکی تکون قادرة علی نقل أفکاره علی النَّحو الذی تکوَّنت علیه فی عملیاته النفسیَّة</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ومن ثَمَّ ترسیخها فی ذهن المتلقی، وهذه المعانی تتلاحق بل تتعاضد علی إبراز قضیة خذلان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وقتله من الذین دعوه إلی القدوم إلیهم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التوازن مقترناً بالسجع المتوازی فی خُطبةِ عبید الله المری، فهو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اصطفی محمَّداً صلّی الله علیه وسلّم علی خلقِه بنبوَّته، وخصَّه بالفضل کلّه، وأعزَّکم باتّباعه، وأکرمکم بالإیمان به، فَحَقنَ به دماءکم المسفوکة، وأمَّن به سُبُلَکم المخوفة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ویبلغکم ما اجتُرِم إلی ابن بنت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رأیتم إلی انتهاک القوم </w:t>
      </w:r>
    </w:p>
    <w:p>
      <w:pPr>
        <w:pStyle w:val="BookText"/>
        <w:rPr/>
      </w:pPr>
      <w:r>
        <w:rPr>
          <w:rFonts w:ascii="Amiri" w:hAnsi="Amiri" w:eastAsia="Amiri" w:cs="Amiri"/>
          <w:color w:val="111111"/>
          <w:sz w:val="28"/>
          <w:sz w:val="28"/>
          <w:szCs w:val="28"/>
          <w:rtl w:val="true"/>
          <w:lang w:bidi="ar-SA"/>
        </w:rPr>
        <w:t>حُرْمَتَه، واستضعافِهم وَحْدَتَه، وترمیلهم إیَّاه بالدَّم، وتجرارهموه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للنَّبلِ غَرَضَاً، وغادروه للضباع جَزَرَاً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حسین بن علی، ماذا غادروا به ذا صِدقٍ وصَبر، وذا أمانةٍ ونَجْدَةٍ وحَزْم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أوَّل المسلمین إسلاماً، وابن بنت رسول ربّ العالمین، قلَّت حماتُه، وکَثُرت عُداتُهُ حوله، فقتله عدوّه، وخَذَلَه وَلیّه، فویلٌ للقاتلِ، وملامةٌ للخاذلِ، إنَّ الله لم یجعل لقاتله حُجَّة، ولا لخاذِلِه مَعذرة، إلّا إن یُناصح لله فی التَّوبة، فیجاهد القاتلین، وینابذ القاسطین، فعسی الله عند ذلک أنْ یقبل التَّوبة، ویُقیل العثرة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التداخل فی نوعی السجع قد جعل الخُطبة ذات قیمة إیقاعیة بارزة، فنجد المتوازی منه بین الفواصل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مَسْفُوکَة ← مَخُوفَة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وکذلک بن الفاصلتین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 ← 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یأتی بعدها الأُسلوب المتوازن المتماثل بأوزان فواصله، والمختلف برویها بین لفظتی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غَرَضَاً ← جَزَرَاً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 صَبْر ←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یردف هذا بالسجع المتوازی مرَّة أُخری بین الفواصل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 ←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للقَاتِل ← للخَاذِل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القَاتِلِین ← القَاسِطِین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 العَثرة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التنوعات الأدائیة التی اعتمدها الخطیب فی فواصل عباراته قد منحت نصَّه طابعاً موسیقیاً مصدره الإیقاع الناتج عن تلکم الفواصل، وکان لوجود التوازن بین السجع المتوازی قیمة أُسلوبیة عالیة فی إخراج هذا النص من النمطیة المألوفة فی الوزن، حتی یعطی نوعاً من الدهشة والمفاجأة لدی السامع فی وزن غیر متوقع</w:t>
      </w:r>
      <w:r>
        <w:rPr>
          <w:rStyle w:val="FootnoteAnchor"/>
          <w:rtl w:val="true"/>
        </w:rPr>
        <w:footnoteReference w:id="342"/>
      </w:r>
      <w:r>
        <w:rPr>
          <w:rFonts w:ascii="IRNazanin" w:hAnsi="IRNazanin" w:eastAsia="IRNazanin"/>
          <w:color w:val="111111"/>
          <w:sz w:val="28"/>
          <w:sz w:val="28"/>
          <w:szCs w:val="28"/>
          <w:rtl w:val="true"/>
          <w:lang w:bidi="fa-IR"/>
        </w:rPr>
        <w:t xml:space="preserve">، کما نجد أن متانة أُسلوب الخُطبة له الأثر الواضح فی إضفاء الحرکة الإیقاعیة والدلالیة علیها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یتجلَّی التوازن الإیقاعی کذلک من جزالة السَّرد المتماسک، وقصدیَّة النَّص </w:t>
      </w:r>
    </w:p>
    <w:p>
      <w:pPr>
        <w:pStyle w:val="BookText"/>
        <w:rPr/>
      </w:pPr>
      <w:r>
        <w:rPr>
          <w:rFonts w:ascii="Amiri" w:hAnsi="Amiri" w:eastAsia="Amiri" w:cs="Amiri"/>
          <w:color w:val="111111"/>
          <w:sz w:val="28"/>
          <w:sz w:val="28"/>
          <w:szCs w:val="28"/>
          <w:rtl w:val="true"/>
          <w:lang w:bidi="ar-SA"/>
        </w:rPr>
        <w:t>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اللتین تبدیان علی نحوٍ واضحٍ فی تدفُّق الأفعال، وتموُّج الصِّفات</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التی جاء النص مفعماً بها جمیعاً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القول، فقد اتَّخذ الخطیب من هذه المنظومة السجعیة المتوازنة 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لتوصیل المعانی التی بنیت علیها الخُطبة أساساً، وهی تنبیه المسلمین بفضل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وعظیم منزلته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منقذ البشریة من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والظلم، فالواجب احترام ذریته؛ لأنَّهم أحق بالتکریم من غیرهم، مندّداً بما جری لهم من القتل والتش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 فی الأرض بصورة مأساویَّة، ومن هنا تبرز مهمّة الخطیب الرسالی فی استنهاض الهمم للطلب بدم الإمام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 إلی الجهاد، لإرجاع الأمر إلی أهل بیت النبوة؛ ولذلک وجدنا أنَّ الخطیب قد تحرَّاه قصداً</w:t>
      </w:r>
      <w:r>
        <w:rPr>
          <w:rFonts w:eastAsia="IRNazanin" w:cs="IRNazanin"/>
          <w:color w:val="111111"/>
          <w:sz w:val="28"/>
          <w:szCs w:val="28"/>
          <w:rtl w:val="true"/>
          <w:lang w:bidi="fa-IR"/>
        </w:rPr>
        <w:t xml:space="preserve">. </w:t>
      </w:r>
      <w:bookmarkStart w:id="175" w:name="pg5013_35330"/>
    </w:p>
    <w:p>
      <w:pPr>
        <w:pStyle w:val="Heading3"/>
        <w:numPr>
          <w:ilvl w:val="2"/>
          <w:numId w:val="1"/>
        </w:numPr>
        <w:rPr/>
      </w:pPr>
      <w:bookmarkStart w:id="176" w:name="__RefHeading___Toc507717_774463916"/>
      <w:bookmarkStart w:id="177" w:name="_Toc60"/>
      <w:bookmarkEnd w:id="175"/>
      <w:bookmarkEnd w:id="176"/>
      <w:r>
        <w:rPr>
          <w:rtl w:val="true"/>
        </w:rPr>
        <w:t xml:space="preserve">المبحث الثانی </w:t>
      </w:r>
      <w:r>
        <w:rPr>
          <w:rtl w:val="true"/>
        </w:rPr>
        <w:t>:</w:t>
      </w:r>
      <w:r>
        <w:rPr>
          <w:rtl w:val="true"/>
        </w:rPr>
        <w:t>التناسب المعنوی للإیحاء الصوتی</w:t>
      </w:r>
      <w:bookmarkEnd w:id="177"/>
    </w:p>
    <w:p>
      <w:pPr>
        <w:pStyle w:val="Heading4"/>
        <w:numPr>
          <w:ilvl w:val="3"/>
          <w:numId w:val="1"/>
        </w:numPr>
        <w:rPr/>
      </w:pPr>
      <w:bookmarkStart w:id="178" w:name="__RefHeading___Toc507719_774463916"/>
      <w:bookmarkStart w:id="179" w:name="_Toc61"/>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 xml:space="preserve">علی الرغم من أنَّ للصوت أهمیة بارزة فی بناء المفردة التی تکوّن الجملة، فإنَّه لا یمتلک معانی جوهریة فی نفسه لو جاء مستقلاً عن سیاقه، فالصوت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لغویة لا قیمة لها من الناحیة الاعتباریة، لأنَّها شیء مجرد وقیمها تنبع من الوظیفة الدلالیة التی تتحدد خلال موقعها السیاقی وتآلفها مع الأصوات الأُخری</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 فللسیاق أثرٌ فی تحدید دلالة الصوت اللغوی وتداعیاته، إذ إنَّ لأصوات الحروف فی السیاقات اللغویة دلالات مشعَّة، فقد یتکرّر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أو مجموعة من الحروف، فیکون لهذا مغزی یعکس شعوراً داخلیاً للتعبیر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عن قید الصوت المحض إلی دلالة تحرّک المعنی وتقوِّیه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فالسیاق هو المجری الطبیعی لبیان المعانی الوظیفیة الدلالیة للأصوات، فالحروف والأصوات لا تکتسب معانیها إلّا عبر دخولها فی نسق الکلام، فلا ینظر إلی الأصوات علی أنَّها وحدات 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 أن ینظر إلیها حین تتشکل فی وحدة ترکیبیة صغیرة أم کبیرة</w:t>
      </w:r>
      <w:r>
        <w:rPr>
          <w:rStyle w:val="FootnoteAnchor"/>
          <w:rtl w:val="true"/>
        </w:rPr>
        <w:footnoteReference w:id="346"/>
      </w:r>
      <w:r>
        <w:rPr>
          <w:rFonts w:ascii="IRNazanin" w:hAnsi="IRNazanin" w:eastAsia="IRNazanin"/>
          <w:color w:val="111111"/>
          <w:sz w:val="28"/>
          <w:sz w:val="28"/>
          <w:szCs w:val="28"/>
          <w:rtl w:val="true"/>
          <w:lang w:bidi="fa-IR"/>
        </w:rPr>
        <w:t xml:space="preserve">،إذ إنَّ أصوات الحروف تکتسی قیمة دلالیة، فضلاً عن وظیفتها التمیزیة الرئیسة، وذلک ما تبحثه نظریة المحاکاة الصوتیة،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العلاقة بین </w:t>
      </w:r>
    </w:p>
    <w:p>
      <w:pPr>
        <w:pStyle w:val="BookText"/>
        <w:rPr/>
      </w:pPr>
      <w:r>
        <w:rPr>
          <w:rFonts w:ascii="IRNazanin" w:hAnsi="IRNazanin" w:eastAsia="IRNazanin"/>
          <w:color w:val="111111"/>
          <w:sz w:val="28"/>
          <w:sz w:val="28"/>
          <w:szCs w:val="28"/>
          <w:rtl w:val="true"/>
          <w:lang w:bidi="fa-IR"/>
        </w:rPr>
        <w:t>الألفاظ ومعانیها، وإِلی أیِّ حدٍّ یمکن استغلال أصوات هذه الألفاظ فی الإیحاء بالمعنی ومحاکاته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ویُعدّ هذا التألیف بالغ الأهمیّة فی مستویات التحلیل الأُسلوبی، إذ تتواشج فیه البنیتان الإیقاعیة والدلالیة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وتقوم المحاکاة الصوتیة علی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تُستمد من طبیعة بعض الأصوات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فتعطی دلالة صوتیة تنتج من ضمّ الحروف بعضها ببعض علی نسق موسیقی خاص</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وتُعدُّ المحاکاة الصوتیة للحدث فی الحروف والکلمات، إحدی أنساق الأُسلوبیة الصوتیة فی اللغة العربیة</w:t>
      </w:r>
      <w:r>
        <w:rPr>
          <w:rStyle w:val="FootnoteAnchor"/>
          <w:rtl w:val="true"/>
        </w:rPr>
        <w:footnoteReference w:id="3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الأُسلوب الحدیث لا یأبه بالجرس إلّا من حیث إیحاؤه بالمعنی</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فی أنّ البحث عن دلالات الأصوات أمر لا یخلو من المجازفة، ولکنّنا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نبحث عن ربط الصوت بدلالات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معانٍ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محدَّدة، وإنَّما نبحث فی الدلالة بصفة عامَّة، وبعبارة أُخری نبحث عن الدلالة الانفعالیة والعاطفیة للأصوات، عن طریق ما یتوافر للصوت من إیحاءات ودلالات ناتجة عن ربط الصوت بالمعنی فی ضوء صفة الصوت اللّغوی، ومخرجه مع النظر إلی المعنی العام للکلمة التی جاء فیها الصوت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 </w:t>
      </w:r>
      <w:bookmarkStart w:id="180" w:name="pg5013_35332"/>
    </w:p>
    <w:p>
      <w:pPr>
        <w:pStyle w:val="BookText"/>
        <w:rPr/>
      </w:pPr>
      <w:bookmarkEnd w:id="180"/>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السیاق الذی یضمّها لیجعل منها رمزاً له إیحاءاته ودلالاته بما یناسب المعنی العام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مسألة المحاکاة الصوتیة غائبة عن أذهان علمائنا القدماء، فقد ابتدأت عند الخلیل بن أحمد وتلمیذه سیبویه، وأشبعها ابن جنی وابن سینا بحثاً وتفصیلاً</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المُحدَثون، فقد اهتموا بها اهتماماً واسعاً فی دراساتهم؛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شکٍّ مظهرٌ عجیبٌ من مظاهر اللغة العربیة یُلفت نظر الدارس ویستحقُّ الوقوف عنده وتأمله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ویقوم منهج تناولنا علی دراسة الصوت فی اللفظة المفردة، ودراسة تکرار الأصوات وما توحی به من دلالة فی ضوء السیاق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وسنقف عند هذین النمطین علی النحو الآتی</w:t>
      </w:r>
      <w:r>
        <w:rPr>
          <w:rFonts w:eastAsia="IRNazanin" w:cs="IRNazanin"/>
          <w:color w:val="111111"/>
          <w:sz w:val="28"/>
          <w:szCs w:val="28"/>
          <w:rtl w:val="true"/>
          <w:lang w:bidi="fa-IR"/>
        </w:rPr>
        <w:t>:</w:t>
      </w:r>
    </w:p>
    <w:p>
      <w:pPr>
        <w:pStyle w:val="Heading4"/>
        <w:numPr>
          <w:ilvl w:val="3"/>
          <w:numId w:val="1"/>
        </w:numPr>
        <w:rPr/>
      </w:pPr>
      <w:bookmarkStart w:id="181" w:name="__RefHeading___Toc507721_774463916"/>
      <w:bookmarkStart w:id="182" w:name="_Toc62"/>
      <w:bookmarkEnd w:id="181"/>
      <w:r>
        <w:rPr>
          <w:rtl w:val="true"/>
        </w:rPr>
        <w:t>أوَّلاً</w:t>
      </w:r>
      <w:r>
        <w:rPr>
          <w:rtl w:val="true"/>
        </w:rPr>
        <w:t xml:space="preserve">: </w:t>
      </w:r>
      <w:r>
        <w:rPr>
          <w:rtl w:val="true"/>
        </w:rPr>
        <w:t>دلالة الصوت فی اللفظة المفردة</w:t>
      </w:r>
      <w:bookmarkEnd w:id="18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 لفظةٍ تحمل فی طبیعة دلالتها نغماً ناتجاً عن الجرس الذی تحمله أصواتها المکوَّنة لها، فالجرس یُشکل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خصیصة ذاتیة محسوسة فی بناء اللفظة من خلال تباین أجراس حروفها التی بُنیت علیها، وتُشکل هذه الحروف فی ائتلافها وتنافرها نغم الألفاظ وقیمها الحسیة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فاللفظة العربیة تحمل موسیقی باطنیة عفویة قوامها التوافق الفطری بین خصائص أصواتها، وبین ما تدلُّ علیه من المعانی إیحاءً وإیماءً،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تحوَّل کلّ حرفٍ من حروفها إلی وعاءٍ من الخصائص والمعانی؛ وذلک بفعل تعامله مع الأحاسیس والمشاعر</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ومن هذا المفهوم یتّجه البحث إلی دراسة القیمة الإیحائیة لدلالة الصوت اللغوی فی اللفظة الواحدة، منظوراً فی ذلک إلی السیاق العام الذی یرد فیه ذلک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المحاکاة أو الإیحاءات الدلالیة عن طریق أصوات الألفاظ، مدعاة للتأثیر فی نفس السامع وجذب تنبهه؛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الترکیب الخاصّ بکلّ لفظةٍ وبنیتها، وجرسها، وما یحمله من دلالات إیحائیة، دَخْلاً فی جمالها وتقبُّل النَّفس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إنجاح النص ومنحه فعالیة أکبر، وقدرة أقوی علی التأثیر والإثارة</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سیراه البحث عن طریق دلالة الصوت فی اللفظة المفردة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خُطبة سلیمان بن صُرَد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نَمُدُّ أعناقَنا إلی قدومِ آلِ نبیّنا، ونُمَنّیْهِمُ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ونَحُثَّهُم علی القدومِ، فلمَّا قدموا وَنَیْنا وعَجَزْنا وأدْهَنَّا وتربَّصْنا وانتظرنا ما یکون حتی قُتِلَ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یَسْتَصرِخُ ویسأل النَّصَف فلا یُعطاه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فتتمثَّل المحاکاة الصوتیة للحدث، وهی کالرسم بالألفاظ، وذلک فی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یستصرخ</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أوحت أصواتها بارتباطها بعضها مع بعض عن معنی مدّ العنق والترقب المصاحب لتلک الصورة الحزینة، التی جسّدها صوتا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الصوامت الغنّاء</w:t>
      </w:r>
      <w:r>
        <w:rPr>
          <w:rStyle w:val="FootnoteAnchor"/>
          <w:rtl w:val="true"/>
        </w:rPr>
        <w:footnoteReference w:id="361"/>
      </w:r>
      <w:r>
        <w:rPr>
          <w:rFonts w:ascii="IRNazanin" w:hAnsi="IRNazanin" w:eastAsia="IRNazanin"/>
          <w:color w:val="111111"/>
          <w:sz w:val="28"/>
          <w:sz w:val="28"/>
          <w:szCs w:val="28"/>
          <w:rtl w:val="true"/>
          <w:lang w:bidi="fa-IR"/>
        </w:rPr>
        <w:t xml:space="preserve">، وقد أضفیا بهذه الغنة نوعاً من الهدوء والشجن العاطفی، </w:t>
      </w:r>
    </w:p>
    <w:p>
      <w:pPr>
        <w:pStyle w:val="BookText"/>
        <w:rPr/>
      </w:pPr>
      <w:r>
        <w:rPr>
          <w:rFonts w:ascii="IRNazanin" w:hAnsi="IRNazanin" w:eastAsia="IRNazanin"/>
          <w:color w:val="111111"/>
          <w:sz w:val="28"/>
          <w:sz w:val="28"/>
          <w:szCs w:val="28"/>
          <w:rtl w:val="true"/>
          <w:lang w:bidi="fa-IR"/>
        </w:rPr>
        <w:t>وکان لارتباط صوت الدال الشدیدة المجهورة</w:t>
      </w:r>
      <w:r>
        <w:rPr>
          <w:rStyle w:val="FootnoteAnchor"/>
          <w:rtl w:val="true"/>
        </w:rPr>
        <w:footnoteReference w:id="362"/>
      </w:r>
      <w:r>
        <w:rPr>
          <w:rFonts w:ascii="Amiri" w:hAnsi="Amiri" w:eastAsia="Amiri" w:cs="Amiri"/>
          <w:color w:val="111111"/>
          <w:sz w:val="28"/>
          <w:sz w:val="28"/>
          <w:szCs w:val="28"/>
          <w:rtl w:val="true"/>
          <w:lang w:bidi="ar-SA"/>
        </w:rPr>
        <w:t xml:space="preserve">وقعٌ یعبِّر عن شدَّة الحدث، کما ذهب إلی ذلک ابن جنی حین فرّق بین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فجعلوا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مجهورة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فیه علاج، وجعلوا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مهموسة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علاج فیه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مشدَّداً لیعبّر عن الشدّة والزیادة فی ذلک العلاج، وقد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سیاقها دور الصوت المحاکی والموحی، فهی تحاکی وتصور حرکة مدّ العنق إلی الأمام کما نمدُّ نحن شفاهنا إلی الأمام عند النطق بالضمَّة، فهی حرکة أمامیَّة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لجهارة هذه الأصوات التی أسبغت علی هذه الکلمة وضوحاً سمعیاً یتعاضد مع إیحاءاتها الدلالیة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اتسقت أصواتها بعضها مع بعضها الآخر، لتوحی فی ضوء السیاق العام بکثرة الحثّ والإلحاح فیه، فهی مبدوءة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یمتاز بغنته التی تسبغ علی هذه اللفظة نوعاً من الحزن والشجن، وکان 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الحلقی المهموس الذی مثّل الحدّة، فالحاء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الصوت الذی نصدره من حلوقنا حین نذوق شیئاً حاداً لاذعَ الطَّعم، فنتنحنح محاولین أنْ نخفّف من حدّته ونحرّر حلقنا من لذعه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 فهو یوحی بحدَّة الحثّ والإلحاح فیه، وقد تعاضد هذا الصوت مع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یوحی بالوفرة والغزارة</w:t>
      </w:r>
      <w:r>
        <w:rPr>
          <w:rStyle w:val="FootnoteAnchor"/>
          <w:rtl w:val="true"/>
        </w:rPr>
        <w:footnoteReference w:id="366"/>
      </w:r>
      <w:r>
        <w:rPr>
          <w:rFonts w:ascii="IRNazanin" w:hAnsi="IRNazanin" w:eastAsia="IRNazanin"/>
          <w:color w:val="111111"/>
          <w:sz w:val="28"/>
          <w:sz w:val="28"/>
          <w:szCs w:val="28"/>
          <w:rtl w:val="true"/>
          <w:lang w:bidi="fa-IR"/>
        </w:rPr>
        <w:t xml:space="preserve">، وقد جاء مشدداً هنا لزیادة تلک الوفرة والغزارة فی عملیة الحثّ، وقد جَاء بعد ذلک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المهموس،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صوت النفس الخالص الذی لا یلقی مروره اعتراضاً فی الفم</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لیتعاضد مع صوت المیم، وهو صوت شفوی المخرج ذو غنّة</w:t>
      </w:r>
      <w:r>
        <w:rPr>
          <w:rStyle w:val="FootnoteAnchor"/>
          <w:rtl w:val="true"/>
        </w:rPr>
        <w:footnoteReference w:id="368"/>
      </w:r>
      <w:r>
        <w:rPr>
          <w:rFonts w:ascii="IRNazanin" w:hAnsi="IRNazanin" w:eastAsia="IRNazanin"/>
          <w:color w:val="111111"/>
          <w:sz w:val="28"/>
          <w:sz w:val="28"/>
          <w:szCs w:val="28"/>
          <w:rtl w:val="true"/>
          <w:lang w:bidi="fa-IR"/>
        </w:rPr>
        <w:t>، یحمل معنی الاستمرار</w:t>
      </w:r>
      <w:r>
        <w:rPr>
          <w:rStyle w:val="FootnoteAnchor"/>
          <w:rtl w:val="true"/>
        </w:rPr>
        <w:footnoteReference w:id="369"/>
      </w:r>
      <w:r>
        <w:rPr>
          <w:rFonts w:ascii="IRNazanin" w:hAnsi="IRNazanin" w:eastAsia="IRNazanin"/>
          <w:color w:val="111111"/>
          <w:sz w:val="28"/>
          <w:sz w:val="28"/>
          <w:szCs w:val="28"/>
          <w:rtl w:val="true"/>
          <w:lang w:bidi="fa-IR"/>
        </w:rPr>
        <w:t>، جاء لیوحی بتلک الاستمراریة فی ذلک الحثّ، کما أنَّه أضفی علی اللفظة بغنَّته جوَّاً من الحزن والشجن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أصواتها فی سیاقها قد عبَّرت بصدق عن معنی الضعف والوهن والاستکانة، فنجد أنّ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المجهور الشفوی المخرج</w:t>
      </w:r>
      <w:r>
        <w:rPr>
          <w:rStyle w:val="FootnoteAnchor"/>
          <w:rtl w:val="true"/>
        </w:rPr>
        <w:footnoteReference w:id="370"/>
      </w:r>
      <w:r>
        <w:rPr>
          <w:rFonts w:ascii="IRNazanin" w:hAnsi="IRNazanin" w:eastAsia="IRNazanin"/>
          <w:color w:val="111111"/>
          <w:sz w:val="28"/>
          <w:sz w:val="28"/>
          <w:szCs w:val="28"/>
          <w:rtl w:val="true"/>
          <w:lang w:bidi="fa-IR"/>
        </w:rPr>
        <w:t>الذی جاء فی أوَّل هذه اللفظة بضمّ الشفتین، قد أوحی بجوٍّ من الحزن والجزع، وهذا ما أکّدته الدراسات الحدیثة أنَّ الأصوات الشفویة تدلُّ علی الحزن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أن 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إیحاء دلالیاً بهذا الضعف الذی تدلُّ علیه اللفظة،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مجهور تغلب علیه الصفات الضعیفة، فهو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 مستفل، منفتح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إنَّه صوت مذلق</w:t>
      </w:r>
      <w:r>
        <w:rPr>
          <w:rStyle w:val="FootnoteAnchor"/>
          <w:rtl w:val="true"/>
        </w:rPr>
        <w:footnoteReference w:id="372"/>
      </w:r>
      <w:r>
        <w:rPr>
          <w:rFonts w:ascii="IRNazanin" w:hAnsi="IRNazanin" w:eastAsia="IRNazanin"/>
          <w:color w:val="111111"/>
          <w:sz w:val="28"/>
          <w:sz w:val="28"/>
          <w:szCs w:val="28"/>
          <w:rtl w:val="true"/>
          <w:lang w:bidi="fa-IR"/>
        </w:rPr>
        <w:t>، وهذه الصفات تجعله متساوقاً مع سیاق الضعف والفتور والعجز عن نصرة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یخفی أنّ هذا الصوت قد أضفی بتکراره جوّاً من الهدوء والشجن، فهو بهذه الصفة بتعاضد مع إیحاء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ذلک الحزن الذی یتناسب مع المعنی الذی جاءت علیه هذه اللفظة، وهو الندم والحزن، وأوحی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الضعف والسکون نتیجة لصفاته الصوتیة </w:t>
      </w:r>
    </w:p>
    <w:p>
      <w:pPr>
        <w:pStyle w:val="BookText"/>
        <w:rPr/>
      </w:pPr>
      <w:r>
        <w:rPr>
          <w:rFonts w:ascii="IRNazanin" w:hAnsi="IRNazanin" w:eastAsia="IRNazanin"/>
          <w:color w:val="111111"/>
          <w:sz w:val="28"/>
          <w:sz w:val="28"/>
          <w:szCs w:val="28"/>
          <w:rtl w:val="true"/>
          <w:lang w:bidi="fa-IR"/>
        </w:rPr>
        <w:t>الضعیفة، لکونه صوتاً غیر مدّی یکاد النفس أن یکون معه ضعیفاً</w:t>
      </w:r>
      <w:r>
        <w:rPr>
          <w:rStyle w:val="FootnoteAnchor"/>
          <w:rtl w:val="true"/>
        </w:rPr>
        <w:footnoteReference w:id="373"/>
      </w:r>
      <w:r>
        <w:rPr>
          <w:rFonts w:ascii="IRNazanin" w:hAnsi="IRNazanin" w:eastAsia="IRNazanin"/>
          <w:color w:val="111111"/>
          <w:sz w:val="28"/>
          <w:sz w:val="28"/>
          <w:szCs w:val="28"/>
          <w:rtl w:val="true"/>
          <w:lang w:bidi="fa-IR"/>
        </w:rPr>
        <w:t xml:space="preserve">، وکان 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اللینة الممتدّة فی نهایة الکلمة خیر تعبیر عن امتداد وطول ذلک الضعف من قبل هؤلاء؛ لأنَّ صوت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صوت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من بین سائر أصوات المدّ بکونه أشدّها امتداداً، وأوسعها مخرجاً، وهو الصوت الهاوی</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إیحاء یصور الحدث، فقد ساد فیها الاضطراب الصوتی فی مخارج حروفها وتقاربها، الذی أوحی بنوع من القلق وعدم الاستقرار فی واعیة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صحبه صخب قوی أفصح عنه صوتا الصفیر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 والصاد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فالسین صوت صامت مهموس لثوی رخو</w:t>
      </w:r>
      <w:r>
        <w:rPr>
          <w:rStyle w:val="FootnoteAnchor"/>
          <w:rtl w:val="true"/>
        </w:rPr>
        <w:footnoteReference w:id="375"/>
      </w:r>
      <w:r>
        <w:rPr>
          <w:rFonts w:ascii="IRNazanin" w:hAnsi="IRNazanin" w:eastAsia="IRNazanin"/>
          <w:color w:val="111111"/>
          <w:sz w:val="28"/>
          <w:sz w:val="28"/>
          <w:szCs w:val="28"/>
          <w:rtl w:val="true"/>
          <w:lang w:bidi="fa-IR"/>
        </w:rPr>
        <w:t>، یصلح للتعبیر عن أفکار الانفعالات والحزن القوی والحسرة اللاذعة</w:t>
      </w:r>
      <w:r>
        <w:rPr>
          <w:rStyle w:val="FootnoteAnchor"/>
          <w:rtl w:val="true"/>
        </w:rPr>
        <w:footnoteReference w:id="376"/>
      </w:r>
      <w:r>
        <w:rPr>
          <w:rFonts w:ascii="IRNazanin" w:hAnsi="IRNazanin" w:eastAsia="IRNazanin"/>
          <w:color w:val="111111"/>
          <w:sz w:val="28"/>
          <w:sz w:val="28"/>
          <w:szCs w:val="28"/>
          <w:rtl w:val="true"/>
          <w:lang w:bidi="fa-IR"/>
        </w:rPr>
        <w:t xml:space="preserve">، وأنَّه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لمحاکاة الأشیاء المتحرکة وما یصدر عنها من أصوات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 وهذا ما یناسب حال المستصرخ الحزین، کما أنَّ لصخب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إیحاءً بذلک الصراخ المدوّی، ثمّ إنّ هذه اللفظة قد احتوت علی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یمتلکه من خاصیّة الانفجار والهمس</w:t>
      </w:r>
      <w:r>
        <w:rPr>
          <w:rStyle w:val="FootnoteAnchor"/>
          <w:rtl w:val="true"/>
        </w:rPr>
        <w:footnoteReference w:id="378"/>
      </w:r>
      <w:r>
        <w:rPr>
          <w:rFonts w:ascii="IRNazanin" w:hAnsi="IRNazanin" w:eastAsia="IRNazanin"/>
          <w:color w:val="111111"/>
          <w:sz w:val="28"/>
          <w:sz w:val="28"/>
          <w:szCs w:val="28"/>
          <w:rtl w:val="true"/>
          <w:lang w:bidi="fa-IR"/>
        </w:rPr>
        <w:t xml:space="preserve">، لیدلَّ علی ذلک الاضطراب الصوتی فی ذلک الصراخ، وکان 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فیها من التکریر</w:t>
      </w:r>
      <w:r>
        <w:rPr>
          <w:rStyle w:val="FootnoteAnchor"/>
          <w:rtl w:val="true"/>
        </w:rPr>
        <w:footnoteReference w:id="379"/>
      </w:r>
      <w:r>
        <w:rPr>
          <w:rFonts w:ascii="IRNazanin" w:hAnsi="IRNazanin" w:eastAsia="IRNazanin"/>
          <w:color w:val="111111"/>
          <w:sz w:val="28"/>
          <w:sz w:val="28"/>
          <w:szCs w:val="28"/>
          <w:rtl w:val="true"/>
          <w:lang w:bidi="fa-IR"/>
        </w:rPr>
        <w:t xml:space="preserve">أوفق لتکرار ذلک الصراخ والندب، والملاحظ فی هذه اللفظة المؤلفة من 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 والتاء، والصاد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 والخاء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هذه الأصوات کلّها مهموسة ما عدا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المجهورة، ممَّا یُضفی علی هذه اللفظة نوعاً من الجهد العضلی الذی یتطلبه النطق بها، وقد دلَّ استقراء الدکتور إبراهیم أنیس علی أنَّ طبیعة المهموس من الأصوات تتمیّز بالجهد؛ لأنّ الأحرف المهموسة مجهدة للنفس، فإذا کثرت فی السیاق تضاعف ذلک الجهد</w:t>
      </w:r>
      <w:r>
        <w:rPr>
          <w:rStyle w:val="FootnoteAnchor"/>
          <w:rtl w:val="true"/>
        </w:rPr>
        <w:footnoteReference w:id="380"/>
      </w:r>
      <w:r>
        <w:rPr>
          <w:rFonts w:ascii="IRNazanin" w:hAnsi="IRNazanin" w:eastAsia="IRNazanin"/>
          <w:color w:val="111111"/>
          <w:sz w:val="28"/>
          <w:sz w:val="28"/>
          <w:szCs w:val="28"/>
          <w:rtl w:val="true"/>
          <w:lang w:bidi="fa-IR"/>
        </w:rPr>
        <w:t>، وهذا ما یتناسب والدلالة الإیحائیة لتلک اللفظة التی اتسمت بنوع من الثقل والجهد مع حال ذلک المستصرخ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ونجد المحاکاة فی إیحاء الدلالة الصوتیة للحدث أیضاً فی خُطبةِ المختار الثقفی، حین سار إلیه مصعب بن الزبیر،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الکوفةِ، یا أهلَ الدینِ، وأعْوانَ الحقِّ، وأنْصارَ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فُرَّارَکُم الذین بَغَوا علیکم أتوا أشْبَاهَهُمْ مِنَ الفاسِقِین فاستغوُوهم علیکم لِیُمْصَحَ الحقّ، ویَنْتَعِشَ الباطل، وَیُقْتَلُ أولیاءُ الله، والله لو تَهْلِکُونَ ما عُبِدَ الله فی الأرض</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فنجد فی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جاءت إیحاءاتها الدلالیة للأصوات محاکیة للحدث ودالة علیه ضمن سیاقها العام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دلَّل بها المختار علی حال المنهزمین من أهل الکوفة، الذین التحقوا بمصعب بن الزبیر مختزلاً کلَّ معانی الغدر والانهزام، فقد عمد إلی اختیار هذه اللفظة من دون سواها، لما احتوته من أصوات شدیدة یتصدَّرها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یوصف بأنَّه صوت متکرّر</w:t>
      </w:r>
      <w:r>
        <w:rPr>
          <w:rStyle w:val="FootnoteAnchor"/>
          <w:rtl w:val="true"/>
        </w:rPr>
        <w:footnoteReference w:id="382"/>
      </w:r>
      <w:r>
        <w:rPr>
          <w:rFonts w:ascii="IRNazanin" w:hAnsi="IRNazanin" w:eastAsia="IRNazanin"/>
          <w:color w:val="111111"/>
          <w:sz w:val="28"/>
          <w:sz w:val="28"/>
          <w:szCs w:val="28"/>
          <w:rtl w:val="true"/>
          <w:lang w:bidi="fa-IR"/>
        </w:rPr>
        <w:t>یتمُّ نطقه بضرب اللسان باللثة مرتین أو ثلاثا</w:t>
      </w:r>
      <w:r>
        <w:rPr>
          <w:rStyle w:val="FootnoteAnchor"/>
          <w:rtl w:val="true"/>
        </w:rPr>
        <w:footnoteReference w:id="383"/>
      </w:r>
      <w:r>
        <w:rPr>
          <w:rFonts w:ascii="IRNazanin" w:hAnsi="IRNazanin" w:eastAsia="IRNazanin"/>
          <w:color w:val="111111"/>
          <w:sz w:val="28"/>
          <w:sz w:val="28"/>
          <w:szCs w:val="28"/>
          <w:rtl w:val="true"/>
          <w:lang w:bidi="fa-IR"/>
        </w:rPr>
        <w:t xml:space="preserve">، فضلاً عن تردُّد هذا الصوت ثلاث مرّات لیتعاضد مع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محاکیاً الحدث، وهو </w:t>
      </w:r>
    </w:p>
    <w:p>
      <w:pPr>
        <w:pStyle w:val="BookText"/>
        <w:rPr/>
      </w:pPr>
      <w:r>
        <w:rPr>
          <w:rFonts w:ascii="IRNazanin" w:hAnsi="IRNazanin" w:eastAsia="IRNazanin"/>
          <w:color w:val="111111"/>
          <w:sz w:val="28"/>
          <w:sz w:val="28"/>
          <w:szCs w:val="28"/>
          <w:rtl w:val="true"/>
          <w:lang w:bidi="fa-IR"/>
        </w:rPr>
        <w:t xml:space="preserve">الفِرَار؛ لأنَّ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الکم أفاد تکرار الفعل، وإحداث حرکة فی سیاقه العام، کما کان لصوت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إیحائیة علی طول مدّة الفرار ودوامه؛ لأنَّ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من بین سائر حروف المدّ فی شدَّة امتداده، فضلاً عن جهارته</w:t>
      </w:r>
      <w:r>
        <w:rPr>
          <w:rStyle w:val="FootnoteAnchor"/>
          <w:rtl w:val="true"/>
        </w:rPr>
        <w:footnoteReference w:id="384"/>
      </w:r>
      <w:r>
        <w:rPr>
          <w:rFonts w:ascii="IRNazanin" w:hAnsi="IRNazanin" w:eastAsia="IRNazanin"/>
          <w:color w:val="111111"/>
          <w:sz w:val="28"/>
          <w:sz w:val="28"/>
          <w:szCs w:val="28"/>
          <w:rtl w:val="true"/>
          <w:lang w:bidi="fa-IR"/>
        </w:rPr>
        <w:t xml:space="preserve">، فجاء منسجماً هو الآخر فی سیاقه مع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لیوحی الصوتان بامتدادهما الدلالی والقصدی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فی حروفها المرتبطة بعضها مع بعض تحمل دلالة إیحائیة للحدث الذی تدلُّ علیه، وهو الانقطاع والذهاب، فتعاضد صوتا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 والحاء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المهموسان </w:t>
      </w:r>
      <w:r>
        <w:rPr>
          <w:rStyle w:val="FootnoteAnchor"/>
          <w:rtl w:val="true"/>
        </w:rPr>
        <w:footnoteReference w:id="385"/>
      </w:r>
      <w:r>
        <w:rPr>
          <w:rFonts w:ascii="IRNazanin" w:hAnsi="IRNazanin" w:eastAsia="IRNazanin"/>
          <w:color w:val="111111"/>
          <w:sz w:val="28"/>
          <w:sz w:val="28"/>
          <w:szCs w:val="28"/>
          <w:rtl w:val="true"/>
          <w:lang w:bidi="fa-IR"/>
        </w:rPr>
        <w:t xml:space="preserve">إیحاءً للدلالة علی سکون الحدث والتکتُّم فی إذهاب الحقّ من الذین یریدون القضاء علی ثورة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یری الحقّ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فی أباطیل ومزاعم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قد تآلفت أصواتها لتحاکی الحدث، وهو القیام والانتشار، فصوت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المهموس الانفجاری</w:t>
      </w:r>
      <w:r>
        <w:rPr>
          <w:rStyle w:val="FootnoteAnchor"/>
          <w:rtl w:val="true"/>
        </w:rPr>
        <w:footnoteReference w:id="386"/>
      </w:r>
      <w:r>
        <w:rPr>
          <w:rFonts w:ascii="IRNazanin" w:hAnsi="IRNazanin" w:eastAsia="IRNazanin"/>
          <w:color w:val="111111"/>
          <w:sz w:val="28"/>
          <w:sz w:val="28"/>
          <w:szCs w:val="28"/>
          <w:rtl w:val="true"/>
          <w:lang w:bidi="fa-IR"/>
        </w:rPr>
        <w:t xml:space="preserve">قد منح اللفظة صفة القوة فی ذلک القیام، کما کان 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المجهور</w:t>
      </w:r>
      <w:r>
        <w:rPr>
          <w:rStyle w:val="FootnoteAnchor"/>
          <w:rtl w:val="true"/>
        </w:rPr>
        <w:footnoteReference w:id="387"/>
      </w:r>
      <w:r>
        <w:rPr>
          <w:rFonts w:ascii="IRNazanin" w:hAnsi="IRNazanin" w:eastAsia="IRNazanin"/>
          <w:color w:val="111111"/>
          <w:sz w:val="28"/>
          <w:sz w:val="28"/>
          <w:szCs w:val="28"/>
          <w:rtl w:val="true"/>
          <w:lang w:bidi="fa-IR"/>
        </w:rPr>
        <w:t xml:space="preserve">الذی یمتاز بجرسه العنیف أثرٌ فی منح اللفظة طابع العنف والشدَّة، وکان 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الرخو المهموس</w:t>
      </w:r>
      <w:r>
        <w:rPr>
          <w:rStyle w:val="FootnoteAnchor"/>
          <w:rtl w:val="true"/>
        </w:rPr>
        <w:footnoteReference w:id="388"/>
      </w:r>
      <w:r>
        <w:rPr>
          <w:rFonts w:ascii="IRNazanin" w:hAnsi="IRNazanin" w:eastAsia="IRNazanin"/>
          <w:color w:val="111111"/>
          <w:sz w:val="28"/>
          <w:sz w:val="28"/>
          <w:szCs w:val="28"/>
          <w:rtl w:val="true"/>
          <w:lang w:bidi="fa-IR"/>
        </w:rPr>
        <w:t>النصیب الأوفی فی الإیحاء الدلالی للقیام والانتشار والحرکة</w:t>
      </w:r>
      <w:r>
        <w:rPr>
          <w:rStyle w:val="FootnoteAnchor"/>
          <w:rtl w:val="true"/>
        </w:rPr>
        <w:footnoteReference w:id="389"/>
      </w:r>
      <w:r>
        <w:rPr>
          <w:rFonts w:ascii="IRNazanin" w:hAnsi="IRNazanin" w:eastAsia="IRNazanin"/>
          <w:color w:val="111111"/>
          <w:sz w:val="28"/>
          <w:sz w:val="28"/>
          <w:szCs w:val="28"/>
          <w:rtl w:val="true"/>
          <w:lang w:bidi="fa-IR"/>
        </w:rPr>
        <w:t>، لما یمتلکه من صفات التفشی والانتشار؛ لأنَّ فی نطقه یظهر فیه انتشار اللسان علی الحنک</w:t>
      </w:r>
      <w:r>
        <w:rPr>
          <w:rStyle w:val="FootnoteAnchor"/>
          <w:rtl w:val="true"/>
        </w:rPr>
        <w:footnoteReference w:id="390"/>
      </w:r>
      <w:r>
        <w:rPr>
          <w:rFonts w:ascii="IRNazanin" w:hAnsi="IRNazanin" w:eastAsia="IRNazanin"/>
          <w:color w:val="111111"/>
          <w:sz w:val="28"/>
          <w:sz w:val="28"/>
          <w:szCs w:val="28"/>
          <w:rtl w:val="true"/>
          <w:lang w:bidi="fa-IR"/>
        </w:rPr>
        <w:t xml:space="preserve">، وهذا ما یحاکی انتشار </w:t>
      </w:r>
    </w:p>
    <w:p>
      <w:pPr>
        <w:pStyle w:val="BookText"/>
        <w:rPr/>
      </w:pPr>
      <w:r>
        <w:rPr>
          <w:rFonts w:ascii="IRNazanin" w:hAnsi="IRNazanin" w:eastAsia="IRNazanin"/>
          <w:color w:val="111111"/>
          <w:sz w:val="28"/>
          <w:sz w:val="28"/>
          <w:szCs w:val="28"/>
          <w:rtl w:val="true"/>
          <w:lang w:bidi="fa-IR"/>
        </w:rPr>
        <w:t>الباطل الذی عناه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الإیحاء الدلالی الصوتی فی أصدق تعبیر عن الحدث فی خُطبة محمد بن الحنفیة وهو یرد علی عبد الله بن الزبیر، وکان الأخیر قدا نتقصَ فی خُطبة له من الإمام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قُرَیْش، شَاهَتَ الوجوه، أیُنْتَقِصُ علیٌّ وأنتم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کانَ سَهْمَاً صادِقاً، أحَدَّ مَرامِی الله علی أعدائَه، یَقْتُلُهُم لکُفْرِهم، وَیُهَوّعَهُمْ مآکلَهُم، فَثَقُلَ علیهِم، فَرَمَوهُ بِصِرْفَةِ الأباطیل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تُکُن لنا الأیّامُ دُوْلَةً نَنْثُرْ عِظَامَهُم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قَبُحَتْ</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 فقد ابتدأ بنطقها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صوت رخو مهموس له صفة التفشّی</w:t>
      </w:r>
      <w:r>
        <w:rPr>
          <w:rStyle w:val="FootnoteAnchor"/>
          <w:rtl w:val="true"/>
        </w:rPr>
        <w:footnoteReference w:id="393"/>
      </w:r>
      <w:r>
        <w:rPr>
          <w:rFonts w:ascii="IRNazanin" w:hAnsi="IRNazanin" w:eastAsia="IRNazanin"/>
          <w:color w:val="111111"/>
          <w:sz w:val="28"/>
          <w:sz w:val="28"/>
          <w:szCs w:val="28"/>
          <w:rtl w:val="true"/>
          <w:lang w:bidi="fa-IR"/>
        </w:rPr>
        <w:t>، ویدلّ علی الانتشار والتفشی بغیر نظام</w:t>
      </w:r>
      <w:r>
        <w:rPr>
          <w:rStyle w:val="FootnoteAnchor"/>
          <w:rtl w:val="true"/>
        </w:rPr>
        <w:footnoteReference w:id="394"/>
      </w:r>
      <w:r>
        <w:rPr>
          <w:rFonts w:ascii="IRNazanin" w:hAnsi="IRNazanin" w:eastAsia="IRNazanin"/>
          <w:color w:val="111111"/>
          <w:sz w:val="28"/>
          <w:sz w:val="28"/>
          <w:szCs w:val="28"/>
          <w:rtl w:val="true"/>
          <w:lang w:bidi="fa-IR"/>
        </w:rPr>
        <w:t xml:space="preserve">، وهو فی أوَّل اللفظة یدلُّ علی تمکُّن ذلک القبح وانتشاره فی الوجوه، وکان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المهموس</w:t>
      </w:r>
      <w:r>
        <w:rPr>
          <w:rStyle w:val="FootnoteAnchor"/>
          <w:rtl w:val="true"/>
        </w:rPr>
        <w:footnoteReference w:id="395"/>
      </w:r>
      <w:r>
        <w:rPr>
          <w:rFonts w:ascii="IRNazanin" w:hAnsi="IRNazanin" w:eastAsia="IRNazanin"/>
          <w:color w:val="111111"/>
          <w:sz w:val="28"/>
          <w:sz w:val="28"/>
          <w:szCs w:val="28"/>
          <w:rtl w:val="true"/>
          <w:lang w:bidi="fa-IR"/>
        </w:rPr>
        <w:t>الذی یدلُّ علی التلاشی والذهاب</w:t>
      </w:r>
      <w:r>
        <w:rPr>
          <w:rStyle w:val="FootnoteAnchor"/>
          <w:rtl w:val="true"/>
        </w:rPr>
        <w:footnoteReference w:id="396"/>
      </w:r>
      <w:r>
        <w:rPr>
          <w:rFonts w:ascii="IRNazanin" w:hAnsi="IRNazanin" w:eastAsia="IRNazanin"/>
          <w:color w:val="111111"/>
          <w:sz w:val="28"/>
          <w:sz w:val="28"/>
          <w:szCs w:val="28"/>
          <w:rtl w:val="true"/>
          <w:lang w:bidi="fa-IR"/>
        </w:rPr>
        <w:t>، له أثر فی تمکُّن انتشار القبح فی تلکم الوجوه وإظهاره، وتلاشی معالمها وذهاب حقیقتها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فی أصواتها إنَّما تمثَّل الحدّة والقوَّة التی تناسب حدَّة المرامی وأیُّ مرامٍ؟ إنَّها مرامی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کان أحَدّها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الکلمة تناسب صفته وغلظته علی أعداء الله والمنافقین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ابتدأت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أَشقِّ الأصوات</w:t>
      </w:r>
      <w:r>
        <w:rPr>
          <w:rStyle w:val="FootnoteAnchor"/>
          <w:rtl w:val="true"/>
        </w:rPr>
        <w:footnoteReference w:id="397"/>
      </w:r>
      <w:r>
        <w:rPr>
          <w:rFonts w:ascii="IRNazanin" w:hAnsi="IRNazanin" w:eastAsia="IRNazanin"/>
          <w:color w:val="111111"/>
          <w:sz w:val="28"/>
          <w:sz w:val="28"/>
          <w:szCs w:val="28"/>
          <w:rtl w:val="true"/>
          <w:lang w:bidi="fa-IR"/>
        </w:rPr>
        <w:t>، وتأتی شدَّتها تلک من مخرجها، فهی صوت یخرج من أقصی الحلق کالتهوّع</w:t>
      </w:r>
      <w:r>
        <w:rPr>
          <w:rStyle w:val="FootnoteAnchor"/>
          <w:rtl w:val="true"/>
        </w:rPr>
        <w:footnoteReference w:id="398"/>
      </w:r>
      <w:r>
        <w:rPr>
          <w:rFonts w:ascii="IRNazanin" w:hAnsi="IRNazanin" w:eastAsia="IRNazanin"/>
          <w:color w:val="111111"/>
          <w:sz w:val="28"/>
          <w:sz w:val="28"/>
          <w:szCs w:val="28"/>
          <w:rtl w:val="true"/>
          <w:lang w:bidi="fa-IR"/>
        </w:rPr>
        <w:t>، ولا شکَّ أنَّ فی هذه الشدَّة والمشقَّة فی نطقه ما یوحی بشدَّة المعنی التی تنطوی علیه هذه اللفظة، ویطالعنا بعد الهمزة صوت الحاء الحلقی المهموس</w:t>
      </w:r>
      <w:r>
        <w:rPr>
          <w:rStyle w:val="FootnoteAnchor"/>
          <w:rtl w:val="true"/>
        </w:rPr>
        <w:footnoteReference w:id="399"/>
      </w:r>
      <w:r>
        <w:rPr>
          <w:rFonts w:ascii="IRNazanin" w:hAnsi="IRNazanin" w:eastAsia="IRNazanin"/>
          <w:color w:val="111111"/>
          <w:sz w:val="28"/>
          <w:sz w:val="28"/>
          <w:szCs w:val="28"/>
          <w:rtl w:val="true"/>
          <w:lang w:bidi="fa-IR"/>
        </w:rPr>
        <w:t>، الذی یمثّل الحدَّة فی الحدث نتیجة نطقه الحاد</w:t>
      </w:r>
      <w:r>
        <w:rPr>
          <w:rStyle w:val="FootnoteAnchor"/>
          <w:rtl w:val="true"/>
        </w:rPr>
        <w:footnoteReference w:id="400"/>
      </w:r>
      <w:r>
        <w:rPr>
          <w:rFonts w:ascii="IRNazanin" w:hAnsi="IRNazanin" w:eastAsia="IRNazanin"/>
          <w:color w:val="111111"/>
          <w:sz w:val="28"/>
          <w:sz w:val="28"/>
          <w:szCs w:val="28"/>
          <w:rtl w:val="true"/>
          <w:lang w:bidi="fa-IR"/>
        </w:rPr>
        <w:t>، وقد جاء بعد هذا الصوت صوت انفجاری مجهور</w:t>
      </w:r>
      <w:r>
        <w:rPr>
          <w:rStyle w:val="FootnoteAnchor"/>
          <w:rtl w:val="true"/>
        </w:rPr>
        <w:footnoteReference w:id="401"/>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الصوت إیحاء بالتصلُّب، فهو صوت المقاومة والشدَّة</w:t>
      </w:r>
      <w:r>
        <w:rPr>
          <w:rStyle w:val="FootnoteAnchor"/>
          <w:rtl w:val="true"/>
        </w:rPr>
        <w:footnoteReference w:id="402"/>
      </w:r>
      <w:r>
        <w:rPr>
          <w:rFonts w:ascii="IRNazanin" w:hAnsi="IRNazanin" w:eastAsia="IRNazanin"/>
          <w:color w:val="111111"/>
          <w:sz w:val="28"/>
          <w:sz w:val="28"/>
          <w:szCs w:val="28"/>
          <w:rtl w:val="true"/>
          <w:lang w:bidi="fa-IR"/>
        </w:rPr>
        <w:t>، جاء لیوحی بهذه الحدّة التی یمتلکها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أحدَّ مرامی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أعدائه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حاکت بأصواتها عملیة التقیّؤ للأکل؛ لأنَّ فیها حرفین من حروف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 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فبمخرجهما هذا من الحلق قد حاکیا فعل القیء، وهو مندفع من الجوف والحلق إلی الخارج، وهذا واضحٌ من خلال التلفُّظ بهذا المقطع المتکوّن من اجتماع هذین الحرفین، ولولا هذا الفصل الذی وقع بینهما بصوت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اللفظة، ثقیلة نابیة، وذلک بسبب التقارب المخرجی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اجتماعهما مدعاة للتنافر والاستکراه النطقی، وقد ذکر ابن سنان الخفاجی أنَّ العرب یقلُّ تألیفهم بحروف الحلق من غیر فصل بینها</w:t>
      </w:r>
      <w:r>
        <w:rPr>
          <w:rStyle w:val="FootnoteAnchor"/>
          <w:rtl w:val="true"/>
        </w:rPr>
        <w:footnoteReference w:id="403"/>
      </w:r>
      <w:r>
        <w:rPr>
          <w:rFonts w:ascii="IRNazanin" w:hAnsi="IRNazanin" w:eastAsia="IRNazanin"/>
          <w:color w:val="111111"/>
          <w:sz w:val="28"/>
          <w:sz w:val="28"/>
          <w:szCs w:val="28"/>
          <w:rtl w:val="true"/>
          <w:lang w:bidi="fa-IR"/>
        </w:rPr>
        <w:t xml:space="preserve">، وقد جاء الشدید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الفعل لیدلّ علی کثرة التهوّع الذی کان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یسومهم به؛ لأنَّهم لم ینفکّوا عن أکل الحرام بغیر وجه حق</w:t>
      </w:r>
      <w:r>
        <w:rPr>
          <w:rFonts w:eastAsia="IRNazanin" w:cs="IRNazanin"/>
          <w:color w:val="111111"/>
          <w:sz w:val="28"/>
          <w:szCs w:val="28"/>
          <w:rtl w:val="true"/>
          <w:lang w:bidi="fa-IR"/>
        </w:rPr>
        <w:t xml:space="preserve">. </w:t>
      </w:r>
      <w:bookmarkStart w:id="183" w:name="pg5013_35341"/>
    </w:p>
    <w:p>
      <w:pPr>
        <w:pStyle w:val="BookText"/>
        <w:rPr/>
      </w:pPr>
      <w:bookmarkEnd w:id="183"/>
      <w:r>
        <w:rPr>
          <w:rFonts w:ascii="IRNazanin" w:hAnsi="IRNazanin" w:eastAsia="IRNazanin"/>
          <w:color w:val="111111"/>
          <w:sz w:val="28"/>
          <w:sz w:val="28"/>
          <w:szCs w:val="28"/>
          <w:rtl w:val="true"/>
          <w:lang w:bidi="fa-IR"/>
        </w:rPr>
        <w:t xml:space="preserve">وأمّا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دلَّ صوتا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الثاء والراء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الإیحاء الدلالی لعملیة نثر العظام بصورة مکثفة ومتکررة، إذْ أوحی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الوفرة والغزارة فی الفعل</w:t>
      </w:r>
      <w:r>
        <w:rPr>
          <w:rStyle w:val="FootnoteAnchor"/>
          <w:rtl w:val="true"/>
        </w:rPr>
        <w:footnoteReference w:id="404"/>
      </w:r>
      <w:r>
        <w:rPr>
          <w:rFonts w:ascii="IRNazanin" w:hAnsi="IRNazanin" w:eastAsia="IRNazanin"/>
          <w:color w:val="111111"/>
          <w:sz w:val="28"/>
          <w:sz w:val="28"/>
          <w:szCs w:val="28"/>
          <w:rtl w:val="true"/>
          <w:lang w:bidi="fa-IR"/>
        </w:rPr>
        <w:t xml:space="preserve">علی وفرة هذا النثر وغزارته،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متساوقاً مع هذا الصوت فی دلالة التکریر بالفعل؛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صفة التکرار، فهو صوت مکرَّر </w:t>
      </w:r>
      <w:r>
        <w:rPr>
          <w:rStyle w:val="FootnoteAnchor"/>
          <w:rtl w:val="true"/>
        </w:rPr>
        <w:footnoteReference w:id="405"/>
      </w:r>
      <w:r>
        <w:rPr>
          <w:rFonts w:ascii="IRNazanin" w:hAnsi="IRNazanin" w:eastAsia="IRNazanin"/>
          <w:color w:val="111111"/>
          <w:sz w:val="28"/>
          <w:sz w:val="28"/>
          <w:szCs w:val="28"/>
          <w:rtl w:val="true"/>
          <w:lang w:bidi="fa-IR"/>
        </w:rPr>
        <w:t>، فهو یُحاکی المرَّات المتتابعة والمتزایدة فی عملیة نثر العظام، وهذا الوصف یلائم الغرض التی جاءت من أجله هذه اللفظة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علمنا أنَّ الأُسلوب إنَّما هو اختیار أو انتقاء یقوم به المنش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 لسمات لغویة معیّنة لغرض التعبیر عن موقف معین</w:t>
      </w:r>
      <w:r>
        <w:rPr>
          <w:rStyle w:val="FootnoteAnchor"/>
          <w:rtl w:val="true"/>
        </w:rPr>
        <w:footnoteReference w:id="406"/>
      </w:r>
      <w:r>
        <w:rPr>
          <w:rFonts w:ascii="IRNazanin" w:hAnsi="IRNazanin" w:eastAsia="IRNazanin"/>
          <w:color w:val="111111"/>
          <w:sz w:val="28"/>
          <w:sz w:val="28"/>
          <w:szCs w:val="28"/>
          <w:rtl w:val="true"/>
          <w:lang w:bidi="fa-IR"/>
        </w:rPr>
        <w:t>، فإنَّ الانتقاءات العالیة لأصوات بعینها تُعدُّ إجراءً أُسلوبیاً من الطراز الأوَّل، وعندها تکون السِّمة الأُسلوبیة فی اختیار هذه الألفاظ التی تحتوی هذه الأصوات واضحة وبیّنة من دون سواها فی هذه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یتبدَّی لنا التأثیر الأُسلوبی الصوتی، الذی جاء من خلال استعمال مخارج الأصوات وصفاتها، وإدراک المیزة الأُسلوبیة المترتّبة لتلک المخارج والصفات، ودلالتها السیاقیة علی المعنی الذی وضعت له، إذ إنَّ الحرکات والأشیاء المحسوسة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متجسّدة فی الأصوات اللغویة وسیاقاتها اللفظیة المختلفة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507723_774463916"/>
      <w:bookmarkStart w:id="185" w:name="_Toc63"/>
      <w:bookmarkEnd w:id="184"/>
      <w:r>
        <w:rPr>
          <w:rtl w:val="true"/>
        </w:rPr>
        <w:t>ثانیاً</w:t>
      </w:r>
      <w:r>
        <w:rPr>
          <w:rtl w:val="true"/>
        </w:rPr>
        <w:t xml:space="preserve">: </w:t>
      </w:r>
      <w:r>
        <w:rPr>
          <w:rtl w:val="true"/>
        </w:rPr>
        <w:t>دلالة الأصوات المتکرِّرة فی السیاق</w:t>
      </w:r>
      <w:bookmarkEnd w:id="185"/>
    </w:p>
    <w:p>
      <w:pPr>
        <w:pStyle w:val="Heading5"/>
        <w:numPr>
          <w:ilvl w:val="4"/>
          <w:numId w:val="1"/>
        </w:numPr>
        <w:rPr/>
      </w:pPr>
      <w:bookmarkStart w:id="186" w:name="__RefHeading___Toc507725_774463916"/>
      <w:bookmarkStart w:id="187" w:name="_Toc64"/>
      <w:bookmarkEnd w:id="186"/>
      <w:r>
        <w:rPr>
          <w:rtl w:val="true"/>
        </w:rPr>
        <w:t>اشارة</w:t>
      </w:r>
      <w:bookmarkEnd w:id="1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تتکرر بعض الأصوات فی الکلام لتوحی بالحدث ضمن السیاق العام إلی جانب الإیقاع الصوتی، إذ یتمثل التکرار فی عدّة مستویات،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فثمة تکرار علی المستوی </w:t>
      </w:r>
      <w:bookmarkStart w:id="188" w:name="pg5013_35342"/>
    </w:p>
    <w:p>
      <w:pPr>
        <w:pStyle w:val="BookText"/>
        <w:rPr/>
      </w:pPr>
      <w:bookmarkEnd w:id="188"/>
      <w:r>
        <w:rPr>
          <w:rFonts w:ascii="IRNazanin" w:hAnsi="IRNazanin" w:eastAsia="IRNazanin"/>
          <w:color w:val="111111"/>
          <w:sz w:val="28"/>
          <w:sz w:val="28"/>
          <w:szCs w:val="28"/>
          <w:rtl w:val="true"/>
          <w:lang w:bidi="fa-IR"/>
        </w:rPr>
        <w:t>الفونیمی، ویُضفی هذا التکرار بُعداً نغمیاً یُعدُّ مکوناً تتضمنه العناصر اللسانیة؛ الأمر الذی یُفضی إلی اکتساء هذه العناصر إیقاعاً خاصاً هو مکون ذاتی فی اللغة ینبثق من طبیعة الفونیمات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یتمثل التکرار الفونیمی بما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الرمزیة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المحاکاة الصوتیة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تتأسس علی علاقة بین البنیة الصوتیة للکلمة أو مجموعة من الفونیمات بصوت معین تحاکیه البنیة محاکاة مباشرة أو غیر مباشرة</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فالمحاکاة الصوتیة تکمن فی تکرار الأصوات فی کلمةٍ واحدةٍ أو عدَّة کلمات ضمن سیاقها التی ترد فیها، فیؤدی إلی خلق جوٍّ مناسب ینسجم مع الحدث المراد التعبیر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ظاهرة تکرار الصوت وإیحاءه بالحدث فی کثیر من خُطب ورسائل ثورة التوّابین وإمارة المختار الثقفی، وعلی النحو الآتی</w:t>
      </w:r>
      <w:r>
        <w:rPr>
          <w:rFonts w:eastAsia="IRNazanin" w:cs="IRNazanin"/>
          <w:color w:val="111111"/>
          <w:sz w:val="28"/>
          <w:szCs w:val="28"/>
          <w:rtl w:val="true"/>
          <w:lang w:bidi="fa-IR"/>
        </w:rPr>
        <w:t>:</w:t>
      </w:r>
    </w:p>
    <w:p>
      <w:pPr>
        <w:pStyle w:val="Heading5"/>
        <w:numPr>
          <w:ilvl w:val="4"/>
          <w:numId w:val="1"/>
        </w:numPr>
        <w:rPr/>
      </w:pPr>
      <w:bookmarkStart w:id="189" w:name="__RefHeading___Toc507727_774463916"/>
      <w:bookmarkStart w:id="190" w:name="_Toc65"/>
      <w:bookmarkEnd w:id="189"/>
      <w:r>
        <w:rPr/>
        <w:t>‌</w:t>
      </w:r>
      <w:r>
        <w:rPr/>
        <w:t>1</w:t>
      </w:r>
      <w:r>
        <w:rPr>
          <w:rtl w:val="true"/>
        </w:rPr>
        <w:t xml:space="preserve">- </w:t>
      </w:r>
      <w:r>
        <w:rPr>
          <w:rtl w:val="true"/>
        </w:rPr>
        <w:t>تکرار الأصوات الشدیدة</w:t>
      </w:r>
      <w:bookmarkEnd w:id="190"/>
    </w:p>
    <w:p>
      <w:pPr>
        <w:pStyle w:val="BookText"/>
        <w:rPr/>
      </w:pPr>
      <w:r>
        <w:rPr>
          <w:rFonts w:ascii="IRNazanin" w:hAnsi="IRNazanin" w:eastAsia="IRNazanin"/>
          <w:color w:val="111111"/>
          <w:sz w:val="28"/>
          <w:sz w:val="28"/>
          <w:szCs w:val="28"/>
          <w:rtl w:val="true"/>
          <w:lang w:bidi="fa-IR"/>
        </w:rPr>
        <w:t xml:space="preserve">عرّف سیبویه الصوت الشدید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یمنع الصوت أن یجری فیه</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وأطلق علیه المُحدَثون تسمیة الصوت الانفجاری</w:t>
      </w:r>
      <w:r>
        <w:rPr>
          <w:rStyle w:val="FootnoteAnchor"/>
          <w:rtl w:val="true"/>
        </w:rPr>
        <w:footnoteReference w:id="410"/>
      </w:r>
      <w:r>
        <w:rPr>
          <w:rFonts w:ascii="IRNazanin" w:hAnsi="IRNazanin" w:eastAsia="IRNazanin"/>
          <w:color w:val="111111"/>
          <w:sz w:val="28"/>
          <w:sz w:val="28"/>
          <w:szCs w:val="28"/>
          <w:rtl w:val="true"/>
          <w:lang w:bidi="fa-IR"/>
        </w:rPr>
        <w:t>، وذلک لانضغاط الهواء وانحباسه عند الموضع الذی یلتقی فیه عضوا النُّطق</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تکررت الأصوات الشدیدة کثیراً فی نصوص الحِقبتین؛ نظراً لما کانت علیه ظروف الثورة والقتال، إذ إنَّ تکرار الأصوات الشدیدة فی الکلام یؤدی إلی خلق جوٍّ مناسب یُوحی بالشدّة والعنف، وهو ما ینسجم مع الحال التی یکون المنشئ فی صددها، ونجد ذلک ملحوظاً فی تکرار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عبد الله بن </w:t>
      </w:r>
    </w:p>
    <w:p>
      <w:pPr>
        <w:pStyle w:val="BookText"/>
        <w:rPr/>
      </w:pPr>
      <w:r>
        <w:rPr>
          <w:rFonts w:ascii="Amiri" w:hAnsi="Amiri" w:eastAsia="Amiri" w:cs="Amiri"/>
          <w:color w:val="111111"/>
          <w:sz w:val="28"/>
          <w:sz w:val="28"/>
          <w:szCs w:val="28"/>
          <w:rtl w:val="true"/>
          <w:lang w:bidi="ar-SA"/>
        </w:rPr>
        <w:t>یزید حین علم بعزیمة التوّابین علی الخروج،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والله دُلْلّتُ علی أماکنهم، وأُمِرْتُ بأخذهم، وقِیْلَ، ابدَأهُم قَبْلَ أنْ یبدؤوک، فأبیتُ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قاتلونی قاتَلْتُهُم، وإنْ تَرکونی لَمْ أطْلُبْهُم، وعلامَ یقاتلونی؟ فو الله ما أنا قتلتُ حسیناً، ولا أنا ممَّن قاتله، ولَقَدْ أُصِبْتُ بِمقْتَلِهِ رَحْمَةُ الله علیه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تحقَّق التکرار هنا بصفته بُنیة أُسلوبیة عن طریق هیمنة هذین الصوتین، فقد تکرَّر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عشرة مرّة، وهو صوت شدید</w:t>
      </w:r>
      <w:r>
        <w:rPr>
          <w:rStyle w:val="FootnoteAnchor"/>
          <w:rtl w:val="true"/>
        </w:rPr>
        <w:footnoteReference w:id="413"/>
      </w:r>
      <w:r>
        <w:rPr>
          <w:rFonts w:ascii="IRNazanin" w:hAnsi="IRNazanin" w:eastAsia="IRNazanin"/>
          <w:color w:val="111111"/>
          <w:sz w:val="28"/>
          <w:sz w:val="28"/>
          <w:szCs w:val="28"/>
          <w:rtl w:val="true"/>
          <w:lang w:bidi="fa-IR"/>
        </w:rPr>
        <w:t xml:space="preserve">، وقد تکرَّر إلی جانب هذا الصوت الشدید صوت شدید آخر، هو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تکرَّر إحدی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مرّة، وصوت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الأصوات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تستطیع الوقوف علیها إلّا بصوت؛ وذلک لشدَّة الحَفْزِ والضَّغْط</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علیه، ولتبیان الکلمات التی ورد فیها الصوتان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وبتطبیق المنهج الإحصائی نلحظ هذا الجدول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الصوت</w:t>
      </w:r>
    </w:p>
    <w:p>
      <w:pPr>
        <w:pStyle w:val="BookText"/>
        <w:rPr/>
      </w:pPr>
      <w:r>
        <w:rPr>
          <w:rFonts w:ascii="IRNazanin" w:hAnsi="IRNazanin" w:eastAsia="IRNazanin"/>
          <w:color w:val="111111"/>
          <w:sz w:val="28"/>
          <w:sz w:val="28"/>
          <w:szCs w:val="28"/>
          <w:rtl w:val="true"/>
          <w:lang w:bidi="fa-IR"/>
        </w:rPr>
        <w:t>عدد مرّات التکرار مواضع التکرار</w:t>
      </w:r>
    </w:p>
    <w:p>
      <w:pPr>
        <w:pStyle w:val="BookText"/>
        <w:rPr/>
      </w:pPr>
      <w:r>
        <w:rPr>
          <w:rFonts w:ascii="Amiri" w:hAnsi="Amiri" w:eastAsia="Amiri" w:cs="Amiri"/>
          <w:color w:val="111111"/>
          <w:sz w:val="28"/>
          <w:sz w:val="28"/>
          <w:szCs w:val="28"/>
          <w:rtl w:val="true"/>
          <w:lang w:bidi="ar-SA"/>
        </w:rPr>
        <w:t>التاء</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IRNazanin" w:hAnsi="IRNazanin" w:eastAsia="IRNazanin"/>
          <w:color w:val="111111"/>
          <w:sz w:val="28"/>
          <w:sz w:val="28"/>
          <w:szCs w:val="28"/>
          <w:rtl w:val="true"/>
          <w:lang w:bidi="fa-IR"/>
        </w:rPr>
        <w:t>دللت، أمرت، أبیت، فقلتُ، قاتلونی، قاتُلتهم، ترکونی، یقاتلوننی، قتلت،</w:t>
      </w:r>
    </w:p>
    <w:p>
      <w:pPr>
        <w:pStyle w:val="BookText"/>
        <w:rPr/>
      </w:pPr>
      <w:r>
        <w:rPr>
          <w:rFonts w:ascii="Amiri" w:hAnsi="Amiri" w:eastAsia="Amiri" w:cs="Amiri"/>
          <w:color w:val="111111"/>
          <w:sz w:val="28"/>
          <w:sz w:val="28"/>
          <w:szCs w:val="28"/>
          <w:rtl w:val="true"/>
          <w:lang w:bidi="ar-SA"/>
        </w:rPr>
        <w:t>قاتله، أصبتُ، بمقتله،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IRNazanin" w:hAnsi="IRNazanin" w:eastAsia="IRNazanin"/>
          <w:color w:val="111111"/>
          <w:sz w:val="28"/>
          <w:sz w:val="28"/>
          <w:szCs w:val="28"/>
          <w:rtl w:val="true"/>
          <w:lang w:bidi="fa-IR"/>
        </w:rPr>
        <w:t>قد، قیل، قبل، فقلت، قاتلونی، قاتلتهم، یقاتلوننی، قتلت، قاتله، لقد، بمقتله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صفة الشدّة التی تمیَّز بها هذان الصوتان قد أوجدت نغماً مجلجلاً،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بحرکیة ذات طابع شدید الوقع علی مسامع المتلقی، وهی متأتیة من صفتی الجهر والقلقلة اللتین تمیّز بهما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عمقت الدلالة فی الکلام، وأحدثت إیقاعاً قویاً </w:t>
      </w:r>
    </w:p>
    <w:p>
      <w:pPr>
        <w:pStyle w:val="BookText"/>
        <w:rPr/>
      </w:pPr>
      <w:r>
        <w:rPr>
          <w:rFonts w:ascii="IRNazanin" w:hAnsi="IRNazanin" w:eastAsia="IRNazanin"/>
          <w:color w:val="111111"/>
          <w:sz w:val="28"/>
          <w:sz w:val="28"/>
          <w:szCs w:val="28"/>
          <w:rtl w:val="true"/>
          <w:lang w:bidi="fa-IR"/>
        </w:rPr>
        <w:t xml:space="preserve">متعاضداً مع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فأوحیا بالشدّة فی الحدث وقوته، وهذا ما دلَّ علیه السیاق وحال المتکلّم المتصف بالشدَّة والقوَّة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یخفی أَنَّ مادة الصوت هی مظهر الانفعال النفسی، وأَنَّ هذا الانفعال بطبیعته إنّما هو سبب فی تنویع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بلاغة الصوت فی لغة الموسیقی</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وهو ما تمیَّز به هذا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رسالة المختار بن أبی عبید إلی أصحاب ابن صُرَد بعد عودتهم من المعرکة، وکان المختار قد کتبها إلیهم مؤکّداً بالاقتصاص من أعدائهم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لو قَدْ خَرَجْتُ إلیْکُم قَدْ جَرَّدْتُ فیما بینَ المَشْرِقِ والمغرِبِ فی عدوّکُم السَّیف بإذنِ الله، فَجَعَلْتُهُم بإذنِ الله رُکَاماً، وقَتَلْتُهُم فَذّاً وتوأماً، فرحَّب الله بمَنْ قارَبَ مِنْکُمْ واهْتَدی، ولا یُبْعِد الله إلّا مَنْ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وَأبَی، والسلامُ یا أهْلَ الهُدَی</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فنجد فی هذه الرسالة شیوعاً واضحاً للأصوات الشدیدة التی تعاضدت مع السیاق فی إعطاء النص قیمته الصوتیة المتمثلة فی الشدَّة والقرع، ویطالعنا من هذه الأصوات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 والقاف، والدال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الجدول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الصوت الشدید</w:t>
      </w:r>
    </w:p>
    <w:p>
      <w:pPr>
        <w:pStyle w:val="BookText"/>
        <w:rPr/>
      </w:pPr>
      <w:r>
        <w:rPr>
          <w:rFonts w:ascii="IRNazanin" w:hAnsi="IRNazanin" w:eastAsia="IRNazanin"/>
          <w:color w:val="111111"/>
          <w:sz w:val="28"/>
          <w:sz w:val="28"/>
          <w:szCs w:val="28"/>
          <w:rtl w:val="true"/>
          <w:lang w:bidi="fa-IR"/>
        </w:rPr>
        <w:t xml:space="preserve">عدد مرّات التکرار التاء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w:t>
      </w:r>
    </w:p>
    <w:p>
      <w:pPr>
        <w:pStyle w:val="BookText"/>
        <w:rPr/>
      </w:pP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p>
    <w:p>
      <w:pPr>
        <w:pStyle w:val="BookText"/>
        <w:rPr/>
      </w:pPr>
      <w:r>
        <w:rPr>
          <w:rFonts w:ascii="Amiri" w:hAnsi="Amiri" w:eastAsia="Amiri" w:cs="Amiri"/>
          <w:color w:val="111111"/>
          <w:sz w:val="28"/>
          <w:sz w:val="28"/>
          <w:szCs w:val="28"/>
          <w:rtl w:val="true"/>
          <w:lang w:bidi="ar-SA"/>
        </w:rPr>
        <w:t xml:space="preserve">القاف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التوظیف الصوتی الذی یوحی بالحدث، وهو الشدَّة والقرع یناسب الحال التی کان علیها المختار وهو فی صدد التهدید والوعید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اجتماع هذه الأصوات مع تکرارها قد أضفی علی النص إلی جانب الإیحاء الدلالی، إیقاعاً حرکیاً؛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تکرر الحرف فی الکلام علی أبعاد متقاربة، أکسب تکرار صوته ذلک الکلام إیقاعاً مبهجاً، یُدرکه الوجدان السلیم حتی عن طریق العین، فضلاً عن إدراکه السمعی فی الأُذن</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تکراراً 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المختار إلی یزید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لَقیتَ عدوَّکَ فلا تُناظِرْهُم، وإذا أمکنَتْکَ الفُرْصَةُ فلا تؤخّرها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احتجتَ إلی مَدَدٍ فاکتب إلیَّ؛ مع أنَّی مُمِدُّکَ ولو لَمْ تَسْتَمْدِدْ، فإنَّه أشدُّ لعضُدِکَ، وأعزُّ لجندِکَ، وأرْعَبُ لعدوّک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أصوات القلقلة التی جمعت بین الجهر والشدَّة</w:t>
      </w:r>
      <w:r>
        <w:rPr>
          <w:rStyle w:val="FootnoteAnchor"/>
          <w:rtl w:val="true"/>
        </w:rPr>
        <w:footnoteReference w:id="419"/>
      </w:r>
      <w:r>
        <w:rPr>
          <w:rFonts w:ascii="IRNazanin" w:hAnsi="IRNazanin" w:eastAsia="IRNazanin"/>
          <w:color w:val="111111"/>
          <w:sz w:val="28"/>
          <w:sz w:val="28"/>
          <w:szCs w:val="28"/>
          <w:rtl w:val="true"/>
          <w:lang w:bidi="fa-IR"/>
        </w:rPr>
        <w:t>، کان له الأثر الکبیر فی إضفاء الإیقاع الموسیقی الحرکی علی هذا النص، وما کان ذلک التکرار إلّا من خلال صیاغة الکلمات التی تحتوی علی هذا الصوت،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عدّوک، عندی، مدد، ممدّک، تستمدد، أشدُّ، عضدک،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جانب الإیحاء بالانفعال النفسی الذی أدَّاه هذا الحرف، وقد جمع صفات القوَّة فی سیاقه،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فالصیاغة مع مقترباتها لمجموع الکلمات ذات أثر انفعالی شدید، لأنَّ الحروف الإیقاعیة تتفاوت من حیث الوقع علی السمع والنفس بحساب الانتظام والزمن والتناوب، وعندها یتمثَّل الإبداع الحقیقی بانتقائه التلقائی للکلمات سواءً أکان ذلک فی منطقة السطح الصیاغی أو منطقة العمق الدَّلالی</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الذی جاء النص مفعماً بهما</w:t>
      </w:r>
      <w:r>
        <w:rPr>
          <w:rFonts w:eastAsia="IRNazanin" w:cs="IRNazanin"/>
          <w:color w:val="111111"/>
          <w:sz w:val="28"/>
          <w:szCs w:val="28"/>
          <w:rtl w:val="true"/>
          <w:lang w:bidi="fa-IR"/>
        </w:rPr>
        <w:t xml:space="preserve">. </w:t>
      </w:r>
      <w:bookmarkStart w:id="191" w:name="pg5013_35346"/>
    </w:p>
    <w:p>
      <w:pPr>
        <w:pStyle w:val="Heading5"/>
        <w:numPr>
          <w:ilvl w:val="4"/>
          <w:numId w:val="1"/>
        </w:numPr>
        <w:rPr/>
      </w:pPr>
      <w:bookmarkStart w:id="192" w:name="__RefHeading___Toc507729_774463916"/>
      <w:bookmarkStart w:id="193" w:name="_Toc66"/>
      <w:bookmarkEnd w:id="191"/>
      <w:bookmarkEnd w:id="192"/>
      <w:r>
        <w:rPr/>
        <w:t>2</w:t>
      </w:r>
      <w:r>
        <w:rPr>
          <w:rtl w:val="true"/>
        </w:rPr>
        <w:t xml:space="preserve"> - </w:t>
      </w:r>
      <w:r>
        <w:rPr>
          <w:rtl w:val="true"/>
        </w:rPr>
        <w:t>تکرار أصوات المدّ</w:t>
      </w:r>
      <w:bookmarkEnd w:id="193"/>
    </w:p>
    <w:p>
      <w:pPr>
        <w:pStyle w:val="BookText"/>
        <w:rPr/>
      </w:pPr>
      <w:r>
        <w:rPr>
          <w:rFonts w:ascii="IRNazanin" w:hAnsi="IRNazanin" w:eastAsia="IRNazanin"/>
          <w:color w:val="111111"/>
          <w:sz w:val="28"/>
          <w:sz w:val="28"/>
          <w:szCs w:val="28"/>
          <w:rtl w:val="true"/>
          <w:lang w:bidi="fa-IR"/>
        </w:rPr>
        <w:t xml:space="preserve">شاعت أصوات 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مطلقاً، والواو الساکنة المضموم ما قبلها، والیاء الساکنة المکسور ما قبلها</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 ورسائل الحِقبتین شیوعاً یتناسب مع ما توحیه من دلالات فی سیاقها، إذ تتمیَّز أصوات المدّ بقدرتها العالیة فی الإسماع، وذلک متأتٍ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الصفات الصوتیة السمعیة بهذه الأصوات قد نشأت بوجه عام من فکرة عدم الاحتکاک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سَمَحَ لها عدم الاحتکاک مثلاً بأن تحمل طاقة أعلی بکثیر ممَّا تحمله الصوامت التی تفقد کثیراً من طاقتها فی الاحتکاک، فساعدتها قوة الطاقة هذه علی أن تکون أصواتاً ذات قدرة عالیة فی الأسماع</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وهذا یعنی أنَّها أصوات یمکن إطالة التصویت بها، وأنَّها أصوات ذات قوَّة إسماعیة عالیة؛ وذلک لمرور الهواء فی أثناء النطق بها بحریة، فلا یعترضها شیء من جهاز النطق عند النطق بها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الخاصیّة الأُسلوبیة والأدائیة لهذه الأصوات، کان لها شیوع واسع فی الکلام، علاوة علی ذلک أنَّ أصوات المدّ الثلاثة تأتلف وتنسجم مع کلّ أصوات العربیة</w:t>
      </w:r>
      <w:r>
        <w:rPr>
          <w:rStyle w:val="FootnoteAnchor"/>
          <w:rtl w:val="true"/>
        </w:rPr>
        <w:footnoteReference w:id="424"/>
      </w:r>
      <w:r>
        <w:rPr>
          <w:rFonts w:ascii="IRNazanin" w:hAnsi="IRNazanin" w:eastAsia="IRNazanin"/>
          <w:color w:val="111111"/>
          <w:sz w:val="28"/>
          <w:sz w:val="28"/>
          <w:szCs w:val="28"/>
          <w:rtl w:val="true"/>
          <w:lang w:bidi="fa-IR"/>
        </w:rPr>
        <w:t>، ولا یخفی ما للأثر الکبیر الذی یُحدثه الانسجام الصوتی علی إظهار المعانی وتوصیلها إلی المتلقی؛ لأنّ الانسجام یُعدُّ من الممهّدات لتوصیل المعانی، وتقریبها إلی ذهن السامع، وهذه میزة أُسلوبیة أُخری تؤدیها هذه الأصوات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جاء فی خُطبةِ سلیمان بن صُرَد الخزاعی شیوع ملحوظ لهذه الصوائت الطویلة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أتَاکم اللهُ بعدوّکُم الذی دأبْتُم فی المسیرِ إلیه آناء اللیل والنَّهار، تُریدُون فیما تُظْهِرُونَ التَّوبة النَّصُوح، ولقاءَ الله مُعذِرین، فقد جاءُوکم بَلْ جِئْتُمُوهم أنتُم فی دارِهِم وحیِّزِهِمِ، فإذا لَقیتُمُوهُم فأصْدُقُوهُم، واصْبِروا إنَّ الله مع الصَّابرین، ولا یولَّیَنّهُم أمرؤٌ دُبُرَهُ إلّا مُتَحَرّفاً لقتالٍ أو مُتَحَیّزاً إلی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مُدْبِراً، ولا تَجْهَزوا علی جَریح، ولا تقتلوا أسیراً مِنْ أهل دَعْوَتَکُم، إلّا أنْ یُقاتلْکُم بَعْدَ أنْ تأسَرُوه، أو یکون مِنْ قَتَلَة إخوانِنا بالطَّف رحمةُ الله عَلَیهِم؛ فإنَّ هذه کانَت سِیرَة أمیرِ المؤمنین علی بن أبی طالب فی أهل هذه الدَّعْوَة</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شاعت أصوات المدّ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الواو،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الخُطبة حتی أسبغت علیها وضوحاً سمعیاً ملحوظاً إلی جانب الانسجام الصوتی فی ألفاظها، وکانت هذه الأصوات فی الکلمات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صوت المدّ</w:t>
      </w:r>
    </w:p>
    <w:p>
      <w:pPr>
        <w:pStyle w:val="BookText"/>
        <w:rPr/>
      </w:pPr>
      <w:r>
        <w:rPr>
          <w:rFonts w:ascii="Amiri" w:hAnsi="Amiri" w:eastAsia="Amiri" w:cs="Amiri"/>
          <w:color w:val="111111"/>
          <w:sz w:val="28"/>
          <w:sz w:val="28"/>
          <w:szCs w:val="28"/>
          <w:rtl w:val="true"/>
          <w:lang w:bidi="ar-SA"/>
        </w:rPr>
        <w:t>عدد المرّات</w:t>
      </w:r>
    </w:p>
    <w:p>
      <w:pPr>
        <w:pStyle w:val="BookText"/>
        <w:rPr/>
      </w:pP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الواو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 xml:space="preserve">الیاء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نلحظ فی هذه الخُطبة أنَّ صوت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فاق فی حضوره الصوتین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ویمکن تفسیر ذلک بأنَّ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یتمیَّز من بین سائر </w:t>
      </w:r>
    </w:p>
    <w:p>
      <w:pPr>
        <w:pStyle w:val="BookText"/>
        <w:rPr/>
      </w:pPr>
      <w:r>
        <w:rPr>
          <w:rFonts w:ascii="IRNazanin" w:hAnsi="IRNazanin" w:eastAsia="IRNazanin"/>
          <w:color w:val="111111"/>
          <w:sz w:val="28"/>
          <w:sz w:val="28"/>
          <w:szCs w:val="28"/>
          <w:rtl w:val="true"/>
          <w:lang w:bidi="fa-IR"/>
        </w:rPr>
        <w:t xml:space="preserve">أصوات المدّ بکونه أشدَّها امتداداً وأوسعها مخرجاً مقارنة بمخرجی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والیاء</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وهو الصوت الهاوی فی الهواء علی حدِّ تعبیر الخلیل بن أحمد الفراهیدی</w:t>
      </w:r>
      <w:r>
        <w:rPr>
          <w:rStyle w:val="FootnoteAnchor"/>
          <w:rtl w:val="true"/>
        </w:rPr>
        <w:footnoteReference w:id="427"/>
      </w:r>
      <w:r>
        <w:rPr>
          <w:rFonts w:ascii="IRNazanin" w:hAnsi="IRNazanin" w:eastAsia="IRNazanin"/>
          <w:color w:val="111111"/>
          <w:sz w:val="28"/>
          <w:sz w:val="28"/>
          <w:szCs w:val="28"/>
          <w:rtl w:val="true"/>
          <w:lang w:bidi="fa-IR"/>
        </w:rPr>
        <w:t>، فهو فی أعلی مراتب الانطلاق فی أصوات المد</w:t>
      </w:r>
      <w:r>
        <w:rPr>
          <w:rStyle w:val="FootnoteAnchor"/>
          <w:rtl w:val="true"/>
        </w:rPr>
        <w:footnoteReference w:id="428"/>
      </w:r>
      <w:r>
        <w:rPr>
          <w:rFonts w:ascii="IRNazanin" w:hAnsi="IRNazanin" w:eastAsia="IRNazanin"/>
          <w:color w:val="111111"/>
          <w:sz w:val="28"/>
          <w:sz w:val="28"/>
          <w:szCs w:val="28"/>
          <w:rtl w:val="true"/>
          <w:lang w:bidi="fa-IR"/>
        </w:rPr>
        <w:t>ممَّا یزید ذلک فی نسبة وضوحه الصوتی، فیؤدی وظیفته الأُسلوبیة هذه فی الکلام، ولذلک نراه قد دخل فی تألیف معظم ألفاظ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الأمر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صوتی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یأتیان فی المرتبة الثانیة بعده، ولکنّهما أیضاً یشارکانه بخاصیّة المدّ والوضوح الصوتی، علاوة علی خلق الانسجام فی ألفاظ هذه الخُطبة، وإنَّ الإیحاء الدلالی لأصوات المدّ تکمن فی تفخیم المعنی المراد التعبیر عنه والمبالغة فیه؛ لأنَّ مدّ الصوت یعنی منحه زمناً أطول، وهذا ما یناسب طول الحدث المراد توصیله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ونری فی العهدِ الذی قطعه المختار الثقفی علی نفسه فی زیارته لقبر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دخوله الکوفة، فقد احتوی علی أصوات قد أوحت بمعانی التهدید والوعید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سَیّدیْ آلیتُ بِجَدّک المُصْطَفَی، وأبِیْکَ المُرْتَضَی، وأُمِکَ الزَّهْرَاء، وأخِیکَ الحَسَنِ المُجْتَبَی، وَمَنْ قُتِلَ مَعَکَ مِنْ أهْلِ بَیْتِکَ وَشِیْعَتِکَ فی کَرْبلاء، لا أکَلتُ طَیّبَ الطَّعَام، ولا شَرِبْتُ لَذِیذَ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 ولا نِمْتُ علی وطْئ المِهَاد، وَلا خَلَعْتُ عنْ جَسَدِی </w:t>
      </w:r>
    </w:p>
    <w:p>
      <w:pPr>
        <w:pStyle w:val="BookText"/>
        <w:rPr/>
      </w:pPr>
      <w:r>
        <w:rPr>
          <w:rFonts w:ascii="Amiri" w:hAnsi="Amiri" w:eastAsia="Amiri" w:cs="Amiri"/>
          <w:color w:val="111111"/>
          <w:sz w:val="28"/>
          <w:sz w:val="28"/>
          <w:szCs w:val="28"/>
          <w:rtl w:val="true"/>
          <w:lang w:bidi="ar-SA"/>
        </w:rPr>
        <w:t>هذهِ الأبْراد، حَتَّی انْتَقِمُ مِمَّنْ قَتَلَکَ أوْ أُقْتَلُ کَمَا قُتِلْتَ، فَقَبَّحَ الله العَیْشَ بَعْدَک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تکرَّر فی هذا النص صوت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فاق الأصوات الأُخَرَ شیوعاً مؤدّیاً غرضه الأُسلوبی فی الإیحاء والانسجام النطقی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إیحاؤه، فیدلُّ علی طول الحدث الذی سوف یصدر من المنشئ، ألا وهو الانتقام والاقتصاص من الظالمین؛ لأنَّ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یمتاز من بین أصوات المدّ بشدة امتداده</w:t>
      </w:r>
      <w:r>
        <w:rPr>
          <w:rStyle w:val="FootnoteAnchor"/>
          <w:rtl w:val="true"/>
        </w:rPr>
        <w:footnoteReference w:id="431"/>
      </w:r>
      <w:r>
        <w:rPr>
          <w:rFonts w:ascii="Amiri" w:hAnsi="Amiri" w:eastAsia="Amiri" w:cs="Amiri"/>
          <w:color w:val="111111"/>
          <w:sz w:val="28"/>
          <w:sz w:val="28"/>
          <w:szCs w:val="28"/>
          <w:rtl w:val="true"/>
          <w:lang w:bidi="ar-SA"/>
        </w:rPr>
        <w:t xml:space="preserve">، وأنّه من الصوائت المجهورة </w:t>
      </w:r>
      <w:r>
        <w:rPr>
          <w:rStyle w:val="FootnoteAnchor"/>
          <w:rtl w:val="true"/>
        </w:rPr>
        <w:footnoteReference w:id="432"/>
      </w:r>
      <w:r>
        <w:rPr>
          <w:rFonts w:ascii="IRNazanin" w:hAnsi="IRNazanin" w:eastAsia="IRNazanin"/>
          <w:color w:val="111111"/>
          <w:sz w:val="28"/>
          <w:sz w:val="28"/>
          <w:szCs w:val="28"/>
          <w:rtl w:val="true"/>
          <w:lang w:bidi="fa-IR"/>
        </w:rPr>
        <w:t xml:space="preserve">التی تجعل عملیة النطق مقترنة باهتزاز الأوتار الصوتیة، وهی صفة یتطلبها المقام الذی یتکلّم فیه المنشئ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التهدید والتوعید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إیحاءٌ دلالیٌّ بالحدث، کان له أثرٌ بالغٌ فی الانسجام النطقی بین الألفاظ؛ وذلک لأنَّ هذا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کلّ أصوات 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یأتلف مع کلّ الأصوات، فضلاً عن هذا أنّه أخفُّ الأصوات نطقاً علی اللسان</w:t>
      </w:r>
      <w:r>
        <w:rPr>
          <w:rStyle w:val="FootnoteAnchor"/>
          <w:rtl w:val="true"/>
        </w:rPr>
        <w:footnoteReference w:id="433"/>
      </w:r>
      <w:r>
        <w:rPr>
          <w:rFonts w:ascii="IRNazanin" w:hAnsi="IRNazanin" w:eastAsia="IRNazanin"/>
          <w:color w:val="111111"/>
          <w:sz w:val="28"/>
          <w:sz w:val="28"/>
          <w:szCs w:val="28"/>
          <w:rtl w:val="true"/>
          <w:lang w:bidi="fa-IR"/>
        </w:rPr>
        <w:t>، ممَّا جعل النطق فی هذه الألفاظ التی دخل فی بنائها منسجمة متآلفة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لباقی الأصوات التی شارکت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بشدّتها وجهارتها أثرٌ فی الإیحاء الدلالی للحدث، فنجد للفواصل المتوازنة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الطعام ← الشراب ← المهاد ← الأبراد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الفواصل جاء مردوفاً بالسجعات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الباء،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4" w:name="pg5013_35350"/>
    </w:p>
    <w:p>
      <w:pPr>
        <w:pStyle w:val="BookText"/>
        <w:rPr/>
      </w:pPr>
      <w:bookmarkEnd w:id="194"/>
      <w:r>
        <w:rPr>
          <w:rFonts w:ascii="IRNazanin" w:hAnsi="IRNazanin" w:eastAsia="IRNazanin"/>
          <w:color w:val="111111"/>
          <w:sz w:val="28"/>
          <w:sz w:val="28"/>
          <w:szCs w:val="28"/>
          <w:rtl w:val="true"/>
          <w:lang w:bidi="fa-IR"/>
        </w:rPr>
        <w:t>وکلّها أصوات شدیدة مجهورة، فضلاً عن الأصوات الأُخر التی شاعت فی هذا النص، وهکذا تتجمع الألفاظ بأصواتها فی سیاق تصویری رائع بالأصوات الشدیدة والمجهورة والمقلقلة، وکلّها من صفات القوة فی الأصوات، توافقاً مع سیاق النص الذی عبَّر عن عنف المشهد</w:t>
      </w:r>
      <w:r>
        <w:rPr>
          <w:rFonts w:eastAsia="IRNazanin" w:cs="IRNazanin"/>
          <w:color w:val="111111"/>
          <w:sz w:val="28"/>
          <w:szCs w:val="28"/>
          <w:rtl w:val="true"/>
          <w:lang w:bidi="fa-IR"/>
        </w:rPr>
        <w:t>.</w:t>
      </w:r>
    </w:p>
    <w:p>
      <w:pPr>
        <w:pStyle w:val="Heading5"/>
        <w:numPr>
          <w:ilvl w:val="4"/>
          <w:numId w:val="1"/>
        </w:numPr>
        <w:rPr/>
      </w:pPr>
      <w:bookmarkStart w:id="195" w:name="__RefHeading___Toc507731_774463916"/>
      <w:bookmarkStart w:id="196" w:name="_Toc67"/>
      <w:bookmarkEnd w:id="195"/>
      <w:r>
        <w:rPr/>
        <w:t>3</w:t>
      </w:r>
      <w:r>
        <w:rPr>
          <w:rtl w:val="true"/>
        </w:rPr>
        <w:t xml:space="preserve">- </w:t>
      </w:r>
      <w:r>
        <w:rPr>
          <w:rtl w:val="true"/>
        </w:rPr>
        <w:t>تکرار أصوات الذَّلاقة</w:t>
      </w:r>
      <w:bookmarkEnd w:id="196"/>
    </w:p>
    <w:p>
      <w:pPr>
        <w:pStyle w:val="BookText"/>
        <w:rPr/>
      </w:pPr>
      <w:r>
        <w:rPr>
          <w:rFonts w:ascii="IRNazanin" w:hAnsi="IRNazanin" w:eastAsia="IRNazanin"/>
          <w:color w:val="111111"/>
          <w:sz w:val="28"/>
          <w:sz w:val="28"/>
          <w:szCs w:val="28"/>
          <w:rtl w:val="true"/>
          <w:lang w:bidi="fa-IR"/>
        </w:rPr>
        <w:t>تُعرّف الذلاقة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القدرة علی الانطلاق فی الکلام بالعربیة من دون تعثُّر، أو تلعثم، فذلاقة اللسان کما نعلم جودة نطقه وانطلاقه فی أثناء الکلام</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ومصطلح الذلاقة وصف یشترک فیه عدد من أصوات العربیة، یرتبط ارتباطاً وثیقاً بمخارجها، ولذلک علَّل الخلیل بن أحمد الفراهیدی سبب تسمیتها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سُمَّیت هذه الحروف ذلقاً؛ لأنَّ الذَّلاقة فی المنطق إنَّما هی بطرف أسلة اللسان والشفتین وهما مدرجتا هذه الأحرف الستة، منها ثلاثة ذلقیَّة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من ذلق اللسان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غار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وثلاثة شفویة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مخرجها من بین الشفتین خاصّة</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 الذلاقة فی الأصوات اسمٌ یندرج تحته نوعان من الأصوات بحسب مخارجها،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ذلقی والآخر شفوی، وکلَّها تشترک فی صفةٍ واحدةٍ هی سهولة النطق بها، کما أشار إلی ذلک الخلیل وغیره من العلماء</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شاعت هذه الأصوات الذلقیة فی خُطب ورسائل هاتین الحِقبتین شیوعاً یتناسب وأهمیتها فی انسیابیة الکلام من دون تعثُّر أو تلعثم، وانسجاماً مع المعنی الذی </w:t>
      </w:r>
    </w:p>
    <w:p>
      <w:pPr>
        <w:pStyle w:val="BookText"/>
        <w:rPr/>
      </w:pPr>
      <w:r>
        <w:rPr>
          <w:rFonts w:ascii="Amiri" w:hAnsi="Amiri" w:eastAsia="Amiri" w:cs="Amiri"/>
          <w:color w:val="111111"/>
          <w:sz w:val="28"/>
          <w:sz w:val="28"/>
          <w:szCs w:val="28"/>
          <w:rtl w:val="true"/>
          <w:lang w:bidi="ar-SA"/>
        </w:rPr>
        <w:t>توحی به فی سیاقها، فقد جاء فی رسالة عبد الله بن یزید التی بعث بها إلی سلیمان بن صرد یسأله الرجوع عمّا عزم علیه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مِنْ عبدِ اللهِ بن یزیدَ إلی سلیمانَ بن صُرَدْ ومَنْ مَعَهُ مِنَ المُسلمین، سلامٌ عَلیْکم، أمَّا بعدُ، فإنَّ کتابی هذا إلیْکُم کتابُ ناصحٍ ذی إرْعاء، وکَمْ مِنْ ناصحٍ مُسْتَغَشّ، وکَمْ مِنْ غاشّ مُسْتَنْصَحٍ مُحَبّ، إنَّه بلَغَنی أنَّکم تُریدُون المَسیر بالعَدَدِ الیسیرِ إلی الجَمْعِ الکثیر، وإنَّه مَنْ یُرْد أنْ یَنْقُل الجبال عنْ مراتِبِها تَکِلُّ معاوِلُه، ویَنْزَعُ وهوَ مذمُومُ العَقلِ والفِعْل، یا قومَنا لا تُطمِعُوا عدَّوکُم فی أهلِ بلادِکم، فإنَّکم خیارٌ کُلّکُم، ومَتَی ما یُصِبْکُم عدّوکم یعلمُوا أنَّکم أعلامُ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ْرکم فَیُطْمِعهم ذلک فیمَنْ وراءَکم، یا قومنا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إِنْ یَظْهَرُوا عَلَیْکُمْ یَرْجُمُوکُمْ أَوْ یُعِیدُوکُمْ فِی مِلَّتِهِمْ وَلَنْ تُفْلِحُوا إِذًا أَبَدًا </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یا قوم، إنَّ أیدِیْنا وأیدیَکم الیومَ واحدة، وإنَّ عدوَّنا وعدوَّکم واحد، ومَتَی تَجْتَمع کلمتُنا نَظْهَر علی عدوّنا، ومتَی تَخْتَلِف تَهُنْ شوکتُنا علی مَنْ خالَفَنا؛ یا قومنا لا تَسْتَغِشَّوا نُصْحِی، ولا تُخالفوا أمری، واقبِلُوا حینَ یُقْرأ علیْکم کتابی، أقبلَ اللهُ بکُم إلی طاعَتِه، وأدبرَ بکُم عن معصیته، والسلام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فنجد أنَّ الأصوات الذلقیة قد دخلت فی أبنیة معظم هذه الکلمات الواردة فی هذه الرسالة، وأنَّ قلیلاً منها قد خلت من هذه الأصوات، ممَّا جعل الکلام سائغاً ذا خفَّة وانطلاق عالٍ فی أثناء نطقه، ومن ثَمَّ سهَّل عملیة استقبال المعنی المراد توصیله إلی ذهن السامع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وبتطبیق الإحصاء علی هذه الأصوات لاستخراج نسبة الأصوات الذلقیة، نجدها متدرجة فی کثرتها، وحسب الجدول الآتی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الحرف الذلقی</w:t>
      </w:r>
    </w:p>
    <w:p>
      <w:pPr>
        <w:pStyle w:val="BookText"/>
        <w:rPr/>
      </w:pPr>
      <w:r>
        <w:rPr>
          <w:rFonts w:ascii="IRNazanin" w:hAnsi="IRNazanin" w:eastAsia="IRNazanin"/>
          <w:color w:val="111111"/>
          <w:sz w:val="28"/>
          <w:sz w:val="28"/>
          <w:szCs w:val="28"/>
          <w:rtl w:val="true"/>
          <w:lang w:bidi="fa-IR"/>
        </w:rPr>
        <w:t>عدد المرّات التی ورد فیها</w:t>
      </w:r>
    </w:p>
    <w:p>
      <w:pPr>
        <w:pStyle w:val="BookText"/>
        <w:rPr/>
      </w:pPr>
      <w:r>
        <w:rPr>
          <w:rFonts w:ascii="IRNazanin" w:hAnsi="IRNazanin" w:eastAsia="IRNazanin"/>
          <w:color w:val="111111"/>
          <w:sz w:val="28"/>
          <w:sz w:val="28"/>
          <w:szCs w:val="28"/>
          <w:rtl w:val="true"/>
          <w:lang w:bidi="fa-IR"/>
        </w:rPr>
        <w:t>المیم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اللام</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النون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الباء</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الراء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ویکشف لنا هذا الجدول الإحصائی عدد هذه الأصوات التی وردت فی الرسالة، عندها یلحظ أنَّها کانت متدرّجة بحسب شیوعها، فقد بلغت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شیوعاً یفوق الأصوات الأُخری، یلیه فی ذلک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توجیه تفوّق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المقام أُسلوبیاً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المیم صوتاً شفویَّ المخرج؛ فلا یتطلَّب تقطیعه مجهوداً؛ فهو خاضعٌ إلی قانون المجهود الأدنی؛ کما أنَّه یتَّخذ من المفردة التی یَرِدُ فیها موقعاً جمالیاً بوصفه من حروف الذلاقة</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توجیه شیوع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أُسلوبیاً کذلک فی خضوعه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لقانون الجهد الأدنی فی تقطیعه؛ وبحسب اللسانیات فإنَّ التواتر فی اللغة یخضع فی جملة ما یخضع إلی المجهود الذی یبذله المتکلّم فی تقطیع الکلام</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فیشیع فی الکلام؛ لأنَّه علی درجة عالیة من تلطیف وتعدیل ذلک الکلام الذی یرد فیه</w:t>
      </w:r>
      <w:r>
        <w:rPr>
          <w:rStyle w:val="FootnoteAnchor"/>
          <w:rtl w:val="true"/>
        </w:rPr>
        <w:footnoteReference w:id="441"/>
      </w:r>
      <w:r>
        <w:rPr>
          <w:rFonts w:ascii="IRNazanin" w:hAnsi="IRNazanin" w:eastAsia="IRNazanin"/>
          <w:color w:val="111111"/>
          <w:sz w:val="28"/>
          <w:sz w:val="28"/>
          <w:szCs w:val="28"/>
          <w:rtl w:val="true"/>
          <w:lang w:bidi="fa-IR"/>
        </w:rPr>
        <w:t>، وهو صوت مجهور تغلب علیه الصفات الضعیفة فهو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متوسط، مسفل، منفتح</w:t>
      </w:r>
      <w:r>
        <w:rPr>
          <w:rStyle w:val="FootnoteAnchor"/>
          <w:rtl w:val="true"/>
        </w:rPr>
        <w:footnoteReference w:id="442"/>
      </w:r>
      <w:r>
        <w:rPr>
          <w:rFonts w:ascii="IRNazanin" w:hAnsi="IRNazanin" w:eastAsia="IRNazanin"/>
          <w:color w:val="111111"/>
          <w:sz w:val="28"/>
          <w:sz w:val="28"/>
          <w:szCs w:val="28"/>
          <w:rtl w:val="true"/>
          <w:lang w:bidi="fa-IR"/>
        </w:rPr>
        <w:t>، أمَّا بقیة الأصوات، فهی تلی هذه الحروف الثلاثة شیوعاً فی هذه الرسالة بحسب أعدادها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وعموماً فقد عملت الأصوات الذلقیة علی إضفاء طابع الخِفَّة والانسیابیة فی النُّطق دونما تلعثم أو تعثّر، وعندها یتمُّ إیصال المعانی المرادة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رسالة سلیمان بن صُرَد رادَّاً علی کتاب عبد الله بن یزید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للأمیرِ عبدِ الله بنْ یزید، من سلیمان بن صُرَد ومَنْ مَعَهُ مِنَ المؤمنین، سلامٌ علیک، أمَّا بعدُ، فَقَدْ قَرَأنا کتابَکَ وفَهِمْنا ما نَویْتَ، فَنِعْمَ والله الوالی، ونِعْمَ الأمیر، ونِعْمَ أخو العشیرة، أنتَ والله مَن نأمَنْه بالغیبِ، ونَسْتَنْصِحَهُ فی المَشُورةِ، ونَحْمدُهُ علی کلّ حالٍ</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استعمال المرسِل لتکرار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لافتاً للنظر بما یمکن عدَّه ظاهرة أُسلوبیة، فتکرار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والنون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وکلاهما من الأصوات الذلقیة المائعة</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کوَّن إیقاعاً موسیقیاً هادئاً، کما هو موضح فی الجدول الإحصائی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الصوت</w:t>
      </w:r>
    </w:p>
    <w:p>
      <w:pPr>
        <w:pStyle w:val="BookText"/>
        <w:rPr/>
      </w:pPr>
      <w:r>
        <w:rPr>
          <w:rFonts w:ascii="IRNazanin" w:hAnsi="IRNazanin" w:eastAsia="IRNazanin"/>
          <w:color w:val="111111"/>
          <w:sz w:val="28"/>
          <w:sz w:val="28"/>
          <w:szCs w:val="28"/>
          <w:rtl w:val="true"/>
          <w:lang w:bidi="fa-IR"/>
        </w:rPr>
        <w:t>عدد التکرار</w:t>
      </w:r>
    </w:p>
    <w:p>
      <w:pPr>
        <w:pStyle w:val="BookText"/>
        <w:rPr/>
      </w:pPr>
      <w:r>
        <w:rPr>
          <w:rFonts w:ascii="Amiri" w:hAnsi="Amiri" w:eastAsia="Amiri" w:cs="Amiri"/>
          <w:color w:val="111111"/>
          <w:sz w:val="28"/>
          <w:sz w:val="28"/>
          <w:szCs w:val="28"/>
          <w:rtl w:val="true"/>
          <w:lang w:bidi="ar-SA"/>
        </w:rPr>
        <w:t xml:space="preserve">المیم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ذهب بعض الدارسین إلی الاعتقاد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الحروف ارتباطاً بالصَّوت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 والمیم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نراها فی أکثر المفردات اللغویة علی درجةٍ کبیرةٍ من تعدیلِ الصوتِ </w:t>
      </w:r>
    </w:p>
    <w:p>
      <w:pPr>
        <w:pStyle w:val="BookText"/>
        <w:rPr/>
      </w:pPr>
      <w:r>
        <w:rPr>
          <w:rFonts w:ascii="IRNazanin" w:hAnsi="IRNazanin" w:eastAsia="IRNazanin"/>
          <w:color w:val="111111"/>
          <w:sz w:val="28"/>
          <w:sz w:val="28"/>
          <w:szCs w:val="28"/>
          <w:rtl w:val="true"/>
          <w:lang w:bidi="fa-IR"/>
        </w:rPr>
        <w:t>وتلطیفه</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شفوی المخرج، وهو من الصوامت الغنّاء</w:t>
      </w:r>
      <w:r>
        <w:rPr>
          <w:rStyle w:val="FootnoteAnchor"/>
          <w:rtl w:val="true"/>
        </w:rPr>
        <w:footnoteReference w:id="446"/>
      </w:r>
      <w:r>
        <w:rPr>
          <w:rFonts w:ascii="IRNazanin" w:hAnsi="IRNazanin" w:eastAsia="IRNazanin"/>
          <w:color w:val="111111"/>
          <w:sz w:val="28"/>
          <w:sz w:val="28"/>
          <w:szCs w:val="28"/>
          <w:rtl w:val="true"/>
          <w:lang w:bidi="fa-IR"/>
        </w:rPr>
        <w:t xml:space="preserve">، فتعاضدت غنته مع غنة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تحدث من الخیشوم، ونتیجة لتکرار هذین الصوتین تکوَّن الإیقاع الموسیقی الهادئ اللطیف وهو ما یناسب سیاق المتکلّم والمخاطب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المحاکاة أو الإیحاءات الدلالیة للحدث عن طریق أصوات الألفاظ مدعاة للتأثیر فی نفس السامع وجذب تنبّهه، إذ إنَّ أسرع نواحی التأثیر فی المتلقی تعود فی الدرجة الأساس إلی ما یحمله النص من موسیقی تطرب لها الآذان، وتهشُّ لها النفوس من خلال ما تنطوی علیه ألفاظه من أصوات لها إیحاء بالمعنی ومحاکاة لأحداثه، وهذا ما وجده البحث فی مجال البینة الصوتیة لبعض المفردات فی خُطب ورسائل ثورة التوّابین وإمارة المختار الثقفی، إذ وجده توظیفاً موفَّقاً لألفاظ ذات أصوات لغویة أدَّت المعنی بصفة عامّة، واحتوت علی الإیحاءات الدلالیة التی وفَّرتها تلکم الأصوات بصفاتها، ومخارجها وانسجامها، وهذا کلّه إنَّما کان فی ضوء السیاق العام والاستعانة به</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5013_35356"/>
      <w:bookmarkStart w:id="198" w:name="pg5013_35356"/>
      <w:bookmarkEnd w:id="198"/>
    </w:p>
    <w:p>
      <w:pPr>
        <w:pStyle w:val="Heading2"/>
        <w:numPr>
          <w:ilvl w:val="1"/>
          <w:numId w:val="1"/>
        </w:numPr>
        <w:rPr/>
      </w:pPr>
      <w:bookmarkStart w:id="199" w:name="pg5013_35356"/>
      <w:bookmarkStart w:id="200" w:name="__RefHeading___Toc507733_774463916"/>
      <w:bookmarkStart w:id="201" w:name="_Toc68"/>
      <w:bookmarkEnd w:id="199"/>
      <w:bookmarkEnd w:id="200"/>
      <w:r>
        <w:rPr>
          <w:rtl w:val="true"/>
        </w:rPr>
        <w:t>الفصل الثَّالث</w:t>
      </w:r>
      <w:r>
        <w:rPr>
          <w:rtl w:val="true"/>
        </w:rPr>
        <w:t xml:space="preserve">: </w:t>
      </w:r>
      <w:r>
        <w:rPr>
          <w:rtl w:val="true"/>
        </w:rPr>
        <w:t>المستوی اللَّفظی</w:t>
      </w:r>
      <w:bookmarkEnd w:id="2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507735_774463916"/>
      <w:bookmarkStart w:id="203" w:name="_Toc69"/>
      <w:bookmarkEnd w:id="202"/>
      <w:r>
        <w:rPr>
          <w:rtl w:val="true"/>
        </w:rPr>
        <w:t>اشارة</w:t>
      </w:r>
      <w:bookmarkEnd w:id="2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5013_35358"/>
      <w:bookmarkStart w:id="205" w:name="pg5013_35358"/>
      <w:bookmarkEnd w:id="205"/>
    </w:p>
    <w:p>
      <w:pPr>
        <w:pStyle w:val="Heading3"/>
        <w:numPr>
          <w:ilvl w:val="2"/>
          <w:numId w:val="1"/>
        </w:numPr>
        <w:rPr/>
      </w:pPr>
      <w:bookmarkStart w:id="206" w:name="pg5013_35358"/>
      <w:bookmarkStart w:id="207" w:name="__RefHeading___Toc507737_774463916"/>
      <w:bookmarkStart w:id="208" w:name="_Toc70"/>
      <w:bookmarkEnd w:id="206"/>
      <w:bookmarkEnd w:id="207"/>
      <w:r>
        <w:rPr>
          <w:rtl w:val="true"/>
        </w:rPr>
        <w:t>مدخل</w:t>
      </w:r>
      <w:bookmarkEnd w:id="208"/>
    </w:p>
    <w:p>
      <w:pPr>
        <w:pStyle w:val="BookText"/>
        <w:rPr/>
      </w:pPr>
      <w:r>
        <w:rPr>
          <w:rFonts w:ascii="IRNazanin" w:hAnsi="IRNazanin" w:eastAsia="IRNazanin"/>
          <w:color w:val="111111"/>
          <w:sz w:val="28"/>
          <w:sz w:val="28"/>
          <w:szCs w:val="28"/>
          <w:rtl w:val="true"/>
          <w:lang w:bidi="fa-IR"/>
        </w:rPr>
        <w:t>نتناول فی هذا المستوی دراسة الاختیار والتوظیف الأُسلوبی والقصدی للکلمة من حیث هی صیغة صرفیة، إذ إنَّها تؤدّی فی النثر الفنّی وظیفة مهمَّة، من باب أنَّ لغة النثر تسمو علی لغة الکلام الاعتیادی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لصیغة الکلمة أثراً واضحاً فی تشکیل الفکرة، وتصویرها عند المتلقی، لذلک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إبراز قدرته فی استعمال تلک الصیغة، کی یتسنَّی له التأثیر بوقع المعنی الذی تحمله فی المتلقی، وإنَّ فی هذا التأثیر الذی تؤدّیه الکلمة من خلال توظیفها یکشف لنا مدی القیمة البلاغیة التی تحملها؛ لأنّ فی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مهمَّة فی کلِّ زاویة من زوایا الوجود، ومغزی خاص فی الفن یرتبط بالإمتاع والفائدة</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وحین تنحصر دائرتها فی الأُسلوبیة فإنَّما تتجه علی نحوٍ ما إلی الجمال، وعندها فالأُسلوبیة فی عناصرها کلّها إنَّما تُبْنَی علی الجمالِ، وغایاتها کَشْف أسراره التی تکونت فی الأُسلوب</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ویبقی الاختیار الأُسلوبی للألفاظ محکوماً بإمکانات الحال ومقتضیات المقام، فالمنشئ یمیل إلی اختیار بعض الألفاظ من بین عدَّة بدائل متاحة، لتؤدّی مهمتها الأُسلوبیة التی تنسجم مع ذلک المقام، وهذا الأمر مهمٌّ فی الدراسات الأُسلوبیة؛ لأنَّ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الاختیار إنْ تَمَّ توظیفهُ بطریقة حصیفة یمکن أنْ یزودُنا بمنظور مُثْمِر فی الدراسات الأُسلوبیة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سنتناول دراسة القیمة الجمالیة لصیغة الکلمة، وأثرها الدلالی، ثمَّ طبیعة اختیار المنشئ لها فی ضوء السیاق العام وأسالیب الکلام اللغویَّة؛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للصیغ الصرفیة علاقة حاسمة بأسالیب اللغة، فثمة کلمات ذات صیغ صرفیة معیَّنة تتمتَّع بتعبیریة داخلیة، وطبیعة تختلف فیها عن الکلمات الأُخری</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ترکیزنا علی اللفظة ودراسة الاستعمال الفنّی لها من خلال خصائصها البنائیة والمعنویة، بوصفها عنصراً مهمّاً فی إیصال الانفعال النفسی إلی المتلقی والتأثیر فیه، وکذلک إنَّ البحث فی صیغة الکلمة أحد عناصر التحلیل الأُسلوبی</w:t>
      </w:r>
      <w:r>
        <w:rPr>
          <w:rStyle w:val="FootnoteAnchor"/>
          <w:rtl w:val="true"/>
        </w:rPr>
        <w:footnoteReference w:id="451"/>
      </w:r>
      <w:r>
        <w:rPr>
          <w:rFonts w:ascii="IRNazanin" w:hAnsi="IRNazanin" w:eastAsia="IRNazanin"/>
          <w:color w:val="111111"/>
          <w:sz w:val="28"/>
          <w:sz w:val="28"/>
          <w:szCs w:val="28"/>
          <w:rtl w:val="true"/>
          <w:lang w:bidi="fa-IR"/>
        </w:rPr>
        <w:t>، وسوف نتناول ذلک فی مباحث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والفصاحة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والقصد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bookmarkStart w:id="209" w:name="pg5013_35360"/>
    </w:p>
    <w:p>
      <w:pPr>
        <w:pStyle w:val="Heading3"/>
        <w:numPr>
          <w:ilvl w:val="2"/>
          <w:numId w:val="1"/>
        </w:numPr>
        <w:rPr/>
      </w:pPr>
      <w:bookmarkStart w:id="210" w:name="__RefHeading___Toc507739_774463916"/>
      <w:bookmarkStart w:id="211" w:name="_Toc71"/>
      <w:bookmarkEnd w:id="209"/>
      <w:bookmarkEnd w:id="210"/>
      <w:r>
        <w:rPr>
          <w:rtl w:val="true"/>
        </w:rPr>
        <w:t xml:space="preserve">المبحث الأوَّل </w:t>
      </w:r>
      <w:r>
        <w:rPr>
          <w:rtl w:val="true"/>
        </w:rPr>
        <w:t xml:space="preserve">: </w:t>
      </w:r>
      <w:r>
        <w:rPr>
          <w:rtl w:val="true"/>
        </w:rPr>
        <w:t>الاختیار والفصاحة</w:t>
      </w:r>
      <w:bookmarkEnd w:id="211"/>
    </w:p>
    <w:p>
      <w:pPr>
        <w:pStyle w:val="Heading4"/>
        <w:numPr>
          <w:ilvl w:val="3"/>
          <w:numId w:val="1"/>
        </w:numPr>
        <w:rPr/>
      </w:pPr>
      <w:bookmarkStart w:id="212" w:name="__RefHeading___Toc507741_774463916"/>
      <w:bookmarkStart w:id="213" w:name="_Toc72"/>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لو رجعنا إلی معجمات العربیة لوجدنا أنَّ معنی الفصاحة یکاد ینحصر فی الإبانة اللفظیة للمتکلّم،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 فَصُحَ الرجل فَصَاحةً، فهو فَصَیح من قومٍ فُصَحاء، وفِصَاحٍ، وفُصُحْ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وکلام فَصِیح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بلیغ، ولِسانٌ فصیح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وفَصُحَ الأعجمی، بالضم، 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بالعربیة وفُهِمَ عنه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تخرج الفصاحة اللفظیة عن معناها اللغوی، وهو الظهور والبیان فقد جاء فی القرآن الکریم حکایة عن نبی الله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وَأَخِی هَارُونُ هُوَ أَفْصَحُ مِنِّی لِسَانًا فَأَرْسِلْهُ مَعِیَ رِدْءًا یُصَدِّقُنِی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 وفی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أفصح العرب بید أنَّی من قریش</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تدلُّ علی الظهور والإبانة اللفظیة فی الکلام، وقد عُنیَ البلاغیون بمسألة الفصاحة اللفظیة، واشترطوا لذلک شروطاً، وکان ابن سنان الخفاجی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أبرز البلاغیین الذین تناولوا تلکم الشروط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وضع لها ثمانیة شروط</w:t>
      </w:r>
      <w:r>
        <w:rPr>
          <w:rStyle w:val="FootnoteAnchor"/>
          <w:rtl w:val="true"/>
        </w:rPr>
        <w:footnoteReference w:id="455"/>
      </w:r>
      <w:r>
        <w:rPr>
          <w:rFonts w:ascii="IRNazanin" w:hAnsi="IRNazanin" w:eastAsia="IRNazanin"/>
          <w:color w:val="111111"/>
          <w:sz w:val="28"/>
          <w:sz w:val="28"/>
          <w:szCs w:val="28"/>
          <w:rtl w:val="true"/>
          <w:lang w:bidi="fa-IR"/>
        </w:rPr>
        <w:t xml:space="preserve">وعدّها، فکلَّما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اللفظة أکثر حیازةً لهذه الشّروط کانت أدخل فی </w:t>
      </w:r>
      <w:bookmarkStart w:id="214" w:name="pg5013_35361"/>
    </w:p>
    <w:p>
      <w:pPr>
        <w:pStyle w:val="BookText"/>
        <w:rPr/>
      </w:pPr>
      <w:bookmarkEnd w:id="214"/>
      <w:r>
        <w:rPr>
          <w:rFonts w:ascii="IRNazanin" w:hAnsi="IRNazanin" w:eastAsia="IRNazanin"/>
          <w:color w:val="111111"/>
          <w:sz w:val="28"/>
          <w:sz w:val="28"/>
          <w:szCs w:val="28"/>
          <w:rtl w:val="true"/>
          <w:lang w:bidi="fa-IR"/>
        </w:rPr>
        <w:t>باب الفصاحة، وعلی قدر ما تجتمع من أضداد هذه الشروط تبتعد عن الحسن أو الفصاحة</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وهذا ما یتعلّق باللفظة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یتعلّق بالألفاظ المرکَّبة، فقد جعلها ابن سنان علی قسمین؛ یلتقی القسم الأوَّل منها مع شروط الفصاحة التی وضعها للَّفظ المفرد، عدا بعض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روط، والقسم الثانی مختصٌّ بالتألیف، تناول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الألفاظ موضعها حقیقةً أو مجازاً لا ینکره الاستعمال ولا یبتعد فیه</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وجاء بعد ابن سنان بلاغیون علماء أقرَّ بعضهم بهذه الشروط، ونقد بعضهم لجانب منها</w:t>
      </w:r>
      <w:r>
        <w:rPr>
          <w:rStyle w:val="FootnoteAnchor"/>
          <w:rtl w:val="true"/>
        </w:rPr>
        <w:footnoteReference w:id="458"/>
      </w:r>
      <w:r>
        <w:rPr>
          <w:rFonts w:ascii="IRNazanin" w:hAnsi="IRNazanin" w:eastAsia="IRNazanin"/>
          <w:color w:val="111111"/>
          <w:sz w:val="28"/>
          <w:sz w:val="28"/>
          <w:szCs w:val="28"/>
          <w:rtl w:val="true"/>
          <w:lang w:bidi="fa-IR"/>
        </w:rPr>
        <w:t>وسوف نتناول مدی تحقّق هذه الشّروط فی خُطب ورسائل الحِقبتین</w:t>
      </w:r>
      <w:r>
        <w:rPr>
          <w:rFonts w:eastAsia="IRNazanin" w:cs="IRNazanin"/>
          <w:color w:val="111111"/>
          <w:sz w:val="28"/>
          <w:szCs w:val="28"/>
          <w:rtl w:val="true"/>
          <w:lang w:bidi="fa-IR"/>
        </w:rPr>
        <w:t>.</w:t>
      </w:r>
    </w:p>
    <w:p>
      <w:pPr>
        <w:pStyle w:val="Heading4"/>
        <w:numPr>
          <w:ilvl w:val="3"/>
          <w:numId w:val="1"/>
        </w:numPr>
        <w:rPr/>
      </w:pPr>
      <w:bookmarkStart w:id="215" w:name="__RefHeading___Toc507743_774463916"/>
      <w:bookmarkStart w:id="216" w:name="_Toc73"/>
      <w:bookmarkEnd w:id="215"/>
      <w:r>
        <w:rPr/>
        <w:t>1</w:t>
      </w:r>
      <w:r>
        <w:rPr>
          <w:rtl w:val="true"/>
        </w:rPr>
        <w:t xml:space="preserve">- </w:t>
      </w:r>
      <w:r>
        <w:rPr>
          <w:rtl w:val="true"/>
        </w:rPr>
        <w:t>مخارِج حروف اللفظة</w:t>
      </w:r>
      <w:bookmarkEnd w:id="216"/>
    </w:p>
    <w:p>
      <w:pPr>
        <w:pStyle w:val="BookText"/>
        <w:rPr/>
      </w:pPr>
      <w:r>
        <w:rPr>
          <w:rFonts w:ascii="IRNazanin" w:hAnsi="IRNazanin" w:eastAsia="IRNazanin"/>
          <w:color w:val="111111"/>
          <w:sz w:val="28"/>
          <w:sz w:val="28"/>
          <w:szCs w:val="28"/>
          <w:rtl w:val="true"/>
          <w:lang w:bidi="fa-IR"/>
        </w:rPr>
        <w:t>لقد عنی اللّغویون البلاغیون بمسألة فصاحة اللفظة القائمة علی تقارب مخارج الحروف أو بُعدها، واشترطوا ضرورة التناسب الصوتی فی ترتیب تلک المخارج لتلکم الحروف التی تؤلّف اللفظة</w:t>
      </w:r>
      <w:r>
        <w:rPr>
          <w:rStyle w:val="FootnoteAnchor"/>
          <w:rtl w:val="true"/>
        </w:rPr>
        <w:footnoteReference w:id="459"/>
      </w:r>
      <w:r>
        <w:rPr>
          <w:rFonts w:ascii="IRNazanin" w:hAnsi="IRNazanin" w:eastAsia="IRNazanin"/>
          <w:color w:val="111111"/>
          <w:sz w:val="28"/>
          <w:sz w:val="28"/>
          <w:szCs w:val="28"/>
          <w:rtl w:val="true"/>
          <w:lang w:bidi="fa-IR"/>
        </w:rPr>
        <w:t xml:space="preserve">، قال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هذه الحروف کلّما تباعدت فی التألیف کان أحسن، وإذا تقارب الحرفان فی مخرجیهما قَبُحَ اجتماعهما</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اشترط البلاغیون فی فصاحة اللفظة، أنْ تکون الحروف التی تتألف منها متباعدة المخارج، تفادیاً للتألیف المتنافر الذی قد یکون نتیجة تقاربها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ذهب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مراعاة أُمور فی تألیف الکلمة لتکون فصیحة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تلک الأحرف متنافرة فی مخارجها فیحصل الثقل من أجل ذلک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بالنسبة لتلاؤم اللفظة واتّساقها مع أخواتها فی السیاق، فذلک متأتٍ من سلاستها، وسهولتها، وتمکّنها فی استحسان العبارة وقبولها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کانت فصاحة اللفظة وقیمتها الذاتیة تکتسب أهمیتها بالطبیعة الجرسیة، وذلک من خلال الانسجام الصوتی الناتج من تآلفها، وکذلک تکتسب تلک اللفظة أهمیتها باتّساقها وتلاؤمها مع بقیة الألفاظ فی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البحث فی تناوله اللفظة فی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والرسائل وجد أنَّ هناک معیار آخر یفرض نفسه بعیداً عما قرَّره البلاغیون بشأن تقارب المخارج أو تباعدها، وهذا المعیار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یستلذّه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المعیار الذی یُعْنی بجمالیة الصوت ذاته، وهی جمالیة یُدرکها السمع، فتجمل هذه الأصوات حین تفد علی السمع، وتقبح حین ترتفع عنه أو یهبط دونه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جاءت مُعظَم ألفاظ الخُطب والرسائل فی غایة الفصاحة اللفظیة التی تعتمد علی هذا المعیار، فهی جمیلة الوقع علی السمع، سهلة المجری علی اللسان، ولیس بین حروفها ما یمکن أن یکون مدعاة للتنافر اللفظی، فهی فی أحسن ما یکون من تراکیب وتناسق وأصوات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قرَّر العلماء فی مسألة أُخری أنَّ حروف الحلق لا تأتلف فیما بینها إذا ما </w:t>
      </w:r>
    </w:p>
    <w:p>
      <w:pPr>
        <w:pStyle w:val="BookText"/>
        <w:rPr/>
      </w:pPr>
      <w:r>
        <w:rPr>
          <w:rFonts w:ascii="IRNazanin" w:hAnsi="IRNazanin" w:eastAsia="IRNazanin"/>
          <w:color w:val="111111"/>
          <w:sz w:val="28"/>
          <w:sz w:val="28"/>
          <w:szCs w:val="28"/>
          <w:rtl w:val="true"/>
          <w:lang w:bidi="fa-IR"/>
        </w:rPr>
        <w:t>اجتمعت فی لفظة واحدة</w:t>
      </w:r>
      <w:r>
        <w:rPr>
          <w:rStyle w:val="FootnoteAnchor"/>
          <w:rtl w:val="true"/>
        </w:rPr>
        <w:footnoteReference w:id="464"/>
      </w:r>
      <w:r>
        <w:rPr>
          <w:rFonts w:ascii="IRNazanin" w:hAnsi="IRNazanin" w:eastAsia="IRNazanin"/>
          <w:color w:val="111111"/>
          <w:sz w:val="28"/>
          <w:sz w:val="28"/>
          <w:szCs w:val="28"/>
          <w:rtl w:val="true"/>
          <w:lang w:bidi="fa-IR"/>
        </w:rPr>
        <w:t xml:space="preserve">لأنَّها متقاربة فی مخارجها، وهذا یجعل اللفظة صعبة علی النطق والسمع، وهو ما یخلُّ بالفصاحة؛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یستدعی اشتغالاً متواصلاً لأعضاء النّطق بحیث لا یتیسّ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لها أن تستریح، وأن تأخذ مداها حتَّی تعطی الحرف حقَّه من التلفُّظ والسَّمع بسبب اتصال بعضها ببعض</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 علی أنَّ البحث وجد فی الخُطب والرسائل اقتران بعض حروف الحلق المتقاربة فی مخارجها، ومع ذلک لم یخلّ ذلک بفصاحة ألفاظها کما نجد ذلک فی خُطبة سلیمان بن صُرَد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أُثنی علی الله خیراً، وأحمد آلاءَه وبلاءه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لخائفٌ ألّا یکونَ آخِرُنا إلی هذا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نَمُدُّ أعْناقنا إلی قدومِ آل نبیّنا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فنجد اقتران بعض حروف الحلق مع بعضها فی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الهمزة والحاء،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الهمزة والهاء،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الهمزة والخاء،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الهمزة والعین، فقد جاءت هذه الألفاظ سلسة فی النطق، رائقة فی السمع، غیر ثقیلة ولا مستکرهة، فلم یُعکّر تقارب بعض حروفها صفو نطقها، ومثل هذا ما نجده فی خُطبة عبد الله بن یزید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واللهِ دُلّلتُ علی أماکِنِهِم، وأُمِرْتُ بأخْذِهِم،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ابدأهُم قَبْلَ أنْ یبدؤوک، فأبیت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زیاد قاتل الحسین، وقاتل خیارکم وأماثِلِکُم، قد توجَّه إلیکم، عهدُ العاهد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قد أقبل إلیکم أعدی خلق الله لکم، مَنْ وُلّی علیکم هو وأبوه سبع سنین، لا یُقْلِعانِ عن قَتْلِ أهلِ العَفافِ والدّین</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فالکلمات فصیحة رائقة علی الرغم من اقتران بعض حروف الحلْق فیما بعضها، وهذه الکلمات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الهمزة والخاء،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الهمزة والهاء،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العین والهاء،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الهمزة والعین،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الهمزة والهاء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اجتماع الحروف المتقاربة فی مخارجها لم یقتصر علی حروف الحلق فقط، بل جاءت فی الخُطب والرسائل ألفاظ مؤلّفة من حروف متقاربة فی مخارجها من غیر أن یفصلها حرف بعید فی مخرجه عنها، ولکنّها مع ذلک لم تکن نابیة ثقیلة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فی رسالة ابن الزبیر إلی المختار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کُنْتَ علی طاعتی فَلَسْتُ أکره أنْ تَبعثَ الجیشَ إلی بلادی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 علیَّ بتسریحِ الجیشِ الذی أنتَ باعِثُه</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 فقد تکرَّرت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وهی مؤلفة من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ی،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مخرج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وسط اللسان، بینه وبین وسط الحنک الأعلی</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وعلی الرغم من هذا التألیف المتقارب فی مخارجه، إلّا أنَّ هذه اللفظة جاءت حسنة النطق، رائقة علی السمع، ولعلّ تألیف الألفاظ من الحروف المتقاربة یکون حسنها وقبحها راجعاً إلی تحکم الذوق السلیم، کما مرَّ بالبحث، ولذلک نری بعض البلاغیین یرجع الحسن فی هذه اللفظة، أو فی غیرها إلی مسألة الذوق والسمع، قبل تألیف الحروف،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فحسن الألفاظ إذن لیس معلوماً من تباعد المخارج، وإنّما علم قبل العلم بتباعدها، وکلُّ هذا راجعٌ إلی حاسة السمع</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217" w:name="pg5013_35365"/>
    </w:p>
    <w:p>
      <w:pPr>
        <w:pStyle w:val="BookText"/>
        <w:rPr/>
      </w:pPr>
      <w:bookmarkEnd w:id="217"/>
      <w:r>
        <w:rPr>
          <w:rFonts w:ascii="IRNazanin" w:hAnsi="IRNazanin" w:eastAsia="IRNazanin"/>
          <w:color w:val="111111"/>
          <w:sz w:val="28"/>
          <w:sz w:val="28"/>
          <w:szCs w:val="28"/>
          <w:rtl w:val="true"/>
          <w:lang w:bidi="fa-IR"/>
        </w:rPr>
        <w:t>وهکذا یتبدَّی للبحث أنَّ مسالة تألیف الألفاظ من الحروف المتباعدة هی مسألة أساس فی فصاحة الألفاظ غیر أن هذا لیس شرطاً حتمیاً، فقد تدخل اللفظة حروف متقاربة، أو تتألّف کلّ اللفظة من تلک الحروف، لکن مع ذلک تحافظ علی شرط الفصاحة من دون الخروج علیه</w:t>
      </w:r>
      <w:r>
        <w:rPr>
          <w:rFonts w:eastAsia="IRNazanin" w:cs="IRNazanin"/>
          <w:color w:val="111111"/>
          <w:sz w:val="28"/>
          <w:szCs w:val="28"/>
          <w:rtl w:val="true"/>
          <w:lang w:bidi="fa-IR"/>
        </w:rPr>
        <w:t>.</w:t>
      </w:r>
    </w:p>
    <w:p>
      <w:pPr>
        <w:pStyle w:val="Heading4"/>
        <w:numPr>
          <w:ilvl w:val="3"/>
          <w:numId w:val="1"/>
        </w:numPr>
        <w:rPr/>
      </w:pPr>
      <w:bookmarkStart w:id="218" w:name="__RefHeading___Toc507745_774463916"/>
      <w:bookmarkStart w:id="219" w:name="_Toc74"/>
      <w:bookmarkEnd w:id="218"/>
      <w:r>
        <w:rPr/>
        <w:t>2</w:t>
      </w:r>
      <w:r>
        <w:rPr>
          <w:rtl w:val="true"/>
        </w:rPr>
        <w:t xml:space="preserve">- </w:t>
      </w:r>
      <w:r>
        <w:rPr>
          <w:rtl w:val="true"/>
        </w:rPr>
        <w:t>طول اللفظة وقصرها</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 الدرس البلاغی علی أهمیّة استعمال الألفاظ المعتدلة فی بنائها، وجعلها شرطاً من شروط الفصاحة، فقد قال ابن سنان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الکلمة معتدلة غیر کثیرة الحروف، فإنَّها متی زادت علی الأمثلة المعتادة المعروفة؛ قبحت وخرجت عن وجه من وجوه الفصاحة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ولاشکَّ فی أنَّ اللفظة إذا کانت معتدلة الوزن فی تألیفها کان ذلک سبباً فی سهولة نطقها، ولذة سمعها، وطیب مجراها علی اللسان، وأنَّ اعتدالها فی تألیف حروفها یقرّبها من أُذن السامع، فلا یشعر بثقل جرسها الصوتی، وعلی الرغم من الثقل الصوتی التی تتمیَّز به اللفظة نتیجة لطولها، فإنّنا واجدون أنَّ منها علی مستوی الاستعمال اللغوی فی الخُطب والرسائل قد استعمل بهذا الطول استعمالاً أُسلوبیاً وفنیاً بما لا یخرجها عن دائرة الفصاحة اللفظیة، أی أنَّ الخطیب أو المترسِّل کان یعمد إلی إطالة اللفظة ذلک بأنْ یضیف علیها وحدات أو مقاطع صوتیة زائدة علی مادّتها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لیدفع بالکلمة إلی درجات أعلی من الإیحاء والدلالة، وقدیماً لاحظ النحاة أنَّ زیادة المبنی تدلُّ علی زیادة المعنی</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وبإحصاء التوظیف الأُسلوبی للألفاظ الطوال وُجدَ أنَّها جاءت غیر مستکرهة، لا فی سمعها ولا فی نطفها فی کثیر من خُطب ورسائل الحِقبتین، فقد جاء فی خُطبة سعد ابن حذیفة بن الیمان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فإنّکم قد کنتم مُجْمِعِین مُزْمِعِین علی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الحسینِ، وقتالِ عدوّه، فلم یَفْجأکم أوّلُ مَنْ قَتَلَهُ، والله مثیبُکم علی حُسنِ النیَّة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إلیکم إخْوانَکُم یَسْتَنْجِدونَکُم ویَسْتَمِدّونَکُم، ویَدعُونَکُم إلی الحقّ وإلی ما تَرْجُون لکم به عند الله أفضلَ الأجرِ والحظّ</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فنجد أنَّ فی هذه الخُطبة اختیاراً لبعض الألفاظ التی تمیَّزت بطولها النسبی قیاساً مع ما جاء من الألفاظ الأُخری، ومنها اللفظتان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یستنجدونکم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یستمدونکم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أکثر الألفاظ طولاً فی هذه الخُطبة، وهما من الأفعال الثلاثیة المزیدة بثلاثة أحرف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الهمزة، والسین، والتاء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جاءت علی صیغة المضارع، وتأتی لمعانی الطلب والسؤال</w:t>
      </w:r>
      <w:r>
        <w:rPr>
          <w:rStyle w:val="FootnoteAnchor"/>
          <w:rtl w:val="true"/>
        </w:rPr>
        <w:footnoteReference w:id="474"/>
      </w:r>
      <w:r>
        <w:rPr>
          <w:rFonts w:ascii="IRNazanin" w:hAnsi="IRNazanin" w:eastAsia="IRNazanin"/>
          <w:color w:val="111111"/>
          <w:sz w:val="28"/>
          <w:sz w:val="28"/>
          <w:szCs w:val="28"/>
          <w:rtl w:val="true"/>
          <w:lang w:bidi="fa-IR"/>
        </w:rPr>
        <w:t>، وقد زِیدَ علی بنائها أربعة أحرف، استطاعت أنْ تکسبها طولاً نسبیاً،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 والنون، والکاف، والمیم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فآلت اللفظتانِ إلی ما هی علیه من الطول الصوتی، والأهمُّ من ذلک أنَّ طول اللفظتین قد جاء لغرض أُسلوبی مقصود فی الکلام، وهو الزیادة المعنویة التی تفید التکثیر والتأکید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خُطبة عبید الله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رَأَیْتُمْ إلی انتهاکِ القومِ حُرْمَتَه، واستضعافهم وحدتَه، وتَرْمِیلِهِم إیَّاه بالدَّم، وتَجْرَارِهُمُوهُ علی الأرض</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 نجد أنَّ ألفاظ هذه القطعة من الخُطبة قد تمیَّزت بطولها النسبی، ولاسیّما اللفظتین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تَجْرَارِهُمُوه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فهی مصدر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المزید بثلاثة أحرف</w:t>
      </w:r>
      <w:r>
        <w:rPr>
          <w:rStyle w:val="FootnoteAnchor"/>
          <w:rtl w:val="true"/>
        </w:rPr>
        <w:footnoteReference w:id="476"/>
      </w:r>
      <w:r>
        <w:rPr>
          <w:rFonts w:ascii="IRNazanin" w:hAnsi="IRNazanin" w:eastAsia="IRNazanin"/>
          <w:color w:val="111111"/>
          <w:sz w:val="28"/>
          <w:sz w:val="28"/>
          <w:szCs w:val="28"/>
          <w:rtl w:val="true"/>
          <w:lang w:bidi="fa-IR"/>
        </w:rPr>
        <w:t xml:space="preserve">، ثمَّ أُضیف علی هذا المصدر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فصارت هذه اللفظة متکوّنة من تسعة أحرف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تَجْرَارِهُمُوهُ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فهی مصدر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للتَّکثیر والمبالغة</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وقد زید علی بُنیته حروفٌ أربعة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الهاء، والمیم، والواو، والهاء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لیکسب اللفظة ثقلاً صوتیاً یتناسب مع المعنی والحدث الذی جاءت للتعبیر من أجله، فالبناء یتمتَّع بدلالة إیحائیة تُجسِّد الحدث والغلظة، کما أنَّ هذه اللفظة تکوَّنت من أصوات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قویَّة أو مجهورة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اکتسبت فخامةً وعلوَّاً صوتیاً متمیّزاً یتناغم وطبیعة سیاق الحدث ومستواه التعبیری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خُطبة سلیمان بن صُرَد الخزاعی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جاؤوکم بل جِئْتُمُوهُم أنْتُم فی دارهم وحَیِّزِهِم، فإذا لَقَیْتُمُوهُم فأصْدقُوهم، واصْبِروا إنَّ الله معَ الصَّابرین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فنجد أنَّ الألفاظ فی هذه الخُطبة قد تمیَّزت بطولها النسبی، نتیجة الزیادة علی أبنیتها الأصلیة، ویطالعنا منها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وأصلهما من الفعل الثلاثی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زِیدَت علیهما خمسة أحرف لتمنحهما ثقلاً صوتیاً،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التاء، والمیم، والواو، والهاء، والمیم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استثمر الخطیب هذا الثقل الصوتی للتعبیر بإیحائیة أکثر عن المعنی، وتجسیده، فثقل اللفظتین وطولهما جاء منسجماً مع ثقل المواجهة مع العدو بالإتیان واللقاء والتکلف، وهذا الانسجام اللفظی مع الحدث هو الذی سوغ اختیار هاتین اللفظتین ومنحهما فعالیَّتهما الأُسلوبیة فی الکلام</w:t>
      </w:r>
      <w:r>
        <w:rPr>
          <w:rFonts w:eastAsia="IRNazanin" w:cs="IRNazanin"/>
          <w:color w:val="111111"/>
          <w:sz w:val="28"/>
          <w:szCs w:val="28"/>
          <w:rtl w:val="true"/>
          <w:lang w:bidi="fa-IR"/>
        </w:rPr>
        <w:t xml:space="preserve">. </w:t>
      </w:r>
      <w:bookmarkStart w:id="220" w:name="pg5013_35368"/>
    </w:p>
    <w:p>
      <w:pPr>
        <w:pStyle w:val="BookText"/>
        <w:rPr/>
      </w:pPr>
      <w:bookmarkEnd w:id="220"/>
      <w:r>
        <w:rPr>
          <w:rFonts w:ascii="IRNazanin" w:hAnsi="IRNazanin" w:eastAsia="IRNazanin"/>
          <w:color w:val="111111"/>
          <w:sz w:val="28"/>
          <w:sz w:val="28"/>
          <w:szCs w:val="28"/>
          <w:rtl w:val="true"/>
          <w:lang w:bidi="fa-IR"/>
        </w:rPr>
        <w:t>وممَّا تقدَّم، نجد أنَّ التوظیف الأُسلوبی للألفاظ الطویلة فی بنائها إنَّما جاء لینطق بجمالیة الأداء والإیحاء بالمعنی، وطلاقة التداول، وهی علی الرغم من ثقلها الصوتی التی تمیَّزت به، لم تکن نافرة أو قبیحة، بل جاء ثقلها وطولها تعبیراً عن الموقف والإیحاء به، وبهذا لم تخرج عن دائرة الفصاحة اللفظیة التی أقرّها البلاغیون من شرط الاعتدال فی تألیف الألفاظ، کما أنَّ هذه الألفاظ لم ترد علی شاکلةٍ واحدةٍ، بل تنوَّعت إلی أفعال وأسماء، وقد لحقت کلّ منهما السوابق واللواحق علی وفق مقتضاها الدلالی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استثمار اللغة فی مختلف أنواع الصور التی تَرِدُ علیها أبنیتها مع الاعتماد علی الاختیار القصدی لهذه الأبنیة، کان لتصویر دلالاتها والوقوف علی مراداتها وأغراضها الأُسلوبیة الملحوظة</w:t>
      </w:r>
      <w:r>
        <w:rPr>
          <w:rFonts w:eastAsia="IRNazanin" w:cs="IRNazanin"/>
          <w:color w:val="111111"/>
          <w:sz w:val="28"/>
          <w:szCs w:val="28"/>
          <w:rtl w:val="true"/>
          <w:lang w:bidi="fa-IR"/>
        </w:rPr>
        <w:t>.</w:t>
      </w:r>
    </w:p>
    <w:p>
      <w:pPr>
        <w:pStyle w:val="Heading4"/>
        <w:numPr>
          <w:ilvl w:val="3"/>
          <w:numId w:val="1"/>
        </w:numPr>
        <w:rPr/>
      </w:pPr>
      <w:bookmarkStart w:id="221" w:name="__RefHeading___Toc507747_774463916"/>
      <w:bookmarkStart w:id="222" w:name="_Toc75"/>
      <w:bookmarkEnd w:id="221"/>
      <w:r>
        <w:rPr/>
        <w:t>3</w:t>
      </w:r>
      <w:r>
        <w:rPr>
          <w:rtl w:val="true"/>
        </w:rPr>
        <w:t xml:space="preserve">- </w:t>
      </w:r>
      <w:r>
        <w:rPr>
          <w:rtl w:val="true"/>
        </w:rPr>
        <w:t>حرکات الحروف فی اللفظة</w:t>
      </w:r>
      <w:bookmarkEnd w:id="222"/>
    </w:p>
    <w:p>
      <w:pPr>
        <w:pStyle w:val="BookText"/>
        <w:rPr/>
      </w:pPr>
      <w:r>
        <w:rPr>
          <w:rFonts w:ascii="IRNazanin" w:hAnsi="IRNazanin" w:eastAsia="IRNazanin"/>
          <w:color w:val="111111"/>
          <w:sz w:val="28"/>
          <w:sz w:val="28"/>
          <w:szCs w:val="28"/>
          <w:rtl w:val="true"/>
          <w:lang w:bidi="fa-IR"/>
        </w:rPr>
        <w:t>اشترط البلاغیون لفصاحة اللفظة أن تکون خفیفة الحرکات لیسهل النطق بها، وتلذ فی السمع، فتنأی بذلک عن حیز الثقل والتنافر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أوصاف اللفظة أن تکون مؤلفة من حروف ذات حرکات خفیفة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توالی حرکتان خفیفتان فی کلمةٍ واحدةٍ، لم یُستکره ذلک ولا یُستثقل، بخلاف هذا فی الحرکات الثقیلة؛ فإنَّه إذا توالی منها اثنتان فی کلمةٍ واحدةٍ استُکرهت واستُثقلت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 ولهذا استُثقلت الضمّة علی الواو، والکسرة علی الیاء، للتماثل بینهما فی جنس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الضمّة من جنس الواو، والکسرة من جنس الیاء، فتکون عند ذلک کأنَّهما حرکتان ثقیلتان</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 ولذلک نجد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اللغة یمیلون بطبعهم إلی </w:t>
      </w:r>
    </w:p>
    <w:p>
      <w:pPr>
        <w:pStyle w:val="BookText"/>
        <w:rPr/>
      </w:pPr>
      <w:r>
        <w:rPr>
          <w:rFonts w:ascii="IRNazanin" w:hAnsi="IRNazanin" w:eastAsia="IRNazanin"/>
          <w:color w:val="111111"/>
          <w:sz w:val="28"/>
          <w:sz w:val="28"/>
          <w:szCs w:val="28"/>
          <w:rtl w:val="true"/>
          <w:lang w:bidi="fa-IR"/>
        </w:rPr>
        <w:t>تخفیف الکلام؛ توفیراً للجهد العضلی المبذول فیه</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ولذلک یعملون علی تغییر بعض الأصوات ما أمکنهم التَّخفیف فی نطقها والانسجام الصوتی فیها، ولیحققوا بذلک شرط الفصاحة الناتج عن خِفَّة النّطق وتوالی الحرکات ومرونتها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نجده فی کثیر من ألفاظ الخُطب والرسائل لهاتین الحِقبتین، فمن ذلک ما جاء فی خُطبة عبید الله المرّی عند وصفه لِمَا جری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اتَّخذوه للنَّبل غَرَضَاً، غادَروه للضّباع جَزَرَاً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فنجد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رائقة فی النطق بسبب خفّتها المتأتّیة من 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إذ منحت اللفظتین مرونة نطقیة؛ لأنَّ الفتحة أخفّ الحرکات کما ذهب إلی ذلک القدماء</w:t>
      </w:r>
      <w:r>
        <w:rPr>
          <w:rStyle w:val="FootnoteAnchor"/>
          <w:rtl w:val="true"/>
        </w:rPr>
        <w:footnoteReference w:id="484"/>
      </w:r>
      <w:r>
        <w:rPr>
          <w:rFonts w:ascii="IRNazanin" w:hAnsi="IRNazanin" w:eastAsia="IRNazanin"/>
          <w:color w:val="111111"/>
          <w:sz w:val="28"/>
          <w:sz w:val="28"/>
          <w:szCs w:val="28"/>
          <w:rtl w:val="true"/>
          <w:lang w:bidi="fa-IR"/>
        </w:rPr>
        <w:t xml:space="preserve">، ولأنَّ الفتحة صائِت قصیر، وهی بعض الألف من الحرکات الخفیفة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 ذلک سرعة النطق بها، ومضاؤه من غیر عَناءٍ یلحقه ولا کُلْفة</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ثمَّ إنَّ توالی هذه الفتحات عمل إلی جانب الخّفة النطقیة وضوحاً صوتیاً وسمعیاً، إلی جانب ما منحت اللفظتین من صفة الفصاحة اللفظیة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نجده فی خُطبة المختار الثقفی حین قدم الکوفة واصفاً سلیمان بن صرد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سُلیمانَ بنَ صُرَدْ یرحمنا الله وإیَّاه، إنَّما هو عَشَمَة من العَشَم، وحِفْشٍ بالٍ، لَیْسَ بِذی تَجْربة للأُمور</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فنجد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عَشَمَةٌ من العَشَم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توالی الفتحات کان سبباً فی سلاسة النطق، فضلاً عن وضوحها السمعی وتحقیقاً للفصاحة النطقیة، ثمَّ إنَّ توالی الفتحات قد أصبح من جزئیات قیمة الألفاظ ضمن سیاقها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فاللسان العربی لا یسوّغ کثیراً الانتقال والخروج من 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لأنَّ فی هذا الانتقال خروجاً ممّا هو 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الضم الذی هو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فکأنَّهما حرکتان ثقیلتان، وقد جاءت الخُطب والرسائل بألفاظ قد تحقَّق فیها هذا الانتقال الثقیل لکنَّها مع ذلک کانت سائغة علی اللسان والسمع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ما جاء فی خُطبة عبد الله بن یزید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واللهِ أُمنیَة عدُّوِکُم، وإنَّه قَدْ أقبلَ إلَیْکُمْ أعدی خلْقِ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فاسْتَقْبِلُوهُ بِحدّکُمْ وَشَوْکَتِکُمْ واجْعَلُوها به، ولا تَجْعَلُوها بأنْفُسِکُمْ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فنجد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عَدُوِکُم، حَدِکُم، شَوَکتِکُم،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فیها الانتقال من الکس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إلی الضمّة، ومع ذلک الانتقال الثقیل فقد حافظت علی رائقیتها فی السمع، ولربَّما کان المقام قد سمح بحصول ذلک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استثقالاً نطقیاً آخر فی توالی الضمَّات فی الألفاظ، أو اللفظة الواحدة؛ ذلک لأنَّ الضمَّة ثقیلة فی النطق فضلاً عن تکرارها الذی یزید النطق عندها صعوبةً، قد یخرجها من دائرة الفصاحة، ولکنّنا نجد بعض البلاغیین یُحَکّم الذَّوق فی هذه المسألة أیضاً؛ لأنَّه قد تتوالی الضمَّات فی اللفظة ولا یکون هناک ثقل نطقی کما فی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الْمُجْرِمِینَ فِی ضَلَالٍ وَسُعُرٍ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فالمسألة إذاً مسالة ذوقیة فی حکمها، ولذلک نجد ورود مثل هذه الألفاظ فی بعض النصوص من غیر أنْ یکون هناک مراعاة للتنافر والثقل الصوتی، فنحو ذلک ما ورد فی خُطبة المسیب بن نجبه الفزاری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بَلَغَتْنَا قَبْلَ ذلک کُتُبُهُ، وَقَدِمَتْ عَلَیْنَا رُسُلُهُ</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وممَّا ورد فی خُطبة سلیمان بن صُرَد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نَمُدُّ أعْناقَنا إلی قدومِ آلِ نَبِیِنا ونُمَنّیهِم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ونَحُثُّهُم علی القُدُوم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فنجد أنَّ اللفظتین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توالت فیها أربع ضمَّات متتالیة لم یفصلهما حرکة مغایرة أو سکون، ولکنَّهما مع ذلک جاءتا سهلتین فی النطق، بل سائغتین رائقتین علی السمع، وإنَّما کان ذلک بتحکیم الذوق علی هاتین اللفظتین علی الرغم من أنَّ بعض البلاغیین اشترطوا ضرورة أن تکون الحرکات متباینة، حتی یَحْکُم بفصاحتها، لکنَّ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 ینکسر هنا، ویحلُّ محلَّه تحکیم الذوق والسمع کما فعل ذلک ابن الأثیر من ذی قبل، أو قد یرجع قبول تتالی الضم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تلک الحروف، وهی أصوات صامتة أو ساکنة مع حرکة الضم، وهی صوت مَدّ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یخضع الأمر فی ذلک إلی السیاق الذی ترد فیه اللفظة، وما یتبَع ذلک من مؤثّرات ذوقیة أو نفسیة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فنجد أنَّ توالی الضمّات لا یشکل ثقلاً صوتیاً فی طبیعته، ولعلّ الثقل اللفظی إنّما کان بتشدید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لیؤدّی غرضاً معنویاً فی </w:t>
      </w:r>
      <w:bookmarkStart w:id="223" w:name="pg5013_35372"/>
    </w:p>
    <w:p>
      <w:pPr>
        <w:pStyle w:val="BookText"/>
        <w:rPr/>
      </w:pPr>
      <w:bookmarkEnd w:id="223"/>
      <w:r>
        <w:rPr>
          <w:rFonts w:ascii="IRNazanin" w:hAnsi="IRNazanin" w:eastAsia="IRNazanin"/>
          <w:color w:val="111111"/>
          <w:sz w:val="28"/>
          <w:sz w:val="28"/>
          <w:szCs w:val="28"/>
          <w:rtl w:val="true"/>
          <w:lang w:bidi="fa-IR"/>
        </w:rPr>
        <w:t>نفسه، وهو الدلالة علی التکثیر، وقد أفاد التشدید اللفظی فائدة نطقیة، وهی فصل ما بین الضمّات المتتالیة بفاصل، وهو السکون أو بالأحری الحرف الساکن؛ ذلک لأنّ التشدید إنّما یکون بإدغام حرف ساکن بآخر متحرک، فیکون السکون منطقة وقف تفید اللسان راحة فی أثناء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فاللفظ بفکّ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فالدال الساکنة منعت تتالی هاتین الضمّتین واللفظ بفکّ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نَحُثْثُهُم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فالثاء الساکنة منعت تتالی ثلاث ضمّات، ویتضح ممّا تقدّم أنّ اختیار المنشئ للألفاظ وحسن استعمالها فی موضعها المتقدّم، هو الذی یعطیها المیزة الجمالیة، وإنْ کانت حروفها مدعاة للثقل والاستکراه</w:t>
      </w:r>
      <w:r>
        <w:rPr>
          <w:rFonts w:eastAsia="IRNazanin" w:cs="IRNazanin"/>
          <w:color w:val="111111"/>
          <w:sz w:val="28"/>
          <w:szCs w:val="28"/>
          <w:rtl w:val="true"/>
          <w:lang w:bidi="fa-IR"/>
        </w:rPr>
        <w:t>.</w:t>
      </w:r>
    </w:p>
    <w:p>
      <w:pPr>
        <w:pStyle w:val="Heading4"/>
        <w:numPr>
          <w:ilvl w:val="3"/>
          <w:numId w:val="1"/>
        </w:numPr>
        <w:rPr/>
      </w:pPr>
      <w:bookmarkStart w:id="224" w:name="__RefHeading___Toc507749_774463916"/>
      <w:bookmarkStart w:id="225" w:name="_Toc76"/>
      <w:bookmarkEnd w:id="224"/>
      <w:r>
        <w:rPr/>
        <w:t>4</w:t>
      </w:r>
      <w:r>
        <w:rPr>
          <w:rtl w:val="true"/>
        </w:rPr>
        <w:t xml:space="preserve"> - </w:t>
      </w:r>
      <w:r>
        <w:rPr>
          <w:rtl w:val="true"/>
        </w:rPr>
        <w:t>أُلفة الاستعمال</w:t>
      </w:r>
      <w:bookmarkEnd w:id="22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شروط فصاحة اللفظة المستعملة فی الکلام أنْ تکون مألوفة غیر وحشیّة غریبة</w:t>
      </w:r>
      <w:r>
        <w:rPr>
          <w:rStyle w:val="FootnoteAnchor"/>
          <w:rtl w:val="true"/>
        </w:rPr>
        <w:footnoteReference w:id="494"/>
      </w:r>
      <w:r>
        <w:rPr>
          <w:rFonts w:ascii="IRNazanin" w:hAnsi="IRNazanin" w:eastAsia="IRNazanin"/>
          <w:color w:val="111111"/>
          <w:sz w:val="28"/>
          <w:sz w:val="28"/>
          <w:szCs w:val="28"/>
          <w:rtl w:val="true"/>
          <w:lang w:bidi="fa-IR"/>
        </w:rPr>
        <w:t xml:space="preserve">، حتی یسهل علی المتلقی فهمها وإدراکها من غیر أنْ یشوب ذهنه غرابتها أو یکدّه لمعرفة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ویُعد ابن المقفع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مَن نبّه الکُتّاب إلی أهمیة تجنّب الغریب والمتوعّر من الألفاظ</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 وقد أکد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الکلام موضوع للإبانة عن الأغراض التی فی النفوس، وإذا کان کذلک وجب أنْ یُتخیَّر من اللفظ ما کان أقرب إلی الدلالة علی المراد، وأوضح فی الإبانة عن المعنی المطلوب، ولم یکن مستکره المطلع علی الإذن، ومستنکر المورد علی النفس، حتی یتأبَّی بغرابته فی اللفظ عن الإفهام، أو یمتنع بتعویص معناه عن الإبانة</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ألفاظ الخُطب والرسائل فی هاتین الحِقبتین قد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فصیحةً واضحةً لا یشوبها الغریب الوحشی؛ </w:t>
      </w:r>
    </w:p>
    <w:p>
      <w:pPr>
        <w:pStyle w:val="BookText"/>
        <w:rPr/>
      </w:pPr>
      <w:r>
        <w:rPr>
          <w:rFonts w:ascii="IRNazanin" w:hAnsi="IRNazanin" w:eastAsia="IRNazanin"/>
          <w:color w:val="111111"/>
          <w:sz w:val="28"/>
          <w:sz w:val="28"/>
          <w:szCs w:val="28"/>
          <w:rtl w:val="true"/>
          <w:lang w:bidi="fa-IR"/>
        </w:rPr>
        <w:t>وذلک لأنَّ ظروف الثورة ربَّما لا تسمح بهذا التفنن والتزویق، یُستثنی من ذلک بعض خُطب ورسائل المختار الثقفی التی اتَّشحت بالغریب، ولعلَّ ذلک کان ظاهرة أُسلوبیة تدلُّ علی التأنُّق والإعداد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الرغم من التعارض القائم بین غرابة اللفظة، وبین فصاحتها القائمة علی الإبانة، فإنَّ اختیار هذا الغریب لا یعنی خروجه تماماً عن دائرة الفصاحة التی أقرَّها البلاغیون، بل نجد أن ابن الأثیر یؤکّد أنَّ الوحشی لا یشترط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مستقبحاً، بل أن یکون نافراً لا یألفُ الأُنس، فتارةً یکون حَسَناً، وتارةً یکون قبیحاً، وعلی هذا؛ فانَّ أحد قسمی الوحشی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الغریب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باختلاف النسب والإضافات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بمعنی أنّ هذه الألفاظ فی وضعها السیاقی یؤثر کثیراً فی قیمتها الفنیة، فتکون حَسنة علی الرغم من وحشیتها،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القسم الآخر من الوحشی الذی هو قبیح، فإنّ الناس فی استقباحه سواء، ولا یختلف فیه عربیٌ بادٍ ولا قرویٌ متحضّر</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اختیار الألفاظ الغریبة فی بعض خُطب المختار الثقفی ورسائله</w:t>
      </w:r>
      <w:r>
        <w:rPr>
          <w:rStyle w:val="FootnoteAnchor"/>
          <w:rtl w:val="true"/>
        </w:rPr>
        <w:footnoteReference w:id="499"/>
      </w:r>
      <w:r>
        <w:rPr>
          <w:rFonts w:ascii="IRNazanin" w:hAnsi="IRNazanin" w:eastAsia="IRNazanin"/>
          <w:color w:val="111111"/>
          <w:sz w:val="28"/>
          <w:sz w:val="28"/>
          <w:szCs w:val="28"/>
          <w:rtl w:val="true"/>
          <w:lang w:bidi="fa-IR"/>
        </w:rPr>
        <w:t>، وأمّا بقیَّة الخُطب والرسائل التی جاءت فی الحِقبتین، فقد خلت من الألفاظ الغریبة عموماً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فی خُطبة المختار الثقفی اختیار طائفة من الألفاظ الغریبة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وربِّ البحار، والنخیل والأشجار، والمَهامِه والقِفَار، والملائکةِ الأبرار، والمُصطَفَین الأخیار، لأقتلنَّ کلَّ جبَّار، بکلِّ لدْن خَطَّار، ومهنَّد بَتَّار، فی جُموع من الأنصار، لیسوا بمیّل أغمار، ولا بعزَّلٍ أَشرار</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المهامه</w:t>
      </w:r>
      <w:r>
        <w:rPr>
          <w:rFonts w:eastAsia="IRNazanin" w:cs="IRNazanin"/>
          <w:color w:val="111111"/>
          <w:sz w:val="28"/>
          <w:szCs w:val="28"/>
          <w:rtl w:val="true"/>
          <w:lang w:bidi="fa-IR"/>
        </w:rPr>
        <w:t>)</w:t>
      </w:r>
      <w:r>
        <w:rPr>
          <w:rStyle w:val="FootnoteAnchor"/>
          <w:rtl w:val="true"/>
        </w:rPr>
        <w:footnoteReference w:id="5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اللَّدن</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الخطَّار</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المیَّل</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الأَغمار</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ألفاظ غیر مألوفة، اعتمد المختار أن یودعها فی خُطبته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ونجد هذا الصنیع فی خُطبة أُخری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نُفَیْراً مِنْکُم ارتابوا، وتحیَّروا وخابوا، فإنْ هُم أصابوا؛ أقبلوا وأنابوا، وإنْ هُم کبُوا وهابوا، واعتَرَضوا وانجابوا؛ فقد ثبروا وحابوا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فالألفاظ الغریبة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انجابوا</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ثبروا</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حابوا</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قد اتَّشح بها النص بشکل ملحوظ</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شیوع هذا العدد من الألفاظ الغریبة فی هذین النصین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ربَّما یکونان قصیرین بعض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أعطی کلّ واحدٍ منهما سمته الأُسلوبیة فی الخروج عمَّا هو مألوف ومتعارف علیه، وهو ممَّا یجعل المتلقی مشدوداً نحو النص، عاملاً فکره فی تمحیص ألفاظه، وتبیان ما غمض منها، لتتکون عنده المعرفة الکافیة بتمکن المنشئ من لغته تمکُّنا أفصح عنه هذا الإغراب المقصود، وفی خُطبة أُخری 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p>
    <w:p>
      <w:pPr>
        <w:pStyle w:val="BookText"/>
        <w:rPr/>
      </w:pPr>
      <w:r>
        <w:rPr>
          <w:rFonts w:ascii="Amiri" w:hAnsi="Amiri" w:eastAsia="Amiri" w:cs="Amiri"/>
          <w:color w:val="111111"/>
          <w:sz w:val="28"/>
          <w:sz w:val="28"/>
          <w:szCs w:val="28"/>
          <w:rtl w:val="true"/>
          <w:lang w:bidi="ar-SA"/>
        </w:rPr>
        <w:t>الشّیْعة؛ إنَّ نَفَراً مِنْکُم أحبُّوا أنْ یَعلمُوا مُصداق ما جِئْتُ به، فرحلوا إلی إمام الهُدی، والنَّجِیبِ المُرتضی ابنِ خیرِ مَنْ طَشَی وَمَشَی، حَاشَا النّبیّ المُجْتَبَی</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فنجد فی هذا النص أنَّ المختار قد آثر الإغراب اللفظی علی شاکلة الخُطبتین السابقتین، ولکن هذه المرَّة اختار لفظة فی غایة الغموض والغرابة، ألا وهی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أحمد زکی صفوت معلّقاً علی هذه اللفظة الغریبة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أجد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اللّغة، وفی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تَطَشَّی المریض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ولیست مناسبة هنا، وأری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خیر من مشی وطشی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بتأخیر طشی، وأنّه اتباع للفعل قبله لتقویته وتوکیده، وهو کثیرٌ فی کلام العرب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نِفْرِیت،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 نَطْشان</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هذا التصرُّف فی الألفاظ من قبل المختار قد أفصح عن مقدرته فی ارتجال اللغة وتولیدها، وقد ترتَّب علی ذلک غموضاً وغرابةً لفظیةً، وأنَّ هذا التصرُّف فی اللغة کان شائعاً فی أدب العصر الأُموی نثراً کان أم شعراً، وقد أشار أبو الفتح عثمان بن جنی إلی تصرُّف بعض الرجَّاز کالعَجَّاج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رؤبة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وتولیدها وما یترتَّب علی ذلک من إیغالهما فی الغریب</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میل المختار وإسرافه فی استعمال الألفاظ الغریبة أمراً طبیعیاً وشائعاً فی ذلک العصر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خُطبة له حین سار إلیه مصعب بن الزبیر لمقاتلته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فُرَّارَکُمْ الذین بَغوا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أتوا أشْبَاهَهُم مِنَ الفاسقین فاستغوَوهم علیْکُم لیُمْصَح الحق، وینْتَعِش الباطل، </w:t>
      </w:r>
    </w:p>
    <w:p>
      <w:pPr>
        <w:pStyle w:val="BookText"/>
        <w:rPr/>
      </w:pPr>
      <w:r>
        <w:rPr>
          <w:rFonts w:ascii="Amiri" w:hAnsi="Amiri" w:eastAsia="Amiri" w:cs="Amiri"/>
          <w:color w:val="111111"/>
          <w:sz w:val="28"/>
          <w:sz w:val="28"/>
          <w:szCs w:val="28"/>
          <w:rtl w:val="true"/>
          <w:lang w:bidi="ar-SA"/>
        </w:rPr>
        <w:t>ویُقتل أولیاءُ الله، والله لو تهلکون ما عُبِدَ الله فی الأرضِ إلّا بالفَرْیِ علی الله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هذه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 اللفظی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یمصح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بمعنی یزول وینقطع</w:t>
      </w:r>
      <w:r>
        <w:rPr>
          <w:rStyle w:val="FootnoteAnchor"/>
          <w:rtl w:val="true"/>
        </w:rPr>
        <w:footnoteReference w:id="514"/>
      </w:r>
      <w:r>
        <w:rPr>
          <w:rFonts w:ascii="IRNazanin" w:hAnsi="IRNazanin" w:eastAsia="IRNazanin"/>
          <w:color w:val="111111"/>
          <w:sz w:val="28"/>
          <w:sz w:val="28"/>
          <w:szCs w:val="28"/>
          <w:rtl w:val="true"/>
          <w:lang w:bidi="fa-IR"/>
        </w:rPr>
        <w:t>، وکان باستطاعته أن یأتی بلفظة مألوفة مرادفة لها تعبّر عن الدلالة نفسها لکنه اختار هذه اللفظة لیُعبّر عن دلالة إیحائیة یجدها فیها، ربَّما لا یُعبِّر عنها غیرها، نظراً لما تحتویه من أصوات موحیة فی سیاقها، وهو التعبیر عن انقطاع الحقِّ الذی کان المختار یجده فی نفسه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یمیل المختار إلی اختیار الألفاظ الغریبة فی بعض خُطبه ورسائله، لیُضفی علیها طابعاً أُسلوبیاً غایته جذب المتلقّی نحوه والتأثیر فیه، وهو لم یخرج به عن شرائط الفصاحة اللفظیة المعتمدة</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5013_35378"/>
      <w:bookmarkStart w:id="227" w:name="pg5013_35378"/>
      <w:bookmarkEnd w:id="227"/>
    </w:p>
    <w:p>
      <w:pPr>
        <w:pStyle w:val="Heading3"/>
        <w:numPr>
          <w:ilvl w:val="2"/>
          <w:numId w:val="1"/>
        </w:numPr>
        <w:rPr/>
      </w:pPr>
      <w:bookmarkStart w:id="228" w:name="pg5013_35378"/>
      <w:bookmarkStart w:id="229" w:name="__RefHeading___Toc507751_774463916"/>
      <w:bookmarkStart w:id="230" w:name="_Toc77"/>
      <w:bookmarkEnd w:id="228"/>
      <w:bookmarkEnd w:id="229"/>
      <w:r>
        <w:rPr>
          <w:rtl w:val="true"/>
        </w:rPr>
        <w:t xml:space="preserve">المبحث الثانی </w:t>
      </w:r>
      <w:r>
        <w:rPr>
          <w:rtl w:val="true"/>
        </w:rPr>
        <w:t>:</w:t>
      </w:r>
      <w:r>
        <w:rPr>
          <w:rtl w:val="true"/>
        </w:rPr>
        <w:t>الاستعمال والقصد</w:t>
      </w:r>
      <w:bookmarkEnd w:id="230"/>
    </w:p>
    <w:p>
      <w:pPr>
        <w:pStyle w:val="Heading4"/>
        <w:numPr>
          <w:ilvl w:val="3"/>
          <w:numId w:val="1"/>
        </w:numPr>
        <w:rPr/>
      </w:pPr>
      <w:bookmarkStart w:id="231" w:name="__RefHeading___Toc507753_774463916"/>
      <w:bookmarkStart w:id="232" w:name="_Toc78"/>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 xml:space="preserve">لعلَّ الجاحظ هو أوَّل العلماء الذین عوَّلوا علی مسألة استعمال اللفظة المناسبة لمعناها، فذکر أنَّه متی شاکل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معناه، وأعرب عن فحواه، وکان لتلک الحال وفقاً، ولذلک القدر لِفقاً، وخرج من سماجة الاستکراه، وسلم من فساد التکلَّف، کان قمیناً بحسن الموقع، وبانتفاع المستمع</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نبَّه ابن جنّی إلی أهمیة استعمال اللفظة الملائمة للمعنی وأثرها فی داخل السیاق</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عنیت الدراسات الأُسلوبیة الحدیثة بمسألة الاستعمال اللفظی التی عرض لها القدماء، ونالتْ منهم کثیراً من الاهتمام، حتی کانت هذه العملیة مکوناً أساسیاً من عملیة التشکیل الأُسلوبی، وهی فی جوهرها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شکل تعبیری واحد من بین مجموعة أبدال متاحة</w:t>
      </w:r>
      <w:r>
        <w:rPr>
          <w:rStyle w:val="FootnoteAnchor"/>
          <w:rtl w:val="true"/>
        </w:rPr>
        <w:footnoteReference w:id="517"/>
      </w:r>
      <w:r>
        <w:rPr>
          <w:rFonts w:ascii="IRNazanin" w:hAnsi="IRNazanin" w:eastAsia="IRNazanin"/>
          <w:color w:val="111111"/>
          <w:sz w:val="28"/>
          <w:sz w:val="28"/>
          <w:szCs w:val="28"/>
          <w:rtl w:val="true"/>
          <w:lang w:bidi="fa-IR"/>
        </w:rPr>
        <w:t>، وبهذا یکون الاختیار القصدی والدلالی لکلمات معینة هو الذی یحدد سمة الأُسلوب؛ لأنَّ الصیاغة اللغویة والفنیة للأُسلوب إنَّما تبتدئ من اختیار اللفظة واستعمالها</w:t>
      </w:r>
      <w:r>
        <w:rPr>
          <w:rStyle w:val="FootnoteAnchor"/>
          <w:rtl w:val="true"/>
        </w:rPr>
        <w:footnoteReference w:id="518"/>
      </w:r>
      <w:r>
        <w:rPr>
          <w:rFonts w:ascii="IRNazanin" w:hAnsi="IRNazanin" w:eastAsia="IRNazanin"/>
          <w:color w:val="111111"/>
          <w:sz w:val="28"/>
          <w:sz w:val="28"/>
          <w:szCs w:val="28"/>
          <w:rtl w:val="true"/>
          <w:lang w:bidi="fa-IR"/>
        </w:rPr>
        <w:t xml:space="preserve">، لذا کان علی المنشئ أن یختار من الألفاظ ما یناسب المعنی </w:t>
      </w:r>
      <w:bookmarkStart w:id="233" w:name="pg5013_35379"/>
    </w:p>
    <w:p>
      <w:pPr>
        <w:pStyle w:val="BookText"/>
        <w:rPr/>
      </w:pPr>
      <w:bookmarkEnd w:id="233"/>
      <w:r>
        <w:rPr>
          <w:rFonts w:ascii="IRNazanin" w:hAnsi="IRNazanin" w:eastAsia="IRNazanin"/>
          <w:color w:val="111111"/>
          <w:sz w:val="28"/>
          <w:sz w:val="28"/>
          <w:szCs w:val="28"/>
          <w:rtl w:val="true"/>
          <w:lang w:bidi="fa-IR"/>
        </w:rPr>
        <w:t xml:space="preserve">الذی یُرید توصیله إلی المتلقی؛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الکلام مَن اجتهد منشِئه فی ترتیب مبانیه وتدقیق معانیه، حتی یهدی القارئ إلی ما أودعه فیه من الخواطر ولطائف المعانی</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تمیَّز النثر الفنی فی هاتین الحِقبتین بسمة الاستعمال القصدی للألفاظ ذات القیمة الدلالیة المؤثرة فی سیاقها التعبیری من خلال اختیارها، وعندها یقوم الاختیار الأُسلوبی فی هذا الصدد علی أساسین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اللفظة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فی أداء وظیفتها ألفاظاً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اللفظة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تتمیَّز ببنیة وظیفیة معیَّنة تمکّنها من دقَّة التعبیر عن المعنی المراد منها</w:t>
      </w:r>
      <w:r>
        <w:rPr>
          <w:rFonts w:eastAsia="IRNazanin" w:cs="IRNazanin"/>
          <w:color w:val="111111"/>
          <w:sz w:val="28"/>
          <w:szCs w:val="28"/>
          <w:rtl w:val="true"/>
          <w:lang w:bidi="fa-IR"/>
        </w:rPr>
        <w:t>:</w:t>
      </w:r>
    </w:p>
    <w:p>
      <w:pPr>
        <w:pStyle w:val="Heading4"/>
        <w:numPr>
          <w:ilvl w:val="3"/>
          <w:numId w:val="1"/>
        </w:numPr>
        <w:rPr/>
      </w:pPr>
      <w:bookmarkStart w:id="234" w:name="__RefHeading___Toc507755_774463916"/>
      <w:bookmarkStart w:id="235" w:name="_Toc79"/>
      <w:bookmarkEnd w:id="234"/>
      <w:r>
        <w:rPr>
          <w:rtl w:val="true"/>
        </w:rPr>
        <w:t>أولاً</w:t>
      </w:r>
      <w:r>
        <w:rPr>
          <w:rtl w:val="true"/>
        </w:rPr>
        <w:t xml:space="preserve">: </w:t>
      </w:r>
      <w:r>
        <w:rPr>
          <w:rtl w:val="true"/>
        </w:rPr>
        <w:t>استعمال الاسم</w:t>
      </w:r>
      <w:bookmarkEnd w:id="235"/>
    </w:p>
    <w:p>
      <w:pPr>
        <w:pStyle w:val="Heading5"/>
        <w:numPr>
          <w:ilvl w:val="4"/>
          <w:numId w:val="1"/>
        </w:numPr>
        <w:rPr/>
      </w:pPr>
      <w:bookmarkStart w:id="236" w:name="__RefHeading___Toc507757_774463916"/>
      <w:bookmarkStart w:id="237" w:name="_Toc80"/>
      <w:bookmarkEnd w:id="236"/>
      <w:r>
        <w:rPr>
          <w:rtl w:val="true"/>
        </w:rPr>
        <w:t>اشارة</w:t>
      </w:r>
      <w:bookmarkEnd w:id="2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اللغویون إلی أنّ الاسم یُفید معنی الثبوت؛ والسرُّ فی ذلک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مُقیَّد بزمن من الأزمنة، فهو أشمل وأعمّ وأثبت</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ومن هذا المنطلق کان علی المنشئ أنْ یستعمل صیغة الاسم، لیُعبّر بها عن ثبوت المعنی الذی یُریده، فضلاً عن أنَّ الاسم یُعبَّر به عن معانٍ ربَّما لا یُعبّر عنها غیره، کالتعریف، والتنکیر، والتأنیث والتذکیر، والجمع وغیرها</w:t>
      </w:r>
      <w:r>
        <w:rPr>
          <w:rStyle w:val="FootnoteAnchor"/>
          <w:rtl w:val="true"/>
        </w:rPr>
        <w:footnoteReference w:id="521"/>
      </w:r>
      <w:r>
        <w:rPr>
          <w:rFonts w:ascii="IRNazanin" w:hAnsi="IRNazanin" w:eastAsia="IRNazanin"/>
          <w:color w:val="111111"/>
          <w:sz w:val="28"/>
          <w:sz w:val="28"/>
          <w:szCs w:val="28"/>
          <w:rtl w:val="true"/>
          <w:lang w:bidi="fa-IR"/>
        </w:rPr>
        <w:t>، ویتخذ الاسم أشکالاً مختلفةً سوف نعرض لطائفة منها وبحسب التوظیف الأُسلوبی لها من المنشئ، وعلی وفق مبدأ الاختیار والقصد لهذه الصیغة أو تلک، علی أساس أنَّ للصیغ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رفیة مؤشرات أُسلوبیة من حیث مناسبة إحداهما دون الأُخری بمعناها فیتمُّ اختیارها من دون الأخری</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238" w:name="pg5013_35380"/>
    </w:p>
    <w:p>
      <w:pPr>
        <w:pStyle w:val="Heading5"/>
        <w:numPr>
          <w:ilvl w:val="4"/>
          <w:numId w:val="1"/>
        </w:numPr>
        <w:rPr/>
      </w:pPr>
      <w:bookmarkStart w:id="239" w:name="__RefHeading___Toc507759_774463916"/>
      <w:bookmarkStart w:id="240" w:name="_Toc81"/>
      <w:bookmarkEnd w:id="238"/>
      <w:bookmarkEnd w:id="239"/>
      <w:r>
        <w:rPr/>
        <w:t>1</w:t>
      </w:r>
      <w:r>
        <w:rPr>
          <w:rtl w:val="true"/>
        </w:rPr>
        <w:t xml:space="preserve">- </w:t>
      </w:r>
      <w:r>
        <w:rPr>
          <w:rtl w:val="true"/>
        </w:rPr>
        <w:t>استعمال اسم الفاعل</w:t>
      </w:r>
      <w:bookmarkEnd w:id="240"/>
    </w:p>
    <w:p>
      <w:pPr>
        <w:pStyle w:val="BookText"/>
        <w:rPr/>
      </w:pPr>
      <w:r>
        <w:rPr>
          <w:rFonts w:ascii="IRNazanin" w:hAnsi="IRNazanin" w:eastAsia="IRNazanin"/>
          <w:color w:val="111111"/>
          <w:sz w:val="28"/>
          <w:sz w:val="28"/>
          <w:szCs w:val="28"/>
          <w:rtl w:val="true"/>
          <w:lang w:bidi="fa-IR"/>
        </w:rPr>
        <w:t>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الاسم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یُصاغ للدلالة علی الحدث، ومَن قام به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اختلف النحاة فی بناء اسم الفاعل للفعل الثلاثی، فذهب بعضهم إلی أنَّ له بناءً واحداً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 وذهب بعضهم الآخر إلی أنَّ لاسم الفاعل أبنیةٌ متعدِّدة وإنَّ بناء فاعل یکون قیاسیاً</w:t>
      </w:r>
      <w:r>
        <w:rPr>
          <w:rStyle w:val="FootnoteAnchor"/>
          <w:rtl w:val="true"/>
        </w:rPr>
        <w:footnoteReference w:id="525"/>
      </w:r>
      <w:r>
        <w:rPr>
          <w:rFonts w:ascii="IRNazanin" w:hAnsi="IRNazanin" w:eastAsia="IRNazanin"/>
          <w:color w:val="111111"/>
          <w:sz w:val="28"/>
          <w:sz w:val="28"/>
          <w:szCs w:val="28"/>
          <w:rtl w:val="true"/>
          <w:lang w:bidi="fa-IR"/>
        </w:rPr>
        <w:t>، أمَّا صیاغة اسم الفاعل للثلاثی المزید، فهو علی صورة واحدة فی جمیع الأفعال، وهی علی صورة المضارع المبنی للمعلوم مع أبدال حرف المضارعة میماً مضمومة وکسر ما قبل آخره إنْ کان مفتوحاً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استعمال اسم الفاعل راجعٌّ إلی ما یُمیّز دلالته من جمعها بین سمات کلٍّ من الفعل والاسم معاً، فقد اتَّفق النُّحاة علی أنَّ اسم الفاعل یدلُّ علی التجدُّد والحدوث</w:t>
      </w:r>
      <w:r>
        <w:rPr>
          <w:rStyle w:val="FootnoteAnchor"/>
          <w:rtl w:val="true"/>
        </w:rPr>
        <w:footnoteReference w:id="527"/>
      </w:r>
      <w:r>
        <w:rPr>
          <w:rFonts w:ascii="IRNazanin" w:hAnsi="IRNazanin" w:eastAsia="IRNazanin"/>
          <w:color w:val="111111"/>
          <w:sz w:val="28"/>
          <w:sz w:val="28"/>
          <w:szCs w:val="28"/>
          <w:rtl w:val="true"/>
          <w:lang w:bidi="fa-IR"/>
        </w:rPr>
        <w:t xml:space="preserve">، کما هو الشأن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ذهبَ أبو زکریا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جعله قسیماً ثالثاً للفعل الماضی والمضارع، وسمَّاه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الدائم</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 وقد یدلُّ علی معنی الثبوت کما هو الشأن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ذهب أبو 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أنَّه یدلُّ علی الثبوت</w:t>
      </w:r>
      <w:r>
        <w:rPr>
          <w:rStyle w:val="FootnoteAnchor"/>
          <w:rtl w:val="true"/>
        </w:rPr>
        <w:footnoteReference w:id="529"/>
      </w:r>
      <w:r>
        <w:rPr>
          <w:rFonts w:ascii="IRNazanin" w:hAnsi="IRNazanin" w:eastAsia="IRNazanin"/>
          <w:color w:val="111111"/>
          <w:sz w:val="28"/>
          <w:sz w:val="28"/>
          <w:szCs w:val="28"/>
          <w:rtl w:val="true"/>
          <w:lang w:bidi="fa-IR"/>
        </w:rPr>
        <w:t>، مخالفاً بذلک جمیع النحاة الذین یتَّفقون علی دلالة الحدوث فی اسم الفاعل</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الأمر مثار خلاف فی الدراسات اللغویة الحدیثة، فوافق بعضهم علی تقسیم الکوفیین</w:t>
      </w:r>
      <w:r>
        <w:rPr>
          <w:rStyle w:val="FootnoteAnchor"/>
          <w:rtl w:val="true"/>
        </w:rPr>
        <w:footnoteReference w:id="531"/>
      </w:r>
      <w:r>
        <w:rPr>
          <w:rFonts w:ascii="IRNazanin" w:hAnsi="IRNazanin" w:eastAsia="IRNazanin"/>
          <w:color w:val="111111"/>
          <w:sz w:val="28"/>
          <w:sz w:val="28"/>
          <w:szCs w:val="28"/>
          <w:rtl w:val="true"/>
          <w:lang w:bidi="fa-IR"/>
        </w:rPr>
        <w:t xml:space="preserve">فی حین وضعه آخرون بقسم خاص، وجمعوه تحت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لتلک الطبیعة المزدوجة لاسم الفاعل بأن صار مشترکاً بین الدلالة علی التجدّد والحدوث من زاویة النظر إلیه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الدلالة علی الثبوت من زاویة النظر إلیه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هذا المعنی المزدوج فیه جاء توظیف صیغته فی بعض خُطب الحِقبتین، کما فی خُطبة سلیمان بن صُرَدْ الخزاعی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أیّها الناس، فإنّ الله قد علم ما تنوون، وما خرجتم تطلبون، وإنَّ للدنیا تجاراً، وللآخرة تجاراً، فأمّا تاجر الآخرة فساعٍ إلیها، منتصب بتطْلابها، لا یشتری بها ثمناً، لا یُری إلّا قائماً وقاعداً، وراکعاً وساجداً، لا یطلب ذهباً ولا فضَّة، ولا دنیا ولا لذَّة، وأمَّا تاجر الدنیا، فمکبٌّ علیها راتعٌ فیها، لا یبتغی بها بدلاً، فعلیکم یرحمکم الله فی وجهِکم هذا بطول الصلاة فی جوف اللیل، وبذکر الله کثیراً علی کلّ حال، وتقرَّبوا إلی الله جلَّ ذکره بکلّ خیرٍ قدرتم علیه، حتی تلقَوا هذا العدوّ والمُحلَّ القاسط فتجاهدوه، فإنّکم لن تتوسَّلوا إلی ربّکم بشیء هو أعظم عنده ثواباً من الجهاد والصَّلاة، فإنَّ الجهاد سنامُ العمل، جعلنا الله وإیّاکم من العباد الصالحین </w:t>
      </w:r>
    </w:p>
    <w:p>
      <w:pPr>
        <w:pStyle w:val="BookText"/>
        <w:rPr/>
      </w:pPr>
      <w:r>
        <w:rPr>
          <w:rFonts w:ascii="Amiri" w:hAnsi="Amiri" w:eastAsia="Amiri" w:cs="Amiri"/>
          <w:color w:val="111111"/>
          <w:sz w:val="28"/>
          <w:sz w:val="28"/>
          <w:szCs w:val="28"/>
          <w:rtl w:val="true"/>
          <w:lang w:bidi="ar-SA"/>
        </w:rPr>
        <w:t>المجاهدین الصابرین علی الّلأواء، وإنّا مُدْلِجون</w:t>
      </w:r>
      <w:r>
        <w:rPr>
          <w:rStyle w:val="FootnoteAnchor"/>
          <w:rtl w:val="true"/>
        </w:rPr>
        <w:footnoteReference w:id="533"/>
      </w:r>
      <w:r>
        <w:rPr>
          <w:rFonts w:ascii="IRNazanin" w:hAnsi="IRNazanin" w:eastAsia="IRNazanin"/>
          <w:color w:val="111111"/>
          <w:sz w:val="28"/>
          <w:sz w:val="28"/>
          <w:szCs w:val="28"/>
          <w:rtl w:val="true"/>
          <w:lang w:bidi="fa-IR"/>
        </w:rPr>
        <w:t>اللیلة مِن منزلنا هذا إنْ شاء الله فأدلجوا</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استعمل صیغة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خُطبته قصداً، لمِا تحمله من الصفات المزدوجة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التَّجدُّد أو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وعندها کانت المیزة الأُسلوبیة فی التعبیر باسم الفاعل مکرَّراً؛ ذلک أنّ صفات المؤمنین والکافرین تتجدّد ویتکرّر حدوثها، وهی ثابتة فیهم بتعاقب الأیّام، ثبوتاً أکیداً، فطلاب الآخرة ساعون إلیها راغبون فیها، وأمّا طلاب الدنیا، فهم یلهثون وراءها طالبین حطامها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نقف علی الأثر الأُسلوبی والفنّی الذی أدّته صیغة اسم الفاعل فی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تم توظیفها من المنشئ علی أحسن ما یکون، لکی تدلّ تلک الصیغة الواحدة بما جمعت من التجدد والثبوت علی تلک المقابلة المقصودة بین طلاب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وطلاب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یترتب علیها من تجدُّد فی تلک الصفات أو ثبوتها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استعمال صیغة اسم الفاعل من الفعل غیر الثلاثی فی کتاب سعد بن حذیفة إلی ابن صُرَدْ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إلی سلیمان بن صُرَدْ، من سعد بن حذیفة ومن قِبله من المؤمنین، سلامٌ علیکم، أمَّا بعدُ، فقد قرأنا کتابَک، وفهِمنا الذی دعوتنا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هُدیتَ لحظّک، 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لرشدک، ونحن جادّون مجدّون، معِدّون مسْرجون مُلجمون ننتظر الأمر، ونستمع الداعی</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قصد المرسِل إلی استعمال صیغة اسم الفاعل مع تکرارها؛ وذلک لأنّ التعبیر بها یدلُّ علی ثبات أو تجدُّد الوصف الذی أراده المرسِل، فهو وأصحابه علی أُهبة الاستعداد متهیئون للخروج، وهی صفة ثابتة ومتجدِّدة فیهم لا یحیدون عنها، وجاء تکرار هذه الصیغة لیدلّ علی تکرار التجدُّد والثبات فی صفة الاستعداد والتأهّب، وأنّ اختیار التعبیر باسم الفاعل من دون اختیار صیغة الفعل مثلاً، وذلک له أسبابه؛ لأنَّ اسم الفاعل أکثر حدّة ومباشرة من الفعل فی صیغة الماضی أو المضارع، علاوة علی ذلک فإنّ اسم الفاعل یُفید الإطلاق والاستمرار</w:t>
      </w:r>
      <w:r>
        <w:rPr>
          <w:rStyle w:val="FootnoteAnchor"/>
          <w:rtl w:val="true"/>
        </w:rPr>
        <w:footnoteReference w:id="536"/>
      </w:r>
      <w:r>
        <w:rPr>
          <w:rFonts w:ascii="Amiri" w:hAnsi="Amiri" w:eastAsia="Amiri" w:cs="Amiri"/>
          <w:color w:val="111111"/>
          <w:sz w:val="28"/>
          <w:sz w:val="28"/>
          <w:szCs w:val="28"/>
          <w:rtl w:val="true"/>
          <w:lang w:bidi="ar-SA"/>
        </w:rPr>
        <w:t>، فی حین یتقیَّد الفعل بزمان محدَّد</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السیاق تتَّضح الخاصیة الأُسلوبیة لاختیار هذه الصیغة واستعمالها عن غیرها فی 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استعمال صیغة اسم الفاعل فی خُطبة المختار بعد هرب ابن مطیع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فسمعنا دعوة الداعی، ومقالة الواعی، فکم من ناعٍ وناعیة، لقتلی فی الواعیة، وبُعداً لمَن طغی</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وقع الاختیار لهذه الصیغة لما تحمله من صفات الثبوت أو التجدّد، فذلک لکونها تحمل الخصائص الاسمیة والفعلیة فی آن واحد، ولعلّ السبب یکون ثانویاً بالنسبة إلی الخطیب، أمّا السبب الرئیس لاختیار هذه الصیغة هو لأجل إقامة السجع والتوازن بین فقرات الکلام، وهو سبب فنّی أکثر ممّا هو سبب لغوی، وعموماً أکان هذا السبب أم ذاک، فقد استطاع الخطیب أن یستثمر هذه الصیغة، فیوصل الأفکار إلی ذهن المتلقّی من خلال التقابل بین إیراداته واستعمالاته</w:t>
      </w:r>
      <w:r>
        <w:rPr>
          <w:rFonts w:eastAsia="IRNazanin" w:cs="IRNazanin"/>
          <w:color w:val="111111"/>
          <w:sz w:val="28"/>
          <w:szCs w:val="28"/>
          <w:rtl w:val="true"/>
          <w:lang w:bidi="fa-IR"/>
        </w:rPr>
        <w:t xml:space="preserve">. </w:t>
      </w:r>
      <w:bookmarkStart w:id="241" w:name="pg5013_35384"/>
    </w:p>
    <w:p>
      <w:pPr>
        <w:pStyle w:val="Heading5"/>
        <w:numPr>
          <w:ilvl w:val="4"/>
          <w:numId w:val="1"/>
        </w:numPr>
        <w:rPr/>
      </w:pPr>
      <w:bookmarkStart w:id="242" w:name="__RefHeading___Toc507761_774463916"/>
      <w:bookmarkStart w:id="243" w:name="_Toc82"/>
      <w:bookmarkEnd w:id="241"/>
      <w:bookmarkEnd w:id="242"/>
      <w:r>
        <w:rPr/>
        <w:t>2</w:t>
      </w:r>
      <w:r>
        <w:rPr>
          <w:rtl w:val="true"/>
        </w:rPr>
        <w:t xml:space="preserve">- </w:t>
      </w:r>
      <w:r>
        <w:rPr>
          <w:rtl w:val="true"/>
        </w:rPr>
        <w:t>استعمال اسم المفعول</w:t>
      </w:r>
      <w:bookmarkEnd w:id="243"/>
    </w:p>
    <w:p>
      <w:pPr>
        <w:pStyle w:val="BookText"/>
        <w:rPr/>
      </w:pPr>
      <w:r>
        <w:rPr>
          <w:rFonts w:ascii="IRNazanin" w:hAnsi="IRNazanin" w:eastAsia="IRNazanin"/>
          <w:color w:val="111111"/>
          <w:sz w:val="28"/>
          <w:sz w:val="28"/>
          <w:szCs w:val="28"/>
          <w:rtl w:val="true"/>
          <w:lang w:bidi="fa-IR"/>
        </w:rPr>
        <w:t>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الاسم الذی یُصاغ للدلالة علی الحدث ومَن وقع علیه</w:t>
      </w:r>
      <w:r>
        <w:rPr>
          <w:rStyle w:val="FootnoteAnchor"/>
          <w:rtl w:val="true"/>
        </w:rPr>
        <w:footnoteReference w:id="539"/>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یفترق عن اسم الفاعل إلّا فی الدلالة علی الموصوف، فإنَّه فی اسم الفاعل یدلُّ علی ذات الفاعل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اسم المفعول یدلُّ علی ذات المفعول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ویُصاغ اسم المفعول من الفعل الثلاثی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ویُصاغ من غیر الثلاثی علی زنة مضارعه المبنی للمجهول، بإبدال حرف المضارعة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مضمومة وفتح ما قبل الآخر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السِمة الأُسلوبیة فی اختیار اسم المفعول واستعماله فی الکلام،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فیه ما قیل فی اسم الفاعل من حیث دلالته علی الحدوث والثبوت، فهو یدلّ علی الثبوت إذا ما قیس بالفعل، وعلی الحدوث إذا ما قیس بالصفة المشبهة</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 وهناک صیغ أُخر تدلُّ علی اسم المفعول کصیغة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وسنقف عندها لبیان وظیفتها الأُسلوبیة من خلال استعمالها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استعمال اسم المفعول بصیغتیه المعروفتین فی خُطبة رفاعة بن شداد البجلی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قد هداک لأصوَب القَوْلِ، ودعوتَ إلی أرشَدِ الأُمورِ، بدأت بحمدِ الله والثّناء علیه، والصلاة علی نبیه صلّی الله علیه وسلّم، ودعوتَ إلی جهاد الفاسقین وإلی التوبة من الذنب العظیم، فمسموعٌ منک، مستجابٌ لک، مقبولٌ قولُک،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أمرَکم رجلاً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تکنْ أنتَ ذلک الرجل تکنْ عندنا مرضیّاً، وفینا مُتَنَصّحاً وفی </w:t>
      </w:r>
    </w:p>
    <w:p>
      <w:pPr>
        <w:pStyle w:val="BookText"/>
        <w:rPr/>
      </w:pPr>
      <w:r>
        <w:rPr>
          <w:rFonts w:ascii="IRNazanin" w:hAnsi="IRNazanin" w:eastAsia="IRNazanin"/>
          <w:color w:val="111111"/>
          <w:sz w:val="28"/>
          <w:sz w:val="28"/>
          <w:szCs w:val="28"/>
          <w:rtl w:val="true"/>
          <w:lang w:bidi="fa-IR"/>
        </w:rPr>
        <w:t>جماعتنا مُحباً، وإنْ رأیت ورأی أصحابُنا ذلک ولّیْنا هذا الأمرَ شیخَ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السابقة والقِدَم سلیمان بن صُرَد المحمود فی بأسه ودینه، والموثوق بحزمه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قصد الخطیب استعمال اسم المفعول بصیغتیه إذ جاء به من الفعل الثلاثی ومن الفعل المزید علیه، فأمّا المُصاغ من الثلاثی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مسموع، مقبول، مرضیّ، المحمود، الموثوق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من غیر الثلاثی، فکان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مستجاب، متنصّحاً، محبّاً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فاستعمال اسم المفعول له ما یُسوغه فی هذا المقام؛ ذلک أنّه یدلّ علی الثبوت فی الزمن فهو کالصفة المشبَّهة </w:t>
      </w:r>
      <w:r>
        <w:rPr>
          <w:rStyle w:val="FootnoteAnchor"/>
          <w:rtl w:val="true"/>
        </w:rPr>
        <w:footnoteReference w:id="544"/>
      </w:r>
      <w:r>
        <w:rPr>
          <w:rFonts w:ascii="IRNazanin" w:hAnsi="IRNazanin" w:eastAsia="IRNazanin"/>
          <w:color w:val="111111"/>
          <w:sz w:val="28"/>
          <w:sz w:val="28"/>
          <w:szCs w:val="28"/>
          <w:rtl w:val="true"/>
          <w:lang w:bidi="fa-IR"/>
        </w:rPr>
        <w:t>، وهذا ما یلائم الثبوت والدوام والاستمرار فی الطاعة والقبول، وأدّی هذا الاختیار بالصیغة وتکرارها المعنی بأوجز ما یمکن أن یکون، لیحقّق الغرض بطریقة یسیرة، فإذا ما علمنا أنّ اسم المفعول هو الذی یُصاغ للدلالة علی الحدث، ومَن وقع علیه</w:t>
      </w:r>
      <w:r>
        <w:rPr>
          <w:rStyle w:val="FootnoteAnchor"/>
          <w:rtl w:val="true"/>
        </w:rPr>
        <w:footnoteReference w:id="545"/>
      </w:r>
      <w:r>
        <w:rPr>
          <w:rFonts w:ascii="IRNazanin" w:hAnsi="IRNazanin" w:eastAsia="IRNazanin"/>
          <w:color w:val="111111"/>
          <w:sz w:val="28"/>
          <w:sz w:val="28"/>
          <w:szCs w:val="28"/>
          <w:rtl w:val="true"/>
          <w:lang w:bidi="fa-IR"/>
        </w:rPr>
        <w:t>أدرکنا مدی الطاعة والاستجابة اللّتین کشف عنهما المنشئ، بکونه فرداً من هؤلاء التوّابین؛ لأنّهما الهاجس الوحید الذی یدور فی خلده، لاختیار قائد لهم، یقودهم فی حرکتهم وقتالهم، فجاء بصیغة اسم المفعول لما تمتلکه من هذه الخصائص المنسجمة فی أداء المقصود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الاختیار فی خُطب ورسائل هاتین الحِقبتین، لصیغ أُخری تدلّ علی اسم المفعول واستعمالها، لکنَّها لا تبلغ من الکثرة بقدر ما هی علیه الصیغتان المعروفتان، وإنَّما جاء اختیارها لتؤدّی أغراضاً أُسلوبیة ووظیفیة لا تستطیع الصیغتان المذکورتان التعبیر عنها، فجاء استعمالها علی وفق مقتضیات المقام، وإمکانات الأحوال، ومن هذه </w:t>
      </w:r>
    </w:p>
    <w:p>
      <w:pPr>
        <w:pStyle w:val="BookText"/>
        <w:rPr/>
      </w:pPr>
      <w:r>
        <w:rPr>
          <w:rFonts w:ascii="IRNazanin" w:hAnsi="IRNazanin" w:eastAsia="IRNazanin"/>
          <w:color w:val="111111"/>
          <w:sz w:val="28"/>
          <w:sz w:val="28"/>
          <w:szCs w:val="28"/>
          <w:rtl w:val="true"/>
          <w:lang w:bidi="fa-IR"/>
        </w:rPr>
        <w:t>الصیغ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یستعمل بمعنی مفعول،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قتیل، وجریح، وکسیر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ذکر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البناء سماعی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یستوی فیه المذکر والمؤنث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بعضهم یزعم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فی کلِّ فعل لیس له فعیل بمعنی فاعل کجریح، فإن کان للفعل فعیل بمعنی فاعل لم یَنُبْ قیاساً،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الطبیعی أن یکون لهذه الصیغة وظائف تتفرَّد بها لا تؤدّیها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وإلّا لم یقع اختیارها من دون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استنتج الدکتور فاضل السامرائی من خلال النصوص الواردة عن النحاة القدماء،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عن مفعول فی ثلاثة أُمور من حیث الثبوت والاتصاف والشدّة</w:t>
      </w:r>
      <w:r>
        <w:rPr>
          <w:rStyle w:val="FootnoteAnchor"/>
          <w:rtl w:val="true"/>
        </w:rPr>
        <w:footnoteReference w:id="547"/>
      </w:r>
      <w:r>
        <w:rPr>
          <w:rFonts w:ascii="IRNazanin" w:hAnsi="IRNazanin" w:eastAsia="IRNazanin"/>
          <w:color w:val="111111"/>
          <w:sz w:val="28"/>
          <w:sz w:val="28"/>
          <w:szCs w:val="28"/>
          <w:rtl w:val="true"/>
          <w:lang w:bidi="fa-IR"/>
        </w:rPr>
        <w:t>، وبذلک یتبیّن السمة الأُسلوبیة فی استعمال هذه الصیغة بدلاً من الصیغة المعروفة، ویمکن الوقوف عند ذلک کما فی خُطبة سلیمان بن صُرَدْ الخزاعی حینما خاطب قومه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مُدْبِراً، ولا تُجهزُوا علی جَریح، ولا تَقتلوا أسیراً مِن أهل دَعوتِکم</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استعمل الخطیب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لیُعبّر بها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صیغته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جریح، وأسیر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للتعبیر عن ثبوت هذه الصفات بصاحبها؛ لأنَّه لا یُقال جریح إلّا إذا جُرِحَ بالفعل، ولا یقال أسیر إلّا إذا أُسِرَ، فی حین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تُطلق علی ما اتصف به صاحبه أو لم یتصف به</w:t>
      </w:r>
      <w:r>
        <w:rPr>
          <w:rStyle w:val="FootnoteAnchor"/>
          <w:rtl w:val="true"/>
        </w:rPr>
        <w:footnoteReference w:id="549"/>
      </w:r>
      <w:r>
        <w:rPr>
          <w:rFonts w:ascii="IRNazanin" w:hAnsi="IRNazanin" w:eastAsia="IRNazanin"/>
          <w:color w:val="111111"/>
          <w:sz w:val="28"/>
          <w:sz w:val="28"/>
          <w:szCs w:val="28"/>
          <w:rtl w:val="true"/>
          <w:lang w:bidi="fa-IR"/>
        </w:rPr>
        <w:t>ولذلک آثر الخطیب اختیار هذه الصیغة فقصدها استعمالاً بدلاً من الصیغة المعروفة</w:t>
      </w:r>
      <w:r>
        <w:rPr>
          <w:rFonts w:eastAsia="IRNazanin" w:cs="IRNazanin"/>
          <w:color w:val="111111"/>
          <w:sz w:val="28"/>
          <w:szCs w:val="28"/>
          <w:rtl w:val="true"/>
          <w:lang w:bidi="fa-IR"/>
        </w:rPr>
        <w:t xml:space="preserve">. </w:t>
      </w:r>
      <w:bookmarkStart w:id="244" w:name="pg5013_35387"/>
    </w:p>
    <w:p>
      <w:pPr>
        <w:pStyle w:val="BookText"/>
        <w:rPr/>
      </w:pPr>
      <w:bookmarkEnd w:id="244"/>
      <w:r>
        <w:rPr>
          <w:rFonts w:ascii="IRNazanin" w:hAnsi="IRNazanin" w:eastAsia="IRNazanin"/>
          <w:color w:val="111111"/>
          <w:sz w:val="28"/>
          <w:sz w:val="28"/>
          <w:szCs w:val="28"/>
          <w:rtl w:val="true"/>
          <w:lang w:bidi="fa-IR"/>
        </w:rPr>
        <w:t>وجاءت کذلک فی رسالة المختار الثقفی إلی محمد بن الحنفیة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للمهدی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بعثنی نقمةً علی أعدائکم، فَهُم بین قتیلٍ وأسیرٍ وطریدٍ وشرید</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استعمل المنشئ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تدلُّ علی اسم المفعول، إذ جاء ذلک الاستعمال مشفوعاً بالتکرار لیُصوِّر حال أعدائه أدقّ تصویر؛ لأنّ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 میزات أُسلوبیة لا تؤدیها الصیغة المألوفة لاسم المفعول، فمن هذه المیزات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صیغة فعیل لها ظلالٌ وإیحاءاتٌ متعددةٌ، فهی تأتی للمبالغة، وتأتی صفة مشبهة، وتأتی مصدراً وغیر ذلک، فقد یکون السرُّ فی اختیارها هو الإفادة من ظلال تلک الصیغة المتعدّدة المعنی</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وکذلک فقد صوّر المختار الشدّة فی الاقتصاص من قتله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استثمار هذه الصیغة مع تکرارها،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یصلح إلّا حیث یکون معنی الحدث فیه أشدّ، وکان هذا الاستعمال ملمحاً أُسلوبیاً مقصوداً، فالاستعمال الدال لصیغة کلمة بذاتها مع تکرارها ظاهرة أُسلوبیة ملحوظة، تجذب تنبّه القارئ أو السامع نحو النص</w:t>
      </w:r>
      <w:r>
        <w:rPr>
          <w:rFonts w:eastAsia="IRNazanin" w:cs="IRNazanin"/>
          <w:color w:val="111111"/>
          <w:sz w:val="28"/>
          <w:szCs w:val="28"/>
          <w:rtl w:val="true"/>
          <w:lang w:bidi="fa-IR"/>
        </w:rPr>
        <w:t>.</w:t>
      </w:r>
    </w:p>
    <w:p>
      <w:pPr>
        <w:pStyle w:val="Heading5"/>
        <w:numPr>
          <w:ilvl w:val="4"/>
          <w:numId w:val="1"/>
        </w:numPr>
        <w:rPr/>
      </w:pPr>
      <w:bookmarkStart w:id="245" w:name="__RefHeading___Toc507763_774463916"/>
      <w:bookmarkStart w:id="246" w:name="_Toc83"/>
      <w:bookmarkEnd w:id="245"/>
      <w:r>
        <w:rPr/>
        <w:t>3</w:t>
      </w:r>
      <w:r>
        <w:rPr>
          <w:rtl w:val="true"/>
        </w:rPr>
        <w:t xml:space="preserve">- </w:t>
      </w:r>
      <w:r>
        <w:rPr>
          <w:rtl w:val="true"/>
        </w:rPr>
        <w:t>استعمال المصدر</w:t>
      </w:r>
      <w:bookmarkEnd w:id="24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استعمال صیغة المصدر فی الکلام له أسبابه التی تُسوّغه، فالمصدر هو الاسم الذی یدلّ علی الحدث مجرداً من الزمن</w:t>
      </w:r>
      <w:r>
        <w:rPr>
          <w:rStyle w:val="FootnoteAnchor"/>
          <w:rtl w:val="true"/>
        </w:rPr>
        <w:footnoteReference w:id="552"/>
      </w:r>
      <w:r>
        <w:rPr>
          <w:rFonts w:ascii="IRNazanin" w:hAnsi="IRNazanin" w:eastAsia="IRNazanin"/>
          <w:color w:val="111111"/>
          <w:sz w:val="28"/>
          <w:sz w:val="28"/>
          <w:szCs w:val="28"/>
          <w:rtl w:val="true"/>
          <w:lang w:bidi="fa-IR"/>
        </w:rPr>
        <w:t xml:space="preserve">، فهو یُمثل الحدث نفسه، بخلاف الفعل </w:t>
      </w:r>
    </w:p>
    <w:p>
      <w:pPr>
        <w:pStyle w:val="BookText"/>
        <w:rPr/>
      </w:pPr>
      <w:r>
        <w:rPr>
          <w:rFonts w:ascii="IRNazanin" w:hAnsi="IRNazanin" w:eastAsia="IRNazanin"/>
          <w:color w:val="111111"/>
          <w:sz w:val="28"/>
          <w:sz w:val="28"/>
          <w:szCs w:val="28"/>
          <w:rtl w:val="true"/>
          <w:lang w:bidi="fa-IR"/>
        </w:rPr>
        <w:t>الذی یتحدث عن الحدث</w:t>
      </w:r>
      <w:r>
        <w:rPr>
          <w:rStyle w:val="FootnoteAnchor"/>
          <w:rtl w:val="true"/>
        </w:rPr>
        <w:footnoteReference w:id="553"/>
      </w:r>
      <w:r>
        <w:rPr>
          <w:rFonts w:ascii="IRNazanin" w:hAnsi="IRNazanin" w:eastAsia="IRNazanin"/>
          <w:color w:val="111111"/>
          <w:sz w:val="28"/>
          <w:sz w:val="28"/>
          <w:szCs w:val="28"/>
          <w:rtl w:val="true"/>
          <w:lang w:bidi="fa-IR"/>
        </w:rPr>
        <w:t>، وهذا الفرق بین المصدر والفعل یُشیر إلی الاختلاف فی وظیفة کلّ منهما، فدلالة المصدر دلالة مطلقة غیر مقترنة بزمن، ودلالته علی الحدث تمنح التعبیر قوةً واتساعاً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الفعل فإنّه یقتضی تجدّد المعنی المثبت به شیئاً بعد شیء</w:t>
      </w:r>
      <w:r>
        <w:rPr>
          <w:rStyle w:val="FootnoteAnchor"/>
          <w:rtl w:val="true"/>
        </w:rPr>
        <w:footnoteReference w:id="554"/>
      </w:r>
      <w:r>
        <w:rPr>
          <w:rFonts w:ascii="IRNazanin" w:hAnsi="IRNazanin" w:eastAsia="IRNazanin"/>
          <w:color w:val="111111"/>
          <w:sz w:val="28"/>
          <w:sz w:val="28"/>
          <w:szCs w:val="28"/>
          <w:rtl w:val="true"/>
          <w:lang w:bidi="fa-IR"/>
        </w:rPr>
        <w:t>، وهذا ما یُفسّر لنا اختیار المصدر فی الکلام بدلاً من الفعل، وعندها یقوم المصدر مقام الفعل، فیمنح التعبیر قوّة لا یمکن للفعل أن یؤدّیها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وللمصدر صیغ متعدِّدة</w:t>
      </w:r>
      <w:r>
        <w:rPr>
          <w:rStyle w:val="FootnoteAnchor"/>
          <w:rtl w:val="true"/>
        </w:rPr>
        <w:footnoteReference w:id="555"/>
      </w:r>
      <w:r>
        <w:rPr>
          <w:rFonts w:ascii="IRNazanin" w:hAnsi="IRNazanin" w:eastAsia="IRNazanin"/>
          <w:color w:val="111111"/>
          <w:sz w:val="28"/>
          <w:sz w:val="28"/>
          <w:szCs w:val="28"/>
          <w:rtl w:val="true"/>
          <w:lang w:bidi="fa-IR"/>
        </w:rPr>
        <w:t>، فقد وقع توظیف بعضها علی مبدأ الاستعمال القصدی، من ذلک ما ورد فی رسالة سلیمان بن صُرَدْ إلی سعد بن حذیفة، وذلک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نَظَرَ إخوانکم وتدَبّروا عواقبَ ما استقبلوا رأوا أنْ قد خَطئوا بخذلان الزکیّ الطیّب وإسلامه وتَرْکِ مواساته، والنص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له، خطأً کبیراً لیس لَهم منه مخرجٌ ولا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 جُدَراءُ بتطْلاب الفضل، والتماس الأجْر، والتوبة إلی ربکم مِن الذنب، ولو کانَ فی ذلکَ حزّ الرقاب، وقتلُ الأولاد، واستیفاءُ الأموال، وهلاکُ العَشائر</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أورد المرسل صیغ المصادر وکرّر استعمالها؛ لیصف الأحداث بدقَّة وعنایة فائقة، ولأنّ الوصف بالمصدر یوجه کلّ دلالات مصدریته باتجاه الحدث لیس غیر، وبهذا یکشف لنا عن خفایا المعنی بأجلی صور؛ لأنّ المصدر هو ذات الحدث</w:t>
      </w:r>
      <w:r>
        <w:rPr>
          <w:rStyle w:val="FootnoteAnchor"/>
          <w:rtl w:val="true"/>
        </w:rPr>
        <w:footnoteReference w:id="557"/>
      </w:r>
      <w:r>
        <w:rPr>
          <w:rFonts w:ascii="IRNazanin" w:hAnsi="IRNazanin" w:eastAsia="IRNazanin"/>
          <w:color w:val="111111"/>
          <w:sz w:val="28"/>
          <w:sz w:val="28"/>
          <w:szCs w:val="28"/>
          <w:rtl w:val="true"/>
          <w:lang w:bidi="fa-IR"/>
        </w:rPr>
        <w:t xml:space="preserve">لذلک أتقن استعمال صیغ مصادره، عندما أراد أن یرکز علی الفعل نفسه من دون الترکیز علی </w:t>
      </w:r>
    </w:p>
    <w:p>
      <w:pPr>
        <w:pStyle w:val="BookText"/>
        <w:rPr/>
      </w:pPr>
      <w:r>
        <w:rPr>
          <w:rFonts w:ascii="IRNazanin" w:hAnsi="IRNazanin" w:eastAsia="IRNazanin"/>
          <w:color w:val="111111"/>
          <w:sz w:val="28"/>
          <w:sz w:val="28"/>
          <w:szCs w:val="28"/>
          <w:rtl w:val="true"/>
          <w:lang w:bidi="fa-IR"/>
        </w:rPr>
        <w:t>لوازمه الأُخر، وإمعاناً کذلک فی ترسیخ المعانی من منطلق أن الاسم هو أثبت من الفعل فی الدلالة علی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ذلک أیضاً جاء استعمال صیغ المصدر فی خُطبة عبید الله بن عبد الله المری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ویبلغکم ما اجتُرِم إلی ابن بنت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رأیتم إلی انتهاک القومِ حُرْمَتَه، واستضعافِهم وَحْدَتَه، وتَرْمِیلِهِم إیَّاه بالدّم، وَتَجْرارِهِمُوه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اتّخذوه للنَّبل غَرَضَاً، وغادروه للضّباع جَزَرَاً، فللّه عیناً مَنْ رأی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حسین بن علیّ، ماذا غادَرُوا به ذا صِدْقٍ وصَبْر، وذا أمانةٍ ونَجْدَة وحَزْم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فی هذا النص شیوع طائفة من صیغ المصادر المختلفة فی أوزانها، وقد آثر الخطیب استعمالها، لیُعبّر بها عن المعانی التی یروم تَوصیلها إلی ذهن السامع وجذب تنبّهه، فمثّل تکرارها مَلمَحاً أُسلوبیاً واضحاً أراد به الخطیب التعبیر عن ثبوت المعانی وإطلاقها، فضلاً عن القوَّة والشدَّة فی وصف الحال التی کان علیها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جری علیه من النوائب من أعدائه، من منطلق أنّ المصدر یدلّ دلالة مطلقة علی الحدث، لیمنح التعبیر قوّةً واتساعاً، فأراد الخطیب أن یصف الشدَّة والقسوة، فی هتک حرمة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وجرّه علی الأرض وسلبه، فعبَّر عن ذلک بما ناسب تلک الأحوال بأدوات لغویة تدلّ علی العموم والاستغراق، فکان الاختیار واقعاً علی المصادر، وکان هو السبب نفسه فی استعمال صیغ المصادر قاصداً بها بیان صفات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والصبر، والأمانة، والنجدة، والحزم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کان ذلک إلّا لأنَّ استعمال المصدر آکد وأثبت فی الوصف من الفعل، فضلاً عن اختیار صِیَغِهِ مع تکرارها فی هذه الخُطبة</w:t>
      </w:r>
      <w:r>
        <w:rPr>
          <w:rFonts w:eastAsia="IRNazanin" w:cs="IRNazanin"/>
          <w:color w:val="111111"/>
          <w:sz w:val="28"/>
          <w:szCs w:val="28"/>
          <w:rtl w:val="true"/>
          <w:lang w:bidi="fa-IR"/>
        </w:rPr>
        <w:t xml:space="preserve">. </w:t>
      </w:r>
      <w:bookmarkStart w:id="247" w:name="pg5013_35390"/>
    </w:p>
    <w:p>
      <w:pPr>
        <w:pStyle w:val="Heading5"/>
        <w:numPr>
          <w:ilvl w:val="4"/>
          <w:numId w:val="1"/>
        </w:numPr>
        <w:rPr/>
      </w:pPr>
      <w:bookmarkStart w:id="248" w:name="__RefHeading___Toc507765_774463916"/>
      <w:bookmarkStart w:id="249" w:name="_Toc84"/>
      <w:bookmarkEnd w:id="247"/>
      <w:bookmarkEnd w:id="248"/>
      <w:r>
        <w:rPr/>
        <w:t>4</w:t>
      </w:r>
      <w:r>
        <w:rPr>
          <w:rtl w:val="true"/>
        </w:rPr>
        <w:t xml:space="preserve"> - </w:t>
      </w:r>
      <w:r>
        <w:rPr>
          <w:rtl w:val="true"/>
        </w:rPr>
        <w:t>استعمال الصفة المُشبّهة</w:t>
      </w:r>
      <w:bookmarkEnd w:id="249"/>
    </w:p>
    <w:p>
      <w:pPr>
        <w:pStyle w:val="BookText"/>
        <w:rPr/>
      </w:pPr>
      <w:r>
        <w:rPr>
          <w:rFonts w:ascii="IRNazanin" w:hAnsi="IRNazanin" w:eastAsia="IRNazanin"/>
          <w:color w:val="111111"/>
          <w:sz w:val="28"/>
          <w:sz w:val="28"/>
          <w:szCs w:val="28"/>
          <w:rtl w:val="true"/>
          <w:lang w:bidi="fa-IR"/>
        </w:rPr>
        <w:t>الصفة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وصف یُصاغ للدلالة علی اتصاف الذات بالحدث علی وجه الثبات والدوام</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إحدی المشتقَّات التی تُصاغ من البابین الرابع والخامس، من الفعل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یَکْرُمُ</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لتدلّ علی حدثٍ ثابتٍ ثبوتاً ملازماً</w:t>
      </w:r>
      <w:r>
        <w:rPr>
          <w:rStyle w:val="FootnoteAnchor"/>
          <w:rtl w:val="true"/>
        </w:rPr>
        <w:footnoteReference w:id="561"/>
      </w:r>
      <w:r>
        <w:rPr>
          <w:rFonts w:ascii="IRNazanin" w:hAnsi="IRNazanin" w:eastAsia="IRNazanin"/>
          <w:color w:val="111111"/>
          <w:sz w:val="28"/>
          <w:sz w:val="28"/>
          <w:szCs w:val="28"/>
          <w:rtl w:val="true"/>
          <w:lang w:bidi="fa-IR"/>
        </w:rPr>
        <w:t xml:space="preserve">، ولها وظیفتها الأُسلوبیة فی اختیارها من منشئ النص، ذلک أنّها تلتبس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بموصوفها مبالغة فی توکید الصفة، وتعضیداً لمعناها، فتصل صورة المعنی للمتلقی إیصالاً أمیناً، فإنّها أکثر دلالة علی المعنی</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 وهی کذلک بمثابة اسم الفاعل غیر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ثبوت معناها لمَن اتصف به، واسم الفاعل یُفید الحدوث والتجدد</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وللصفة المشبَّهة أوزان متعددة حفظتها لنا کتب اللغة</w:t>
      </w:r>
      <w:r>
        <w:rPr>
          <w:rStyle w:val="FootnoteAnchor"/>
          <w:rtl w:val="true"/>
        </w:rPr>
        <w:footnoteReference w:id="564"/>
      </w:r>
      <w:r>
        <w:rPr>
          <w:rFonts w:ascii="IRNazanin" w:hAnsi="IRNazanin" w:eastAsia="IRNazanin"/>
          <w:color w:val="111111"/>
          <w:sz w:val="28"/>
          <w:sz w:val="28"/>
          <w:szCs w:val="28"/>
          <w:rtl w:val="true"/>
          <w:lang w:bidi="fa-IR"/>
        </w:rPr>
        <w:t>، فقد ورد منها فی خُطب ورسائل هاتین الحِقبتین؛ لما تمتلکه من صفة ثبوت الحدث وترسیخه فی ذهن السامع، إذ وقع استعمال صیغها علی نحو ملحوظ ومتکرر فی خُطبتی عبد الله بن مطیع الوالی الزبیری، ففی خُطبته الأُولی حین قدم الکوفة،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واستقیموا ولا تختلفوا، وخذوا علی أیدی سفهائکم، وإلّا تفعلوا فلوموا أنفسکم ولا تلومونی، فو الله لأوقعنَّ بالسقیم العاصی؛ ولأقیمنَّ دَرْأ الأصْعَرِ المرتاب</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فنجد صیغ الصفة المشبهة کما فی الجدول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المشبهة الوزن</w:t>
      </w:r>
    </w:p>
    <w:p>
      <w:pPr>
        <w:pStyle w:val="BookText"/>
        <w:rPr/>
      </w:pPr>
      <w:r>
        <w:rPr>
          <w:rFonts w:ascii="IRNazanin" w:hAnsi="IRNazanin" w:eastAsia="IRNazanin"/>
          <w:color w:val="111111"/>
          <w:sz w:val="28"/>
          <w:sz w:val="28"/>
          <w:szCs w:val="28"/>
          <w:rtl w:val="true"/>
          <w:lang w:bidi="fa-IR"/>
        </w:rPr>
        <w:t>سفهاؤکم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سفیه فَعیل</w:t>
      </w:r>
    </w:p>
    <w:p>
      <w:pPr>
        <w:pStyle w:val="BookText"/>
        <w:rPr/>
      </w:pPr>
      <w:r>
        <w:rPr>
          <w:rFonts w:ascii="Amiri" w:hAnsi="Amiri" w:eastAsia="Amiri" w:cs="Amiri"/>
          <w:color w:val="111111"/>
          <w:sz w:val="28"/>
          <w:sz w:val="28"/>
          <w:szCs w:val="28"/>
          <w:rtl w:val="true"/>
          <w:lang w:bidi="ar-SA"/>
        </w:rPr>
        <w:t>السَّقیم فَعیل الأصْعَر أفْعَل</w:t>
      </w:r>
    </w:p>
    <w:p>
      <w:pPr>
        <w:pStyle w:val="BookText"/>
        <w:rPr/>
      </w:pPr>
      <w:r>
        <w:rPr>
          <w:rFonts w:ascii="IRNazanin" w:hAnsi="IRNazanin" w:eastAsia="IRNazanin"/>
          <w:color w:val="111111"/>
          <w:sz w:val="28"/>
          <w:sz w:val="28"/>
          <w:szCs w:val="28"/>
          <w:rtl w:val="true"/>
          <w:lang w:bidi="fa-IR"/>
        </w:rPr>
        <w:t>وفی خُطبته الثانیة وهو محصور فی قصر الإمارة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علمت الذین صَنَعوا هذا منکم مَنْ هُمْ؛ وقد علمت أنّما هُم أراذلکم، وسُفهاؤکم، وطَغَامکم، وأخسّاؤکم ما عَدا الرجل أو الرجلین، وإنَّ أشرافکم، وأهل الفضل منکم لم یزالوا سامعین مطیعین</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فنجد صیغ الصفة المشبهة فی الجدول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المشبهة</w:t>
      </w:r>
    </w:p>
    <w:p>
      <w:pPr>
        <w:pStyle w:val="BookText"/>
        <w:rPr/>
      </w:pPr>
      <w:r>
        <w:rPr>
          <w:rFonts w:ascii="Amiri" w:hAnsi="Amiri" w:eastAsia="Amiri" w:cs="Amiri"/>
          <w:color w:val="111111"/>
          <w:sz w:val="28"/>
          <w:sz w:val="28"/>
          <w:szCs w:val="28"/>
          <w:rtl w:val="true"/>
          <w:lang w:bidi="ar-SA"/>
        </w:rPr>
        <w:t>الوزن أراذلکم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رذْل فَعْل</w:t>
      </w:r>
    </w:p>
    <w:p>
      <w:pPr>
        <w:pStyle w:val="BookText"/>
        <w:rPr/>
      </w:pPr>
      <w:r>
        <w:rPr>
          <w:rFonts w:ascii="IRNazanin" w:hAnsi="IRNazanin" w:eastAsia="IRNazanin"/>
          <w:color w:val="111111"/>
          <w:sz w:val="28"/>
          <w:sz w:val="28"/>
          <w:szCs w:val="28"/>
          <w:rtl w:val="true"/>
          <w:lang w:bidi="fa-IR"/>
        </w:rPr>
        <w:t>سفهاؤکم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سفیه فَعیل</w:t>
      </w:r>
    </w:p>
    <w:p>
      <w:pPr>
        <w:pStyle w:val="BookText"/>
        <w:rPr/>
      </w:pPr>
      <w:r>
        <w:rPr>
          <w:rFonts w:ascii="IRNazanin" w:hAnsi="IRNazanin" w:eastAsia="IRNazanin"/>
          <w:color w:val="111111"/>
          <w:sz w:val="28"/>
          <w:sz w:val="28"/>
          <w:szCs w:val="28"/>
          <w:rtl w:val="true"/>
          <w:lang w:bidi="fa-IR"/>
        </w:rPr>
        <w:t>أخساؤکم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خسیس فَعیل</w:t>
      </w:r>
    </w:p>
    <w:p>
      <w:pPr>
        <w:pStyle w:val="BookText"/>
        <w:rPr/>
      </w:pPr>
      <w:r>
        <w:rPr>
          <w:rFonts w:ascii="IRNazanin" w:hAnsi="IRNazanin" w:eastAsia="IRNazanin"/>
          <w:color w:val="111111"/>
          <w:sz w:val="28"/>
          <w:sz w:val="28"/>
          <w:szCs w:val="28"/>
          <w:rtl w:val="true"/>
          <w:lang w:bidi="fa-IR"/>
        </w:rPr>
        <w:t>أشرافکم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شریف فَعیل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فنجد أنّ الخطیب قد کرّر استعمال الصفة المشبهة للترکیز علی إثبات الصفات للموصوفین من قبیل أنّها تأتی لإفادة ثبوت الصفة للموصوف بها، فتکون الصفة المشبهة فی کلّ صیغها قد صوّرت حالهم أدقّ تصویر</w:t>
      </w:r>
      <w:r>
        <w:rPr>
          <w:rFonts w:eastAsia="IRNazanin" w:cs="IRNazanin"/>
          <w:color w:val="111111"/>
          <w:sz w:val="28"/>
          <w:szCs w:val="28"/>
          <w:rtl w:val="true"/>
          <w:lang w:bidi="fa-IR"/>
        </w:rPr>
        <w:t xml:space="preserve">. </w:t>
      </w:r>
      <w:bookmarkStart w:id="250" w:name="pg5013_35392"/>
    </w:p>
    <w:p>
      <w:pPr>
        <w:pStyle w:val="BookText"/>
        <w:rPr/>
      </w:pPr>
      <w:bookmarkEnd w:id="250"/>
      <w:r>
        <w:rPr>
          <w:rFonts w:ascii="IRNazanin" w:hAnsi="IRNazanin" w:eastAsia="IRNazanin"/>
          <w:color w:val="111111"/>
          <w:sz w:val="28"/>
          <w:sz w:val="28"/>
          <w:szCs w:val="28"/>
          <w:rtl w:val="true"/>
          <w:lang w:bidi="fa-IR"/>
        </w:rPr>
        <w:t xml:space="preserve">ونجد أنّ الخطیب فی کلتا الخُطبتین قد استعمل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فکرَّرها، وأنّ لهذا الاستعمال أسبابه من حیث إنّ هذه الصیغة کما وسمها اللغویون أنّها تأتی للدلالة علی الثبوت فی الأوصاف الخلقیة والمکتسبة</w:t>
      </w:r>
      <w:r>
        <w:rPr>
          <w:rStyle w:val="FootnoteAnchor"/>
          <w:rtl w:val="true"/>
        </w:rPr>
        <w:footnoteReference w:id="567"/>
      </w:r>
      <w:r>
        <w:rPr>
          <w:rFonts w:ascii="IRNazanin" w:hAnsi="IRNazanin" w:eastAsia="IRNazanin"/>
          <w:color w:val="111111"/>
          <w:sz w:val="28"/>
          <w:sz w:val="28"/>
          <w:szCs w:val="28"/>
          <w:rtl w:val="true"/>
          <w:lang w:bidi="fa-IR"/>
        </w:rPr>
        <w:t xml:space="preserve">لأنَّ هذا الوصف یُبنی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المضموم العین، وهذا الفعل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 للغرائز،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الأوصاف المخلوقة</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 ومن ثَمَّ کانت الدلالة علی الثبوت فی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وتکون الصفات اللازمة للنفوس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أراد الخطیب إیصال الدلالات إلی أذهان السامعین، وأراد أن یبالغ فی وصف هؤلاء بطریقة أبلغ، مصوِّراً صفات مناوئیه بصفات ردیئة کان یراها هو فیهم، فلم یجد بُدّاً من أن یصوغها فی قوالب لغویّة تؤکِّد ثبوت هذه الصفات ودوامها فیهم، فکان اختیار صیغ الصّفة المشبَّهة لذلک</w:t>
      </w:r>
      <w:r>
        <w:rPr>
          <w:rFonts w:eastAsia="IRNazanin" w:cs="IRNazanin"/>
          <w:color w:val="111111"/>
          <w:sz w:val="28"/>
          <w:szCs w:val="28"/>
          <w:rtl w:val="true"/>
          <w:lang w:bidi="fa-IR"/>
        </w:rPr>
        <w:t>.</w:t>
      </w:r>
    </w:p>
    <w:p>
      <w:pPr>
        <w:pStyle w:val="Heading5"/>
        <w:numPr>
          <w:ilvl w:val="4"/>
          <w:numId w:val="1"/>
        </w:numPr>
        <w:rPr/>
      </w:pPr>
      <w:bookmarkStart w:id="251" w:name="__RefHeading___Toc507767_774463916"/>
      <w:bookmarkStart w:id="252" w:name="_Toc85"/>
      <w:bookmarkEnd w:id="251"/>
      <w:r>
        <w:rPr/>
        <w:t>5</w:t>
      </w:r>
      <w:r>
        <w:rPr>
          <w:rtl w:val="true"/>
        </w:rPr>
        <w:t xml:space="preserve">- </w:t>
      </w:r>
      <w:r>
        <w:rPr>
          <w:rtl w:val="true"/>
        </w:rPr>
        <w:t>استعمال صیغة المبالغة</w:t>
      </w:r>
      <w:bookmarkEnd w:id="252"/>
    </w:p>
    <w:p>
      <w:pPr>
        <w:pStyle w:val="BookText"/>
        <w:rPr/>
      </w:pPr>
      <w:r>
        <w:rPr>
          <w:rFonts w:ascii="IRNazanin" w:hAnsi="IRNazanin" w:eastAsia="IRNazanin"/>
          <w:color w:val="111111"/>
          <w:sz w:val="28"/>
          <w:sz w:val="28"/>
          <w:szCs w:val="28"/>
          <w:rtl w:val="true"/>
          <w:lang w:bidi="fa-IR"/>
        </w:rPr>
        <w:t>صیغ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أسماء مشتقَّة من الأفعال تُلحق باسم الفاعل، وتأتی للدلالة علی المبالغة والکثرة فی الحدث علی وجه التغیّر والحدوث، فإذا أُرید تأکید المعنی وتقویته والمبالغة فیه حُوِّل من اسم الفاعل إلی أبنیة صیغ المبالغة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وللمبالغة أوزان عدیدة،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ومفْعال، وفعول، وفعیل، وفَعِل، وغیرها</w:t>
      </w:r>
      <w:r>
        <w:rPr>
          <w:rStyle w:val="FootnoteAnchor"/>
          <w:rtl w:val="true"/>
        </w:rPr>
        <w:footnoteReference w:id="57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جاء استعمالها فی خُطبة المختار بن أبی عبید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وربّ البحار، والنخیل والأشجار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 کلّ جبّار، بکلّ لدن خطّار، ومهند بتّار</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استعمل الخطیب صیغة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خَطّار، بتّار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فوظَّف من خلال هذه الأبنیة المبالغ فیها ما یناسب الغرض الذی من أجله ألقی خُطبته، وهو الوعید بالانتقام من الظالمین الذین وسمهم بالجبروت والطغیان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لأقتلنَّ کلّ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فالوصف ارتفع إلی أرقی حالاته من خلال استعمال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هذا البناء یکون للصفة الثابتة فی الموصوف، قال القاسم بن سعید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الرابع الهجری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وهو الذی یکون دأبه وعادته الفرار فی الحروب وغیرها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فکأنَّ هؤلاء قد بلغوا من تکرار التجبّر حدَّاً حتی أصبح لهم بمرتبة السجیة الملازمة لهم، والتی لا تفارقهم، فهم قد تعوَّدوا علیه، فأصبحت صفة راسخة فیهم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 یلبث الخطیب أن استعمل هذه الصیغة فی وصف الآلة التی یُقتل بها هؤلاء الظالمین،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لدن خطّار، ومهند بتّار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وصف اللدن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بالخطار، وهی صیغة مبالغة بکثرة اهتزازه، وهی من صفات الجودة فیه، وکذلک وصف المهند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البتر القاطع، فصیغ المبالغة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لقصد هذه الکثرة والمبالغة فی الدلالة علی الحدث، ممَّا یجعل هذه الصیغ کالصفة الثابتة والسجیة المصاحبة للذات</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 وقد جاءت کلتا الصفتین نکرة مسبوقة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أفادت معنی العموم، فالمختار أراد أنَّ یُعمّم قتل الجبارین بسیوف ورماح غیر محدَّدة </w:t>
      </w:r>
      <w:bookmarkStart w:id="253" w:name="pg5013_35394"/>
    </w:p>
    <w:p>
      <w:pPr>
        <w:pStyle w:val="BookText"/>
        <w:rPr/>
      </w:pPr>
      <w:bookmarkEnd w:id="253"/>
      <w:r>
        <w:rPr>
          <w:rFonts w:ascii="IRNazanin" w:hAnsi="IRNazanin" w:eastAsia="IRNazanin"/>
          <w:color w:val="111111"/>
          <w:sz w:val="28"/>
          <w:sz w:val="28"/>
          <w:szCs w:val="28"/>
          <w:rtl w:val="true"/>
          <w:lang w:bidi="fa-IR"/>
        </w:rPr>
        <w:t>بعدد، وهذا جاء منسجماً مع شدَّة الخطاب وسیاق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تقدَّم نلحظ أنَّ الوصف بصیغة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ذروته فی تصویر الحدث؛ لأنَّه أدَّی إلی انسجام تلک الصور بعضها مع بعض، ممَّا أوجد الوقع الشدید الذی مثَّل الحدث المصوَّر</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507769_774463916"/>
      <w:bookmarkStart w:id="255" w:name="_Toc86"/>
      <w:bookmarkEnd w:id="254"/>
      <w:r>
        <w:rPr/>
        <w:t>6</w:t>
      </w:r>
      <w:r>
        <w:rPr>
          <w:rtl w:val="true"/>
        </w:rPr>
        <w:t xml:space="preserve">- </w:t>
      </w:r>
      <w:r>
        <w:rPr>
          <w:rtl w:val="true"/>
        </w:rPr>
        <w:t>استعمال الاسم المصغَّر</w:t>
      </w:r>
      <w:bookmarkEnd w:id="255"/>
    </w:p>
    <w:p>
      <w:pPr>
        <w:pStyle w:val="BookText"/>
        <w:rPr/>
      </w:pPr>
      <w:r>
        <w:rPr>
          <w:rFonts w:ascii="Amiri" w:hAnsi="Amiri" w:eastAsia="Amiri" w:cs="Amiri"/>
          <w:color w:val="111111"/>
          <w:sz w:val="28"/>
          <w:sz w:val="28"/>
          <w:szCs w:val="28"/>
          <w:rtl w:val="true"/>
          <w:lang w:bidi="ar-SA"/>
        </w:rPr>
        <w:t xml:space="preserve">التصغیر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صِیْغَ علی زِنَة فُعِیل، أو فُعَیْعِل، أو فُعَیْعِیل، علی وفق مقاییس معیَّنة للتعبیر عن التقلیل، والتحقیر، أو التقریب، أو التلطُّف، أو التعظیم</w:t>
      </w:r>
      <w:r>
        <w:rPr>
          <w:rFonts w:eastAsia="Amiri" w:cs="Amiri" w:ascii="Amiri" w:hAnsi="Amiri"/>
          <w:color w:val="111111"/>
          <w:sz w:val="28"/>
          <w:szCs w:val="28"/>
          <w:rtl w:val="true"/>
          <w:lang w:bidi="ar-SA"/>
        </w:rPr>
        <w:t>»</w:t>
      </w:r>
      <w:r>
        <w:rPr>
          <w:rStyle w:val="FootnoteAnchor"/>
          <w:rtl w:val="true"/>
        </w:rPr>
        <w:footnoteReference w:id="575"/>
      </w:r>
      <w:r>
        <w:rPr>
          <w:rFonts w:ascii="IRNazanin" w:hAnsi="IRNazanin" w:eastAsia="IRNazanin"/>
          <w:color w:val="111111"/>
          <w:sz w:val="28"/>
          <w:sz w:val="28"/>
          <w:szCs w:val="28"/>
          <w:rtl w:val="true"/>
          <w:lang w:bidi="fa-IR"/>
        </w:rPr>
        <w:t xml:space="preserve">، وللتصغیر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وظیفته الأُسلوبیة فی الکلام، لکونه وسیلة صوتیة یتبعها تعبیرٌ له أهمیته؛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مقتضیات السیاق التعبیری تستدعی فی بعض الأحیان هذه الصیغة، کالتعبیر عن شیء لطیف أو خفی أو قلیل</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کما یبدو فی العربیة الحدیثة علی مختلف مستویات الاستعمال اللغوی قلَّة الاعتماد علی التصغیر، ومن ثَمَّ قلّة تردّد ألفاظه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نجد قِلَّة ورود الألفاظ المصغَّرة فی خُطب هاتین الحِقبتین، ولعلّ استعمال صیغة التصغیر کان فی خُطبتین حَسْب للمختار الثقفی، مثَّلتا اختیاراً أُسلوبیاً له وظیفته الخاصَّة، قال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نُفَیراً مِنْکُم ارتابوا وتَحَیَّروا وخابوا، فإن هم أصابوا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فنجدد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عبَّر بها المختار عن قیمة أُسلوبیة واضحة، أَلا وهی التحقیر والتقلیل</w:t>
      </w:r>
      <w:r>
        <w:rPr>
          <w:rStyle w:val="FootnoteAnchor"/>
          <w:rtl w:val="true"/>
        </w:rPr>
        <w:footnoteReference w:id="579"/>
      </w:r>
      <w:r>
        <w:rPr>
          <w:rFonts w:ascii="IRNazanin" w:hAnsi="IRNazanin" w:eastAsia="IRNazanin"/>
          <w:color w:val="111111"/>
          <w:sz w:val="28"/>
          <w:sz w:val="28"/>
          <w:szCs w:val="28"/>
          <w:rtl w:val="true"/>
          <w:lang w:bidi="fa-IR"/>
        </w:rPr>
        <w:t xml:space="preserve">من قیمة شأن هؤلاء الذین ذهبوا عنه، شاکّین </w:t>
      </w:r>
      <w:bookmarkStart w:id="256" w:name="pg5013_35395"/>
    </w:p>
    <w:p>
      <w:pPr>
        <w:pStyle w:val="BookText"/>
        <w:rPr/>
      </w:pPr>
      <w:bookmarkEnd w:id="256"/>
      <w:r>
        <w:rPr>
          <w:rFonts w:ascii="IRNazanin" w:hAnsi="IRNazanin" w:eastAsia="IRNazanin"/>
          <w:color w:val="111111"/>
          <w:sz w:val="28"/>
          <w:sz w:val="28"/>
          <w:szCs w:val="28"/>
          <w:rtl w:val="true"/>
          <w:lang w:bidi="fa-IR"/>
        </w:rPr>
        <w:t>فیه وفی دعوته، غیر مکترث لذهابهم عنه فهم فی نظره نُفیرٌ لا خِطَرَ لهم، ولا یُحسبُ لهم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خُطبة أُخری له حین شیَّع إبراهیم الأشتر لقتال ابن زیاد،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اسْتَقَمْتُمْ فَبِنَصْ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وإنْ حِصْتُمْ حِیصَة فإنّی أجدُ فی محکمِ الکتاب، وفی الیقینِ والصواب، أنَّ الله مؤیّدُکُم بملائکةٍ غِضَاب، تأتی فی صُوَرِ الحَمَامِ دُوَیْنَ السحاب</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استعمل صیغة الاسم المصغَّر مرَّةً أُخری، وهذه المرَّة هو تصغیر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لیُعَبّر به عن وسیلة لغویَّة اختزالیَّة مهمَّة، بمعنی أنَّها تغنی عن الوصف بقریبٍ أو قصیرٍ أو نحوهما</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وقَصْدُ المختار من هذا التعبیر أنْ یرسم الصورة ویقرّبها من ذهن السامع، وهی أنَّ الملائکة تأتی لنصرة إبراهیم علی أعدائه، ویکون إتیانها هذا فی صورة الحمام الأبیض قریباً من السحاب، حتی تکاد تقترب منه وتمسُّه ولکنَّها لا تمسّه، بمعنی أنَّها قریبة منهم فی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رتهم غیر بعیدة، ولا یخفی ما لهذا التصویر الرائع من جمالیة فنیّة وأُسلوبیة عالیة، أفصح عنها اختیار الظرف المصغَّر إلی جانب التعبیر به عن شیء لطیف ومحبَّب</w:t>
      </w:r>
      <w:r>
        <w:rPr>
          <w:rFonts w:eastAsia="IRNazanin" w:cs="IRNazanin"/>
          <w:color w:val="111111"/>
          <w:sz w:val="28"/>
          <w:szCs w:val="28"/>
          <w:rtl w:val="true"/>
          <w:lang w:bidi="fa-IR"/>
        </w:rPr>
        <w:t>.</w:t>
      </w:r>
    </w:p>
    <w:p>
      <w:pPr>
        <w:pStyle w:val="Heading4"/>
        <w:numPr>
          <w:ilvl w:val="3"/>
          <w:numId w:val="1"/>
        </w:numPr>
        <w:rPr/>
      </w:pPr>
      <w:bookmarkStart w:id="257" w:name="__RefHeading___Toc507771_774463916"/>
      <w:bookmarkStart w:id="258" w:name="_Toc87"/>
      <w:bookmarkEnd w:id="257"/>
      <w:r>
        <w:rPr>
          <w:rtl w:val="true"/>
        </w:rPr>
        <w:t>ثانیاً</w:t>
      </w:r>
      <w:r>
        <w:rPr>
          <w:rtl w:val="true"/>
        </w:rPr>
        <w:t xml:space="preserve">: </w:t>
      </w:r>
      <w:r>
        <w:rPr>
          <w:rtl w:val="true"/>
        </w:rPr>
        <w:t>استعمال الفعل</w:t>
      </w:r>
      <w:bookmarkEnd w:id="258"/>
    </w:p>
    <w:p>
      <w:pPr>
        <w:pStyle w:val="Heading5"/>
        <w:numPr>
          <w:ilvl w:val="4"/>
          <w:numId w:val="1"/>
        </w:numPr>
        <w:rPr/>
      </w:pPr>
      <w:bookmarkStart w:id="259" w:name="__RefHeading___Toc507773_774463916"/>
      <w:bookmarkStart w:id="260" w:name="_Toc88"/>
      <w:bookmarkEnd w:id="259"/>
      <w:r>
        <w:rPr>
          <w:rtl w:val="true"/>
        </w:rPr>
        <w:t>اشارة</w:t>
      </w:r>
      <w:bookmarkEnd w:id="26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هو أحد الأقسام الرئیسة التی یتألَّف منها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کلمة تدلُّ علی حدث وزمن، والدلالة علی الحدث والزمن هو المعنی الصرفی للفعل، وهی وظیفته الصرفیة المرکَّبة، بمعنی أنَّ کلاً من الزمن والحدث جزء من معنی صیغة الفعل</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 وللفعل أهمیته التی تقوم علی ما یؤدّیه من وظائف لغویّة وأُسلوبیة متعدّدة، فهو یُعبّر </w:t>
      </w:r>
      <w:bookmarkStart w:id="261" w:name="pg5013_35396"/>
    </w:p>
    <w:p>
      <w:pPr>
        <w:pStyle w:val="BookText"/>
        <w:rPr/>
      </w:pPr>
      <w:bookmarkEnd w:id="261"/>
      <w:r>
        <w:rPr>
          <w:rFonts w:ascii="IRNazanin" w:hAnsi="IRNazanin" w:eastAsia="IRNazanin"/>
          <w:color w:val="111111"/>
          <w:sz w:val="28"/>
          <w:sz w:val="28"/>
          <w:szCs w:val="28"/>
          <w:rtl w:val="true"/>
          <w:lang w:bidi="fa-IR"/>
        </w:rPr>
        <w:t>عن الأحداث وأزمانها، وهو کذلک من أهمّ مقومات الجملة، فالإسناد مستمدّ منه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شائعاً فی العربیة وموضع اهتمام المتکلّمین أنَّ العقل العربی یقتض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أن تکون الجملة الفعلیة هی الأصل، والغالبة فی التعبیر؛ ذلک لأنَّ الإنسان العربی جَرَتْ سلیقته ودفعته فطرته إلی الاهتمام بالحدث فی الأحوال العادیة الکثیرة</w:t>
      </w:r>
      <w:r>
        <w:rPr>
          <w:rStyle w:val="FootnoteAnchor"/>
          <w:rtl w:val="true"/>
        </w:rPr>
        <w:footnoteReference w:id="584"/>
      </w:r>
      <w:r>
        <w:rPr>
          <w:rFonts w:ascii="IRNazanin" w:hAnsi="IRNazanin" w:eastAsia="IRNazanin"/>
          <w:color w:val="111111"/>
          <w:sz w:val="28"/>
          <w:sz w:val="28"/>
          <w:szCs w:val="28"/>
          <w:rtl w:val="true"/>
          <w:lang w:bidi="fa-IR"/>
        </w:rPr>
        <w:t>، ونتیجة لهذه الوظائف اللغویة والأُسلوبیة التی یقوم بها الفعل نجده قد کَثُرَ فی الکلام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انتهی العالم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بوزیمان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Busemann - 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إلی أنَّ الکلام الصادر عن الإنسان الشدید الانفعال یتمیَّز بزیادة عدد کلمات الحدث علی عدد کلمات الوصف</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وهو یقصد بالحدث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فالانفعال النفسی عامل مهم من عوامل شیوع الأفعال واستعمالها فی الکلام، کما تَنُصُّ علیه هذه المعادلة، ولذلک فهو یعطی التعبیر قیمة أُسلوبیة واضحة؛ لأنَّه یُعبّر عن القوة ویدلُّ علی شدّة الحدث، ومن ثَمَّ یکثر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ویقسّم البناء الفعلی بحسب حیثیات کثیرة، منها نوع البناء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 وعنص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الزمن، فیُقسَّم تبعاً لذلک علی أساس الأوَّل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ومَزِید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ویُقسَّم علی أساس الثانی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 ومضارع، وأمر</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نتناول مسالة استعمال الصیغة الفعلیة علی أساس اختیارها من حیث هی صیغة صرفیة لها دلالاتها ومعانیها، ومن ثَمَّ ما تؤدّیه من وظائف لغویة وأُسلوبیة من المنشئین</w:t>
      </w:r>
      <w:r>
        <w:rPr>
          <w:rFonts w:eastAsia="IRNazanin" w:cs="IRNazanin"/>
          <w:color w:val="111111"/>
          <w:sz w:val="28"/>
          <w:szCs w:val="28"/>
          <w:rtl w:val="true"/>
          <w:lang w:bidi="fa-IR"/>
        </w:rPr>
        <w:t>.</w:t>
      </w:r>
    </w:p>
    <w:p>
      <w:pPr>
        <w:pStyle w:val="Heading5"/>
        <w:numPr>
          <w:ilvl w:val="4"/>
          <w:numId w:val="1"/>
        </w:numPr>
        <w:rPr/>
      </w:pPr>
      <w:bookmarkStart w:id="262" w:name="__RefHeading___Toc507775_774463916"/>
      <w:bookmarkStart w:id="263" w:name="_Toc89"/>
      <w:bookmarkEnd w:id="262"/>
      <w:r>
        <w:rPr/>
        <w:t>1</w:t>
      </w:r>
      <w:r>
        <w:rPr>
          <w:rtl w:val="true"/>
        </w:rPr>
        <w:t xml:space="preserve">- </w:t>
      </w:r>
      <w:r>
        <w:rPr>
          <w:rtl w:val="true"/>
        </w:rPr>
        <w:t>استعمال الفعل الماضی</w:t>
      </w:r>
      <w:bookmarkEnd w:id="26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یُعرَّف الفعل الماضی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 علی ما یسبق زمن التکلّم قریباً کان ذلک أو </w:t>
      </w:r>
    </w:p>
    <w:p>
      <w:pPr>
        <w:pStyle w:val="BookText"/>
        <w:rPr/>
      </w:pPr>
      <w:r>
        <w:rPr>
          <w:rFonts w:ascii="IRNazanin" w:hAnsi="IRNazanin" w:eastAsia="IRNazanin"/>
          <w:color w:val="111111"/>
          <w:sz w:val="28"/>
          <w:sz w:val="28"/>
          <w:szCs w:val="28"/>
          <w:rtl w:val="true"/>
          <w:lang w:bidi="fa-IR"/>
        </w:rPr>
        <w:t>بعیداً، محققاً الوقوع أو غیر محقق</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وقد جاء استعمال صیغة هذا الفعل بنوعیه المجرَّد والمزید فی خُطب ورسائل الحِقبتین بصورةٍ کبیرةٍ، وسنقف علی نصَّین منها،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لسلیمان بن صُرَد،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للمختار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فرسالة سلیمان بن صُرَد إلی سعد بن حذیفة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الدنیا دارٌ قدْ أدبرَ منها ما کان معروفاً، وأقبل منها ما کان مُنکراً، وأصبحتْ قد تشنّأتْ إلی ذوِی الألباب، وأزمَع بالترحال منها عبادُ الله الأخیار، وباعوا قلیلاً من الدنیا لا یبقَی بجزیلِ مثوبة عند الله لا تَفنی، إنّ أولیاء الله من إخوانکم، وشیعة آل نبیِّکم نظروا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الناسَ فلم یترکوه، وعَدوا علیه فقتلوه، ثمَّ سلبوه وجرّدوه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إخوانکم وتدَبّروا عواقبَ ما استقبلوا رأوا أن قد خطئوا بخذلان الزکیّ</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فنجد فی هذا النص شیوعاً ملحوظاً للأفعال الماضیة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المجردة والمزیدة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طبعت النص بطابع أُسلوبی خاصّ، یدعو للکشف عن أسباب وجود هذا الأداء الدلالی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الفعل الماضی المجرد، فقد وردّ علی صیغة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فسجّل حضوراً فاق به شیوع الأوزان المزیدة الماضیة، من ذلک ما ورد فی قول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نَظرَوا، تَرَکَ،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سَلبَوه، نَظَر، رأَوا، ضَربَنا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تفسیر شیوع هذه الصیغة فی الکلام أنَّها تُعدُّ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أوزان الفعل استعمالاً فی اللغة، ونظراً لخفَّة هذا الوزن لم یختص بمعنی من المعانی، بل استعمل فی أکثرها</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هذا یقول العینی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الأفعال معنی؛ لأنّ الفعل علاجیاً أو غیر علاجی،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الضرب والشتم، وفَعَلَ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فلذلک استعمل فی مکان </w:t>
      </w:r>
    </w:p>
    <w:p>
      <w:pPr>
        <w:pStyle w:val="BookText"/>
        <w:rPr/>
      </w:pPr>
      <w:r>
        <w:rPr>
          <w:rFonts w:ascii="Amiri" w:hAnsi="Amiri" w:eastAsia="Amiri" w:cs="Amiri"/>
          <w:color w:val="111111"/>
          <w:sz w:val="28"/>
          <w:sz w:val="28"/>
          <w:szCs w:val="28"/>
          <w:rtl w:val="true"/>
          <w:lang w:bidi="ar-SA"/>
        </w:rPr>
        <w:t>الأداء والإعطاء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أی مؤدُّون، فکان أعمّ الأفعال معنًی</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الأفعال استعمالاً، وقد ذکر الدکتور إبراهیم السامرائی هذه الاستعمالات ودلالاتها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الماضی المزید، فقد ورد استعماله فی هذا النص اختیاراً ملحوظاً، وأوَّل ما یُطالعنا فیه صیغة الفعل الماضی المزید بالهمزة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الصیغة تختص بالثلاثی المزید بحرف واحد، ویکون مصدرها بزنة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xml:space="preserve">، والهمزة للتعدیة، ولهذه الهمزة وظیفتها الأُسلوبیة؛ إذ إنّها قادرة علی توسیع عمل الفعل ونطاقه التأثیری علی ما جاوره من الألفاظ، وفی هذا یقول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افتراق فَعَلْت وأفْعَلْت فی الفعل للمعنی،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وخرج،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أخبرت أنّ غیره صیَّره إلی شیءٍ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وأدْخَلَهُ، وأجْلَسَهُ</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فالغرض الوظیفی الذی قامت به الهمزة هو تعدیة الأفعال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لأغراض ودلالات أبان عنها أبو حیان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ونیّف من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التعدیة، والدلالة علی الصیرورة، والسلب، والتمکین، والتعریض</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فی رسالة ابن صُرَد استعمال هذه الصیغة الفعلیة المزیدة بعد اختیارها، لتؤدّی أغراضها الأُسلوبیة، فمثلاً نجد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الدنیا دار قد أدبر منها ما کان </w:t>
      </w:r>
    </w:p>
    <w:p>
      <w:pPr>
        <w:pStyle w:val="BookText"/>
        <w:rPr/>
      </w:pPr>
      <w:r>
        <w:rPr>
          <w:rFonts w:ascii="IRNazanin" w:hAnsi="IRNazanin" w:eastAsia="IRNazanin"/>
          <w:color w:val="111111"/>
          <w:sz w:val="28"/>
          <w:sz w:val="28"/>
          <w:szCs w:val="28"/>
          <w:rtl w:val="true"/>
          <w:lang w:bidi="fa-IR"/>
        </w:rPr>
        <w:t>معروفاً، وأقبل منها ما کان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لتؤدّی غرضاً معنویاً هو الدلالة علی الصیرورة،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دار قد صار معروفها مدبراً وصار منکرها مقبلاً، وبهذا أدّی الفعل دلالته التی أرادها الخطیب فی وصف حال الدنیا وتقلّباتها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صیغة الماضی المزید بحرفین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فنجدها فی قول ابن صُرَد فی موضعین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ولهذه الصیغة الفعلیة وظائفها الأُسلوبیة،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توالی معنی الحدث، کما یقول فی ذلک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وتأتی تفعّلت 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یء تأخذ منه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یء بعد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لیس عمل وقت واحد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وکأنّ فیها معنی التدرُّج، لا حدوث الفعل بتکرار متقطّع، بل انتظام فی حدوثه</w:t>
      </w:r>
      <w:r>
        <w:rPr>
          <w:rStyle w:val="FootnoteAnchor"/>
          <w:rtl w:val="true"/>
        </w:rPr>
        <w:footnoteReference w:id="597"/>
      </w:r>
      <w:r>
        <w:rPr>
          <w:rFonts w:ascii="IRNazanin" w:hAnsi="IRNazanin" w:eastAsia="IRNazanin"/>
          <w:color w:val="111111"/>
          <w:sz w:val="28"/>
          <w:sz w:val="28"/>
          <w:szCs w:val="28"/>
          <w:rtl w:val="true"/>
          <w:lang w:bidi="fa-IR"/>
        </w:rPr>
        <w:t>، وقد تأتی هذه الصیغة، لتدلّ علی التکلُّف والاجتهاد کما یقول الدکتور فاضل السامرائی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بهذا الوزن للدلالة علی التکلُّف وبذل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 المعنیین دلالة علی الطُّول فی الوقت، والتمهل فی الحدیث</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والملاحظ أنّ کلا المعنیین قد انطبق علی صیغ الأفعال التی وردت علی هذا الوزن فی الرسالة، ففی قول ابن صُرَد فی وصف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تشنّأت إلی ذوی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قد تبغَّضت إِلی ذوی الألباب، وکان هذا البغض منتظماً متدرِّجاً یوماً بعد یوم، وکذلک کان هذا البغض شدیداً ومتکلَّفاً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نظر إخوانکم وتدبروا عواقب ما استقبلوا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التدبّر کان متدرّجاً من قِبَلِهِم ولم یکن بعیداً عن هذا الفعل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صیغة الفعل الماضی المزید بتضعیف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فنجدها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سلبوه وجرَّدوه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عبّر بها عن معنی المبالغة والتکثیر فی الحدث؛ لأنَّها تأتی لهذا الغرض، </w:t>
      </w:r>
    </w:p>
    <w:p>
      <w:pPr>
        <w:pStyle w:val="BookText"/>
        <w:rPr/>
      </w:pPr>
      <w:r>
        <w:rPr>
          <w:rFonts w:ascii="Amiri" w:hAnsi="Amiri" w:eastAsia="Amiri" w:cs="Amiri"/>
          <w:color w:val="111111"/>
          <w:sz w:val="28"/>
          <w:sz w:val="28"/>
          <w:szCs w:val="28"/>
          <w:rtl w:val="true"/>
          <w:lang w:bidi="ar-SA"/>
        </w:rPr>
        <w:t>وهنا یقول سیبویه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دخول فَعَّلتُ علی فَعَلتُ لا یشرکه فی ذلک أفعلتُ،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َرتُها وقطعتها، فإذا أردت کثرة العمل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 وقطّعته ومزَّقته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فأفرز التضعیف دلالة المبالغة فی تجرید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وسلبه وتکرار حدوث هذا الفعل الشنیع من أعدائه، وإنَّما اختار المنشئ هذه الصیغة حتی یؤثّر فی نفس المتلقی راسماً تلک الصورة المأساویة التی کان علیها الإمام بما یجعله متهیّئاً للتأهّب والخروج للثورة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کذلک استعمالاً لصیغة الماضی المزید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ابن صُرَد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وتدبّروا عواقب ما استقبلوا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مزیدا بالهمزة والسین والتاء، وهذه الزیادة تأتی لمعانٍ مختلفة، منها وحسب ما جاءت هنا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بمعنی وجدته کذلک</w:t>
      </w:r>
      <w:r>
        <w:rPr>
          <w:rStyle w:val="FootnoteAnchor"/>
          <w:rtl w:val="true"/>
        </w:rPr>
        <w:footnoteReference w:id="6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فقولک استجدته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أصبته جیداً</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وقد جاء استعمال هذه الصیغة فی قول ابن صرد لتُعطی معنی الإیجاد،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تدبروا عواقب ما وجدوه مقبلاً علیهم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خُطبة المختار الثقفی التی ألقاها حین علم بذهاب نفر من الشیعة إلی محمد بن الحنفیة، لیسألوه عن مصداق دعوة المختار،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نُفَیراً منکم ارتابوا وتحیَّروا وخابوا، فإنْ هم أصابوا أقبلوا وأنابوا، وإنْ هم کبُوا وهَابوا، واعترضوا وانجابوا، فقد ثُبروا وحابوا</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فواضح جداً أنَّ هذه الخُطبة قد بُنِیت علی تَکرار الأفعال الماضیة المجردة والمزیدة، ممَّا یُعدُّ ذلک میزة أُسلوبیة ملحوظة فیها، فأمَّا المجرَّدة فیطالعنا منها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خابوا، هابوا، ثبروا، حابوا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وتفسیر شیوعه فی الکلام قد مرَّ سابقاً، وذلک لخِفَّته وعدم اختصاصه بمعنی معین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الأفعال الماضیة المزیدة، فنجد منها صیغة الماضی المزید بالهمزة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هم أصابوا أقبلوا وأنابوا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جاءت هذه الصیغة لغرض معنوی آخر هو المبالغة فی الوقع ونوع الحدث</w:t>
      </w:r>
      <w:r>
        <w:rPr>
          <w:rStyle w:val="FootnoteAnchor"/>
          <w:rtl w:val="true"/>
        </w:rPr>
        <w:footnoteReference w:id="604"/>
      </w:r>
      <w:r>
        <w:rPr>
          <w:rFonts w:ascii="IRNazanin" w:hAnsi="IRNazanin" w:eastAsia="IRNazanin"/>
          <w:color w:val="111111"/>
          <w:sz w:val="28"/>
          <w:sz w:val="28"/>
          <w:szCs w:val="28"/>
          <w:rtl w:val="true"/>
          <w:lang w:bidi="fa-IR"/>
        </w:rPr>
        <w:t>فی الإصابة، والإقبال، والإنابة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الفعل الماضی المزید بحرفین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فنجده فی قول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أراد أن یصف الحیرة عند هؤلاء القوم، فاختار لها هذه الصیغة، لتدلّ علی الحیرة المتتالیة، المتدرّجة فی قلوب القوم وکذلک تبییناً لشدَّتها وتمکّنها من قلوبهم وعقولهم، إذ إنَّ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معناها بأنَّها تدلُّ علی التدرّج والتکلّف والشدة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استعمال صیغة الماضی المزید بحرفین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زِید فیها حرفان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وفیها یکون الإصرار علی الفعل والطلب فیه، والشدَّة فی استحصاله، لذا فإنَّ استعمال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لتأدیة عدَّة معانٍ، منها ما یناسب سیاق الخُطبة، کالاجتهاد والطلب، والتص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والمبالغة فی معنی الفعل</w:t>
      </w:r>
      <w:r>
        <w:rPr>
          <w:rStyle w:val="FootnoteAnchor"/>
          <w:rtl w:val="true"/>
        </w:rPr>
        <w:footnoteReference w:id="606"/>
      </w:r>
      <w:r>
        <w:rPr>
          <w:rFonts w:ascii="Amiri" w:hAnsi="Amiri" w:eastAsia="Amiri" w:cs="Amiri"/>
          <w:color w:val="111111"/>
          <w:sz w:val="28"/>
          <w:sz w:val="28"/>
          <w:szCs w:val="28"/>
          <w:rtl w:val="true"/>
          <w:lang w:bidi="ar-SA"/>
        </w:rPr>
        <w:t>، یقول سیبویه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کَسَبَ فإنَّه یقول أصَابَ، </w:t>
      </w:r>
    </w:p>
    <w:p>
      <w:pPr>
        <w:pStyle w:val="BookText"/>
        <w:rPr/>
      </w:pPr>
      <w:r>
        <w:rPr>
          <w:rFonts w:ascii="IRNazanin" w:hAnsi="IRNazanin" w:eastAsia="IRNazanin"/>
          <w:color w:val="111111"/>
          <w:sz w:val="28"/>
          <w:sz w:val="28"/>
          <w:szCs w:val="28"/>
          <w:rtl w:val="true"/>
          <w:lang w:bidi="fa-IR"/>
        </w:rPr>
        <w:t>وأمَّا اکتسب فهو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والطلب، والاجتهاد بمنزلة الاضطراب</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وهذا ما جاءت لأجله هذه الصیغة فی قول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اکتسبت الزیادة فی الفعل حِسّاً دلالیاً مرکَّزاً من الاعتراض وعدم القبول، فالزیادة فی البناء دلّت علی ما یعنیه المختار من التعبیر عن ذلک الاعتراض الذی حدث من 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نجد الفعل المزید بحرفین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انکشفوا، وتأتی هذه الصیغة لمعنی واحد هو المطاوعة، ویختصُّ بما کان فیه علاج وتأثیر</w:t>
      </w:r>
      <w:r>
        <w:rPr>
          <w:rStyle w:val="FootnoteAnchor"/>
          <w:rtl w:val="true"/>
        </w:rPr>
        <w:footnoteReference w:id="608"/>
      </w:r>
      <w:r>
        <w:rPr>
          <w:rFonts w:ascii="IRNazanin" w:hAnsi="IRNazanin" w:eastAsia="IRNazanin"/>
          <w:color w:val="111111"/>
          <w:sz w:val="28"/>
          <w:sz w:val="28"/>
          <w:szCs w:val="28"/>
          <w:rtl w:val="true"/>
          <w:lang w:bidi="fa-IR"/>
        </w:rPr>
        <w:t>، وقد اختاره المنشئ لیُعبِّر عن معنی المطاوعة فی فعل 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والمطاوعة عند علماء التصریف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قبول الأثر، وذلک فیما یظهر للعیون کالکس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والقطع، والجذب</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فجاءت هذه الصیغة الدالة علی المطاوعة مناسبة تامَّة لسیاقها؛ إذْ دلَّت علی انکشاف هؤلاء القوم فی عدم طرح الثقة بالمختار الثقفی ودعوته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طبّقنا نظریة العالم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نسبة شیوع الأفعال فی هذه الخُطبة قد فاقت الأسماء، ممَّا یدلُّ دلالةً واضحةً علی أنَّها کانت تصدر عن انفعال شدید، وهذا ما تؤکّده النظریة فی أنَّ الکلام الذی 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الإنسان الشدید الانفعال یتمیَّز بزیادة عدد کلمات الحدث علی عدد کلمات الوصف</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وهو یعنی بالحدث هنا الفعل، فالمختار ألقی خُطبته حین وصف هؤلاء الذی ذهبوا إلی ابن الحنفیة یسألونه عن مصداق دعوته، فظنَّ أنَّهم لم یثقوا به، فصدر کلامه بانفعال شدید یصف فیه حال التذبذب والتحیُّر التی کان علیها هؤلاء</w:t>
      </w:r>
      <w:r>
        <w:rPr>
          <w:rFonts w:eastAsia="IRNazanin" w:cs="IRNazanin"/>
          <w:color w:val="111111"/>
          <w:sz w:val="28"/>
          <w:szCs w:val="28"/>
          <w:rtl w:val="true"/>
          <w:lang w:bidi="fa-IR"/>
        </w:rPr>
        <w:t xml:space="preserve">. </w:t>
      </w:r>
      <w:bookmarkStart w:id="264" w:name="pg5013_35403"/>
    </w:p>
    <w:p>
      <w:pPr>
        <w:pStyle w:val="Heading5"/>
        <w:numPr>
          <w:ilvl w:val="4"/>
          <w:numId w:val="1"/>
        </w:numPr>
        <w:rPr/>
      </w:pPr>
      <w:bookmarkStart w:id="265" w:name="__RefHeading___Toc507777_774463916"/>
      <w:bookmarkStart w:id="266" w:name="_Toc90"/>
      <w:bookmarkEnd w:id="264"/>
      <w:bookmarkEnd w:id="265"/>
      <w:r>
        <w:rPr/>
        <w:t>2</w:t>
      </w:r>
      <w:r>
        <w:rPr>
          <w:rtl w:val="true"/>
        </w:rPr>
        <w:t xml:space="preserve">- </w:t>
      </w:r>
      <w:r>
        <w:rPr>
          <w:rtl w:val="true"/>
        </w:rPr>
        <w:t>استعمال الفعل المبنی للمجهول</w:t>
      </w:r>
      <w:bookmarkEnd w:id="266"/>
    </w:p>
    <w:p>
      <w:pPr>
        <w:pStyle w:val="BookText"/>
        <w:rPr/>
      </w:pPr>
      <w:r>
        <w:rPr>
          <w:rFonts w:ascii="Amiri" w:hAnsi="Amiri" w:eastAsia="Amiri" w:cs="Amiri"/>
          <w:color w:val="111111"/>
          <w:sz w:val="28"/>
          <w:sz w:val="28"/>
          <w:szCs w:val="28"/>
          <w:rtl w:val="true"/>
          <w:lang w:bidi="ar-SA"/>
        </w:rPr>
        <w:t>الفعل المبنی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استُغنی عن فاعله فأُقیم المفعول مقامه، وأُسند إلیه معدولاً عن صیغة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هذا إذا کان الفعل ماضیاً، أمَّا إذا کان مضارعاً فإنَّه یُبنی للمجهول بضمّ أوَّله وفتح ما قبل آخره وإن لم یکن مفتوحاً،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أکَّد دارسو علم الأُسلوب أهمیَّة دراسة الفعل من حیث البناء، ولاسیّما البناء للمجهول</w:t>
      </w:r>
      <w:r>
        <w:rPr>
          <w:rStyle w:val="FootnoteAnchor"/>
          <w:rtl w:val="true"/>
        </w:rPr>
        <w:footnoteReference w:id="613"/>
      </w:r>
      <w:r>
        <w:rPr>
          <w:rFonts w:ascii="Amiri" w:hAnsi="Amiri" w:eastAsia="Amiri" w:cs="Amiri"/>
          <w:color w:val="111111"/>
          <w:sz w:val="28"/>
          <w:sz w:val="28"/>
          <w:szCs w:val="28"/>
          <w:rtl w:val="true"/>
          <w:lang w:bidi="ar-SA"/>
        </w:rPr>
        <w:t>وذلک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یُشکّل بُنیة سطحیة، وعن طریق تحلیلها تتَّضح البنیة العمیقة</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ویرجع استعمال صیغة الفعل المبنی للمجهول إلی أغراض أُسلوبیة فی الکلام، منها إِعمام الفاعل أو تغییبه إلی هامش الشعور؛ لإفساح المجال للاهتمام بالمفعول</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استعمال صیغة الفعل المبنی للمجهول فی خُطب ورسائل الحِقبتین، کما نلحظ ذلک فی رسالة سلیمان بن صُرَد إلی سعد بن حذیفة، إذ استعمل هذه الصیغة علی نحو ملحوظ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أولیاء اللهِ مِنْ إخوانکم، وشیعة آل نبیکم نظروا لأنفسِهم فیما ابتُلوا به مِن أمر ابن بنت نبیّهم الذی دُعِیَ فأجاب، ودعا فلم یُجَبْ، وأراد الرجعة فَحُبِس، وسأل الأمان فَمُنِع</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تکرَّرت فی هذه الرسالة صیغة الفعل المبنی للمجهول، حتی أضفت علیه مسحة أُسلوبیة، ولنلحظ أنَّ استعمال هذه الصیغة کان لأجل إفساح المجال أمام الذهن، کی یُمْعِن النظر إلی البنیة العمیقة فی نفس المنشئ؛ لأنَّه ما کان یلجأ إلی هذا الصنیع إلّا لرغبةٍ ملحَّةٍ فی إیصال الدلالات المعیّنة، فقد حذف الفاعل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فأجاب، ودعا فلم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وستراً لما صدر من تهاون المخاطبین، لئلا تأخذهم العزّة فی الإثم،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وأراد الرجعة فحُبس، وسأل الأمان فمُنع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فحذف الفاعل؛ لأنَّ الذین فعلوا هذا الصنیع کُثُر فلا یستطیع أن یسند الفاعل لواحد منهم فلیس هو بفاعل معین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ولربَّما نجد فی هذه الرسالة استعمال تلکم الصیغ من الفعل المبنی للمجهول؛ لأنَّ فی استعمالها إیحاءات معبّرة عن الحزن الذی استقر فی قلب المنشئ، نتیجة ما جری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مِحَنٍ هو ومَنْ معه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فاستولی ذلک علی مشاعره، حتی تمثَّلت صورته أمام عینیه، فلم یرَ سواه، أو لم یستطع أن یستحض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صور قاتلیه لما یمتلکونه من بشاعة وخِسَّة؛ لذلک فهو یحاول إخفاء صورهم وأسمائهم وتناسیها، فضلاً عن تحقیرهم وتجاهلهم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من خلال ما تقدَّم أنَّ الاختیار الأُسلوبی فی الصیغ المختلفة الاسمیة والفعلیة واستعمالها کان مشفوعاً بالتکرار، وکلاهما من الظواهر الأُسلوبیة، وقد ذکر رولف ساندل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Rolph Sandile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بعضهم ینظر إلی عملیة تکوین الأُسلوب علی أنَّها تضافر الاختیار ومعدَّلات التکرار التی تتمُّ داخل النص بقصد التأثیر فی المتلقِّی</w:t>
      </w:r>
      <w:r>
        <w:rPr>
          <w:rStyle w:val="FootnoteAnchor"/>
          <w:rtl w:val="true"/>
        </w:rPr>
        <w:footnoteReference w:id="618"/>
      </w:r>
      <w:r>
        <w:rPr>
          <w:rFonts w:ascii="IRNazanin" w:hAnsi="IRNazanin" w:eastAsia="IRNazanin"/>
          <w:color w:val="111111"/>
          <w:sz w:val="28"/>
          <w:sz w:val="28"/>
          <w:szCs w:val="28"/>
          <w:rtl w:val="true"/>
          <w:lang w:bidi="fa-IR"/>
        </w:rPr>
        <w:t xml:space="preserve">، ولهذا رکَّز البحث علی اختیار الصیغة المعیَّنة وتکرارها؛ لکون ذلک الاختیار لیس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اختیاراً اعتیادیاً، وإنَّما هو اختیارٌ مقیَّدٌ بکونه مکرَّراً، بمعنی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صیغة معیَّنة بصورة متکرّرة یُعدُّ ظاهرةً أُسلوبیةً لها دلالتها کغیرها من الظواهر الأُسلوبیة</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وهذا ما وجده البحث من خلال اختیار واستعمال هذه الصیغ وتکرارها فی نصوص الحِقبتین</w:t>
      </w:r>
      <w:r>
        <w:rPr>
          <w:rFonts w:eastAsia="IRNazanin" w:cs="IRNazanin"/>
          <w:color w:val="111111"/>
          <w:sz w:val="28"/>
          <w:szCs w:val="28"/>
          <w:rtl w:val="true"/>
          <w:lang w:bidi="fa-IR"/>
        </w:rPr>
        <w:t xml:space="preserve">. </w:t>
      </w:r>
      <w:bookmarkStart w:id="267" w:name="pg5013_35406"/>
    </w:p>
    <w:p>
      <w:pPr>
        <w:pStyle w:val="Heading3"/>
        <w:numPr>
          <w:ilvl w:val="2"/>
          <w:numId w:val="1"/>
        </w:numPr>
        <w:rPr/>
      </w:pPr>
      <w:bookmarkStart w:id="268" w:name="__RefHeading___Toc507779_774463916"/>
      <w:bookmarkStart w:id="269" w:name="_Toc91"/>
      <w:bookmarkEnd w:id="267"/>
      <w:bookmarkEnd w:id="268"/>
      <w:r>
        <w:rPr>
          <w:rtl w:val="true"/>
        </w:rPr>
        <w:t xml:space="preserve">المبحث الثالث </w:t>
      </w:r>
      <w:r>
        <w:rPr>
          <w:rtl w:val="true"/>
        </w:rPr>
        <w:t xml:space="preserve">: </w:t>
      </w:r>
      <w:r>
        <w:rPr>
          <w:rtl w:val="true"/>
        </w:rPr>
        <w:t>العدول</w:t>
      </w:r>
      <w:bookmarkEnd w:id="269"/>
    </w:p>
    <w:p>
      <w:pPr>
        <w:pStyle w:val="Heading4"/>
        <w:numPr>
          <w:ilvl w:val="3"/>
          <w:numId w:val="1"/>
        </w:numPr>
        <w:rPr/>
      </w:pPr>
      <w:bookmarkStart w:id="270" w:name="__RefHeading___Toc507781_774463916"/>
      <w:bookmarkStart w:id="271" w:name="_Toc92"/>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نقصد بالعدول هنا الدلالة المجازیة التی تکوّن عدولاً أو انزیاحاً عن الدلالة الحقیقیة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ویُعدُّ العدول عاملاً مهمّاً من عوامل التطوُّر اللُّغوی،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فالمجاز حدثٌ لغویّ یُفسّر لنا تطوُّر اللغة بتطوُّر دلالة ألفاظها علی المعانی الجدیدة</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 ویکسب الصورة ظلالاً وألواناً وهی انعکاسات للإیحاءات والعواطف، کما أنّه یمنحها القدرة علی تحریک خیال السامع وإثارة إحساساته المختلفة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507783_774463916"/>
      <w:bookmarkStart w:id="273" w:name="_Toc93"/>
      <w:bookmarkEnd w:id="272"/>
      <w:r>
        <w:rPr>
          <w:rtl w:val="true"/>
        </w:rPr>
        <w:t>والمجاز قسمان</w:t>
      </w:r>
      <w:r>
        <w:rPr>
          <w:rtl w:val="true"/>
        </w:rPr>
        <w:t>:</w:t>
      </w:r>
      <w:bookmarkEnd w:id="273"/>
    </w:p>
    <w:p>
      <w:pPr>
        <w:pStyle w:val="BookText"/>
        <w:rPr/>
      </w:pPr>
      <w:r>
        <w:rPr>
          <w:rFonts w:ascii="IRNazanin" w:hAnsi="IRNazanin" w:eastAsia="IRNazanin"/>
          <w:color w:val="111111"/>
          <w:sz w:val="28"/>
          <w:sz w:val="28"/>
          <w:szCs w:val="28"/>
          <w:rtl w:val="true"/>
          <w:lang w:bidi="fa-IR"/>
        </w:rPr>
        <w:t>مجاز لغوی، ومداره اللفظ المفرد، والمجاز العقلی، ومدارهُ الترکیب</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والمجاز اللغوی یستعمل اللفظ المفرد فی غیر ما وُضِع له أوّلاً، أمَّا المجاز العقلی فمضماره الإسناد، وذلک بأن یسند الفعل أو شبهه إلی غیر ما هو له أصالة لملابسته له، أو لضرب من التأویل</w:t>
      </w:r>
      <w:r>
        <w:rPr>
          <w:rStyle w:val="FootnoteAnchor"/>
          <w:rtl w:val="true"/>
        </w:rPr>
        <w:footnoteReference w:id="624"/>
      </w:r>
      <w:r>
        <w:rPr>
          <w:rFonts w:ascii="IRNazanin" w:hAnsi="IRNazanin" w:eastAsia="IRNazanin"/>
          <w:color w:val="111111"/>
          <w:sz w:val="28"/>
          <w:sz w:val="28"/>
          <w:szCs w:val="28"/>
          <w:rtl w:val="true"/>
          <w:lang w:bidi="fa-IR"/>
        </w:rPr>
        <w:t>، ویُقسّم المجاز اللغوی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والمجاز </w:t>
      </w:r>
    </w:p>
    <w:p>
      <w:pPr>
        <w:pStyle w:val="BookText"/>
        <w:rPr/>
      </w:pPr>
      <w:r>
        <w:rPr>
          <w:rFonts w:ascii="IRNazanin" w:hAnsi="IRNazanin" w:eastAsia="IRNazanin"/>
          <w:color w:val="111111"/>
          <w:sz w:val="28"/>
          <w:sz w:val="28"/>
          <w:szCs w:val="28"/>
          <w:rtl w:val="true"/>
          <w:lang w:bidi="fa-IR"/>
        </w:rPr>
        <w:t xml:space="preserve">المرسل، فإن کانت العلاقة بین الدلالة الأُولی للفظ والدلالة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المستعار، والمستعار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علی المشابهة، یُسمّی هذا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حین تکون العلاقة فی المجاز المرسل غیر المشابهة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أنواع انحراف الدلالة کما هو الشأن فی المجاز</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وقد ذهب إلی ذلک کثیر من العلماء کابن جنی، وابن الأثیر</w:t>
      </w:r>
      <w:r>
        <w:rPr>
          <w:rStyle w:val="FootnoteAnchor"/>
          <w:rtl w:val="true"/>
        </w:rPr>
        <w:footnoteReference w:id="627"/>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الکنایة، فقد عُدَّت ضرباً من العدول، وإلی هذا ذهب أکثر العلماء البیانیین من القدماء، ومنهم ابن الأثیر الذی عدَّها جزءاً من الاستعارة</w:t>
      </w:r>
      <w:r>
        <w:rPr>
          <w:rStyle w:val="FootnoteAnchor"/>
          <w:rtl w:val="true"/>
        </w:rPr>
        <w:footnoteReference w:id="628"/>
      </w:r>
      <w:r>
        <w:rPr>
          <w:rFonts w:ascii="IRNazanin" w:hAnsi="IRNazanin" w:eastAsia="IRNazanin"/>
          <w:color w:val="111111"/>
          <w:sz w:val="28"/>
          <w:sz w:val="28"/>
          <w:szCs w:val="28"/>
          <w:rtl w:val="true"/>
          <w:lang w:bidi="fa-IR"/>
        </w:rPr>
        <w:t>، کما ذهب إلی ذلک یحیی ابن حمزة العلوی الذی جعلها وادیاً من أودیة المجاز، وقاعدة من قواعد علم البلاغة</w:t>
      </w:r>
      <w:r>
        <w:rPr>
          <w:rStyle w:val="FootnoteAnchor"/>
          <w:rtl w:val="true"/>
        </w:rPr>
        <w:footnoteReference w:id="629"/>
      </w:r>
      <w:r>
        <w:rPr>
          <w:rFonts w:ascii="IRNazanin" w:hAnsi="IRNazanin" w:eastAsia="IRNazanin"/>
          <w:color w:val="111111"/>
          <w:sz w:val="28"/>
          <w:sz w:val="28"/>
          <w:szCs w:val="28"/>
          <w:rtl w:val="true"/>
          <w:lang w:bidi="fa-IR"/>
        </w:rPr>
        <w:t>وإلی ذلک ذهب البلاغیون المُحدَثون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والمجاز أو العدول رکن مهمّ من أرکان التحلیل الأُسلوبی اللفظی، لِما له من تأثیر جوهری علی المعانی المتداولة</w:t>
      </w:r>
      <w:r>
        <w:rPr>
          <w:rStyle w:val="FootnoteAnchor"/>
          <w:rtl w:val="true"/>
        </w:rPr>
        <w:footnoteReference w:id="631"/>
      </w:r>
      <w:r>
        <w:rPr>
          <w:rFonts w:ascii="IRNazanin" w:hAnsi="IRNazanin" w:eastAsia="IRNazanin"/>
          <w:color w:val="111111"/>
          <w:sz w:val="28"/>
          <w:sz w:val="28"/>
          <w:szCs w:val="28"/>
          <w:rtl w:val="true"/>
          <w:lang w:bidi="fa-IR"/>
        </w:rPr>
        <w:t>، کما أنَّه یرتبط ارتباطاً واسعاً بمسالة الاختیار، بل هو أوسع باب فی هذا المجال</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من اختیار العدول الدلالی ما جاء فی خُطبة سلیمان بن صُرَد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بعدُ، فإنّی والله لخائفٌ ألّا یکون آخرنا إلی هذا الدهر الذی نَکِدَت فیه المعیشة، وعَظمَت فیه الرزیة، وشَمِلَ فیه الجور أولی الفضل مِنْ هذه الشیعة لِمَا هو خیر؛ إنَّا کُنَّا نَمُدُّ أعناقنا إلی قدومِ آلِ نَبیّنا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کالأولی مِن بنی إسرائیل إذْ قال لهم نبیّهم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الْخَیْلِ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فَمَا فَعَلَ القوم؟ جَثَوا علی الرُّکَبِ والله، وَمَدُّوا الأعْناق ورَضُوا بالقَضَاء</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فنجد فی هذا النص عدولَین، الأوَّل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آخرنا إلی هذا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مجازاً واستعماله هنا فی موارد تخصُّص الزمان، ولا یعنی به الدهر بمعناه الزمنی، وإنَّما یعنی به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زمان التوّابین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خطیبهم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أسوأ زمان لمِا فیه من قتل للأبرار وتهنئة للأشرار</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نمدُّ أعناقنا إلی قدوم آل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 أعناقنا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التلهف والشوق، وأراد الخطیب من هذا العدول أنْ یُعبّر عن الصورة التی کانوا علیها وهم یترقبون بشوق قدوم آل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یلبث الخطیب أنْ کرَّر مثل هذه الکنایة فی وصف قوم نبی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جَثَوا علی الرُّکب ومدُّوا الأعناق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لیعطی الصورة الدلالیة نفسها، ویُکَنّی بها عن تلهفهم وشوقهم للتسلیم لقضاء الله، ویوازی بین صورتهم وصورة توّابی بنی إسرائیل، إذ کان الخطیب یجد فی نفسه وقومه شبهاً عظیماً بینهم وبین بنی إسرائیل، ومن هنا نلحظ أنَّ الکنایة 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المبالغة فی المعنی؛ لأنّ التعبیر عن المعنی الکنائی بروادفه وتوابعه له من القوَّة والتأکید ما لیس فی التعبیر عنه باللفظ الموضوع له، وذلک لأنَّه یَصبح کإبراز الدعوی بدلیلها، وکإثبات الحجَّة ببیّنتها</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فی الخُطبة نفسها وفی الآیة التی اقتبسها ابن صُرَد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الْخَیْلِ </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حَتی تُدْعَوا أو تسْتَنْفَرُوا</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إذ جاء فیها المجاز المرسل الذی کانت علاقته المسببیَّة،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واعدوا لهم من کلّ ما یتقوّی به فی الحرب مِن عدَّتها</w:t>
      </w:r>
      <w:r>
        <w:rPr>
          <w:rStyle w:val="FootnoteAnchor"/>
          <w:rtl w:val="true"/>
        </w:rPr>
        <w:footnoteReference w:id="639"/>
      </w:r>
      <w:r>
        <w:rPr>
          <w:rFonts w:ascii="IRNazanin" w:hAnsi="IRNazanin" w:eastAsia="IRNazanin"/>
          <w:color w:val="111111"/>
          <w:sz w:val="28"/>
          <w:sz w:val="28"/>
          <w:szCs w:val="28"/>
          <w:rtl w:val="true"/>
          <w:lang w:bidi="fa-IR"/>
        </w:rPr>
        <w:t>التی تحدث القوة والمِنعَة، وتعطی الثقة بالنفس، والقدرة علی القتال، فإطلاق اسم القوة علی السلاح من باب إطلاق المسبّب علی السَّبَب</w:t>
      </w:r>
      <w:r>
        <w:rPr>
          <w:rStyle w:val="FootnoteAnchor"/>
          <w:rtl w:val="true"/>
        </w:rPr>
        <w:footnoteReference w:id="640"/>
      </w:r>
      <w:r>
        <w:rPr>
          <w:rFonts w:ascii="IRNazanin" w:hAnsi="IRNazanin" w:eastAsia="IRNazanin"/>
          <w:color w:val="111111"/>
          <w:sz w:val="28"/>
          <w:sz w:val="28"/>
          <w:szCs w:val="28"/>
          <w:rtl w:val="true"/>
          <w:lang w:bidi="fa-IR"/>
        </w:rPr>
        <w:t>، وفی هذا الاقتباس ومن هذه الصورة المجازیة نجد استنفاراً للهمم من أجل العدَّة المعنویة والمادیة تأهّباً للثورة علی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خُطبة عبید الله المرّی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اصطفی محمَّداً صلّی الله علیه وآله وسلّم علی خَلْقِه بنبوَّتِه، وخَصَّه بالفضل کلّه، وأعزَّکم باتّباعه وأکرَمَکُم بالإیمان به، فَحَقَنَ به دماءَکم المسفوکَة، وأمَّن به سُبُلَکم المَخُوفة،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حقن به دماءَکم المسفوکة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عقلیٌّ</w:t>
      </w:r>
      <w:r>
        <w:rPr>
          <w:rStyle w:val="FootnoteAnchor"/>
          <w:rtl w:val="true"/>
        </w:rPr>
        <w:footnoteReference w:id="643"/>
      </w:r>
      <w:r>
        <w:rPr>
          <w:rFonts w:ascii="Amiri" w:hAnsi="Amiri" w:eastAsia="Amiri" w:cs="Amiri"/>
          <w:color w:val="111111"/>
          <w:sz w:val="28"/>
          <w:sz w:val="28"/>
          <w:szCs w:val="28"/>
          <w:rtl w:val="true"/>
          <w:lang w:bidi="ar-SA"/>
        </w:rPr>
        <w:t>بإسناد الحقن إلی الدّماء، وأصل الحقن لحبس الشیء،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یء یَحْقنه ویحقنه حقناً، فهو محقونٌ وحَقین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فأراد الخطیب من هذا الإسناد المجازی لینبِّه السامع إلی فضل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بکونه منقذاً للبشریة من القتل والاقتتال، فهو بحقّ حاقن لدمائهم التی کانت تُسفک بین الحین والآخر، وهذا بحدّ ذاته تذکیر للمسلمین بِعظَم حقّ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فی الآیة التی ساقها الخطیب مقتبساً، استعمالٌ مجازیٌّ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 ففی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لغویٌّ بالاستعارة؛ لأنَّ العلاقة هنا علاقة مشابهة، یقول الشریف الرضی معلّقاً علی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استعارة؛ لأنَّه تعالی شبَّه المُشْفِی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دخول النار، بالمُشْفَی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لزلَّة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الوقوع فی النار</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 وفی هذا العدول الدلالی نجد الدلالة نفسها فی تقریر فضل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الأُمة التی کادت أنْ تَضِلَّ وتدخل النار بسبب سوء عملها، ولکن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أنقذها 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فالواجب احترام ذریته، وجعلهم فی مکانهم اللائق بهم، لا قتلهم والتنکیل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رسالة سلیمان بن صُرَد إلی سعد بن حذیفة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سَلَبُوه وجرَّدوه ظُلْمَاً وعُدْوَاناً وغِرَّةً بالله وَجَهْلاً، وبِعینِ الله ما یَعْمَلون، وإلی الله ما یَرْجِعُون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لغویٌّ مُرسل علاقته تسمیة الکلّ باسم الجزء،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الجزء لا غنی عنه فی الدّلالة علی الکلّ، فصار ذلک الجزء کأنّه الشّیء کلّه</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فلفظة العین جزء مِن الکلّ، وإنْ کانت العین الجارحة لا یجوز نسبتها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المقصود بعین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ذاته، فعبَّر عن هذه الذات الکلیة بجزءٍ منها، ولأنَّ العین هی الجزء المهم من </w:t>
      </w:r>
    </w:p>
    <w:p>
      <w:pPr>
        <w:pStyle w:val="BookText"/>
        <w:rPr/>
      </w:pPr>
      <w:r>
        <w:rPr>
          <w:rFonts w:ascii="IRNazanin" w:hAnsi="IRNazanin" w:eastAsia="IRNazanin"/>
          <w:color w:val="111111"/>
          <w:sz w:val="28"/>
          <w:sz w:val="28"/>
          <w:szCs w:val="28"/>
          <w:rtl w:val="true"/>
          <w:lang w:bidi="fa-IR"/>
        </w:rPr>
        <w:t>أجزاء البدن، وبها یَری الحقائق علی طبیعتها، ونسبتها کما قلنا مستحیلة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المنشئ أراد أن یُعبّر عن معنی آخر وهو أنَّ أفعال هؤلاء الظالمین إنَّما هی بعین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یخفی علیه شیء،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المُطَّلع علیها وعلی حقیقتها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خُطبة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مَنْ کانَ إنَّما أخرَجَتْه إرادةُ وَجْهِ اللهِ وثوابِ الآخرة، فذلک مِنَّا ونَحْنُ مِنْه، فرَحْمَةُ الله علیه حیّاً ومَیْتاً، ومَن کانَ إنَّما یُریدُ الدّنیا وَحَرْثَها فَوالله ما نأتی فیئاً نَسْتَفِیؤه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أخرجته إرادةُ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فوجه الله تجوُّز، والمراد به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کان الوجه هو أشرف أجزاء البدن للدلالة علیه، فقد أُطلق مجازاً علی الذات المقدَّسة، جریاً علی عادة العرب فی الاستعمال، فالمجاز هنا مجازٌ لغویٌّ مرسلٌ علاقته الجزئیة بإطلاق اسم الجزء وإرادة الکلّ</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إنّما یُرید الدنیا وحَرْثَها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عدولٌ علی طریق الاستعارة، ولم یَقصد به الحرث الحقیقی الذی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فی الأرض زرعاً کان أو غرساً</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 فقد استعار الخطیب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لیُعبّر به عن کسبِ الدنیا ومتاعها، وقد وردت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الکریم، ونقلت فیها الدلالة إلی صورة مجازیة جدیدة،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حَرْثَ الْآخِرَةِ نَزِدْ لَهُ فِی حَرْثِهِ وَمَنْ کَانَ یُرِیدُ حَرْثَ الدُّنْیَا نُؤْتِهِ </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قال الشریف الرضی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بحرثِ الآخرة والدُّنیا کَدْحُ الکادِحِ لثوابِ الآجلة وحُطام العاجلة، فهذا مِن التَّشبیه العجیب، والتَّمثیل </w:t>
      </w:r>
    </w:p>
    <w:p>
      <w:pPr>
        <w:pStyle w:val="BookText"/>
        <w:rPr/>
      </w:pPr>
      <w:r>
        <w:rPr>
          <w:rFonts w:ascii="Amiri" w:hAnsi="Amiri" w:eastAsia="Amiri" w:cs="Amiri"/>
          <w:color w:val="111111"/>
          <w:sz w:val="28"/>
          <w:sz w:val="28"/>
          <w:szCs w:val="28"/>
          <w:rtl w:val="true"/>
          <w:lang w:bidi="ar-SA"/>
        </w:rPr>
        <w:t>المُصیب؛ لأنَّ الحارث المُزْدَرِع إنَّما یتوقَّع عاقبة حَرْثِه، فیجنی ثمرَ غِراسه، ویفوز بعوائد ازْدِراعِه</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کانت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استثمرت فی الخُطبة استثماراً موفَّقاً؛ لأنَّ الخطیبَ قدْ حاکی فی ذلک أُسلوب القرآن وبلاغته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کذلک فی رسالة عبد الله بن یزید إلی سلیمان بن صُرَد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مِنْ عبدِ اللهِ بنِ یزیدَ إلی سلیمانَ بنِ صُرَد ومَنْ مَعَهُ مِنَ المسلمین، سلامٌ علیکُم، أمَّا بعدُ، فإنَّ کتابی هذا إلیکم کتابُ ناصحٍ ذی إرعاء، وَکَمْ مِنْ ناصحٍ مُسْتَغشّ، وکَمْ مِنْ غاشٍ مُسْتَنْصَحٍ مُحبّ، إنَّه بَلَغَنی أنَّکم تُریدونَ المسیرَ بالعَدَدِ الیَسِیْرِ إلی الجَمْعِ الکَثیر، وإنَّه مَنْ یُرِد أنْ یَنْقُلِ الجِبالَ عنْ مراتِبِها تَکِلُّ معاوِلُه، ویُنْزعُ وهو مذمومُ العقلِ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ومتی ما یُصیبکم عدوُّکم یعلموا أنَّکُم أعلامُ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 أیدینا وأیدیکُم الیوم واحدة، وإنَّ عدّونا وعدّوکم واحد، ومتی تجْتَمِع کلمتُنا نَظْهَر علی عدوّنا، ومَتَی تَخْتلف تَهُن شوکتُنا علی مَن خالَفَنا</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الرسالة التی بعث بها عبد الله بن یزید إلی ابن صُرَد وأصحابه یتوسل إلیهم أنْ یرجعوا عمَّا یُریدون القیام به، قد زیَّنها بطائفة من الاستعمالات المجازیة لیجعل للفکر مساحة کافیة، لیتمحَّص ما فیها من عدولٍ، فقد جاء الاستعمال الأوَّل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یُرد أن ینقل الجبال عن مراتبها تکلّ معاوله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أسند الفعل تکلّ إلی المعاول، وهو من المجاز العقلی علاقته الفاعلیة، فصاحب المعاول هو الذی یکلُّ ویتعب ولیست المعاول، وهذه صورة رائعة أراد بها المرسِل أنْ یقرّب الدلالات إلی أذهان التوّابین، أنَّهم أمام عدوٍ غاشمٍ کبیر العدد لا طاقة لهم علی مواجهته، وکان هذا </w:t>
      </w:r>
    </w:p>
    <w:p>
      <w:pPr>
        <w:pStyle w:val="BookText"/>
        <w:rPr/>
      </w:pPr>
      <w:r>
        <w:rPr>
          <w:rFonts w:ascii="IRNazanin" w:hAnsi="IRNazanin" w:eastAsia="IRNazanin"/>
          <w:color w:val="111111"/>
          <w:sz w:val="28"/>
          <w:sz w:val="28"/>
          <w:szCs w:val="28"/>
          <w:rtl w:val="true"/>
          <w:lang w:bidi="fa-IR"/>
        </w:rPr>
        <w:t>القول لیس لتثبیط عزائمهم، وإنَّما کان بدافع الخوف علیهم من أذی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الاستعمال المجازی الآخر فنجده قائماً علی المجاز اللغوی المعتمد علی أساس المشابهة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ومتی ما یصبکم عدوکم یعلموا أنَّکم أعلام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الجبل، فقد استعار هذه اللفظة لیُعبّر بها عن سیّد القوم وکبیرهم، والمعنی واضح أنَّ هؤلاء التوّابین إنّما کانوا أسیاداً وشرفاء فی قومهم، ولم یکونوا من عامتهم وأنَّ فی هذا تبجیلاً لهم وتعظیماً لحقهم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أیدینا وأیدکم الیوم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مجازٌ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هنا القوَّة والتعاضُد</w:t>
      </w:r>
      <w:r>
        <w:rPr>
          <w:rStyle w:val="FootnoteAnchor"/>
          <w:rtl w:val="true"/>
        </w:rPr>
        <w:footnoteReference w:id="655"/>
      </w:r>
      <w:r>
        <w:rPr>
          <w:rFonts w:ascii="IRNazanin" w:hAnsi="IRNazanin" w:eastAsia="IRNazanin"/>
          <w:color w:val="111111"/>
          <w:sz w:val="28"/>
          <w:sz w:val="28"/>
          <w:szCs w:val="28"/>
          <w:rtl w:val="true"/>
          <w:lang w:bidi="fa-IR"/>
        </w:rPr>
        <w:t>، فهو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قوَّتنا وقوَّتکم واحدة، وجاء بها علی لفظ مستعار،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تهن شوکتنا علی مَن خالفنا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والشوکة هنا بمعنی الحدَّة، وهو لفظٌ مستعارٌ من نبات الشوک</w:t>
      </w:r>
      <w:r>
        <w:rPr>
          <w:rStyle w:val="FootnoteAnchor"/>
          <w:rtl w:val="true"/>
        </w:rPr>
        <w:footnoteReference w:id="656"/>
      </w:r>
      <w:r>
        <w:rPr>
          <w:rFonts w:ascii="IRNazanin" w:hAnsi="IRNazanin" w:eastAsia="IRNazanin"/>
          <w:color w:val="111111"/>
          <w:sz w:val="28"/>
          <w:sz w:val="28"/>
          <w:szCs w:val="28"/>
          <w:rtl w:val="true"/>
          <w:lang w:bidi="fa-IR"/>
        </w:rPr>
        <w:t>، وقال 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وقیل حِدَّة السلاح</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الزخم الدلالی الناتج عن تتالی الاستعمالات المجازیة قد تمَّ بقصدیة المنشئ لبناء سیاقات نصّه، بما یحقق قیمة بلاغیة عالیة تعمل علی إثراء النص بیانیاً، وتُحقّق اختزالاً بدیعیاً فی أدائه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کذلک فی خُطبة ابن صُرَد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أنا ما أری ذلک لکم، إنَّ الذی قتل صاحبَکم، وعبَّأ الجنود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أمانَ له عندی دونَ أن یستسلم فاُمضی فیه حُکمی، هذا الفاسق ابن الفاسق ابنُ مرجانة، عبید الله بن زیاد، فسیروا إلی عدوّکم علی اسم الله، </w:t>
      </w:r>
    </w:p>
    <w:p>
      <w:pPr>
        <w:pStyle w:val="BookText"/>
        <w:rPr/>
      </w:pPr>
      <w:r>
        <w:rPr>
          <w:rFonts w:ascii="Amiri" w:hAnsi="Amiri" w:eastAsia="Amiri" w:cs="Amiri"/>
          <w:color w:val="111111"/>
          <w:sz w:val="28"/>
          <w:sz w:val="28"/>
          <w:szCs w:val="28"/>
          <w:rtl w:val="true"/>
          <w:lang w:bidi="ar-SA"/>
        </w:rPr>
        <w:t>فإنْ یُظْهِرکم الله علیه رجونا أنْ یکونَ مَنْ بعده، أهون شوکة مِنْه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ونجد فی هذا النص مجموعة من الاستعمالات المجازیة الاستعاریة التی اعتمدها الخطیب لیُضفی علی خُطبته طابعاً أُسلوبیاً ملاکه الخروج علی الدلالات المرکزیة إلی دلالات هامشیة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الفاسق ابن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عبَّر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العاصی والمذنب، وإنَّ هذه اللفظة تُقال أصلاً لانسلاخ الرطبة عن 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رتها، وبعدها شهدت انحطاطاً دلالیاً، فصارت تطلق علی العاصی والمذنب الخارج عن حدود الله لعلاقة المشابهة</w:t>
      </w:r>
      <w:r>
        <w:rPr>
          <w:rStyle w:val="FootnoteAnchor"/>
          <w:rtl w:val="true"/>
        </w:rPr>
        <w:footnoteReference w:id="659"/>
      </w:r>
      <w:r>
        <w:rPr>
          <w:rFonts w:ascii="IRNazanin" w:hAnsi="IRNazanin" w:eastAsia="IRNazanin"/>
          <w:color w:val="111111"/>
          <w:sz w:val="28"/>
          <w:sz w:val="28"/>
          <w:szCs w:val="28"/>
          <w:rtl w:val="true"/>
          <w:lang w:bidi="fa-IR"/>
        </w:rPr>
        <w:t>، فقد جاء فی القاموس المحیط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والرطبة عن 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خرجت کانفسقت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الفاسق لانسلاخه عن الخیر</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هذه اللفظة شهدت توسّعاً دلالیاً من أطلاقها علی المحسوس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الخروج عن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هذا التوسّع قد حطَّ من دلالتها، وهنا استثمر الخطیب هذه الدلالة الجدیدة لیُعبّر بها انطباقاً علی ابن زیاد وفساده، وخروجه علی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یکتفِ الخطیب بهذا الوصف، بل عمد إلی استعمال الکنایة،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صورة کنائیة وإن کانت مبنیَّة علی حقیقة نسب عبید الله بن زیاد إلی أُمّه مرجانة، ولکنَّ بناء الصورة علی الحقیقة فی هذا النص، یراد بها معنی آخر، وهذا ما یجعل المتلقی أکثر تنبهاً لما تحمله هذه الصورة الکنائیة عندما تکشف الجانب الخفی بفساد الأصل الذی ینتمی إلیه عبید الله وخسّته، فضلاً عن الازدواجیة فی التوظیف لهذه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التی أطلقت العنان لخیال المتلقی أنْ یتصوَّر ما شاء من </w:t>
      </w:r>
    </w:p>
    <w:p>
      <w:pPr>
        <w:pStyle w:val="BookText"/>
        <w:rPr/>
      </w:pPr>
      <w:r>
        <w:rPr>
          <w:rFonts w:ascii="IRNazanin" w:hAnsi="IRNazanin" w:eastAsia="IRNazanin"/>
          <w:color w:val="111111"/>
          <w:sz w:val="28"/>
          <w:sz w:val="28"/>
          <w:szCs w:val="28"/>
          <w:rtl w:val="true"/>
          <w:lang w:bidi="fa-IR"/>
        </w:rPr>
        <w:t>التوجّهات الوصفیة بابن زیاد، ففتح الباب بأوسع مجالاته أمام حشد الأوصاف الدنیئة بابن زیاد</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ویعود ابن صرد لیستعیر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لیُعبّر بها عن الحدَّة فی الوصف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رجونا أن یکون من بعده أهون شوکة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یکون لاختیار العدول وظیفة فنیّة لإثراء الدلالة، وتحقیق القوة التعبیریة علی مستوی خصائص المعانی اللغویة،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عن المعانی المجرَّدة بالمعانی الحسیّة، وتنسیق عناصر الصورة وفق ذبذبات النفس الشعوریة، لا وفق واقعها العیانی المرصود</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ویمضی سلیمان بن صُرَد مکثفاً من اختیار العدول فی خُطبه حتی یمکن حسبان ذلک میزة أُسلوبیة شائعة فیها، فقد جاء فی خُطبته وهو یصف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فإنّکم لنْ تتوسَّلوا إلی ربِکم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یءٍ هو أعظمُ ثواباً مِنَ الجهاد والصَّلاة، فإنَّ الجهاد سنامُ العملِ</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 xml:space="preserve">، فقد استعار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لعلوّ مرتبته مضافاً إلی الجهاد، لیصفه بأنّه أعلی مراتب العمل</w:t>
      </w:r>
      <w:r>
        <w:rPr>
          <w:rStyle w:val="FootnoteAnchor"/>
          <w:rtl w:val="true"/>
        </w:rPr>
        <w:footnoteReference w:id="664"/>
      </w:r>
      <w:r>
        <w:rPr>
          <w:rFonts w:ascii="IRNazanin" w:hAnsi="IRNazanin" w:eastAsia="IRNazanin"/>
          <w:color w:val="111111"/>
          <w:sz w:val="28"/>
          <w:sz w:val="28"/>
          <w:szCs w:val="28"/>
          <w:rtl w:val="true"/>
          <w:lang w:bidi="fa-IR"/>
        </w:rPr>
        <w:t>، وبهذا الوصف الرائع یحبّب الخطیب فرض الجهاد إلی النفوس ویزیّنه فیها لتقبل علیه غیر متردّدة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آخر خُطبة له قبیل استشهاده محرضاً قومه علی القتال والجهاد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أتاکم اللهُ بعدوّکم الذی دأبتم فی المسیر إلیه آناء اللیل والنَّهار، تُریدون فیما تُظهِرون التوبة 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لقیتموهم فأصدقوهم، واصبروا إنَّ الله مع الصابرین، ولا یولّیهم امرؤٌ دبره إلّا متحرّفاً 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مُدبِراً ولا تَجهزوا علی جریحٍ، ولا تقتلوا أسیراً مِنْ أهل دعوتِکم</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فیکشف لنا هذا النص عن مدی مرونة استعمالاته حتی یخرج فیها عن المألوف فی الکلام لکی یحقّق عدولاً أُسلوبیاً،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لأنَّها من أسماء المبالغة،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نصوحٌ، إذا کان کثیر النُصح لمَن یستنصحه، وذلک غیر متأتٍّ فی صفة التوبة علی الحقیقة</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 والمراد أنَّه لما کانت التوبة من التوّابین بالغة غایة البلوغ فی تلافی ذلک الذنب الذی صدر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کأنَّها بالغةٌ غایة الاجتهاد فی نُصح صاحبها، ودلالته علی طریق النجاة بها، فحسن أن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الوجه</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الوصف کان دقیقاً؛ لذا تأثَّر الخطیب بأُسلوب القرآن الکریم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لیدلّل علی عمق توبتهم من عظیم ذنبهم حینما ترکوا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یواجه مصیره وحیداً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آثر محاکاة الأُسلوب القرآنی مرَّةً أُخری فی نصّه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یولّیهم امرؤ دبره إلّا متحرفاً 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وتولی الأدبار کنایة عن الفِرار فی المعرکة</w:t>
      </w:r>
      <w:r>
        <w:rPr>
          <w:rStyle w:val="FootnoteAnchor"/>
          <w:rtl w:val="true"/>
        </w:rPr>
        <w:footnoteReference w:id="669"/>
      </w:r>
      <w:r>
        <w:rPr>
          <w:rFonts w:ascii="IRNazanin" w:hAnsi="IRNazanin" w:eastAsia="IRNazanin"/>
          <w:color w:val="111111"/>
          <w:sz w:val="28"/>
          <w:sz w:val="28"/>
          <w:szCs w:val="28"/>
          <w:rtl w:val="true"/>
          <w:lang w:bidi="fa-IR"/>
        </w:rPr>
        <w:t>، فأراد بهذا العدول أنْ یوجِّه قومه ویثبِّت من عزائمهم، ویطلب منهم أن لا یفرّوا من ساحة القتال إلّا 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روعیة ذلک فی الاستثناء القرآنی، ونجد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تجهزوا علی جریح، ولا تقتلوا أسیراً من أهل دعوتکم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عقلیاً علاقته المفعولیة، والمراد بالجریح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وبالأسیر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مرَّ بالبحث أنَّ اختیار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قیمتها الأُسلوبیة فی التعبیر، وهو المبالغة فی الوصف الموضوع فی الکلام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جاء فی خُطبة المختار بن أبی عبید الثقفی التی ألقاها بعد هرب ابن مطیع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دعوةَ الداعی، ومقالّة الواعی، فکم مِنْ ناعٍ وناعیَة، لَقَتْلَی فی الواعیَة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وبُعداً لِمَنْ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والَّذی جعل السماءَ سَقْفَاً مَکْفُوفاً، والأرض فجَاجاً سُبُلاً، ما بایعتم بعد بیعة علی بن أبی طالب وآلِ علی أهدی مِنها</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 عدولان آثر المختار أن یودعهما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کان مجازاً لغویاً علاقته السببیة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من ناعٍ وناعیة لقتلی فی الواعیة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لقتلی فی الواعیة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والواعیة هی الصراخ علی المیت ونعیه، والمعنی کم من ناعٍ وناعیة لأُناس قد قتلوا بسبب نَعیِهِم وصراخهم علی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فالصراخ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سبباً فی قتل هؤلاء الناس من قِبل أعداء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غرض المختار من هذا العدول أن یستثیر الناس، ویحرّک مشاعرهم للطلب بثأر الإمام من أعداء الله الذین لم یکتفوا بما اقترفوه من قتله وأهل بیته، بل تعدَّی إلی قتل مَنْ نَعَی هؤلاء الشهداء وبَکَاهُم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العدول الدلالی الآخر فنجده،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والذی جعل السماء سقفاً مکفوفاً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مجاز عقلی علاقته الفاعلیة،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والذی جعل السماء سقفاً کافَّاً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العدول بحدّ ذاته محاکاة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السَّمَاءَ سَقْفًا مَحْفُوظًا وَهُمْ عَنْ آیَاتِهَا مُعْرِضُونَ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والمعنی سقفاً حافظاً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القدرة علی ابتداع الصور المختلفة عن طریق الاستعمالات المجازیة المتنوعة، دلیلٌ کبیرٌ علی تمکّن المنشئ مِن اللغة، واستثماره دلالاتها الهامشیة التی تزید من سعة المجال لخیالاته ورؤاه، فهو یُضفی علی الأشیاء المألوفة دلالات ومعانی جدیدة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کذلک فی خُطبة المختار الثقفی وقد استنصره ابن الحنفیة عندما زجه عبد الله ابن الزبیر فی السجن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 مهدیّکم وصَریحُ أهلِ بیتِ نَبیّکم، وقدْ تُرِکُوا محظوراً علیهم کما یُحظر علی الغَنَم ینتَظرون القتلَ والتحریق بالنار فی آناء اللیل وتارات النهار، ولَسْتُ أبا إسحاق إنْ لم أنصرْهُم نَصْرَاً مؤزَّراً، وإنْ لم أُسَرّب إلیهم الخیلَ فی أثَرِ الخیلِ، کالسیلِ یتلوهُ السیل، حتَّی یَحُلّ بابنِ الکاهلیّة الویل</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فی هذا النص عدولٌ متنوِّعٌ، أوَّله قوله وهو یصف ابن الحنفیة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تُرِکُوا محظوراً علیهم کما یُحظر علی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صوّر حبسهم من قِبل ابن الزبیر أروع تصویر من خلال اعتماده علی فن التشبیه، فقد شبَّه حبسهم هذا بحبس الغنم من صاحبها؛ وذلک لأنَّ المشبه به، وهو الغنم تکون لیّنة سهلة الانقیاد لصاحبها، وهو بهذا یصف ضعف محمد بن الحنفیة وأصحابه، وعجزهم عن الإفلات من هذا السجن، وکذلک یحاول المختار من خلال هذا التشبیه أن یثیر إحساس السامع، ویحرّک مشاعره من خلال المبالغة فی المعنی الذی حمله التشبیه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والعدول الآخر نجده،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أُسرّب الخیل فی أثر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الخیل من المجاز العقلی؛ لأنَّ السرب یکون لجریان الماء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علی وجه الأرض، وهذا مسَرَبُ الماء</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 فقد أسند الفعل سَرَّب إلی الخیل مجازاً، قال الزمخش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المجاز سَرَّب علی الخیل والإبل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سُرَباً</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 xml:space="preserve">، وأراد المختار من هذا الاستعمال المجازی أن یصف الخیل التی سیعدها لیُخلّص محمد بن </w:t>
      </w:r>
    </w:p>
    <w:p>
      <w:pPr>
        <w:pStyle w:val="BookText"/>
        <w:rPr/>
      </w:pPr>
      <w:r>
        <w:rPr>
          <w:rFonts w:ascii="IRNazanin" w:hAnsi="IRNazanin" w:eastAsia="IRNazanin"/>
          <w:color w:val="111111"/>
          <w:sz w:val="28"/>
          <w:sz w:val="28"/>
          <w:szCs w:val="28"/>
          <w:rtl w:val="true"/>
          <w:lang w:bidi="fa-IR"/>
        </w:rPr>
        <w:t>الحنفیة، بأنَّها متسرّبة متدفّقة کما یتدفَّق الماء، ویعضد هذه الصورة بصورةٍ مجازیةٍ أُخری، اعتمد فیها علی التشبیه فی قوله یصف تلک الخیل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کالسیل یتلوه 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شبَّه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تسرّبها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بالسیل العَرِم الذی یجتاحُ کلّ شیءٍ أمامه، ولم یکن سیلاً واحداً، بل متلوّاً بسیلٍ آخر لیزیدَ من شدَّة الوصف، ففی التشبیه تتکامل الصورة وتتدافع المشاهد</w:t>
      </w:r>
      <w:r>
        <w:rPr>
          <w:rStyle w:val="FootnoteAnchor"/>
          <w:rtl w:val="true"/>
        </w:rPr>
        <w:footnoteReference w:id="677"/>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بلاغیة جادَّة لصقل الشکل وتطویر اللفظ، ومهمَّته تقریب المعنی إلی الذهن بتجسیده حیّاً، ومن ثَمَّ فهو ینقل اللفظ من صورة إلی صورة أُخری علی النحو الذی یُریده المُصَوّر</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یحلّ بابن الکاهلیة الویل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الکاهلیة هو عبد الله بن الزبیر، والکاهلیة أُمّ أبی جدّه، وهذا وإن کان جاریاً علی الاستعمال الحقیقی، إلّا أنَّه جاء کنایةً عن البُخل الذی امتاز به عبد الله بن الزبیر</w:t>
      </w:r>
      <w:r>
        <w:rPr>
          <w:rStyle w:val="FootnoteAnchor"/>
          <w:rtl w:val="true"/>
        </w:rPr>
        <w:footnoteReference w:id="679"/>
      </w:r>
      <w:r>
        <w:rPr>
          <w:rFonts w:ascii="IRNazanin" w:hAnsi="IRNazanin" w:eastAsia="IRNazanin"/>
          <w:color w:val="111111"/>
          <w:sz w:val="28"/>
          <w:sz w:val="28"/>
          <w:szCs w:val="28"/>
          <w:rtl w:val="true"/>
          <w:lang w:bidi="fa-IR"/>
        </w:rPr>
        <w:t>، وممَّا لا ریب فیه أنَّ هذا التعبیر الکنائی یرفع من قیمة المعنی المراد الذی یرمی إلیه المنشئ، ویعمل علی توکیده وتفخیمه فی نفس السامع فیُضفی علیه جمالاً وقوَّة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اختیار المجاز بأنواعه المتفرّقة والتَّفنن فیها خلق عدولاً أو انزیاحاً عن المألوف ممَّا أوجد سمةً أُسلوبیةً واضحةً تمیَّز بها النص</w:t>
      </w:r>
      <w:r>
        <w:rPr>
          <w:rFonts w:eastAsia="Amiri" w:cs="Amiri" w:ascii="Amiri" w:hAnsi="Amiri"/>
          <w:color w:val="111111"/>
          <w:sz w:val="28"/>
          <w:szCs w:val="28"/>
          <w:rtl w:val="true"/>
          <w:lang w:bidi="ar-SA"/>
        </w:rPr>
        <w:t xml:space="preserve">. </w:t>
      </w:r>
      <w:bookmarkStart w:id="274" w:name="pg5013_35420"/>
    </w:p>
    <w:p>
      <w:pPr>
        <w:pStyle w:val="Heading2"/>
        <w:numPr>
          <w:ilvl w:val="1"/>
          <w:numId w:val="1"/>
        </w:numPr>
        <w:rPr/>
      </w:pPr>
      <w:bookmarkStart w:id="275" w:name="__RefHeading___Toc507785_774463916"/>
      <w:bookmarkStart w:id="276" w:name="_Toc94"/>
      <w:bookmarkEnd w:id="274"/>
      <w:bookmarkEnd w:id="275"/>
      <w:r>
        <w:rPr>
          <w:rtl w:val="true"/>
        </w:rPr>
        <w:t>الفصل الرابع</w:t>
      </w:r>
      <w:r>
        <w:rPr>
          <w:rtl w:val="true"/>
        </w:rPr>
        <w:t xml:space="preserve">: </w:t>
      </w:r>
      <w:r>
        <w:rPr>
          <w:rtl w:val="true"/>
        </w:rPr>
        <w:t>دلالات المستوی التَّرکیبی وخصائصه</w:t>
      </w:r>
      <w:bookmarkEnd w:id="27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507787_774463916"/>
      <w:bookmarkStart w:id="278" w:name="_Toc95"/>
      <w:bookmarkEnd w:id="277"/>
      <w:r>
        <w:rPr>
          <w:rtl w:val="true"/>
        </w:rPr>
        <w:t>اشارة</w:t>
      </w:r>
      <w:bookmarkEnd w:id="27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5013_35422"/>
      <w:bookmarkStart w:id="280" w:name="pg5013_35422"/>
      <w:bookmarkEnd w:id="280"/>
    </w:p>
    <w:p>
      <w:pPr>
        <w:pStyle w:val="Heading3"/>
        <w:numPr>
          <w:ilvl w:val="2"/>
          <w:numId w:val="1"/>
        </w:numPr>
        <w:rPr/>
      </w:pPr>
      <w:bookmarkStart w:id="281" w:name="pg5013_35422"/>
      <w:bookmarkStart w:id="282" w:name="__RefHeading___Toc507789_774463916"/>
      <w:bookmarkStart w:id="283" w:name="_Toc96"/>
      <w:bookmarkEnd w:id="281"/>
      <w:bookmarkEnd w:id="282"/>
      <w:r>
        <w:rPr>
          <w:rtl w:val="true"/>
        </w:rPr>
        <w:t>مدخل</w:t>
      </w:r>
      <w:bookmarkEnd w:id="283"/>
    </w:p>
    <w:p>
      <w:pPr>
        <w:pStyle w:val="BookText"/>
        <w:rPr/>
      </w:pPr>
      <w:r>
        <w:rPr>
          <w:rFonts w:ascii="IRNazanin" w:hAnsi="IRNazanin" w:eastAsia="IRNazanin"/>
          <w:color w:val="111111"/>
          <w:sz w:val="28"/>
          <w:sz w:val="28"/>
          <w:szCs w:val="28"/>
          <w:rtl w:val="true"/>
          <w:lang w:bidi="fa-IR"/>
        </w:rPr>
        <w:t xml:space="preserve">یُعدُّ المستوی الترکیبی من المستویات المهمّة فی التحلیل الأُسلوبی؛ لأنّه أحد المستویات التی تذهب إلیها الأُسلوبیة، وفیه یتمُّ دراسة ترکیب الجملة </w:t>
      </w:r>
      <w:r>
        <w:rPr>
          <w:rStyle w:val="FootnoteAnchor"/>
          <w:rtl w:val="true"/>
        </w:rPr>
        <w:footnoteReference w:id="681"/>
      </w:r>
      <w:r>
        <w:rPr>
          <w:rFonts w:ascii="IRNazanin" w:hAnsi="IRNazanin" w:eastAsia="IRNazanin"/>
          <w:color w:val="111111"/>
          <w:sz w:val="28"/>
          <w:sz w:val="28"/>
          <w:szCs w:val="28"/>
          <w:rtl w:val="true"/>
          <w:lang w:bidi="fa-IR"/>
        </w:rPr>
        <w:t>، إذ إنَّ بناء الجملة فی النص أو بناء النص فی ضوء الجملة هو الدافع الأساس لبناء نسق أُسلوبی ترکیبی لنص معیَّن أو لکاتب معین</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الأساس الذی تقوم علیها الدراسة النحویة؛ لذلک حظیت بعنایة وافرة من النحاة العرب، فدرسوا أنماطها وصورها وما تؤدیه من إفادة للمتکلّم أو السامع</w:t>
      </w:r>
      <w:r>
        <w:rPr>
          <w:rStyle w:val="FootnoteAnchor"/>
          <w:rtl w:val="true"/>
        </w:rPr>
        <w:footnoteReference w:id="683"/>
      </w:r>
      <w:r>
        <w:rPr>
          <w:rFonts w:ascii="IRNazanin" w:hAnsi="IRNazanin" w:eastAsia="IRNazanin"/>
          <w:color w:val="111111"/>
          <w:sz w:val="28"/>
          <w:sz w:val="28"/>
          <w:szCs w:val="28"/>
          <w:rtl w:val="true"/>
          <w:lang w:bidi="fa-IR"/>
        </w:rPr>
        <w:t xml:space="preserve">، فعرّفها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الفعل وفاعله،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والمبتدأ وخبره،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کان بمنزلة أحدهما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ظننته قائما</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فإنَّ الجملة لا بدَّ أنْ تتشکل علی وفق مفهوم الإسناد المفید لمعنی </w:t>
      </w:r>
      <w:r>
        <w:rPr>
          <w:rStyle w:val="FootnoteAnchor"/>
          <w:rtl w:val="true"/>
        </w:rPr>
        <w:footnoteReference w:id="685"/>
      </w:r>
      <w:r>
        <w:rPr>
          <w:rFonts w:ascii="IRNazanin" w:hAnsi="IRNazanin" w:eastAsia="IRNazanin"/>
          <w:color w:val="111111"/>
          <w:sz w:val="28"/>
          <w:sz w:val="28"/>
          <w:szCs w:val="28"/>
          <w:rtl w:val="true"/>
          <w:lang w:bidi="fa-IR"/>
        </w:rPr>
        <w:t xml:space="preserve">، وعلیه فالجملة فی خالص أمرها هی کلّ کلام </w:t>
      </w:r>
    </w:p>
    <w:p>
      <w:pPr>
        <w:pStyle w:val="BookText"/>
        <w:rPr/>
      </w:pPr>
      <w:r>
        <w:rPr>
          <w:rFonts w:ascii="IRNazanin" w:hAnsi="IRNazanin" w:eastAsia="IRNazanin"/>
          <w:color w:val="111111"/>
          <w:sz w:val="28"/>
          <w:sz w:val="28"/>
          <w:szCs w:val="28"/>
          <w:rtl w:val="true"/>
          <w:lang w:bidi="fa-IR"/>
        </w:rPr>
        <w:t>مقصود لذاته مفید لمعناه، أنْ تحصل منه الفائدة ویدلّ علی معنی</w:t>
      </w:r>
      <w:r>
        <w:rPr>
          <w:rStyle w:val="FootnoteAnchor"/>
          <w:rtl w:val="true"/>
        </w:rPr>
        <w:footnoteReference w:id="686"/>
      </w:r>
      <w:r>
        <w:rPr>
          <w:rFonts w:ascii="IRNazanin" w:hAnsi="IRNazanin" w:eastAsia="IRNazanin"/>
          <w:color w:val="111111"/>
          <w:sz w:val="28"/>
          <w:sz w:val="28"/>
          <w:szCs w:val="28"/>
          <w:rtl w:val="true"/>
          <w:lang w:bidi="fa-IR"/>
        </w:rPr>
        <w:t>، أمّا فی الدرس العربی الحدیث فقد کان لدراسة الجملة عنایة ملحوظة من الدارسین، وهم یحاولون الإفادة فی دراستها ممّا توصَّل إلیه علم اللغة الحدیث</w:t>
      </w:r>
      <w:r>
        <w:rPr>
          <w:rStyle w:val="FootnoteAnchor"/>
          <w:rtl w:val="true"/>
        </w:rPr>
        <w:footnoteReference w:id="687"/>
      </w:r>
      <w:r>
        <w:rPr>
          <w:rFonts w:ascii="IRNazanin" w:hAnsi="IRNazanin" w:eastAsia="IRNazanin"/>
          <w:color w:val="111111"/>
          <w:sz w:val="28"/>
          <w:sz w:val="28"/>
          <w:szCs w:val="28"/>
          <w:rtl w:val="true"/>
          <w:lang w:bidi="fa-IR"/>
        </w:rPr>
        <w:t>، ویطالعنا الدکتور إبراهیم أنیس فی تعریفه للجملة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قدرٍ من الکلام یُفید السامع معنًی مستقلاً بنفسه، سواء ترکّب هذا القدر من کلمة واحدة أو أکثر</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وإلّا فلا تُسمّی جملةً مفیدةً، ولا ینطبق علیها تعریف الکلام، فالمهم فی الجملة هو إفادة الترکیب معنًی مستقلاً، لیعد هذا الترکیب جملةً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یُعنی البحث أنَّ التحلیل الأُسلوبی یتَّجه إلی ترکیب الجملة وترتیب عناصرها</w:t>
      </w:r>
      <w:r>
        <w:rPr>
          <w:rStyle w:val="FootnoteAnchor"/>
          <w:rtl w:val="true"/>
        </w:rPr>
        <w:footnoteReference w:id="689"/>
      </w:r>
      <w:r>
        <w:rPr>
          <w:rFonts w:ascii="IRNazanin" w:hAnsi="IRNazanin" w:eastAsia="IRNazanin"/>
          <w:color w:val="111111"/>
          <w:sz w:val="28"/>
          <w:sz w:val="28"/>
          <w:szCs w:val="28"/>
          <w:rtl w:val="true"/>
          <w:lang w:bidi="fa-IR"/>
        </w:rPr>
        <w:t xml:space="preserve">، فاللغة العربیة من بین سائر اللغات تمتاز بمرونة واسعة فی بناء الجملة، وفی تشکیل عناصرها وترتیبها،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فالجملة الصغیرة المکونة من الحدّ الأدنی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والمسند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قیمة الانزیاح اللغوی فیها، تبقی ذات عناصر أوّلیة مکونة للجملة البلاغیة فی حال التقدیم والتأخیر، والحذف والذکر، والفصل والوصل</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ویتَّجه التحلیل الأُسلوبی إلی دراسة الأسالیب اللغویة المختلفة</w:t>
      </w:r>
      <w:r>
        <w:rPr>
          <w:rStyle w:val="FootnoteAnchor"/>
          <w:rtl w:val="true"/>
        </w:rPr>
        <w:footnoteReference w:id="691"/>
      </w:r>
      <w:r>
        <w:rPr>
          <w:rFonts w:ascii="IRNazanin" w:hAnsi="IRNazanin" w:eastAsia="IRNazanin"/>
          <w:color w:val="111111"/>
          <w:sz w:val="28"/>
          <w:sz w:val="28"/>
          <w:szCs w:val="28"/>
          <w:rtl w:val="true"/>
          <w:lang w:bidi="fa-IR"/>
        </w:rPr>
        <w:t xml:space="preserve">، التی تعتمد علی </w:t>
      </w:r>
    </w:p>
    <w:p>
      <w:pPr>
        <w:pStyle w:val="BookText"/>
        <w:rPr/>
      </w:pPr>
      <w:r>
        <w:rPr>
          <w:rFonts w:ascii="IRNazanin" w:hAnsi="IRNazanin" w:eastAsia="IRNazanin"/>
          <w:color w:val="111111"/>
          <w:sz w:val="28"/>
          <w:sz w:val="28"/>
          <w:szCs w:val="28"/>
          <w:rtl w:val="true"/>
          <w:lang w:bidi="fa-IR"/>
        </w:rPr>
        <w:t>وجود الصیغة اللغویة أو الأداة فی صدر الجملة فی الغالب، والمعتمدة علی أنماطها من حیث هی خبریة أو 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وسیتناول البحث فی هذا الفصل التحلیل اللغوی والبلاغی للأسالیب والبُنی الترکیبیة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ورد منها فی نصوص الحِقبتین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منطلق أنَّ الأُسلوبیة ممارسة علمیة تستعین فی تحلیلها للنص الأدبی بتقنیات منهجیة، مستمدة من علوم ومناهج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اللغة، وعلم البلاغة، وغیرها</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هذا الفصل علی مبحثین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الأوَّل الأنماط البنائیة للأسالیب اللغویة، فقسّمها علی أسالیب خبریة وإنشائیة، وأسالیب جمعت بین الخبریة والإنشائیة، کالشرط والقسم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المبحث الثانی، فقد تناول الخصائص المعنویة للتراکیب کالفصل والوصل، والتقدیم والتأخیر، وغیرهما</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5013_35426"/>
      <w:bookmarkStart w:id="285" w:name="pg5013_35426"/>
      <w:bookmarkEnd w:id="285"/>
    </w:p>
    <w:p>
      <w:pPr>
        <w:pStyle w:val="Heading3"/>
        <w:numPr>
          <w:ilvl w:val="2"/>
          <w:numId w:val="1"/>
        </w:numPr>
        <w:rPr/>
      </w:pPr>
      <w:bookmarkStart w:id="286" w:name="pg5013_35426"/>
      <w:bookmarkStart w:id="287" w:name="__RefHeading___Toc507791_774463916"/>
      <w:bookmarkStart w:id="288" w:name="_Toc97"/>
      <w:bookmarkEnd w:id="286"/>
      <w:bookmarkEnd w:id="287"/>
      <w:r>
        <w:rPr>
          <w:rtl w:val="true"/>
        </w:rPr>
        <w:t xml:space="preserve">المبحث الأوَّل </w:t>
      </w:r>
      <w:r>
        <w:rPr>
          <w:rtl w:val="true"/>
        </w:rPr>
        <w:t>:</w:t>
      </w:r>
      <w:r>
        <w:rPr>
          <w:rtl w:val="true"/>
        </w:rPr>
        <w:t>الأنماط البنائیَّة للأسالیب اللغویَّة</w:t>
      </w:r>
      <w:bookmarkEnd w:id="288"/>
    </w:p>
    <w:p>
      <w:pPr>
        <w:pStyle w:val="Heading4"/>
        <w:numPr>
          <w:ilvl w:val="3"/>
          <w:numId w:val="1"/>
        </w:numPr>
        <w:rPr/>
      </w:pPr>
      <w:bookmarkStart w:id="289" w:name="__RefHeading___Toc507793_774463916"/>
      <w:bookmarkStart w:id="290" w:name="_Toc9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یقصد بالأُسلوب اللغویّ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یتمیَّز بسمتین 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أداة أو صیغة لغویة تتصدَّر الجملة غالباً، إذ یدلُّ وجودها علی نوع ذلک الأُسلوب من توکید، أو أمر، أو استفهام، أو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تُحذف هذه الأداة أحیاناً، فیدلّ علیها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شحنة نفسیة أو انفعالیة تتطلَّبها مناسبات القول</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وتُعنی الأُسلوبیة بدراسة الأسالیب اللغویة وطرائق تشکّلها </w:t>
      </w:r>
      <w:r>
        <w:rPr>
          <w:rStyle w:val="FootnoteAnchor"/>
          <w:rtl w:val="true"/>
        </w:rPr>
        <w:footnoteReference w:id="694"/>
      </w:r>
      <w:r>
        <w:rPr>
          <w:rFonts w:ascii="IRNazanin" w:hAnsi="IRNazanin" w:eastAsia="IRNazanin"/>
          <w:color w:val="111111"/>
          <w:sz w:val="28"/>
          <w:sz w:val="28"/>
          <w:szCs w:val="28"/>
          <w:rtl w:val="true"/>
          <w:lang w:bidi="fa-IR"/>
        </w:rPr>
        <w:t>إذ إنّ النثر الفنّی یعتمد علی ما یستعمله الناثر من أسالیب لغویة متنوعة، یستطیع من خلالها بناء عبارات متماسکة أُسلوبیاً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وجّه بعض اللغویّین المُحدَثین جلّ اهتمامهم لدراسة الأسالیب اللغویة بحساب أنَّ دراستها لا غنی عنها فی دراسة أیّ لغة، کأُسلوب الاستفهام والنفی، وأُسلوب التوکید وغیرها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291" w:name="pg5013_35427"/>
    </w:p>
    <w:p>
      <w:pPr>
        <w:pStyle w:val="BookText"/>
        <w:rPr/>
      </w:pPr>
      <w:bookmarkEnd w:id="291"/>
      <w:r>
        <w:rPr>
          <w:rFonts w:ascii="IRNazanin" w:hAnsi="IRNazanin" w:eastAsia="IRNazanin"/>
          <w:color w:val="111111"/>
          <w:sz w:val="28"/>
          <w:sz w:val="28"/>
          <w:szCs w:val="28"/>
          <w:rtl w:val="true"/>
          <w:lang w:bidi="fa-IR"/>
        </w:rPr>
        <w:t xml:space="preserve">إنَّ لکلّ أُسلوب لغوی دلالته الخاصَّة به، وقد تخرج هذه الدلالة فی بعض الأسالیب إلی دلالات أسالیب أُخر، فتصبح حینئذٍ سمة أُسلوبیة خاصَّة، کخروج أُسلوب الأمر إلی معنی الدعاء أو التعجب أو الإنکار، وخروج أُسلوب الأمر إلی النفی وغیرها، وقد عنی الدرس البلاغی بهذا التحوّل الدلالی تأکیداً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مرونة الأُسلوب، وعلی ارتباطه بالشحنة الانفعالیة والشُّعوریة التی تقتضیها مناسبات القول</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تکن مسألة خروج الأسالیب عن دلالتها مقتصرة علی الدرس البلاغی فحسب، بل إنَّنا نجد بعض اللغویین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یُخصّص فصلاً مستقلاً یتحدّث فیه عن ظاهرة تحوّل الأسالیب من أُسلوب إلی آخر مغایر له، إذ تناول فیه تحوّل أُسلوب الاستفهام إلی أُسلوب التعجُّب، ثمَّ إلی أُسلوب الخبر</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وسوف یتناول البحث دلالة بعض الأسالیب اللغویة الحقیقیة، وما قد یخرج منها إلی دلالات هامشیة، کما یمضی فی تقسیم هذه الأسالیب اللغویة إلی أسالیب خبریة أو إنشائیة، تبعاً للقصد الذی تحمله الجملة فی ذلک الأُسلوب</w:t>
      </w:r>
      <w:r>
        <w:rPr>
          <w:rFonts w:eastAsia="IRNazanin" w:cs="IRNazanin"/>
          <w:color w:val="111111"/>
          <w:sz w:val="28"/>
          <w:szCs w:val="28"/>
          <w:rtl w:val="true"/>
          <w:lang w:bidi="fa-IR"/>
        </w:rPr>
        <w:t>.</w:t>
      </w:r>
    </w:p>
    <w:p>
      <w:pPr>
        <w:pStyle w:val="Heading4"/>
        <w:numPr>
          <w:ilvl w:val="3"/>
          <w:numId w:val="1"/>
        </w:numPr>
        <w:rPr/>
      </w:pPr>
      <w:bookmarkStart w:id="292" w:name="__RefHeading___Toc507795_774463916"/>
      <w:bookmarkStart w:id="293" w:name="_Toc99"/>
      <w:bookmarkEnd w:id="292"/>
      <w:r>
        <w:rPr>
          <w:rtl w:val="true"/>
        </w:rPr>
        <w:t>أوَّلاً</w:t>
      </w:r>
      <w:r>
        <w:rPr>
          <w:rtl w:val="true"/>
        </w:rPr>
        <w:t xml:space="preserve">: </w:t>
      </w:r>
      <w:r>
        <w:rPr>
          <w:rtl w:val="true"/>
        </w:rPr>
        <w:t>الأسالیب الخبریة</w:t>
      </w:r>
      <w:bookmarkEnd w:id="293"/>
    </w:p>
    <w:p>
      <w:pPr>
        <w:pStyle w:val="Heading5"/>
        <w:numPr>
          <w:ilvl w:val="4"/>
          <w:numId w:val="1"/>
        </w:numPr>
        <w:rPr/>
      </w:pPr>
      <w:bookmarkStart w:id="294" w:name="__RefHeading___Toc507797_774463916"/>
      <w:bookmarkStart w:id="295" w:name="_Toc100"/>
      <w:bookmarkEnd w:id="294"/>
      <w:r>
        <w:rPr>
          <w:rtl w:val="true"/>
        </w:rPr>
        <w:t>اشارة</w:t>
      </w:r>
      <w:bookmarkEnd w:id="29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أبو العباس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جاز علی قائله التصدیق والتکذیب</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 xml:space="preserve">، وعرَّفه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بالطریقة ذاتها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المحتمل للصدق والکذب، أو التصدیق والتکذیب</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الخبر تحمل جانب حکایة عن </w:t>
      </w:r>
      <w:bookmarkStart w:id="296" w:name="pg5013_35428"/>
    </w:p>
    <w:p>
      <w:pPr>
        <w:pStyle w:val="BookText"/>
        <w:rPr/>
      </w:pPr>
      <w:bookmarkEnd w:id="296"/>
      <w:r>
        <w:rPr>
          <w:rFonts w:ascii="IRNazanin" w:hAnsi="IRNazanin" w:eastAsia="IRNazanin"/>
          <w:color w:val="111111"/>
          <w:sz w:val="28"/>
          <w:sz w:val="28"/>
          <w:szCs w:val="28"/>
          <w:rtl w:val="true"/>
          <w:lang w:bidi="fa-IR"/>
        </w:rPr>
        <w:t>الواقع، فإنْ طابق هذا الواقع فتکون الجملة صادقة، وإنْ لم تطابقه فتکون جملةً کاذبةً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 عبد القاهر الجرجانی الخبر بأنَّه الأصل فی معانی الکلام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معانی الکلام کلّها معانٍ لا تُتَصَوّر إلّا فیما بین شیئین، والأصل والأوَّل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 وذلک لأنَّه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یُتَصَوَّر بالصور الکثیرة، وتقع فیها الصناعات العجیبة، وفیه یکون فی الأمر الأعمّ، المزایا التی بها یقع التفاضل فی الفصاحة</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وللخبر فائدته الدلالیة فی الکلام، وهی إفادة المتلقّی الحکم الذی تتضمَّنه الجملة أو الکلام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ویتمیَّز الأُسلوب اللغوی کما مرَّ سابقاً بوجود أداة أو صیغة لغویة تتصدَّر الجملة، فإنْ تصدَّرت تلک الأداة الجملة الخبریة کان الأُسلوب خبریاً یحتمل الصدق أو الکذب بحسب تطابقه مع الواقع الخارجی الذی یطابقه، وسوف یتناول البحث بعض تلک الأسالیب الخبریة التی وردت بحسب کثرتها فی خُطب ورسائل الحِقبتین</w:t>
      </w:r>
      <w:r>
        <w:rPr>
          <w:rFonts w:eastAsia="IRNazanin" w:cs="IRNazanin"/>
          <w:color w:val="111111"/>
          <w:sz w:val="28"/>
          <w:szCs w:val="28"/>
          <w:rtl w:val="true"/>
          <w:lang w:bidi="fa-IR"/>
        </w:rPr>
        <w:t>.</w:t>
      </w:r>
    </w:p>
    <w:p>
      <w:pPr>
        <w:pStyle w:val="Heading5"/>
        <w:numPr>
          <w:ilvl w:val="4"/>
          <w:numId w:val="1"/>
        </w:numPr>
        <w:rPr/>
      </w:pPr>
      <w:bookmarkStart w:id="297" w:name="__RefHeading___Toc507799_774463916"/>
      <w:bookmarkStart w:id="298" w:name="_Toc101"/>
      <w:bookmarkEnd w:id="297"/>
      <w:r>
        <w:rPr/>
        <w:t>1</w:t>
      </w:r>
      <w:r>
        <w:rPr>
          <w:rtl w:val="true"/>
        </w:rPr>
        <w:t xml:space="preserve">- </w:t>
      </w:r>
      <w:r>
        <w:rPr>
          <w:rtl w:val="true"/>
        </w:rPr>
        <w:t>أُسلوب النّفی</w:t>
      </w:r>
      <w:bookmarkEnd w:id="29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أُسلوب لغویٌ تحّدده مناسبات القول، وهو أُسلوب نقض وإنکار، یُستخدم لدفع ما یتردّد فی ذهن المخاطب</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ویکون فی الغالب بصیغة تُشْعِر بهذا النفی</w:t>
      </w:r>
      <w:r>
        <w:rPr>
          <w:rStyle w:val="FootnoteAnchor"/>
          <w:rtl w:val="true"/>
        </w:rPr>
        <w:footnoteReference w:id="705"/>
      </w:r>
      <w:r>
        <w:rPr>
          <w:rFonts w:ascii="IRNazanin" w:hAnsi="IRNazanin" w:eastAsia="IRNazanin"/>
          <w:color w:val="111111"/>
          <w:sz w:val="28"/>
          <w:sz w:val="28"/>
          <w:szCs w:val="28"/>
          <w:rtl w:val="true"/>
          <w:lang w:bidi="fa-IR"/>
        </w:rPr>
        <w:t>، وهذه الأدوات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ولم، ولمّا، وما، ولا، ولن</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أداة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فروقٌ تُبرّر وضع </w:t>
      </w:r>
    </w:p>
    <w:p>
      <w:pPr>
        <w:pStyle w:val="BookText"/>
        <w:rPr/>
      </w:pPr>
      <w:r>
        <w:rPr>
          <w:rFonts w:ascii="IRNazanin" w:hAnsi="IRNazanin" w:eastAsia="IRNazanin"/>
          <w:color w:val="111111"/>
          <w:sz w:val="28"/>
          <w:sz w:val="28"/>
          <w:szCs w:val="28"/>
          <w:rtl w:val="true"/>
          <w:lang w:bidi="fa-IR"/>
        </w:rPr>
        <w:t>الواضع لها دون غیرها لتحدید ما تتضمَّنه من توجیه دلالی للأقوال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کانت تشترک فی دلالتها العامّة علی قوة النفی، فإنَّها تختزن ما یحتاج إلیه المتکلِّم من طرق للتعبیر عن المقامات المختلفة عند الاستعمال</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 وقد ورد أُسلوب النفی فی خُطب ورسائل الحِقبتین بصورةٍ واسعةٍ لمِا له من أغراض أُسلوبیة فی الکلام،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الحکم فی ترکیبٍ لغویٍّ مثبت إلی ضدّه، وتحویل معنی ذهنی فیه الإیجاب والقبول إلی حکم یخالفه</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وهذا ما سنراه فی الأمثلة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خُطبة المسیّب بن نجبة الفزاری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نَحْنُ نَصَرْناهُ بأیْدِینا، ولا جَادَلْنا عنه بألسِنَتِنا، ولا قوَّیْناه بأموالِنا، ولا طَلَبنا لهُ النصرةَ إلی عَشائِرنا، فما عُذْرُنا إلی رَبِنا، وعند لقاء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قُتِلَ فِینا وَلَدُهُ وحَبِیْبُه وذُریته ونَسْلُه، لا والله لا عُذْرَ دونَ أنْ تَقْتلُوا قاتِلَهُ والموالین علیهِ، أو تُقْتَلُوا فی طَلَبِ ذلک</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فالخطیب یُفصح عن الوضع المأساوی المتخاذل الذی کان علیه التوّابون وقت طلب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 من الناس، وهنا ینفی الخطیب نفیاً قاطعاً نصر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تقویته، أو حثّ العشائر علی نصرته، فهم أسلموه فی وقت المحنة إلی عدوّه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الخطیب قد استعمل أُسلوب النفی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تُفید نفی ما بعدها نفیاً شاملاً وعامّاً</w:t>
      </w:r>
      <w:r>
        <w:rPr>
          <w:rStyle w:val="FootnoteAnchor"/>
          <w:rtl w:val="true"/>
        </w:rPr>
        <w:footnoteReference w:id="710"/>
      </w:r>
      <w:r>
        <w:rPr>
          <w:rFonts w:ascii="IRNazanin" w:hAnsi="IRNazanin" w:eastAsia="IRNazanin"/>
          <w:color w:val="111111"/>
          <w:sz w:val="28"/>
          <w:sz w:val="28"/>
          <w:szCs w:val="28"/>
          <w:rtl w:val="true"/>
          <w:lang w:bidi="fa-IR"/>
        </w:rPr>
        <w:t xml:space="preserve">، کما أنّها لخفّتها وسهولة نطقها قد سوّغ تکرارها فی الکلام، فهی مکوّنة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بدایتها وهو عماد دلالتها علی النفی</w:t>
      </w:r>
      <w:r>
        <w:rPr>
          <w:rStyle w:val="FootnoteAnchor"/>
          <w:rtl w:val="true"/>
        </w:rPr>
        <w:footnoteReference w:id="71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أصوات الذلاقة، ومخرج أصوات الذلاقة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أیسر الأصوات نطقاً وأخفها علی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ذلق اللسان، </w:t>
      </w:r>
    </w:p>
    <w:p>
      <w:pPr>
        <w:pStyle w:val="BookText"/>
        <w:rPr/>
      </w:pPr>
      <w:r>
        <w:rPr>
          <w:rFonts w:ascii="IRNazanin" w:hAnsi="IRNazanin" w:eastAsia="IRNazanin"/>
          <w:color w:val="111111"/>
          <w:sz w:val="28"/>
          <w:sz w:val="28"/>
          <w:szCs w:val="28"/>
          <w:rtl w:val="true"/>
          <w:lang w:bidi="fa-IR"/>
        </w:rPr>
        <w:t>وهو طرفه الحاد، وذلق اللسان أکثر عَضَلِ النطق حرکة، وأشدّها سرعة، وأوفاها مرونة</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فضلاً عن ذلک کان تکرارها یُفید توکید النفی وإثباته، وإعادة الصورة السلبیة المتخاذلة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ویعود الخطیب لاستعمال النفی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ینفی أنْ یکون هناک عذرٌ فی القعود عن الأخذ بثأره، وقد استعمل هذه المرّة أداة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التی تُفید نفی الجنس نفیاً مستغرقاً وعاماً</w:t>
      </w:r>
      <w:r>
        <w:rPr>
          <w:rStyle w:val="FootnoteAnchor"/>
          <w:rtl w:val="true"/>
        </w:rPr>
        <w:footnoteReference w:id="713"/>
      </w:r>
      <w:r>
        <w:rPr>
          <w:rFonts w:ascii="IRNazanin" w:hAnsi="IRNazanin" w:eastAsia="IRNazanin"/>
          <w:color w:val="111111"/>
          <w:sz w:val="28"/>
          <w:sz w:val="28"/>
          <w:szCs w:val="28"/>
          <w:rtl w:val="true"/>
          <w:lang w:bidi="fa-IR"/>
        </w:rPr>
        <w:t>، فهو ینفی أیّ نوع من أنواع العُذر لتسویغ هذا القعود عن الجهاد، والسکوت عن الظلم والظالمین، إلّا أنْ یأخذوا بثأر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قاتلیه، فالخطیب فی مقام المحفّز والمستنهض لهِمم هؤلاء الثائرین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کذلک هذا الأُسلوب فی رسالة المختار إلی محمد بن الحنفیة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قَتَلْنا مَنْ شَرِکَ فی دمِ الحسینِ وأهلِ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قَدَرْنا علیْه، ولَنْ یُعْجِزَ اللهَ مَنْ بَقِی، ولَسْتُ بِمُنْجِم عَنْهُمْ حتّی لا یَبْلُغَنی أنَّ علی أدیمِ الأرضِ مِنهم إرَمِیّاً</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اتکأ المختار علی أُسلوب النّفی فی توعّده هذا من قتل قاتلی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استعمل النفی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یعجز الله مَن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نفی المستقبل</w:t>
      </w:r>
      <w:r>
        <w:rPr>
          <w:rStyle w:val="FootnoteAnchor"/>
          <w:rtl w:val="true"/>
        </w:rPr>
        <w:footnoteReference w:id="715"/>
      </w:r>
      <w:r>
        <w:rPr>
          <w:rFonts w:ascii="Amiri" w:hAnsi="Amiri" w:eastAsia="Amiri" w:cs="Amiri"/>
          <w:color w:val="111111"/>
          <w:sz w:val="28"/>
          <w:sz w:val="28"/>
          <w:szCs w:val="28"/>
          <w:rtl w:val="true"/>
          <w:lang w:bidi="ar-SA"/>
        </w:rPr>
        <w:t>نفیاً مؤکّداً</w:t>
      </w:r>
      <w:r>
        <w:rPr>
          <w:rStyle w:val="FootnoteAnchor"/>
          <w:rtl w:val="true"/>
        </w:rPr>
        <w:footnoteReference w:id="716"/>
      </w:r>
      <w:r>
        <w:rPr>
          <w:rFonts w:ascii="IRNazanin" w:hAnsi="IRNazanin" w:eastAsia="IRNazanin"/>
          <w:color w:val="111111"/>
          <w:sz w:val="28"/>
          <w:sz w:val="28"/>
          <w:szCs w:val="28"/>
          <w:rtl w:val="true"/>
          <w:lang w:bidi="fa-IR"/>
        </w:rPr>
        <w:t xml:space="preserve">، وهی فی النّفی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أنّها أبلغ وأوکَد فی النّفی </w:t>
      </w:r>
      <w:r>
        <w:rPr>
          <w:rStyle w:val="FootnoteAnchor"/>
          <w:rtl w:val="true"/>
        </w:rPr>
        <w:footnoteReference w:id="717"/>
      </w:r>
      <w:r>
        <w:rPr>
          <w:rFonts w:ascii="Amiri" w:hAnsi="Amiri" w:eastAsia="Amiri" w:cs="Amiri"/>
          <w:color w:val="111111"/>
          <w:sz w:val="28"/>
          <w:sz w:val="28"/>
          <w:szCs w:val="28"/>
          <w:rtl w:val="true"/>
          <w:lang w:bidi="ar-SA"/>
        </w:rPr>
        <w:t xml:space="preserve">لأنَّ فیها تشدیداً علی النّفی، ومِنْ هنا ندرک المیزة الأُسلوبیة فی اختیارها فی </w:t>
      </w:r>
    </w:p>
    <w:p>
      <w:pPr>
        <w:pStyle w:val="BookText"/>
        <w:rPr/>
      </w:pPr>
      <w:r>
        <w:rPr>
          <w:rFonts w:ascii="IRNazanin" w:hAnsi="IRNazanin" w:eastAsia="IRNazanin"/>
          <w:color w:val="111111"/>
          <w:sz w:val="28"/>
          <w:sz w:val="28"/>
          <w:szCs w:val="28"/>
          <w:rtl w:val="true"/>
          <w:lang w:bidi="fa-IR"/>
        </w:rPr>
        <w:t>هذا المقام، فالمختار یؤکد ویُشدّد علی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یعجزه ما بقی من هؤلاء، وذلک بأخذهم أخذ عزیز مقتدر، ثمّ یعود فیستعمل النفی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أوردها هذه المرّة متعلّقة به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 بمنجم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تُفید نفی الحال</w:t>
      </w:r>
      <w:r>
        <w:rPr>
          <w:rStyle w:val="FootnoteAnchor"/>
          <w:rtl w:val="true"/>
        </w:rPr>
        <w:footnoteReference w:id="718"/>
      </w:r>
      <w:r>
        <w:rPr>
          <w:rFonts w:ascii="IRNazanin" w:hAnsi="IRNazanin" w:eastAsia="IRNazanin"/>
          <w:color w:val="111111"/>
          <w:sz w:val="28"/>
          <w:sz w:val="28"/>
          <w:szCs w:val="28"/>
          <w:rtl w:val="true"/>
          <w:lang w:bidi="fa-IR"/>
        </w:rPr>
        <w:t>، أو تَرِد لمطلق النفی علی ما تقتضیه قرائن الأحوال، فترد لنفی الماضی، والحال، والاستقبال</w:t>
      </w:r>
      <w:r>
        <w:rPr>
          <w:rStyle w:val="FootnoteAnchor"/>
          <w:rtl w:val="true"/>
        </w:rPr>
        <w:footnoteReference w:id="719"/>
      </w:r>
      <w:r>
        <w:rPr>
          <w:rFonts w:ascii="IRNazanin" w:hAnsi="IRNazanin" w:eastAsia="IRNazanin"/>
          <w:color w:val="111111"/>
          <w:sz w:val="28"/>
          <w:sz w:val="28"/>
          <w:szCs w:val="28"/>
          <w:rtl w:val="true"/>
          <w:lang w:bidi="fa-IR"/>
        </w:rPr>
        <w:t>، فالمختار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بمقلع عن تتبع قتلة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الماضی، ولا فی الحاضر، ولا فی المستقبل، وهذا فی غایة التأکید والإصرار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فالنص المتقدّم أفصح عن اختیار واضح للأدوات اللغویة علی وفق المقتض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بما أظهر ملمحاً أُسلوبیاً مقصوداً، فاسحاً المجال للمتلقّی من فحصها وتدبّرها، وهذا ینمُّ عن قدرة المنشئ وتمکّنه من لغته بمهارته فی استعمال دقائقها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أُسلوب النفی أیضاً فی رسالة محمد بن الحنفیة إلی الشیعة بالکوفة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بن علی إلی مَنْ بالکوفةِ مِنْ شِیْعَتِنا، أمَّا بعدُ، فاخرُجوا إلی المَجالسِ والمَساجد، فاذکرُوا الله علانیَة 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لیسَ أحدٌ مِنَ الخَلْقِ یَمْلِکُ لأحدٍ ضُرّاً ولا نَفْعاً إلّا مَا شَاءَ الله، وکلّ نفسٍ بما کَسَبَتْ رَهِیْنَة، ولا تَزِرُ وازِرَةٌ وِزْرَ أُخْرَی</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فنجد أنّ المنشئ قد اعتمد أُسلوب النّفی فی مواضع من رسالته، لیُفهم السامع المقاصد الأُسلوبیة من ورائه، لا سیّما وأنّ المنشئ کان فی مقام الواعظ الموصّی، وقد آثر أنْ یختار أداة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أحدٌ یملک لأحد ضُراً ولا نَفعاً إلّا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مطلق النّفی علی ما یقتضیه السیاق، فالمنشئ أراد أنْ </w:t>
      </w:r>
      <w:bookmarkStart w:id="299" w:name="pg5013_35432"/>
    </w:p>
    <w:p>
      <w:pPr>
        <w:pStyle w:val="BookText"/>
        <w:rPr/>
      </w:pPr>
      <w:bookmarkEnd w:id="299"/>
      <w:r>
        <w:rPr>
          <w:rFonts w:ascii="IRNazanin" w:hAnsi="IRNazanin" w:eastAsia="IRNazanin"/>
          <w:color w:val="111111"/>
          <w:sz w:val="28"/>
          <w:sz w:val="28"/>
          <w:szCs w:val="28"/>
          <w:rtl w:val="true"/>
          <w:lang w:bidi="fa-IR"/>
        </w:rPr>
        <w:t xml:space="preserve">یُفهِمَ السامع أنَّه لا یوجد أحدٌ علی الإطلاق یستطیع أنْ یملک ضرّاً أو نفعاً إلّا الله سبحانه وتعالی، ومن الملاحظ أنَّ الخطیب قد جاء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غرض أُسلوبی آخر، وهو نفی الشمول والعموم، یقول الدکتور تمام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وقعت النکرة فی سیاق النّفی کانت إفادتها التعمیم أشدَّ وأشمل</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 وقد اقترن وجود الاسم النکرة المنفی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تُفید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التأبیدی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یُکرّر المنشئ من أُسلوب النّفی، مستعملاً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 وازرة وزر أُخری</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تُفید نفی الشیء نفیاً شاملاً کنفی الجنس، کما مرَّ سابقاً، وجاء نفیاً مقترناً بوجود النکرة فی سیاق النفی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أفاد وجودها فی هذا الموضع العموم والشمول، فالخطیب إنّما یُرید أن یُفهم السامع بأنّه لا توجد نفس تحمل إثم نفس أُخری علی الإطلاق، فیجب علیکم أن تلزموا أنفسکم وتصونوها عن الآثام والذنوب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یرد أُسلوب النفی بمختلف أدواته فی هذه النصوص مفعماً بالمقاصد الأُسلوبیة التی یتوخاها المنشئون فی هاتین الحِقبتین</w:t>
      </w:r>
      <w:r>
        <w:rPr>
          <w:rFonts w:eastAsia="IRNazanin" w:cs="IRNazanin"/>
          <w:color w:val="111111"/>
          <w:sz w:val="28"/>
          <w:szCs w:val="28"/>
          <w:rtl w:val="true"/>
          <w:lang w:bidi="fa-IR"/>
        </w:rPr>
        <w:t>.</w:t>
      </w:r>
    </w:p>
    <w:p>
      <w:pPr>
        <w:pStyle w:val="Heading5"/>
        <w:numPr>
          <w:ilvl w:val="4"/>
          <w:numId w:val="1"/>
        </w:numPr>
        <w:rPr/>
      </w:pPr>
      <w:bookmarkStart w:id="300" w:name="__RefHeading___Toc507801_774463916"/>
      <w:bookmarkStart w:id="301" w:name="_Toc102"/>
      <w:bookmarkEnd w:id="300"/>
      <w:r>
        <w:rPr/>
        <w:t>2</w:t>
      </w:r>
      <w:r>
        <w:rPr>
          <w:rtl w:val="true"/>
        </w:rPr>
        <w:t xml:space="preserve">- </w:t>
      </w:r>
      <w:r>
        <w:rPr>
          <w:rtl w:val="true"/>
        </w:rPr>
        <w:t>أُسلوب القصْر</w:t>
      </w:r>
      <w:bookmarkEnd w:id="3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عنی النحاة والبلاغیون بموضوع 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فعرّفه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تخصیص أمرٍ بآخر بطریق مخصوص</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وجاء فی شروح التلخیص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تخصیص شیء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یء بطریق مخصوص</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 وعرَّفه المُحدَثون بنفس الطریقة المذکورة</w:t>
      </w:r>
      <w:r>
        <w:rPr>
          <w:rStyle w:val="FootnoteAnchor"/>
          <w:rtl w:val="true"/>
        </w:rPr>
        <w:footnoteReference w:id="725"/>
      </w:r>
      <w:r>
        <w:rPr>
          <w:rFonts w:ascii="IRNazanin" w:hAnsi="IRNazanin" w:eastAsia="IRNazanin"/>
          <w:color w:val="111111"/>
          <w:sz w:val="28"/>
          <w:sz w:val="28"/>
          <w:szCs w:val="28"/>
          <w:rtl w:val="true"/>
          <w:lang w:bidi="fa-IR"/>
        </w:rPr>
        <w:t xml:space="preserve">، لذا تکون دلالته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متقاربة عند النحاة والبلاغیین، ومتناسبة بین القدامی والمُحدَثین</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ویُقسَّم القصر بحسب حیثیات کثیرة، فمِن حیث الحقیقة والواقع یُقسم إلی قسمین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حقیقی، وقصر إضافی، ومن حیث حال المخاطب یُقسم إلی ثلاثة أقسام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إفراد، وقصر قلب، وقصر تعیین</w:t>
      </w:r>
      <w:r>
        <w:rPr>
          <w:rStyle w:val="FootnoteAnchor"/>
          <w:rtl w:val="true"/>
        </w:rPr>
        <w:footnoteReference w:id="727"/>
      </w:r>
      <w:r>
        <w:rPr>
          <w:rFonts w:ascii="IRNazanin" w:hAnsi="IRNazanin" w:eastAsia="IRNazanin"/>
          <w:color w:val="111111"/>
          <w:sz w:val="28"/>
          <w:sz w:val="28"/>
          <w:szCs w:val="28"/>
          <w:rtl w:val="true"/>
          <w:lang w:bidi="fa-IR"/>
        </w:rPr>
        <w:t>، ویُقسم من حیث طرفاه إلی نوعین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موصوف علی صفة، وقصر صفة علی موصوف</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الذی یهمُّ البحث أنَّ القصر یؤدی وظیفته الأُسلوبیة، وهی توکید الکلام وتثبیته، فقد ذهب الدکتور إبراهیم أنیس إلی أنَّ الغایة من أُسلوب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تمکین الکلام وتقریره فی ذهن السامع</w:t>
      </w:r>
      <w:r>
        <w:rPr>
          <w:rStyle w:val="FootnoteAnchor"/>
          <w:rtl w:val="true"/>
        </w:rPr>
        <w:footnoteReference w:id="729"/>
      </w:r>
      <w:r>
        <w:rPr>
          <w:rFonts w:ascii="IRNazanin" w:hAnsi="IRNazanin" w:eastAsia="IRNazanin"/>
          <w:color w:val="111111"/>
          <w:sz w:val="28"/>
          <w:sz w:val="28"/>
          <w:szCs w:val="28"/>
          <w:rtl w:val="true"/>
          <w:lang w:bidi="fa-IR"/>
        </w:rPr>
        <w:t xml:space="preserve">، وقد عدّ الدکتور المخزومی القصر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طرائق التوکید، وأدلّها علی تثبیت ما یُراد تثبیته أو تقریره</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والقصر کأیّ أُسلوب لغوی له أدواته الخاصّة التی یؤدَّی بها، وقد ذکرها البلاغیون فی کتبهم، وسوف یتناول البحث أهمّ تلک الأدوات من خلال الأمثلة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ذلک، فقد جاء فی خُطبة صُخَیر بن حذیفة بن هلال رادّاً علی سلیمان بن صُرَد الخزاعی،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آتاکَ الله رُشْدَک، ولقّاک حُجْتَک، والله الذی لا إله غَیْرهُ ما لنا خیرٌ فی صُحْبَةِ مَنِ الدُّنیا هِمَّتُهُ وَنِیَّتُه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إنَّما أخرَجتنا التوبةُ مِنْ ذَنْبِنا، والطَّلبُ بدمِ ابنِ ابنةِ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مَعَنَا دینارٌ ولا دِرْهَم، إنَّما نَقْدِمُ علی حدّ السیوفِ وأطرافِ الرمَاح</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أنّ بُنیة القصر قد جاءت فی مواضع متفرّقة مِن هذه الخُطبة القصیرة نسبیاً، </w:t>
      </w:r>
    </w:p>
    <w:p>
      <w:pPr>
        <w:pStyle w:val="BookText"/>
        <w:rPr/>
      </w:pPr>
      <w:r>
        <w:rPr>
          <w:rFonts w:ascii="IRNazanin" w:hAnsi="IRNazanin" w:eastAsia="IRNazanin"/>
          <w:color w:val="111111"/>
          <w:sz w:val="28"/>
          <w:sz w:val="28"/>
          <w:szCs w:val="28"/>
          <w:rtl w:val="true"/>
          <w:lang w:bidi="fa-IR"/>
        </w:rPr>
        <w:t>ونلحظ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الذی لا إله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قد قصر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المسبوقة بأداة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طریقة النفی والاستثناء، وهی أحدی طرق 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Style w:val="FootnoteAnchor"/>
          <w:rtl w:val="true"/>
        </w:rPr>
        <w:footnoteReference w:id="732"/>
      </w:r>
      <w:r>
        <w:rPr>
          <w:rFonts w:ascii="IRNazanin" w:hAnsi="IRNazanin" w:eastAsia="IRNazanin"/>
          <w:color w:val="111111"/>
          <w:sz w:val="28"/>
          <w:sz w:val="28"/>
          <w:szCs w:val="28"/>
          <w:rtl w:val="true"/>
          <w:lang w:bidi="fa-IR"/>
        </w:rPr>
        <w:t>، والقص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 حیث حقیقته فی هذا الموضع هو قصر حقیقی؛ لأنّ المقصور علیه اختصّ بحسب الحقیقة والواقع ولم یتعدَّاه إلی غیرهما أصلاً </w:t>
      </w:r>
      <w:r>
        <w:rPr>
          <w:rStyle w:val="FootnoteAnchor"/>
          <w:rtl w:val="true"/>
        </w:rPr>
        <w:footnoteReference w:id="733"/>
      </w:r>
      <w:r>
        <w:rPr>
          <w:rFonts w:ascii="IRNazanin" w:hAnsi="IRNazanin" w:eastAsia="IRNazanin"/>
          <w:color w:val="111111"/>
          <w:sz w:val="28"/>
          <w:sz w:val="28"/>
          <w:szCs w:val="28"/>
          <w:rtl w:val="true"/>
          <w:lang w:bidi="fa-IR"/>
        </w:rPr>
        <w:t xml:space="preserve">؛ لأنّه مختصٌ بصفات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یوجد علی الإطلاق إله غیره، یکافئه فی صفة الإلوهیة، ثمَّ إنَّ هذا القصر من ناحیة طرفیه إنَّما هو من خلال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للصفة علی موصوفها، واختصاصها به، إذ لا یتَّصف بالإلوهیّة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 أُسلوب القصر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أخرجتنا التوبة من ذنبنا والطلب بدم ابن ابنة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نقدم علی حدّ السیوف وأطراف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استعمل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أداة من أدوات القصر</w:t>
      </w:r>
      <w:r>
        <w:rPr>
          <w:rStyle w:val="FootnoteAnchor"/>
          <w:rtl w:val="true"/>
        </w:rPr>
        <w:footnoteReference w:id="7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ودلالة القصر بها هو تمییزها بما اختُلف عن الصفات الأُخری</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بمعنی أَنَّها تمیّز المقصور بها عمّا عداه، فالخطیب استعملها لتؤدّی ذلک الغرض، فهو یقصر خروجهم علی التوبة من ذنبهم والطلب بدماء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غیر، ثمَّ إنَّه قصر تقدّمهم إلی ساحات القتال علی السیوف والرماح</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نظرنا إلی ماهیة هذا القصر من حیث الحقیقة والواقع لوجدنا أن سیاق الحال یُفصح عن ذلک، فالقصر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أخرجتنا التوبة من ذنبنا والطلب بدم ابن ابنة </w:t>
      </w:r>
    </w:p>
    <w:p>
      <w:pPr>
        <w:pStyle w:val="BookText"/>
        <w:rPr/>
      </w:pP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یُنزّل منزلة القصر الحقیقی لا الإضافی، من حیث إنَّ المقصور علیه وهو طلب التوبة من الذنب ودماء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کان منهم بحسب الحقیقة والواقع ولم یتعده إلی غیره؛ إذ إنَّ الدافع الحقیقی لنهضة هؤلاء وثورتهم إنَّما هو التوبة من الذنب والطلب بدم الإمام المظلوم، لیس غیر، وهو من ناحیة حال المخاطب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الخطیب أراد أنْ یدفع ما اعتقد به المخاطب أنَّ لهم صفة أُخری غیر هذا المبدأ؛ لأنَّ سلیمان بن صُرَد قال فی موضع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إِنَّما أخرجته إرادة وجه الله وثواب الآخرة فذلک منَّا ونحن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إنَّما یُرید الدّنیا وحرثها، فو الله ما نأتی فیئاً نستفیئه</w:t>
      </w:r>
      <w:r>
        <w:rPr>
          <w:rFonts w:eastAsia="IRNazanin" w:cs="IRNazanin"/>
          <w:color w:val="111111"/>
          <w:sz w:val="28"/>
          <w:szCs w:val="28"/>
          <w:rtl w:val="true"/>
          <w:lang w:bidi="fa-IR"/>
        </w:rPr>
        <w:t>»</w:t>
      </w:r>
      <w:r>
        <w:rPr>
          <w:rStyle w:val="FootnoteAnchor"/>
          <w:rtl w:val="true"/>
        </w:rPr>
        <w:footnoteReference w:id="736"/>
      </w:r>
      <w:r>
        <w:rPr>
          <w:rFonts w:ascii="Amiri" w:hAnsi="Amiri" w:eastAsia="Amiri" w:cs="Amiri"/>
          <w:color w:val="111111"/>
          <w:sz w:val="28"/>
          <w:sz w:val="28"/>
          <w:szCs w:val="28"/>
          <w:rtl w:val="true"/>
          <w:lang w:bidi="ar-SA"/>
        </w:rPr>
        <w:t>، فالخطیب أراد أن یقطع ما اعتقد به سلیمان بن صُرَد ویُفْرِدَ الحکم ولا یُشرک به شیئاً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القصر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نقدم علی حدّ السیوف وأطراف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إضافی، یمکن أنْ یتجاوز خروجهم علی غیر الذی قصر خروجهم علیه، فلیست السیوف والرماح هی التی یخرجون بها وحدها، وإنَّما هناک عدّةٌ أُخری للحرب کالخیل، والدروع، والسهام، وغیرها، فالقصر هنا إضافی ولیس بحقیقی، فالتقدّم لا یقتصر علی السیوف والرماح فقط، وإنّما یتعداه إلی شیء غیره، ونلحظ أنَّ 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فی الموضعین السابقین من نوع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الموصوف علی الصفة، ففعل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علی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وطلب الثأر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یکون فعل التقدّم إلی ساحة المعرکة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مقصوراً علی أطراف الرماح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قصر إضافیّ نسبی کما مرَّ سابقاً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خُطبة السائب بن مالک الأشعری رادّاً علی عبد الله بن مطیع الوالی الزبیری علی الکوفة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أمرَ ابنُ الزبیر إیَّاک ألّا تَحْمِلَ فَضْلَ فَیْئِنا عنَّا إلّا برضَانا؟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w:t>
      </w:r>
    </w:p>
    <w:p>
      <w:pPr>
        <w:pStyle w:val="BookText"/>
        <w:rPr/>
      </w:pPr>
      <w:r>
        <w:rPr>
          <w:rFonts w:ascii="Amiri" w:hAnsi="Amiri" w:eastAsia="Amiri" w:cs="Amiri"/>
          <w:color w:val="111111"/>
          <w:sz w:val="28"/>
          <w:sz w:val="28"/>
          <w:szCs w:val="28"/>
          <w:rtl w:val="true"/>
          <w:lang w:bidi="ar-SA"/>
        </w:rPr>
        <w:t>نُشْهِدُکَ أنَّا لا نَرضی أنْ تَحْمِلَ فَضْلَ فَیْئِنا عَنَّا، وألّا یُقْسَم إلّا فِیْنَا؛ وألّا یُسِار فینا إلّا بسِیرةِ علی بن أبی طالب التی سارَ بها فی بلادنا هذه حتَّی هَلَکَ رحمةُ اللهِ عَلیْه، ولا حاجةَ لنَا فی سِیرَةِ عثمان فی فَیئِنا ولا فی أنْفُسِنا، فإنَّها إنَّما کانت إثرَةً وَهَوًی، ولا فی سیرةِ عمر بنِ الخطّاب فی فَیْئِنا، وإنْ کانَتْ أهْوَن السیرتینِ عَلَیْنا ضَرّاً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فالنصّ أفصح عن کثرة استعمال أُسلوب القصر؛ حتی أضفی علیه میزة أُسلوبیة تجذب تنبّه المتلقّی، فقد جاء فی أربعة مواضع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تحمل فضل فیئنا عنّا إلّا برضانا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استعمل أُسلوب القصر بالنفی والاستثناء، فقد جاء بأداة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مدغمة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 المنشئ بهذا القصر لا لشیء یجهله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جاء لأمرٍ معلوم لدیه، إذ أمره ابن الزبیر أنْ یحمل فضل فیئهم عنهم، لکنّ المنشئ أنزل هذا الأمر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الأمر المجهول عنده، وهذا خروج عن أصل وضع 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Style w:val="FootnoteAnchor"/>
          <w:rtl w:val="true"/>
        </w:rPr>
        <w:footnoteReference w:id="738"/>
      </w:r>
      <w:r>
        <w:rPr>
          <w:rFonts w:ascii="IRNazanin" w:hAnsi="IRNazanin" w:eastAsia="IRNazanin"/>
          <w:color w:val="111111"/>
          <w:sz w:val="28"/>
          <w:sz w:val="28"/>
          <w:szCs w:val="28"/>
          <w:rtl w:val="true"/>
          <w:lang w:bidi="fa-IR"/>
        </w:rPr>
        <w:t>لأجل ذلک الغرض البلاغی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یأتی بأُسلوب القصر فی موضعین آخرین بالطریقة السابقة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وألّا یقسَّم إلّا فینا، وألّا یسار فینا إلّا بسیرة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هنا حقیقی؛ لأنَّ الخطیب یُرید القسمة الحقَّة والسیر علی نهج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یتعدّاها إلی غیرها، وهو بحسب حال المخاطب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یعتقد غیر ما سمع؛ لأنَّه کان یعتقد أنَّه سوف یسیّرهم بسیرة 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الخطیب یأتی فی هذا المقام، لیقلب ذلک الاعتقاد إلی خلاف ما هو علیه مؤکّداً بأُسلوب 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أنَّهم یُریدون السیر بسیرة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القصر قائم علی إلغاء الصفات المنسوبة مع نسبة صفة جدیدة غیر تلک</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302" w:name="pg5013_35437"/>
    </w:p>
    <w:p>
      <w:pPr>
        <w:pStyle w:val="BookText"/>
        <w:rPr/>
      </w:pPr>
      <w:bookmarkEnd w:id="302"/>
      <w:r>
        <w:rPr>
          <w:rFonts w:ascii="IRNazanin" w:hAnsi="IRNazanin" w:eastAsia="IRNazanin"/>
          <w:color w:val="111111"/>
          <w:sz w:val="28"/>
          <w:sz w:val="28"/>
          <w:szCs w:val="28"/>
          <w:rtl w:val="true"/>
          <w:lang w:bidi="fa-IR"/>
        </w:rPr>
        <w:t>ثمَّ یعود المنشئ بأُسلوب القصر لیصف سیرة عثمان فی المسلمین، بأنَّها إنَّما کانت سیرة هوًی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کانت إثرَةً وهوًی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نوع 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الإضافی؛ لأنَّه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الهوی والإثرَة علی سیرة عثمان بن عفّان بالنسبة إلی سیرة أُخری، لا أنَّه لا یوجد هوًی وإثرَةً بسیرة أُخری عداها؛ لأنَّ الواقع ینفی ذلک، فهناک کثیر من السِیَر تمتلک هذه الصفات، والقص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من جهة حال المخاطب هو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 المخاطب کان یعتقد أنَّ سیرة عثمان هی السیرة المثالیة لدیه، لکنَّ المنشئ قَلَبَ هذا الحُکم فی نفسه</w:t>
      </w:r>
      <w:r>
        <w:rPr>
          <w:rFonts w:eastAsia="IRNazanin" w:cs="IRNazanin"/>
          <w:color w:val="111111"/>
          <w:sz w:val="28"/>
          <w:szCs w:val="28"/>
          <w:rtl w:val="true"/>
          <w:lang w:bidi="fa-IR"/>
        </w:rPr>
        <w:t>.</w:t>
      </w:r>
    </w:p>
    <w:p>
      <w:pPr>
        <w:pStyle w:val="Heading4"/>
        <w:numPr>
          <w:ilvl w:val="3"/>
          <w:numId w:val="1"/>
        </w:numPr>
        <w:rPr/>
      </w:pPr>
      <w:bookmarkStart w:id="303" w:name="__RefHeading___Toc507803_774463916"/>
      <w:bookmarkStart w:id="304" w:name="_Toc103"/>
      <w:bookmarkEnd w:id="303"/>
      <w:r>
        <w:rPr>
          <w:rtl w:val="true"/>
        </w:rPr>
        <w:t>ثانیاً</w:t>
      </w:r>
      <w:r>
        <w:rPr>
          <w:rtl w:val="true"/>
        </w:rPr>
        <w:t xml:space="preserve">: </w:t>
      </w:r>
      <w:r>
        <w:rPr>
          <w:rtl w:val="true"/>
        </w:rPr>
        <w:t>الأسالیب الإنشائیة</w:t>
      </w:r>
      <w:bookmarkEnd w:id="304"/>
    </w:p>
    <w:p>
      <w:pPr>
        <w:pStyle w:val="Heading5"/>
        <w:numPr>
          <w:ilvl w:val="4"/>
          <w:numId w:val="1"/>
        </w:numPr>
        <w:rPr/>
      </w:pPr>
      <w:bookmarkStart w:id="305" w:name="__RefHeading___Toc507805_774463916"/>
      <w:bookmarkStart w:id="306" w:name="_Toc104"/>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یُعرَّف الإنشاء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الذی لا یحتمل صدقاً أو کذباً</w:t>
      </w:r>
      <w:r>
        <w:rPr>
          <w:rStyle w:val="FootnoteAnchor"/>
          <w:rtl w:val="true"/>
        </w:rPr>
        <w:footnoteReference w:id="740"/>
      </w:r>
      <w:r>
        <w:rPr>
          <w:rFonts w:ascii="IRNazanin" w:hAnsi="IRNazanin" w:eastAsia="IRNazanin"/>
          <w:color w:val="111111"/>
          <w:sz w:val="28"/>
          <w:sz w:val="28"/>
          <w:szCs w:val="28"/>
          <w:rtl w:val="true"/>
          <w:lang w:bidi="fa-IR"/>
        </w:rPr>
        <w:t>لأنّه لیس لمدلول لفظه قبل النطق به واقع خارجی یطابقه أو لا یطابقه</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قسّمه البلاغیون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یستدعی مطلوباً غیر حاصل وقت الطلب، وهو علی خمسة أنواع،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والنهی، والاستفهام، والنداء، والتمنی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وإنشاء غیر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یستدعی مطلوباً، وله أسالیب مختلفة کألفاظ العقود والتعجّب وغیرها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یهمُّ البحث الأُسلوبی هو الخوض فی أسالیب الإنشاء الطلبی، وما تخرج إلیه من دلالات حقیقیة وأُخری مجازیة</w:t>
      </w:r>
      <w:r>
        <w:rPr>
          <w:rStyle w:val="FootnoteAnchor"/>
          <w:rtl w:val="true"/>
        </w:rPr>
        <w:footnoteReference w:id="743"/>
      </w:r>
      <w:r>
        <w:rPr>
          <w:rFonts w:ascii="IRNazanin" w:hAnsi="IRNazanin" w:eastAsia="IRNazanin"/>
          <w:color w:val="111111"/>
          <w:sz w:val="28"/>
          <w:sz w:val="28"/>
          <w:szCs w:val="28"/>
          <w:rtl w:val="true"/>
          <w:lang w:bidi="fa-IR"/>
        </w:rPr>
        <w:t>، تلک التی غلبت علی نصوص الحِقبتین حتی عُدّت ظاهرة أُسلوبیة متمیّزة فیها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ونظراً لتلک الکثرة فی توافر الأسالیب الإنشائیة الطلبیة فسوف یقف البحث عند أکثرها تردّداً فی نصوص الحِقبتین</w:t>
      </w:r>
      <w:r>
        <w:rPr>
          <w:rFonts w:eastAsia="IRNazanin" w:cs="IRNazanin"/>
          <w:color w:val="111111"/>
          <w:sz w:val="28"/>
          <w:szCs w:val="28"/>
          <w:rtl w:val="true"/>
          <w:lang w:bidi="fa-IR"/>
        </w:rPr>
        <w:t xml:space="preserve">. </w:t>
      </w:r>
      <w:bookmarkStart w:id="307" w:name="pg5013_35438"/>
    </w:p>
    <w:p>
      <w:pPr>
        <w:pStyle w:val="Heading5"/>
        <w:numPr>
          <w:ilvl w:val="4"/>
          <w:numId w:val="1"/>
        </w:numPr>
        <w:rPr/>
      </w:pPr>
      <w:bookmarkStart w:id="308" w:name="__RefHeading___Toc507807_774463916"/>
      <w:bookmarkStart w:id="309" w:name="_Toc105"/>
      <w:bookmarkEnd w:id="307"/>
      <w:bookmarkEnd w:id="308"/>
      <w:r>
        <w:rPr/>
        <w:t>1</w:t>
      </w:r>
      <w:r>
        <w:rPr>
          <w:rtl w:val="true"/>
        </w:rPr>
        <w:t xml:space="preserve">- </w:t>
      </w:r>
      <w:r>
        <w:rPr>
          <w:rtl w:val="true"/>
        </w:rPr>
        <w:t>أُسلوب الأمر</w:t>
      </w:r>
      <w:bookmarkEnd w:id="309"/>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الفعل بصیغة مخصوصة</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وقد أشار سیبویه إلی أنَّ الأمر سیاق فعلی لا یکون إلا بفعل</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البلاغیون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صیغة تستدعی الفعل، أو قول یُنبئ عن استدعاء الفعل من جهة الغیر علی جهة الاستعلاء</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یخرج الأمر من خلال السیاق إلی دلالات بلاغیة جدیدة کالدعاء والالتماس وغیرهما إذا لم یکن فیه معنی الاستعلاء</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ولأُسلوب الأمر أربع صیغ یُؤدَّی بها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الأمر، والفعل المضارع المقترن بلام الأمر، واسم فعل الأمر، والمصدر النائب عن فعل الأمر</w:t>
      </w:r>
      <w:r>
        <w:rPr>
          <w:rStyle w:val="FootnoteAnchor"/>
          <w:rtl w:val="true"/>
        </w:rPr>
        <w:footnoteReference w:id="748"/>
      </w:r>
      <w:r>
        <w:rPr>
          <w:rFonts w:ascii="IRNazanin" w:hAnsi="IRNazanin" w:eastAsia="IRNazanin"/>
          <w:color w:val="111111"/>
          <w:sz w:val="28"/>
          <w:sz w:val="28"/>
          <w:szCs w:val="28"/>
          <w:rtl w:val="true"/>
          <w:lang w:bidi="fa-IR"/>
        </w:rPr>
        <w:t>، وقد ورد أُسلوب الأمر بکثرة فی خُطب ورسائل وأدعیة الحِقبتین، سواء کان علی الحقیقة أم خارجاً إلی أغراض بلاغیة أُخر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فی خُطبة سلیمان بن صُرَد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کالأوْلَی مِنْ بَنِی إسْرَائیل إذْ قَالَ لَهُم نبیّهم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ظَلَمْتُمْ أَنْفُسَکُمْ بِاتِّخَاذِکُمُ الْعِجْلَ فَتُوبُوا إِلَی بَارِئِکُمْ فَاقْتُلُوا أَنْفُسَکُمْ ذَلِکُمْ خَیْرٌ لَکُمْ عِنْدَ بَارِئِکُمْ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اشْحَذُوا السّیوف، ورکّبوا الأسنّة،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الْخَیْلِ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فجاء أُسلوب الأمر فی هذه القطعة علی دلالته الحقیقیة کونه صادراً من أعلی 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سلیمان بن صُرَد قائد التوّابین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فعل الأمر فی أربعة مواضع،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اشحذوا، رکّبوا، أعدّوا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وکلّها کانت علی جهة التکلیف والإلزام</w:t>
      </w:r>
      <w:r>
        <w:rPr>
          <w:rStyle w:val="FootnoteAnchor"/>
          <w:rtl w:val="true"/>
        </w:rPr>
        <w:footnoteReference w:id="752"/>
      </w:r>
      <w:r>
        <w:rPr>
          <w:rFonts w:ascii="IRNazanin" w:hAnsi="IRNazanin" w:eastAsia="IRNazanin"/>
          <w:color w:val="111111"/>
          <w:sz w:val="28"/>
          <w:sz w:val="28"/>
          <w:szCs w:val="28"/>
          <w:rtl w:val="true"/>
          <w:lang w:bidi="fa-IR"/>
        </w:rPr>
        <w:t>، وفیه یأمر سلیمان قومه بأوامر جدّیة ألا وهی أنْ یکون هؤلاء القوم کَتوّابی بنی إسرائیل فی توبتهم من ذنبهم، إذ کان یری أنَّ عدم نصر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خطیئة کبری یجب التوبة منها والتکفیر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یأمر قومه بشحذ السیوف وترکیب الأسنَّة والاستعداد لخوض الغمرات مقتبساً من آی الذکر الحکیم فی أُسلوبها الذی یأمر المؤمنین بإعداد العدَّة، والتأهّب للجهاد فی سبیل الله، وما کان ذلک إلّا لإقناع السامع أکثر، وتذکیره بمشروعیّة الجهاد، والقتال فی سبیل الله، وکان لتکرار صیغة الأمر بهذا القدر میزة أُسلوبیة توشّح بها النص، لِتُلفِت نظر السامع، وتثبّت الأمر فی ذهنه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جاء فی هذا الأُسلوب کان فی دعاء التوّابین حول قبر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إنّا قَدْ خَذَلْنَا ابْنَ بِنْتِ نَبِیّنَا، فاغْفِرْ لَنَا ما مَضَی منَّا، وَتُبْ عَلَیْنا إنّکَ أنْتَ التَّوابُ الرَّحیم، وارْحَمْ حُسَیناً وأصْحَابَهُ الشُّهَدَاء الصدّیقین</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الأمر فی هذا النص علی غیر حقیقته، بل انزاحت فیه الدلالة إلی الدعاء؛ إذ إنَّ الأمر یخرج إلی دلالة الدعاء إذا کان صادراً من الأدنی إلی الأعلی علی سبیل التض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 والخضوع</w:t>
      </w:r>
      <w:r>
        <w:rPr>
          <w:rStyle w:val="FootnoteAnchor"/>
          <w:rtl w:val="true"/>
        </w:rPr>
        <w:footnoteReference w:id="754"/>
      </w:r>
      <w:r>
        <w:rPr>
          <w:rFonts w:ascii="IRNazanin" w:hAnsi="IRNazanin" w:eastAsia="IRNazanin"/>
          <w:color w:val="111111"/>
          <w:sz w:val="28"/>
          <w:sz w:val="28"/>
          <w:szCs w:val="28"/>
          <w:rtl w:val="true"/>
          <w:lang w:bidi="fa-IR"/>
        </w:rPr>
        <w:t xml:space="preserve">، فالأمر جاء لغرض الدعاء، وقد صاحبته تلکم الوجدانیة </w:t>
      </w:r>
      <w:bookmarkStart w:id="310" w:name="pg5013_35440"/>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دعائهم وترحّمهم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التوبة والغفران من الله بسبب خذلانهم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استعمال صیغة الأمر فی هذا المقام قد أفصح عن میزة أُسلوبیة فی التعبیر نصل من خلالها إلی معرفة القیمة الوظیفیة الثانیة التی انزاح إلیها أُسلوب الأمر ألا وهی وظیفة الدعاء والتضرّع</w:t>
      </w:r>
      <w:r>
        <w:rPr>
          <w:rFonts w:eastAsia="IRNazanin" w:cs="IRNazanin"/>
          <w:color w:val="111111"/>
          <w:sz w:val="28"/>
          <w:szCs w:val="28"/>
          <w:rtl w:val="true"/>
          <w:lang w:bidi="fa-IR"/>
        </w:rPr>
        <w:t>.</w:t>
      </w:r>
    </w:p>
    <w:p>
      <w:pPr>
        <w:pStyle w:val="Heading5"/>
        <w:numPr>
          <w:ilvl w:val="4"/>
          <w:numId w:val="1"/>
        </w:numPr>
        <w:rPr/>
      </w:pPr>
      <w:bookmarkStart w:id="311" w:name="__RefHeading___Toc507809_774463916"/>
      <w:bookmarkStart w:id="312" w:name="_Toc106"/>
      <w:bookmarkEnd w:id="311"/>
      <w:r>
        <w:rPr/>
        <w:t>2</w:t>
      </w:r>
      <w:r>
        <w:rPr>
          <w:rtl w:val="true"/>
        </w:rPr>
        <w:t xml:space="preserve">- </w:t>
      </w:r>
      <w:r>
        <w:rPr>
          <w:rtl w:val="true"/>
        </w:rPr>
        <w:t>أُسلوب النَّهی</w:t>
      </w:r>
      <w:bookmarkEnd w:id="312"/>
    </w:p>
    <w:p>
      <w:pPr>
        <w:pStyle w:val="BookText"/>
        <w:rPr/>
      </w:pPr>
      <w:r>
        <w:rPr>
          <w:rFonts w:ascii="IRNazanin" w:hAnsi="IRNazanin" w:eastAsia="IRNazanin"/>
          <w:color w:val="111111"/>
          <w:sz w:val="28"/>
          <w:sz w:val="28"/>
          <w:szCs w:val="28"/>
          <w:rtl w:val="true"/>
          <w:lang w:bidi="fa-IR"/>
        </w:rPr>
        <w:t>النهی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 من الفعل بقول مخصوص مع علوّ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فلان</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 وصیغته اللغویة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أداة نهی علی الفعل المضارع</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البلاغیون الاستعلاء فی النهی، لکی یکون نهیاً</w:t>
      </w:r>
      <w:r>
        <w:rPr>
          <w:rStyle w:val="FootnoteAnchor"/>
          <w:rtl w:val="true"/>
        </w:rPr>
        <w:footnoteReference w:id="757"/>
      </w:r>
      <w:r>
        <w:rPr>
          <w:rFonts w:ascii="IRNazanin" w:hAnsi="IRNazanin" w:eastAsia="IRNazanin"/>
          <w:color w:val="111111"/>
          <w:sz w:val="28"/>
          <w:sz w:val="28"/>
          <w:szCs w:val="28"/>
          <w:rtl w:val="true"/>
          <w:lang w:bidi="fa-IR"/>
        </w:rPr>
        <w:t>، وإنْ لم یُستعمل علی سبیل الاستعلاء یسمّونه دعاءً، أو التماساً، أو تهدیداً</w:t>
      </w:r>
      <w:r>
        <w:rPr>
          <w:rStyle w:val="FootnoteAnchor"/>
          <w:rtl w:val="true"/>
        </w:rPr>
        <w:footnoteReference w:id="758"/>
      </w:r>
      <w:r>
        <w:rPr>
          <w:rFonts w:ascii="IRNazanin" w:hAnsi="IRNazanin" w:eastAsia="IRNazanin"/>
          <w:color w:val="111111"/>
          <w:sz w:val="28"/>
          <w:sz w:val="28"/>
          <w:szCs w:val="28"/>
          <w:rtl w:val="true"/>
          <w:lang w:bidi="fa-IR"/>
        </w:rPr>
        <w:t>، وهی من المعانی المجازیة التی یخرج إلیها هذا الأُسلوب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أُسلوب النهی فی خُطبةِ سلیمان بن صُرَد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یُولّیهِم امرؤٌ دُبُرَهُ إلّا مُتَحَرّفاً لقتالٍ أو مُتَحَیّزاً إلی فِئَةٍ، لا تَقْتُلُوا مُدْبِراً، ولا تُجْهِزُوا علی جَرِیْحٍ، ولا تَقْتُلُوا أسِیراً مِنْ أهلِ دَعْوَتِکُم إلّا أنْ یُقاتِلکُمْ بَعْدَ أنْ تَأسروه</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مثّلت بنیة النهی عماد هذا النص؛ ذلک أن أداة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تکرَّرت مع الفعل المضارع المجزوم بها، عندها جاءت الدلالة فیه علی حقیقتها؛ کون أنَّ النهی قد صدر من جهة عالیة، وهو الخطیب مع الإلزام</w:t>
      </w:r>
      <w:r>
        <w:rPr>
          <w:rStyle w:val="FootnoteAnchor"/>
          <w:rtl w:val="true"/>
        </w:rPr>
        <w:footnoteReference w:id="760"/>
      </w:r>
      <w:r>
        <w:rPr>
          <w:rFonts w:ascii="IRNazanin" w:hAnsi="IRNazanin" w:eastAsia="IRNazanin"/>
          <w:color w:val="111111"/>
          <w:sz w:val="28"/>
          <w:sz w:val="28"/>
          <w:szCs w:val="28"/>
          <w:rtl w:val="true"/>
          <w:lang w:bidi="fa-IR"/>
        </w:rPr>
        <w:t>، فالخطیب ینهی قومه عن الهروب من ساحة الوغی ویطلب منهم الثبات علی القتال، وفی الوقت ذاته ینهاهم أیضاً عن قتل الهاربین المدبرین، أو قتال الجرحی أو قتل الأسری، ویکشف هذا الخطیب فی أُسلوبه الطلبی عن سیرته الصالحة، وأخلاقه النبیلة فی القتال، وقد مرّ بالبحث أنَّ هذه السیرة إنّما هی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خُطبةِ عبد الله بن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 أخو المُسْلِم، لا یَخُونُه ولا یَغُشُّه، وأنْتُمْ إخواننا وأهلُ بلدِنا، وأحبُّ أهلِ مِصْرٍ خَلَقَهُ الله إلیْنا، فلا تَفْجَعُونا بأنفُسِکُم، ولا تَسْتَبِدُّوا عَلَیْنا بِرَأیکُم، ولا تَنْقُصوا عَدَدَنا بخروجِکُم مِنْ جَمَاعَتِنَا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قصد الخطیب أنْ یکرر أُسلوب النهی، فجاء به فی ثلاثة مواضع، ولکن دلالته لم تَرد علی حقیقتها، بل انزاحت إلی دلالة أُخری، هی الالتماس؛ إذ إنَّ النهی یخرج إلی دلالة الالتماس إذا کان النهی صادراً بین متساویین فی الرتبة</w:t>
      </w:r>
      <w:r>
        <w:rPr>
          <w:rStyle w:val="FootnoteAnchor"/>
          <w:rtl w:val="true"/>
        </w:rPr>
        <w:footnoteReference w:id="762"/>
      </w:r>
      <w:r>
        <w:rPr>
          <w:rFonts w:ascii="IRNazanin" w:hAnsi="IRNazanin" w:eastAsia="IRNazanin"/>
          <w:color w:val="111111"/>
          <w:sz w:val="28"/>
          <w:sz w:val="28"/>
          <w:szCs w:val="28"/>
          <w:rtl w:val="true"/>
          <w:lang w:bidi="fa-IR"/>
        </w:rPr>
        <w:t xml:space="preserve">، کأن یکون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 من أخ إلی أخیه، أو صدیق إلی صدیقه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من سیاق الخُطبة أنَّ عبد الله بن یزید عدّ نفسه أخاً لهؤلاء التوّابین، ولهذا جاء النهی علی غیر حقیقته فی الطلب والاستعلاء والإلزام، بل جاء یدلّ علی التماس الخطیب للتوّابین أن یرجعوا عمّا أقدموا علیه، کی لا ینقص عددهم عند مواجهتهم عدوّهم</w:t>
      </w:r>
      <w:r>
        <w:rPr>
          <w:rFonts w:eastAsia="IRNazanin" w:cs="IRNazanin"/>
          <w:color w:val="111111"/>
          <w:sz w:val="28"/>
          <w:szCs w:val="28"/>
          <w:rtl w:val="true"/>
          <w:lang w:bidi="fa-IR"/>
        </w:rPr>
        <w:t xml:space="preserve">. </w:t>
      </w:r>
      <w:bookmarkStart w:id="313" w:name="pg5013_35442"/>
    </w:p>
    <w:p>
      <w:pPr>
        <w:pStyle w:val="Heading5"/>
        <w:numPr>
          <w:ilvl w:val="4"/>
          <w:numId w:val="1"/>
        </w:numPr>
        <w:rPr/>
      </w:pPr>
      <w:bookmarkStart w:id="314" w:name="__RefHeading___Toc507811_774463916"/>
      <w:bookmarkStart w:id="315" w:name="_Toc107"/>
      <w:bookmarkEnd w:id="313"/>
      <w:bookmarkEnd w:id="314"/>
      <w:r>
        <w:rPr/>
        <w:t>3</w:t>
      </w:r>
      <w:r>
        <w:rPr>
          <w:rtl w:val="true"/>
        </w:rPr>
        <w:t xml:space="preserve">- </w:t>
      </w:r>
      <w:r>
        <w:rPr>
          <w:rtl w:val="true"/>
        </w:rPr>
        <w:t>أُسلوب الاستف</w:t>
      </w:r>
      <w:r>
        <w:rPr>
          <w:rtl w:val="true"/>
        </w:rPr>
        <w:t>-</w:t>
      </w:r>
      <w:r>
        <w:rPr>
          <w:rtl w:val="true"/>
        </w:rPr>
        <w:t>هام</w:t>
      </w:r>
      <w:bookmarkEnd w:id="315"/>
    </w:p>
    <w:p>
      <w:pPr>
        <w:pStyle w:val="BookText"/>
        <w:rPr/>
      </w:pPr>
      <w:r>
        <w:rPr>
          <w:rFonts w:ascii="IRNazanin" w:hAnsi="IRNazanin" w:eastAsia="IRNazanin"/>
          <w:color w:val="111111"/>
          <w:sz w:val="28"/>
          <w:sz w:val="28"/>
          <w:szCs w:val="28"/>
          <w:rtl w:val="true"/>
          <w:lang w:bidi="fa-IR"/>
        </w:rPr>
        <w:t>عرّف عبد القاهر الجرجانی الاستفهام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الاستفهام استخبارٌ، والاستخبار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من المخاطب أنْ یخبرک</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العلوی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المراد من الغیر علی جهة الاستعلام</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حقیقة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فهم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ذهب إلیه اللغویون من قبلُ، فابن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الاستفهام هو طلب الإخبار؛ لأنَّ معنی الاستفهام معنی الإخبار</w:t>
      </w:r>
      <w:r>
        <w:rPr>
          <w:rStyle w:val="FootnoteAnchor"/>
          <w:rtl w:val="true"/>
        </w:rPr>
        <w:footnoteReference w:id="766"/>
      </w:r>
      <w:r>
        <w:rPr>
          <w:rFonts w:ascii="IRNazanin" w:hAnsi="IRNazanin" w:eastAsia="IRNazanin"/>
          <w:color w:val="111111"/>
          <w:sz w:val="28"/>
          <w:sz w:val="28"/>
          <w:szCs w:val="28"/>
          <w:rtl w:val="true"/>
          <w:lang w:bidi="fa-IR"/>
        </w:rPr>
        <w:t>، وکذلک ذهب ابن یعیش إلی أنَّ الاستفهام معنی من المعانی یطلب به المتکلّم من السامع أنْ یُعلمه بما لم یکن معلوماً عنده من قبلُ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الرغم من حقیقة طلب الفهم التی یکون علیها الاستفهام کما تقدَّم من خلال التعریفات، فإنَّه قد یخرج عن هذه الحقیقة إلی دلالات أُخر بدیلة کالنفی، والإنکار، والتعجب، وهذا ما تناوله البلاغیون فی دراساتهم</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أنْ نعرف أنَّ للاستفهام أدوات لغویة متعدّدة؛ إذ یُستفهم بأسماء، وظروف، وحروف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وما، وأیّ، 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والظروف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وأین، وأیَّان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والحروف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الهمزة، وهل، وأم</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وکلّ أداة لها دلالتها المختصَّة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ورد أُسلوب الاستفهام فی خُطب ورسائل الحِقبتین بصورة کبیرة، إذ جاء فی معظمها علی غیر حقیقته فی طلب الفهم، بل خرجت دلالته إلی دلالات أُسلوبیة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فی خُطبةِ عبید الله المرّی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خَلَقَ رَبّکُم فی الأوَّلین والآخرین أعْظَمَ حقّاً علی هذهِ الأُمَّةِ مِنْ نَبِیّها؟ وَهَلْ ذُریَّة أحدٍ مِنَ النَّبِیّینَ والمُرْسَلِینَ أو غَیْرِهِمْ أعْظَمُ حَقّاً علی هذهِ الأُمَّة مِنْ ذُریَّة رَسُولِها؟ لا والله، ما کانَ ولا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أنْتُم، ألَمْ تَرَوا ویَبْلُغْکُم ما اجْتُرِمَ إلی ابنِ بِنْتِ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رَأیْتُم إلی انْتِهاکِ القومِ حُرْمَتَهُ، واسْتِضْعَافِهِم وَحْدَتَه، وتَرْمِیْلِهِم إیّاه بالدَّم، وَتَجْرَارِهُمُوْهُ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یُراقِبُوا فِیْه رَبَّهُم ولا قرابَته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تکرّر أُسلوب الاستفهام فی هذا النص، ممّا شکّل طابعاً أُسلوبیاً ألقی بظلاله علیه، ولم یکن هذا الاستفهام جاریاً علی دلالته الحقیقیة فی طلب الفهم، بل تحوَّلت دلالته إلی دلالات أُخری تُفهم من السیاق، 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خلق ربکم فی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ذریة أحد من النبیین والمرسلین أو غیرهم أعظم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دلَّ علی الإنکار والنفی التکذیبی، وهو بمعنی لم یکن</w:t>
      </w:r>
      <w:r>
        <w:rPr>
          <w:rStyle w:val="FootnoteAnchor"/>
          <w:rtl w:val="true"/>
        </w:rPr>
        <w:footnoteReference w:id="77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 الخطیب وینفی أنْ یکون هناک شخص من هذه الأُمّة هو أعظم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وذریته الأطهار حقّاً علیها، والذی سوّغ لنا معرفة هذه الدلالة المتحوّلة، قوله فیما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ولا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ذلک علی الإطلاق، وربَّما یحمل هذا الاستفهام دلالة بلاغیة أُخری هی </w:t>
      </w:r>
    </w:p>
    <w:p>
      <w:pPr>
        <w:pStyle w:val="BookText"/>
        <w:rPr/>
      </w:pPr>
      <w:r>
        <w:rPr>
          <w:rFonts w:ascii="IRNazanin" w:hAnsi="IRNazanin" w:eastAsia="IRNazanin"/>
          <w:color w:val="111111"/>
          <w:sz w:val="28"/>
          <w:sz w:val="28"/>
          <w:szCs w:val="28"/>
          <w:rtl w:val="true"/>
          <w:lang w:bidi="fa-IR"/>
        </w:rPr>
        <w:t>دلالة التقریر، أی تقریر فضل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أهل بیته علی هذه الأُمَّة، والتقریر دلالة أُخری یخرج إلیها هذا الأُسلوب</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 ویبلغکم ما اجترم إلی ابن بنت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بالاستفهام لغرض التعجب</w:t>
      </w:r>
      <w:r>
        <w:rPr>
          <w:rStyle w:val="FootnoteAnchor"/>
          <w:rtl w:val="true"/>
        </w:rPr>
        <w:footnoteReference w:id="773"/>
      </w:r>
      <w:r>
        <w:rPr>
          <w:rFonts w:ascii="IRNazanin" w:hAnsi="IRNazanin" w:eastAsia="IRNazanin"/>
          <w:color w:val="111111"/>
          <w:sz w:val="28"/>
          <w:sz w:val="28"/>
          <w:szCs w:val="28"/>
          <w:rtl w:val="true"/>
          <w:lang w:bidi="fa-IR"/>
        </w:rPr>
        <w:t>إلی جانب معنی الإنکار، فالخطیب فی مقام المتعجّب المُنکِر لفعل هؤلاء القوم وإقدامهم علی جریمة یندی لها جبین التاریخ، فلیس من المفروض أن یفعل هذا بابن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ینبغی أن یُجازی بمثل هذا، وهو الصادق الأمین، ابن أمیر المؤمنین وابن بنت رسول ربِّ العالمین، وإنّما قصد الخطیب الخروج إلی دلالة التعجُّب، حتی یُثیرَ مشاعر السامعین، ویُعبّئ النفوس للقیام بالثورة ضدّ قاتلی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أُسلوب الاستفهام دلالة بلاغیة أُخری فی خُطبة المسیب بن نجبة الفزاری رادّاً علی إبراهیم بن محمَّد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 الناکِثِیْن، أنت تُهَدّدنا بِسَیْفِکَ وغَشْمِک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أذلُّ مِن ذلک، إنّا لا نَلُومُکَ علی بُغْضِنا وقدْ قَتلنا أباکَ وجدّک</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فأُسلوب الاستفهام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تهددنا بسیفک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علی غیر دلالته الأصلیة فی طلب الفهم، وإنَّما انزاحت فیه الدلالة وتحوّلت إلی دلالة التهکم والتحقیر</w:t>
      </w:r>
      <w:r>
        <w:rPr>
          <w:rStyle w:val="FootnoteAnchor"/>
          <w:rtl w:val="true"/>
        </w:rPr>
        <w:footnoteReference w:id="775"/>
      </w:r>
      <w:r>
        <w:rPr>
          <w:rFonts w:ascii="IRNazanin" w:hAnsi="IRNazanin" w:eastAsia="IRNazanin"/>
          <w:color w:val="111111"/>
          <w:sz w:val="28"/>
          <w:sz w:val="28"/>
          <w:szCs w:val="28"/>
          <w:rtl w:val="true"/>
          <w:lang w:bidi="fa-IR"/>
        </w:rPr>
        <w:t>، وقد دلَّ علی ذلک سیاق الخُطبة الذی جاء مفعماً بروح السخریة والاستهزاء، وهو ما أبداه الخطیب تجاه إبراهیم بن محمّد</w:t>
      </w:r>
      <w:r>
        <w:rPr>
          <w:rFonts w:eastAsia="IRNazanin" w:cs="IRNazanin"/>
          <w:color w:val="111111"/>
          <w:sz w:val="28"/>
          <w:szCs w:val="28"/>
          <w:rtl w:val="true"/>
          <w:lang w:bidi="fa-IR"/>
        </w:rPr>
        <w:t xml:space="preserve">. </w:t>
      </w:r>
      <w:bookmarkStart w:id="316" w:name="pg5013_35445"/>
    </w:p>
    <w:p>
      <w:pPr>
        <w:pStyle w:val="Heading5"/>
        <w:numPr>
          <w:ilvl w:val="4"/>
          <w:numId w:val="1"/>
        </w:numPr>
        <w:rPr/>
      </w:pPr>
      <w:bookmarkStart w:id="317" w:name="__RefHeading___Toc507813_774463916"/>
      <w:bookmarkStart w:id="318" w:name="_Toc108"/>
      <w:bookmarkEnd w:id="316"/>
      <w:bookmarkEnd w:id="317"/>
      <w:r>
        <w:rPr/>
        <w:t>4</w:t>
      </w:r>
      <w:r>
        <w:rPr>
          <w:rtl w:val="true"/>
        </w:rPr>
        <w:t xml:space="preserve">- </w:t>
      </w:r>
      <w:r>
        <w:rPr>
          <w:rtl w:val="true"/>
        </w:rPr>
        <w:t>أُسلوب النداء</w:t>
      </w:r>
      <w:bookmarkEnd w:id="318"/>
    </w:p>
    <w:p>
      <w:pPr>
        <w:pStyle w:val="BookText"/>
        <w:rPr/>
      </w:pPr>
      <w:r>
        <w:rPr>
          <w:rFonts w:ascii="IRNazanin" w:hAnsi="IRNazanin" w:eastAsia="IRNazanin"/>
          <w:color w:val="111111"/>
          <w:sz w:val="28"/>
          <w:sz w:val="28"/>
          <w:szCs w:val="28"/>
          <w:rtl w:val="true"/>
          <w:lang w:bidi="fa-IR"/>
        </w:rPr>
        <w:t>یکاد یتَّفق النحاة والبلاغیون علی أنَّ النداء تنبیه المدعو، فقد قال ابن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 النداء تنبیه المدعو لیقبل علیک</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 xml:space="preserve">، وقد ذکر أبو علی الفارسی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النداء تنبیه 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 المخاطَب قد یکون مُعرِضاً عن المخاطِب، متباعداً عن مکانه</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 وقال العلوی فی تعریفه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ومعنی النداء هو التصویت بالمنادی لإقباله علیک</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 وقد عرّفه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نوع من الطلب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طلب الإقبال حِسّاً أو معنًی بحرف نائب مناب أدعو</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فهم جمیعاً یذهبون بالقول أنَّ النداء طلب یراد به التنبیه، ولکن النداء قد یخرج من هذا الغرض الحقیقی إلی دلالات هامشیة لا یُراد بها التنبیه، بل هی دلالات بلاغیة یدلُّ علیها السیاق، وقد عُنی الدرس البلاغی بهذه الدلالات، وبیّن خصائصها وما تؤدّیه من أثار أُسلوبیة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وأُسلوب النداء کغیره من الأسالیب اللغویة یتطلّب وجود أداة خاصَّة به، وقد ذکرها النحاة والبلاغیون وعرضوا لدلالتها واستعمالها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لهذا الأُسلوب نصیبٌ وافرٌ فی خُطب ورسائل الحِقبتین، سواء أکان فی دلالته الحقیقیة أم حینما یخرج لمعانٍ مجازیة 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ورد أُسلوب النداء فی دعاء التوّابین أمام 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ربِّ إنَّا قد خَذَلْنَا ابْنَ بِنْتِ نَبیّنا، فاغفرْ لَنَا ما مضی منَّا، وتُبْ عَلیْنا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نُشْهِدُکَ یا ربِّ أنَّا علی مِثْلِ ما قُتِلُوا عَلَیْهِ، فإنْ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نلحظ وروده فی موضعین، استُعمِل فیهما أداة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ذکر سیبویه أنَّ العرب یستعملون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أرادوا أن یمُدّوا أصواتهم 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یء المتراخی عنهم، والإنسان المُعرض عنهم، الذی یرون أنَّه لا یُقبِل علیهم إلّا بالاجتهاد، أو النائم المستثقل</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 فهی إذاً لنداء البعید، وقد جاءت فی الموضعین لنداء القریب،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للتأکید</w:t>
      </w:r>
      <w:r>
        <w:rPr>
          <w:rStyle w:val="FootnoteAnchor"/>
          <w:rtl w:val="true"/>
        </w:rPr>
        <w:footnoteReference w:id="78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بتأکید النداء، وقد ذکر الزمخشری أنَّ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نداء القریب قد یُفید کذلک معنی الاستبعاد،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استقصار منه لنفسه وهضم لها، واستبعاد عن مظان القبول والاستماع، وإظهار للرغبة فی الاستجابة بالجؤار</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بالتضرع</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یتّضح لنا الغرض من استعمال أداة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لنداء القریب، وجاء هذا الأُسلوب فی رسالة المختار إلی محمد بن الحنفیة أیضاً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للمهدیّ محمَّد بن علی من المختار بن أبی عُبَید، سلامٌ علیکَ یا أیُّها المهدیّ، فإنَّی أحمد إلیک الله الَّذی لا إله إلّا هو، أمَّا بعدُ، فإنَّ الله بَعَثَنی نقمةً علی أعْدَائکم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قَتَلْنَا مَنْ شَرَکَ فی دم الحسینِ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قَدَرْنا عَلَیه، ولن یُعْجِزَ اللهَ مَنْ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فاکتُبْ إلیَّ أیّها المهدیّ برأیک </w:t>
      </w:r>
      <w:bookmarkStart w:id="319" w:name="pg5013_35447"/>
    </w:p>
    <w:p>
      <w:pPr>
        <w:pStyle w:val="BookText"/>
        <w:rPr/>
      </w:pPr>
      <w:bookmarkEnd w:id="319"/>
      <w:r>
        <w:rPr>
          <w:rFonts w:ascii="Amiri" w:hAnsi="Amiri" w:eastAsia="Amiri" w:cs="Amiri"/>
          <w:color w:val="111111"/>
          <w:sz w:val="28"/>
          <w:sz w:val="28"/>
          <w:szCs w:val="28"/>
          <w:rtl w:val="true"/>
          <w:lang w:bidi="ar-SA"/>
        </w:rPr>
        <w:t>أتَّبِعه وأکن علیه، والسلام علیکَ أیُّها المهدیّ ورحمةُ الله وبرکاتُه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تکرّر أُسلوب النداء فی هذه الرسالة ثلاث مرّات، ولم یکن فی حقیقته فی طلب إقبال المدعو علی الداعی، وإنَّما انزاحت دلالته للمدح والتکریم والتنویه</w:t>
      </w:r>
      <w:r>
        <w:rPr>
          <w:rStyle w:val="FootnoteAnchor"/>
          <w:rtl w:val="true"/>
        </w:rPr>
        <w:footnoteReference w:id="787"/>
      </w:r>
      <w:r>
        <w:rPr>
          <w:rFonts w:ascii="IRNazanin" w:hAnsi="IRNazanin" w:eastAsia="IRNazanin"/>
          <w:color w:val="111111"/>
          <w:sz w:val="28"/>
          <w:sz w:val="28"/>
          <w:szCs w:val="28"/>
          <w:rtl w:val="true"/>
          <w:lang w:bidi="fa-IR"/>
        </w:rPr>
        <w:t xml:space="preserve">بعظیم منزلة محمّد بن الحنفیة، فالنداء یخرج لتعظیم الأُمور،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 العرب أنْ تُعظّم أمراً من الأُمور جعلته نداءً</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الموضع الأوَّل من هذا النداء بأداة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أداة التنبیه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الموضع الثانی بحذف أداة النداء، وإبقاء أداة التنبیه، وهذا الحذف جائز فی عُرف النحاة والبلاغیین</w:t>
      </w:r>
      <w:r>
        <w:rPr>
          <w:rStyle w:val="FootnoteAnchor"/>
          <w:rtl w:val="true"/>
        </w:rPr>
        <w:footnoteReference w:id="789"/>
      </w:r>
      <w:r>
        <w:rPr>
          <w:rFonts w:ascii="IRNazanin" w:hAnsi="IRNazanin" w:eastAsia="IRNazanin"/>
          <w:color w:val="111111"/>
          <w:sz w:val="28"/>
          <w:sz w:val="28"/>
          <w:szCs w:val="28"/>
          <w:rtl w:val="true"/>
          <w:lang w:bidi="fa-IR"/>
        </w:rPr>
        <w:t>، وذلک إذا کان الغرض منه تخفیفاً للکلام</w:t>
      </w:r>
      <w:r>
        <w:rPr>
          <w:rFonts w:eastAsia="IRNazanin" w:cs="IRNazanin"/>
          <w:color w:val="111111"/>
          <w:sz w:val="28"/>
          <w:szCs w:val="28"/>
          <w:rtl w:val="true"/>
          <w:lang w:bidi="fa-IR"/>
        </w:rPr>
        <w:t>.</w:t>
      </w:r>
    </w:p>
    <w:p>
      <w:pPr>
        <w:pStyle w:val="Heading4"/>
        <w:numPr>
          <w:ilvl w:val="3"/>
          <w:numId w:val="1"/>
        </w:numPr>
        <w:rPr/>
      </w:pPr>
      <w:bookmarkStart w:id="320" w:name="__RefHeading___Toc507815_774463916"/>
      <w:bookmarkStart w:id="321" w:name="_Toc109"/>
      <w:bookmarkEnd w:id="320"/>
      <w:r>
        <w:rPr>
          <w:rtl w:val="true"/>
        </w:rPr>
        <w:t>ثالثاً</w:t>
      </w:r>
      <w:r>
        <w:rPr>
          <w:rtl w:val="true"/>
        </w:rPr>
        <w:t xml:space="preserve">: </w:t>
      </w:r>
      <w:r>
        <w:rPr>
          <w:rtl w:val="true"/>
        </w:rPr>
        <w:t>أسالیب جمعت بین الخبر والإنشاء</w:t>
      </w:r>
      <w:bookmarkEnd w:id="321"/>
    </w:p>
    <w:p>
      <w:pPr>
        <w:pStyle w:val="Heading5"/>
        <w:numPr>
          <w:ilvl w:val="4"/>
          <w:numId w:val="1"/>
        </w:numPr>
        <w:rPr/>
      </w:pPr>
      <w:bookmarkStart w:id="322" w:name="__RefHeading___Toc507817_774463916"/>
      <w:bookmarkStart w:id="323" w:name="_Toc110"/>
      <w:bookmarkEnd w:id="322"/>
      <w:r>
        <w:rPr/>
        <w:t>1</w:t>
      </w:r>
      <w:r>
        <w:rPr>
          <w:rtl w:val="true"/>
        </w:rPr>
        <w:t xml:space="preserve">- </w:t>
      </w:r>
      <w:r>
        <w:rPr>
          <w:rtl w:val="true"/>
        </w:rPr>
        <w:t>أُسلوب الشَّ</w:t>
      </w:r>
      <w:r>
        <w:rPr>
          <w:rtl w:val="true"/>
        </w:rPr>
        <w:t>-</w:t>
      </w:r>
      <w:r>
        <w:rPr>
          <w:rtl w:val="true"/>
        </w:rPr>
        <w:t>رط</w:t>
      </w:r>
      <w:bookmarkEnd w:id="323"/>
    </w:p>
    <w:p>
      <w:pPr>
        <w:pStyle w:val="BookText"/>
        <w:rPr/>
      </w:pPr>
      <w:r>
        <w:rPr>
          <w:rFonts w:ascii="IRNazanin" w:hAnsi="IRNazanin" w:eastAsia="IRNazanin"/>
          <w:color w:val="111111"/>
          <w:sz w:val="28"/>
          <w:sz w:val="28"/>
          <w:szCs w:val="28"/>
          <w:rtl w:val="true"/>
          <w:lang w:bidi="fa-IR"/>
        </w:rPr>
        <w:t>یعدُّ الشَّرط من الأسالیب المهمَّة، وهو جملة مرکّبة من جملتین فی الغالب، ترتبط کلّ منهما بالأُخری ارتباطاً وثیقاً، إذ تکون إِحداهما سبباً لنتیجة تمثّلها الجملة الأُخری، فتکون الأُولی جملة الشرط، وهی بمنزلة السبب، وتکون الثانیة جملة جواب الشرط، وهی بمنزلة المسبّب، وتربط بینهما أداة تتصدّرها هی أداة الشرط</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فأُسلوب الشرط یختلف عن الجملة الاعتیادیة من حیث وجود رکنی </w:t>
      </w:r>
    </w:p>
    <w:p>
      <w:pPr>
        <w:pStyle w:val="BookText"/>
        <w:rPr/>
      </w:pPr>
      <w:r>
        <w:rPr>
          <w:rFonts w:ascii="IRNazanin" w:hAnsi="IRNazanin" w:eastAsia="IRNazanin"/>
          <w:color w:val="111111"/>
          <w:sz w:val="28"/>
          <w:sz w:val="28"/>
          <w:szCs w:val="28"/>
          <w:rtl w:val="true"/>
          <w:lang w:bidi="fa-IR"/>
        </w:rPr>
        <w:t xml:space="preserve">الجملة، والرابط المعنوی الإسنادی؛ لأنَّ الشرط یتکوّن من جملتین کلُّ واحدة منهما مبنیة من مسند ومسند إلیه، وهما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أنَّهما فی سیاق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لا یتمُّ المعنی إلّا بمجموعهما؛ لأنَّ أُسلوب الشرط قائمٌ علی تعلیق جملة الجواب علی جملة الشرط</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ویختلف هذا الأُسلوب تماماً عن أُسلوبی الخبر والإنشاء؛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أنّ فعل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وحده وجواب الشرط وحده یُفید کلّ منهما معنًی من معانی الخبر والإنشاء</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 ولذلک استقلّت دراسته عن المباحث الخبریة والإنشائیة، وهذا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رطیة تمتاز بالتکامل البنیوی المفض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إلی التکامل الدلالی، ممّا یؤهّلها إلی الاستقلال النسبی فی الخطاب، بحیث تکون لها الطاقة الإخباریة التی تمکّنها من افتتاح حلقة الکلام وغلقها فی نفس السیاق</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فهی علی هذا من البنی الأُسلوبیة المغلقة، فهی تبدأ بأداة الشرط، وما أن یصل السامع إلی الظفر بجواب الشرط یرتد ثانیةً إلی جملة الشرط لیربط بینها، فالسامع یدور فی رحلة دلالیة فی دائرة الشرط المغلقة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أداة الشرط وفعلها جواب الشرط</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هذه البنیة علی الرغم من انغلاقها، فهی بنیة تتَّصف بالمرونة النوعیة، نظراً لتنوع أدواتها وأنماط ترکیبها</w:t>
      </w:r>
      <w:r>
        <w:rPr>
          <w:rStyle w:val="FootnoteAnchor"/>
          <w:rtl w:val="true"/>
        </w:rPr>
        <w:footnoteReference w:id="795"/>
      </w:r>
      <w:r>
        <w:rPr>
          <w:rFonts w:ascii="IRNazanin" w:hAnsi="IRNazanin" w:eastAsia="IRNazanin"/>
          <w:color w:val="111111"/>
          <w:sz w:val="28"/>
          <w:sz w:val="28"/>
          <w:szCs w:val="28"/>
          <w:rtl w:val="true"/>
          <w:lang w:bidi="fa-IR"/>
        </w:rPr>
        <w:t xml:space="preserve">، کما أنَّ أرکانها تتمتَّع بحریة الحرکة، فالمجال مفتوح إلی إعادة ترکیبها من جدید بما یناسب الغرض المنشود کما تسمح بحذف جزء منها أو </w:t>
      </w:r>
    </w:p>
    <w:p>
      <w:pPr>
        <w:pStyle w:val="BookText"/>
        <w:rPr/>
      </w:pPr>
      <w:r>
        <w:rPr>
          <w:rFonts w:ascii="IRNazanin" w:hAnsi="IRNazanin" w:eastAsia="IRNazanin"/>
          <w:color w:val="111111"/>
          <w:sz w:val="28"/>
          <w:sz w:val="28"/>
          <w:szCs w:val="28"/>
          <w:rtl w:val="true"/>
          <w:lang w:bidi="fa-IR"/>
        </w:rPr>
        <w:t>کلّها، وکذلک ممَّا یسمح بوقوع الانزیاح لإنتاج التعابیر ذات البُعد الفنی</w:t>
      </w:r>
      <w:r>
        <w:rPr>
          <w:rStyle w:val="FootnoteAnchor"/>
          <w:rtl w:val="true"/>
        </w:rPr>
        <w:footnoteReference w:id="796"/>
      </w:r>
      <w:r>
        <w:rPr>
          <w:rFonts w:ascii="IRNazanin" w:hAnsi="IRNazanin" w:eastAsia="IRNazanin"/>
          <w:color w:val="111111"/>
          <w:sz w:val="28"/>
          <w:sz w:val="28"/>
          <w:szCs w:val="28"/>
          <w:rtl w:val="true"/>
          <w:lang w:bidi="fa-IR"/>
        </w:rPr>
        <w:t>، وهذا یکشف عن التنوّع الوظیفی للبنیة الشرطیة بتنوّع حالات اندراجها فی صلب الکلام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أُسلوب الشرط کثیراً فی نثر الحِقبتین، من ذلک ما جاء فی رسالة المختار إلی عبد الله بن الزبیر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عَرَفْتَ مُنَاصَحَتی إیَّاک وَجَهْدِی علی أهلِ عَدَاوَتِک، وما کُنْتَ أعْطَیْتَنِی إذا أنا فَعَلْتُ ذلکَ مِنْ نَفْسِکَ، فلَمَّا وَفَیْتُ لَکَ وقَضَیْتُ الّذی کانَ لَکَ علیَّ، خِسْتَ بی، ولَمْ تَفِ بما عاهَدْتَنِی عَلیه، ورأیتَ منّی ما قدْ رأیت، فإنْ تُرِدْ مُراجَعَتی أُرَاجِعْک، وإنْ تُرِدْ مُنَاصَحَتی أنْصَحْ لَک</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استغرق أُسلوب الشرط حضوراً متمیّزاً فی هذه الرسالة، ممَّا أضفی علیها میزة أُسلوبیة ملحوظة، إذ تکرّر أربع مرّات بأدواته المختلفة، 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أعطیتنی إذا أنا فعلت ذلک 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استعمل 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ظرف لما یُستقبل من الزمان کما ذهب إلی ذلک سیبویه</w:t>
      </w:r>
      <w:r>
        <w:rPr>
          <w:rStyle w:val="FootnoteAnchor"/>
          <w:rtl w:val="true"/>
        </w:rPr>
        <w:footnoteReference w:id="799"/>
      </w:r>
      <w:r>
        <w:rPr>
          <w:rFonts w:ascii="IRNazanin" w:hAnsi="IRNazanin" w:eastAsia="IRNazanin"/>
          <w:color w:val="111111"/>
          <w:sz w:val="28"/>
          <w:sz w:val="28"/>
          <w:szCs w:val="28"/>
          <w:rtl w:val="true"/>
          <w:lang w:bidi="fa-IR"/>
        </w:rPr>
        <w:t>، ویکثر مجیء الماضی بعدها مراداً به الاستقبال</w:t>
      </w:r>
      <w:r>
        <w:rPr>
          <w:rStyle w:val="FootnoteAnchor"/>
          <w:rtl w:val="true"/>
        </w:rPr>
        <w:footnoteReference w:id="800"/>
      </w:r>
      <w:r>
        <w:rPr>
          <w:rFonts w:ascii="IRNazanin" w:hAnsi="IRNazanin" w:eastAsia="IRNazanin"/>
          <w:color w:val="111111"/>
          <w:sz w:val="28"/>
          <w:sz w:val="28"/>
          <w:szCs w:val="28"/>
          <w:rtl w:val="true"/>
          <w:lang w:bidi="fa-IR"/>
        </w:rPr>
        <w:t>، وقد جاءت فی هذا الموضع متلوة بالفعل الماضی المراد به المستقبل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ونلحظ أنَّ أُسلوب الشرط هنا لم یأتِ علی نظامه المعیاری الذی یقض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أن تکون الجملة متسلسلة فی مکوناتها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فعل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جواب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 بل </w:t>
      </w:r>
    </w:p>
    <w:p>
      <w:pPr>
        <w:pStyle w:val="BookText"/>
        <w:rPr/>
      </w:pPr>
      <w:r>
        <w:rPr>
          <w:rFonts w:ascii="IRNazanin" w:hAnsi="IRNazanin" w:eastAsia="IRNazanin"/>
          <w:color w:val="111111"/>
          <w:sz w:val="28"/>
          <w:sz w:val="28"/>
          <w:szCs w:val="28"/>
          <w:rtl w:val="true"/>
          <w:lang w:bidi="fa-IR"/>
        </w:rPr>
        <w:t>تقدَّم جواب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علی أداة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وفعله، والأصل فی جواب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التأخیر</w:t>
      </w:r>
      <w:r>
        <w:rPr>
          <w:rStyle w:val="FootnoteAnchor"/>
          <w:rtl w:val="true"/>
        </w:rPr>
        <w:footnoteReference w:id="802"/>
      </w:r>
      <w:r>
        <w:rPr>
          <w:rFonts w:ascii="IRNazanin" w:hAnsi="IRNazanin" w:eastAsia="IRNazanin"/>
          <w:color w:val="111111"/>
          <w:sz w:val="28"/>
          <w:sz w:val="28"/>
          <w:szCs w:val="28"/>
          <w:rtl w:val="true"/>
          <w:lang w:bidi="fa-IR"/>
        </w:rPr>
        <w:t>، فکان الأُسلوب علی غیر الأصل، والأصل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 إذا أنا فعلت ذلک أعطیتنی 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یعود السبب فی العدول فی الجملة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رطیة إلی أنّ المنشئ قد جعل من أداة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وفعلها جملةً اعتراضیةً فی الکلام، وذلک للأهمیّة ولفت النظر للمعنی المراد إیصاله إلی ذهن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تلک النقلة فی نظام الأُسلوب الشرطی لم تخرج الشرط عن ماهیته، وصفته الأُسلوبیة، بل بقی محافظاً علیها، وما ذلک إلّا بسبب المرونة الکبیرة التی یتمیَّز بها هذا الأُسلوب عمّا عداه من الأسالیب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یعقد المختار موازنة بینه وبین خصمه، عبد الله بن الزبیر، معتمداً فی ذلک علی أُسلوب الشرط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وفیتُ لک وقضیتُ الذی کان علیَّ، خِسْتَ بی، ولم تفِ بما عاهدتنی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بیّن فعل الشرط الجانب الإیجابی الذی یمتلکه المختار من الوفاء والنصیحة، وکان من المفترض أن یجد القارئ ما یناسب ذلک الوفاء بالمثل فی جواب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ویتشوَّق لسماعه، لکنّه یندهش لسماع الجانب السلبی الذی کان علیه خصم المختار، من عدم الوفاء بالعهد والخسَّة والغدر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یعود المختار مستعملاً أُسلوب الشرط فی خاتمة الرسالة، معبّراً عن صدق نیّته تجاه خصمه بتکرار الأُسلوب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رطی مرَّتین، وبالأداة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تُرِدْ مراجعتی أُراجِعْک، وإنْ تُرِدْ مُناصَحَتی أنصحْ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فمتی ما یُرِد الخصم المراجعة یجدْها عند المختار، ومتی ما یُرِد النصیحة منه یناصحْه، فجواب الشرط مرهون بتحقّق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ومرتبط به فی دائرة مغلقة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ترد مراجعتی أُراجعک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ترد مناصحتی أنصح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فمتی ما حصل الفعْل من الآخر حصلت الإجابة سریعة من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المرونة الأُسلوبیة للشرط أتاحت للمنشئ أنْ یتصرَّف فی الکلام بحریة مطلقة من غیر أنْ تکون هناک وعورة أو تلکؤ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ونجد هذا الأُسلوب فی وصیّة یزید بن أنس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شرطة اللهِ اصْبِروا تُؤجَرُوا، وصابروا عدوَّکم تَظْفَروا، وقاتلوا أولیاءَ الشَّیطان، إنَّ کیدَ الشیطانِ کانَ ضَعیفاً، إنْ هَلَکْتُ فأمیرُکُم ورقاءُ بن عازب الأسدیّ، فإنْ هَلَکَ فأمیرُکُم عبد الله بن ضَمرةَ العذریّ، فإنْ هَلَکَ فأمیرُکُم سِعْرُ بن أبی سِعْر الحَنَفی</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فأُسلوب الشرط فی مستهل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تؤجروا، وصابروا عدّوکم تظفروا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أفصح عن استطالة أُسلوبیة عالیة، تَمکَّنَ المنشئ خلالها من تکثیف الجملة وترکیزها، وذلک بحذف أداة الشرط وفعله، وجاء بجواب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وحده، وأصل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إنْ صبرتم تؤجروا، وصابروا عدوکم إنْ صابرتم عدوّکم تظفروا، وحذف أداة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وفعله جائز عند النحویین</w:t>
      </w:r>
      <w:r>
        <w:rPr>
          <w:rStyle w:val="FootnoteAnchor"/>
          <w:rtl w:val="true"/>
        </w:rPr>
        <w:footnoteReference w:id="804"/>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أداة الشرط وفعل الشرط قد یحُذفان بعد الطلب، وشرط ذلک أنْ یلی هذا الطلب فعلٌ مضارع ٌمجرَّدٌ من الفاء یُقصد به الجزاء</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وتحقَّقَ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رطان فی هذین الموضعین؛ إذ سبقهما الطلب بفعل الأمر، وولیهما الفعل المضارع، فلا مانع من حذفه، وقد یکون ضیق المقام هو الذی أدَّی إلی هذا الحذف المقصود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من أمر؛ فإنَّ الانزیاح الترکیبی قد انتاب بنیة الشرط فی هذین الموضعین بفعل الحذف، لینتج ذلک التعبیر الفنّی</w:t>
      </w:r>
      <w:r>
        <w:rPr>
          <w:rFonts w:eastAsia="IRNazanin" w:cs="IRNazanin"/>
          <w:color w:val="111111"/>
          <w:sz w:val="28"/>
          <w:szCs w:val="28"/>
          <w:rtl w:val="true"/>
          <w:lang w:bidi="fa-IR"/>
        </w:rPr>
        <w:t xml:space="preserve">. </w:t>
      </w:r>
      <w:bookmarkStart w:id="324" w:name="pg5013_35452"/>
    </w:p>
    <w:p>
      <w:pPr>
        <w:pStyle w:val="BookText"/>
        <w:rPr/>
      </w:pPr>
      <w:bookmarkEnd w:id="324"/>
      <w:r>
        <w:rPr>
          <w:rFonts w:ascii="IRNazanin" w:hAnsi="IRNazanin" w:eastAsia="IRNazanin"/>
          <w:color w:val="111111"/>
          <w:sz w:val="28"/>
          <w:sz w:val="28"/>
          <w:szCs w:val="28"/>
          <w:rtl w:val="true"/>
          <w:lang w:bidi="fa-IR"/>
        </w:rPr>
        <w:t>ثمَّ یمضی المنشئ فی تکرار الأُسلوب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رطی بحسب ما تقتضیه وصیَّته لأصحابه، ویمکننا القول إنَّنا بإزاء جملة طویلة واحدة تستغرق ثلاث جمل شرطیة کلَّها قد تصدَّرت بأداة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هلکتُ فأمیرکم ورقاء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هلک فأمیرکم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هلک فأمیرکم 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وعلّة استعمال هذه الأداة هنا مکرَّرة؛ لأنَّ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فیها یکون مقطوعاً بوقوعه</w:t>
      </w:r>
      <w:r>
        <w:rPr>
          <w:rStyle w:val="FootnoteAnchor"/>
          <w:rtl w:val="true"/>
        </w:rPr>
        <w:footnoteReference w:id="806"/>
      </w:r>
      <w:r>
        <w:rPr>
          <w:rFonts w:ascii="IRNazanin" w:hAnsi="IRNazanin" w:eastAsia="IRNazanin"/>
          <w:color w:val="111111"/>
          <w:sz w:val="28"/>
          <w:sz w:val="28"/>
          <w:szCs w:val="28"/>
          <w:rtl w:val="true"/>
          <w:lang w:bidi="fa-IR"/>
        </w:rPr>
        <w:t>، وکونها الأصل لأدوات الشرط، فهی تصلح لکلّ ضروبه</w:t>
      </w:r>
      <w:r>
        <w:rPr>
          <w:rStyle w:val="FootnoteAnchor"/>
          <w:rtl w:val="true"/>
        </w:rPr>
        <w:footnoteReference w:id="807"/>
      </w:r>
      <w:r>
        <w:rPr>
          <w:rFonts w:ascii="IRNazanin" w:hAnsi="IRNazanin" w:eastAsia="IRNazanin"/>
          <w:color w:val="111111"/>
          <w:sz w:val="28"/>
          <w:sz w:val="28"/>
          <w:szCs w:val="28"/>
          <w:rtl w:val="true"/>
          <w:lang w:bidi="fa-IR"/>
        </w:rPr>
        <w:t>، وقد ولیها الفعل الماضی فی هذه المواضع، ولم یأتِ الفعل المضارع الذی یدلّ علی الحال والاستقبال، إذ یُفترض أن یأتی فی هذا المقام؛ لأنَّ فعل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لم یتحقَّق بعدُ، فالهلاک لم یحصل للمتکلّم ولا لغیره، وإنّما جاء الفعل الماضی لغرض أُسلوبی بلاغی، وهو إبراز غیر الحاصل فی معرض الحاصل</w:t>
      </w:r>
      <w:r>
        <w:rPr>
          <w:rStyle w:val="FootnoteAnchor"/>
          <w:rtl w:val="true"/>
        </w:rPr>
        <w:footnoteReference w:id="808"/>
      </w:r>
      <w:r>
        <w:rPr>
          <w:rFonts w:ascii="IRNazanin" w:hAnsi="IRNazanin" w:eastAsia="IRNazanin"/>
          <w:color w:val="111111"/>
          <w:sz w:val="28"/>
          <w:sz w:val="28"/>
          <w:szCs w:val="28"/>
          <w:rtl w:val="true"/>
          <w:lang w:bidi="fa-IR"/>
        </w:rPr>
        <w:t>، وغیر الحاصل هو المستقبل، والحاصل هو الماضی، فالمنشئ قد جعل ما لم یقع وغیر حاصل کالواقع الحاصل؛ لأنَّه یری نفسه وأصحابه مقتولین لا محالة، وهذا إنّما یدلّ علی ثباتهم وإخلاص نیَّاتهم فی دفاعهم عن أفکارهم وعقیدتهم</w:t>
      </w:r>
      <w:r>
        <w:rPr>
          <w:rFonts w:eastAsia="IRNazanin" w:cs="IRNazanin"/>
          <w:color w:val="111111"/>
          <w:sz w:val="28"/>
          <w:szCs w:val="28"/>
          <w:rtl w:val="true"/>
          <w:lang w:bidi="fa-IR"/>
        </w:rPr>
        <w:t>.</w:t>
      </w:r>
    </w:p>
    <w:p>
      <w:pPr>
        <w:pStyle w:val="Heading5"/>
        <w:numPr>
          <w:ilvl w:val="4"/>
          <w:numId w:val="1"/>
        </w:numPr>
        <w:rPr/>
      </w:pPr>
      <w:bookmarkStart w:id="325" w:name="__RefHeading___Toc507819_774463916"/>
      <w:bookmarkStart w:id="326" w:name="_Toc111"/>
      <w:bookmarkEnd w:id="325"/>
      <w:r>
        <w:rPr/>
        <w:t>2</w:t>
      </w:r>
      <w:r>
        <w:rPr>
          <w:rtl w:val="true"/>
        </w:rPr>
        <w:t xml:space="preserve">- </w:t>
      </w:r>
      <w:r>
        <w:rPr>
          <w:rtl w:val="true"/>
        </w:rPr>
        <w:t>أُسلوب القَسَم</w:t>
      </w:r>
      <w:bookmarkEnd w:id="32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لغویّ یُفید التوکید فی الکلام</w:t>
      </w:r>
      <w:r>
        <w:rPr>
          <w:rStyle w:val="FootnoteAnchor"/>
          <w:rtl w:val="true"/>
        </w:rPr>
        <w:footnoteReference w:id="809"/>
      </w:r>
      <w:r>
        <w:rPr>
          <w:rFonts w:ascii="IRNazanin" w:hAnsi="IRNazanin" w:eastAsia="IRNazanin"/>
          <w:color w:val="111111"/>
          <w:sz w:val="28"/>
          <w:sz w:val="28"/>
          <w:szCs w:val="28"/>
          <w:rtl w:val="true"/>
          <w:lang w:bidi="fa-IR"/>
        </w:rPr>
        <w:t>، یقول أبو علی 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یؤکَّد بها الخبر</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فهو إذاً وسیلة أُسلوبیة من وسائل توکید الخبر وتقویته نفیاً أو إثباتاً</w:t>
      </w:r>
      <w:r>
        <w:rPr>
          <w:rStyle w:val="FootnoteAnchor"/>
          <w:rtl w:val="true"/>
        </w:rPr>
        <w:footnoteReference w:id="811"/>
      </w:r>
      <w:r>
        <w:rPr>
          <w:rFonts w:ascii="IRNazanin" w:hAnsi="IRNazanin" w:eastAsia="IRNazanin"/>
          <w:color w:val="111111"/>
          <w:sz w:val="28"/>
          <w:sz w:val="28"/>
          <w:szCs w:val="28"/>
          <w:rtl w:val="true"/>
          <w:lang w:bidi="fa-IR"/>
        </w:rPr>
        <w:t>، وله أدوات یؤدَّی بها، منها الحروف،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والتاء، واللام، والواو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کالفعل أقْسم، وأَحلف،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الأسماء،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وأیمُن، وغیرها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اختلف النحاة فی أُسلوب القسم، فأدخله ابن عصفور الأشبیلی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الأسالیب 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القسم لا یُتصور إلّا حیث یُتصور الصدق والحنث، والصدق والحنث لا یُتصوَّر إلّا فیما یُتصوَّر الصدق والکذب</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فی حین عدَّه السیوطی من أسالیب الإنشاء الطلبی</w:t>
      </w:r>
      <w:r>
        <w:rPr>
          <w:rStyle w:val="FootnoteAnchor"/>
          <w:rtl w:val="true"/>
        </w:rPr>
        <w:footnoteReference w:id="814"/>
      </w:r>
      <w:r>
        <w:rPr>
          <w:rFonts w:ascii="IRNazanin" w:hAnsi="IRNazanin" w:eastAsia="IRNazanin"/>
          <w:color w:val="111111"/>
          <w:sz w:val="28"/>
          <w:sz w:val="28"/>
          <w:szCs w:val="28"/>
          <w:rtl w:val="true"/>
          <w:lang w:bidi="fa-IR"/>
        </w:rPr>
        <w:t xml:space="preserve">، وأنَّ السبب الذی أدَّی إلی هذا الاختلاف فی وضع أُسلوب القسم فی أسالیب الخبر والإنشاء، یعود إلی الجملة المُقسم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المؤکَّدة، التی تکون تارةً خبریة، ویُسمَّی القسم فی هذه الحالة قسماً خبریاً أو غیر استعطافی، والغایة منه توکید الجملة وإزالة الشّک، ویمکن أن تکون جملة إنشائیة تارةً أُخری فیُسمَّی القسم الاستعطافی، وحینئذٍ یکون القسم ضرباً من التوکید یُحرّک مشاعر النفس ویُثیرها</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ونظراً لهذا الاختلاف الحاصل فی جملة القسم بین الخبریة والإنشائیة، فقد آثر الباحث أنْ یدرس هذا الأُسلوب بدراسة مستقِلّة مع أُسلوب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وأنْ لا یدرجه فی الأسالیب الخبریة أو الإنشائیة، کما إنَّه من الأسالیب المغلقة التی لا بدَّ معها من جواب قسم یغلق بنیتها، وهذا ما یلتقی به مع أُسلوب الشرط ذی البنیة المغلقة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هذا الأُسلوب فی خُطب ورسائل الحِقبتین کما فی خُطبة إبراهیم بن محمد </w:t>
      </w:r>
    </w:p>
    <w:p>
      <w:pPr>
        <w:pStyle w:val="BookText"/>
        <w:rPr/>
      </w:pPr>
      <w:r>
        <w:rPr>
          <w:rFonts w:ascii="Amiri" w:hAnsi="Amiri" w:eastAsia="Amiri" w:cs="Amiri"/>
          <w:color w:val="111111"/>
          <w:sz w:val="28"/>
          <w:sz w:val="28"/>
          <w:szCs w:val="28"/>
          <w:rtl w:val="true"/>
          <w:lang w:bidi="ar-SA"/>
        </w:rPr>
        <w:t>ابن طلحة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لا یَغُرَّنَّکُم مِنَ السَّیف والغَشْمِ مَقَالَةُ هذا المُدَاهِنِ المُوادِع، والله لَئِنْ خَرَجَ عَلَیْنَا خارجٌ لَنَقْتُلَنَّه، وَلَئِن اسْتَیْقَنَّا أنَّ قوماً یُریْدُونَ الخُرُوجَ عَلَیْنا، لَنَأخُذَنَّ الوالدَ بولدِه، والمُولودَ بِوالِدِه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شهدت بنیة القَسم حضوراً متمیّزاً فی هذا النص، فجاء منسجماً مع سیاق التأکید الذی دلَّت علیه الخُطبة، وابتدأ الخطیب بذکر جملة القسم صراحة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خرج علینا خارج لنقتلنَّه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استعمل حرف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لفظ الجلالة، وهو أشدّ ما یکون علیه القَسم، ثمَّ یعود لاستعمال هذا الأُسلوب مرّة أُخری، ولکن بحذف جملة القسم وإبقاء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الموطئة 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استیقنّا أنَّ قوماً یُریدون الخروج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والحذف فی جملة القسم واردٌ فی الاستعمال عند العرب طلباً للتخفیف بالکلام</w:t>
      </w:r>
      <w:r>
        <w:rPr>
          <w:rStyle w:val="FootnoteAnchor"/>
          <w:rtl w:val="true"/>
        </w:rPr>
        <w:footnoteReference w:id="818"/>
      </w:r>
      <w:r>
        <w:rPr>
          <w:rFonts w:ascii="IRNazanin" w:hAnsi="IRNazanin" w:eastAsia="IRNazanin"/>
          <w:color w:val="111111"/>
          <w:sz w:val="28"/>
          <w:sz w:val="28"/>
          <w:szCs w:val="28"/>
          <w:rtl w:val="true"/>
          <w:lang w:bidi="fa-IR"/>
        </w:rPr>
        <w:t>، وقد اعتمده الخطیب لأجل عدم التکرار أو لدلالة ما سبقه من القسم، وقد أغلق بنیة القسم بجواب متکوّن من فعل مضارع مؤکَّد بالنون الثقیلة، لیزید من التوکید فی الکلام، ویعزّز التوکید الذی أوحی به القسم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کذلک فی خُطبةِ المختار الثقفی حین توعّد بالانتقام من أسماء بن خارجة</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الأخیر ممَّن سعی فی قتل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وربِّ السماء والماء، </w:t>
      </w:r>
    </w:p>
    <w:p>
      <w:pPr>
        <w:pStyle w:val="BookText"/>
        <w:rPr/>
      </w:pPr>
      <w:r>
        <w:rPr>
          <w:rFonts w:ascii="Amiri" w:hAnsi="Amiri" w:eastAsia="Amiri" w:cs="Amiri"/>
          <w:color w:val="111111"/>
          <w:sz w:val="28"/>
          <w:sz w:val="28"/>
          <w:szCs w:val="28"/>
          <w:rtl w:val="true"/>
          <w:lang w:bidi="ar-SA"/>
        </w:rPr>
        <w:t>وربِّ الضیاء والظلماء، لتنزلنَّ نارٌ من السماء، حمراءُ دهماءُ سحماءُ، فلتحرقنَّ دارَ أسماء</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نجد أنَّ المختار اعتمد فی قَسَمه هذا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مستهلّ النص، وتعمَّد أنْ یطیل نسقه بواوات العطف الأُخری، لینوّع الصورة المُقسم بها، ویزید التأکید تأکیداً، ثمَّ یعود بعد ذلک الطول النسقی إلی إغلاق بنیة القسم بجواب القسم المتکون من الفعل المضارع المؤکَّد بالنون الثقیلة، والمقترن بلام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إطالة نسق القسم بالعطف شائع فی تراکیب القسم عند العرب وأعلاها فی أُسلوب القرآن الکریم المعجز، فمن ذلک تکریر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الذَّکَرَ وَالْأُنْثَی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فالمنشئ اختطَّ لنفسه أُسلوباً مرکباً مُحاکیاً هذا الأُسلوب وکلام العرب، والسبب فی ذلک أنَّه یُرید أن یجعل المتلقی بترقّب دائم وتشوّق لسماع جواب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للاستهلال بالقسم أثراً أُسلوبیاً فی النص، یکمن فی إثراء دلالة المقسم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لما یحمله القسم من تأکید للکلام وإزالة الشک عن نفس المخاطب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فی نصوص الحِقبتین صیغ أُخری للقسم غیر لفظ الجلالة أو ما فی معناه، کما نجد فی عهد المختار الثقفی، الذی قطعه أمام 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آلَیتُ بِجَدّکَ المُصْطَفَی، وأبِیْکَ المُرْتَضَی، وأُمِّکَ الزَّهْرَا، وأخیکَ الحَسَن المُجْتَبَی، وَمَنْ قُتِلَ مَعَکَ مِنْ أهلِ بَیْتِکَ وشِیعَتِک فی کربلا، لا أکَلْتُ طَیّبَ الطَّعَام، ولا شَرِبْتُ لَذِیذَ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أنْتَقِمَ مِمَّنْ قَتَلَکَ أو أُقْتَل کَمَا قُتِلْتَ</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استعمل المختار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بمعنی أقسمت وحلفت</w:t>
      </w:r>
      <w:r>
        <w:rPr>
          <w:rStyle w:val="FootnoteAnchor"/>
          <w:rtl w:val="true"/>
        </w:rPr>
        <w:footnoteReference w:id="823"/>
      </w:r>
      <w:r>
        <w:rPr>
          <w:rFonts w:ascii="IRNazanin" w:hAnsi="IRNazanin" w:eastAsia="IRNazanin"/>
          <w:color w:val="111111"/>
          <w:sz w:val="28"/>
          <w:sz w:val="28"/>
          <w:szCs w:val="28"/>
          <w:rtl w:val="true"/>
          <w:lang w:bidi="fa-IR"/>
        </w:rPr>
        <w:t>، والمقسم به هم أهل بیت النبوة والشیعة المخلصون، وهم الذین استُشهدوا مع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أقسم بهم لمکانتهم السامیة الرفیعة، ثمَّ جاء بجواب القسم بعد هذا النسق الطویل فی القسم والذی عمله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لیغلق بنیة القسم، ویأتی بالفائدة للسامع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 القسم جاء لغرض التوکید ومنسجماً مع سیاق النص الذی جاء مفعماً بروح التهدید والوعید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خُطبةِ عبد الله بن وال رادّاً علی إبراهیم بن محمد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اعتراضُکَ یا أخا بنی تیم بن مُرَّةَ فیما بَیْنَنَا وبَینَ أمیرنا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علی خَرَاجِکَ، فَلَعَمْرُ الله لَئِنْ کُنْتَ مُفْسِدَاً، ما أفْسَدَ أمرَ هذهِ الأُمَّةِ إلّا والِدُکَ وَجَدُّکَ الناکِثَان</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استعمل الخطیب أداة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مقترنة بلام القسم،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القسم، ویغلب أن تستعمل مضافة إلی ما بعدها</w:t>
      </w:r>
      <w:r>
        <w:rPr>
          <w:rStyle w:val="FootnoteAnchor"/>
          <w:rtl w:val="true"/>
        </w:rPr>
        <w:footnoteReference w:id="825"/>
      </w:r>
      <w:r>
        <w:rPr>
          <w:rFonts w:ascii="IRNazanin" w:hAnsi="IRNazanin" w:eastAsia="IRNazanin"/>
          <w:color w:val="111111"/>
          <w:sz w:val="28"/>
          <w:sz w:val="28"/>
          <w:szCs w:val="28"/>
          <w:rtl w:val="true"/>
          <w:lang w:bidi="fa-IR"/>
        </w:rPr>
        <w:t xml:space="preserve">، وقد أضیفت فی هذا النص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الجلالة، حتی یکون القسم فی غایة التأکید، ثمَّ نلحظ أنَّ الخبر قد حذف بعد القسم حذفاً وجوبیّاً؛ لأنَّ المبتدأ قد جاء لفظاً صریحاً فی القسم</w:t>
      </w:r>
      <w:r>
        <w:rPr>
          <w:rStyle w:val="FootnoteAnchor"/>
          <w:rtl w:val="true"/>
        </w:rPr>
        <w:footnoteReference w:id="826"/>
      </w:r>
      <w:r>
        <w:rPr>
          <w:rFonts w:ascii="IRNazanin" w:hAnsi="IRNazanin" w:eastAsia="IRNazanin"/>
          <w:color w:val="111111"/>
          <w:sz w:val="28"/>
          <w:sz w:val="28"/>
          <w:szCs w:val="28"/>
          <w:rtl w:val="true"/>
          <w:lang w:bidi="fa-IR"/>
        </w:rPr>
        <w:t>، وتقدیر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قسمی، وإنَّما حُذف الخبر لدلالة القسم علیه</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5013_35458"/>
      <w:bookmarkStart w:id="328" w:name="pg5013_35458"/>
      <w:bookmarkEnd w:id="328"/>
    </w:p>
    <w:p>
      <w:pPr>
        <w:pStyle w:val="Heading3"/>
        <w:numPr>
          <w:ilvl w:val="2"/>
          <w:numId w:val="1"/>
        </w:numPr>
        <w:rPr/>
      </w:pPr>
      <w:bookmarkStart w:id="329" w:name="pg5013_35458"/>
      <w:bookmarkStart w:id="330" w:name="__RefHeading___Toc507821_774463916"/>
      <w:bookmarkStart w:id="331" w:name="_Toc112"/>
      <w:bookmarkEnd w:id="329"/>
      <w:bookmarkEnd w:id="330"/>
      <w:r>
        <w:rPr>
          <w:rtl w:val="true"/>
        </w:rPr>
        <w:t xml:space="preserve">المبحث الثانی </w:t>
      </w:r>
      <w:r>
        <w:rPr>
          <w:rtl w:val="true"/>
        </w:rPr>
        <w:t>:</w:t>
      </w:r>
      <w:r>
        <w:rPr>
          <w:rtl w:val="true"/>
        </w:rPr>
        <w:t>الخصائص المعنویَّة للتَّراکیب</w:t>
      </w:r>
      <w:bookmarkEnd w:id="331"/>
    </w:p>
    <w:p>
      <w:pPr>
        <w:pStyle w:val="Heading4"/>
        <w:numPr>
          <w:ilvl w:val="3"/>
          <w:numId w:val="1"/>
        </w:numPr>
        <w:rPr/>
      </w:pPr>
      <w:bookmarkStart w:id="332" w:name="__RefHeading___Toc507823_774463916"/>
      <w:bookmarkStart w:id="333" w:name="_Toc113"/>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تمتاز اللغة العربیة من بین سائر اللغات بمرونتها الواسعة فی بناء جملتها، وفی شکل عناصرها وترتیبها، ومن هنا ظهرت مجموعة من الظواهر اللغویة التی ترفد الجملة بدلالات لغویة جدیدة تکسبها حیویة وفعالیة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نظر علماء الأُسلوب إلی أنَّ اللغة تکون علی مستویین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 مثالی فی الأداء، والآخر مستوی إبداعی یعتمد علی کسر المثالیة واختراقها</w:t>
      </w:r>
      <w:r>
        <w:rPr>
          <w:rStyle w:val="FootnoteAnchor"/>
          <w:rtl w:val="true"/>
        </w:rPr>
        <w:footnoteReference w:id="827"/>
      </w:r>
      <w:r>
        <w:rPr>
          <w:rFonts w:ascii="IRNazanin" w:hAnsi="IRNazanin" w:eastAsia="IRNazanin"/>
          <w:color w:val="111111"/>
          <w:sz w:val="28"/>
          <w:sz w:val="28"/>
          <w:szCs w:val="28"/>
          <w:rtl w:val="true"/>
          <w:lang w:bidi="fa-IR"/>
        </w:rPr>
        <w:t xml:space="preserve">، وتتمیَّز لغة الأدب بأنَّها تعتمد علی کسر المثالیة إلی صور متحوّلة عنها، فهی تحاول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تخترق حدود الأنماط الجاهزة، وتنتهک القوالب الرسمیة، بخلاف اللغة العادیة التی تأتی وما یتَّفق من خلال التفاهم اللغویّ، الذی یحدث بصفة منتظمة بین الأفراد</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تقوم اللغة العربیة علی خرق القواعد النحویة، وهذا ما اصطلح علیه فی المفهوم الأُسلوبی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الانزیاح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الانعطاف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کان النحو هو مجال القیود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الأُسلوبیة مجال الحریات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334" w:name="pg5013_35459"/>
    </w:p>
    <w:p>
      <w:pPr>
        <w:pStyle w:val="BookText"/>
        <w:rPr/>
      </w:pPr>
      <w:bookmarkEnd w:id="334"/>
      <w:r>
        <w:rPr>
          <w:rFonts w:ascii="IRNazanin" w:hAnsi="IRNazanin" w:eastAsia="IRNazanin"/>
          <w:color w:val="111111"/>
          <w:sz w:val="28"/>
          <w:sz w:val="28"/>
          <w:szCs w:val="28"/>
          <w:rtl w:val="true"/>
          <w:lang w:bidi="fa-IR"/>
        </w:rPr>
        <w:t>فالانزیاح إجراء أُسلوبی فعَّال لخلق اللغة الأدبیة الفارقة لمبدعها، إذ تظهر خلالها سمات أُسلوبیة بأدواتها وتراکیبها ویعتمد علی المبدع الذی یمتلک القدرة علی تشکیل اللغة جمالیاً، بما یتجاوز إطار المستعمل المألوف</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عنی الدارسون بالظواهر الترکیبیة من حذفٍ وذِکْرٍ، وتقدیمٍ وتأخیرٍ، وفَصْلٍ ووصلٍ، وتعریفٍ وتنکیرٍ، وتناولوها فی مباحثهم</w:t>
      </w:r>
      <w:r>
        <w:rPr>
          <w:rStyle w:val="FootnoteAnchor"/>
          <w:rtl w:val="true"/>
        </w:rPr>
        <w:footnoteReference w:id="831"/>
      </w:r>
      <w:r>
        <w:rPr>
          <w:rFonts w:ascii="IRNazanin" w:hAnsi="IRNazanin" w:eastAsia="IRNazanin"/>
          <w:color w:val="111111"/>
          <w:sz w:val="28"/>
          <w:sz w:val="28"/>
          <w:szCs w:val="28"/>
          <w:rtl w:val="true"/>
          <w:lang w:bidi="fa-IR"/>
        </w:rPr>
        <w:t>لأنَّها تُحقّق ذلک الانزیاح فی الترکیب، وتکسب النص ثراءً وجدَّة، فضلاً عن تحقیق غایات أُسلوبیة وبیانیة متنوّعة، وسوف یقف البحث عند هذه التراکیب الأُسلوبیة، ویُبیّن خصائصها وسماتها بحسب ما جاء منها فی نصوص الحِقبتین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p>
    <w:p>
      <w:pPr>
        <w:pStyle w:val="Heading4"/>
        <w:numPr>
          <w:ilvl w:val="3"/>
          <w:numId w:val="1"/>
        </w:numPr>
        <w:rPr/>
      </w:pPr>
      <w:bookmarkStart w:id="335" w:name="__RefHeading___Toc507825_774463916"/>
      <w:bookmarkStart w:id="336" w:name="_Toc114"/>
      <w:bookmarkEnd w:id="335"/>
      <w:r>
        <w:rPr>
          <w:rtl w:val="true"/>
        </w:rPr>
        <w:t>أوّلاً</w:t>
      </w:r>
      <w:r>
        <w:rPr>
          <w:rtl w:val="true"/>
        </w:rPr>
        <w:t xml:space="preserve">: </w:t>
      </w:r>
      <w:r>
        <w:rPr>
          <w:rtl w:val="true"/>
        </w:rPr>
        <w:t>الفصل والوصل</w:t>
      </w:r>
      <w:bookmarkEnd w:id="336"/>
    </w:p>
    <w:p>
      <w:pPr>
        <w:pStyle w:val="BookText"/>
        <w:rPr/>
      </w:pPr>
      <w:r>
        <w:rPr>
          <w:rFonts w:ascii="IRNazanin" w:hAnsi="IRNazanin" w:eastAsia="IRNazanin"/>
          <w:color w:val="111111"/>
          <w:sz w:val="28"/>
          <w:sz w:val="28"/>
          <w:szCs w:val="28"/>
          <w:rtl w:val="true"/>
          <w:lang w:bidi="fa-IR"/>
        </w:rPr>
        <w:t>لقد کان لموضوع الفصل والوصل نصیبٌ وافرٌ من العنایة والاهتمام من البلاغیین العرب؛ بوصفه یحقّق انسجاماً بین أجزاء الکلام، ولکونه من مباحث المعانی المتمیّزة بإمکاناتها الأُسلوبیة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ویبدو أنَّ الجاحظ کان أوَّل مَن تکلَّم عن هذا الموضوع فی کتبه، إذ ورد عنه تعریفٌ للبلاغة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الفصل من والوصل</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وغایة الأمر فی الفصل والوصل هو حسن استعمال حرف من حروف المعانی،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به أجزاء الکلام بعضها إلی بعض، حیث یکون ذلک من أجل أداء المعنی علی أحسن وجه وأتمّ صورة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فالوصل إذاً؛ عطف جملةٍ علی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 دون سائر حروف العطف الأُخری،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هذا العطف</w:t>
      </w:r>
      <w:r>
        <w:rPr>
          <w:rStyle w:val="FootnoteAnchor"/>
          <w:rtl w:val="true"/>
        </w:rPr>
        <w:footnoteReference w:id="8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وصورة هذا الباب من أبواب البلاغة قائمة ماثلة فی باب العطف من أبواب النحو، ولکنَّها تکاد تقتص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علی حکم المعطوف وکونه تابعاً للمعطوف علیه فی الإعراب</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فهذا الموضوع موجود أصلاً عند علماء النحو؛ إذ تناولوه فی مباحثهم، لکنَّهم لم یتناولوا فیه معانی العطف المتعدّدة کما تصدی له البلاغیون، إذ کان لهم السبق فی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لما فی مواضع الفصل والوصل من أهمیّة أُسلوبیة فی الکلام، وذلک لدقّة مسلکهما فی البلاغة فضلاً عن الرصانة فی الکلام، فإنَّنا نلحظ وفرتها فی خُطب ورسائل الحِقبتین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ورد من أُسلوب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فی خُطبةِ سلیمان بن صُرَد الخزاعی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تاجِرُ الآخرةِ، فَسَاعٍ إلیْها مُتَنَصّبٌ بِتطْلابها، لا یشتری بِها ثَمَناً، لا یُرَی إلّا قائِماً وقَاعِداً، وَرَاکِعاً وَسَاجِداً، لا یَطْلِبُ ذَهَباً ولاِ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تاجرُ الدُّنیا فَمُکِبٌّ عَلَیْهَا، رَاتِعٌ فیها، لا یَبْتَغِی بِها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وإیَّاکُم مِنَ العِبَادِ الصَّالحینَ المُجَاهدینَ الصَّابرین علی الَّلأواء</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وواضح أنَّ ابنَ صُرَد أراد تبیان صفات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فاسترسل فی وصفهم تارکاً العطف بالواو بین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فساع إلیها، متنصب بتطلابها، لا یشتری بها ثمناً، لا یُری إلّا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بین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تاجر </w:t>
      </w:r>
    </w:p>
    <w:p>
      <w:pPr>
        <w:pStyle w:val="BookText"/>
        <w:rPr/>
      </w:pPr>
      <w:r>
        <w:rPr>
          <w:rFonts w:ascii="IRNazanin" w:hAnsi="IRNazanin" w:eastAsia="IRNazanin"/>
          <w:color w:val="111111"/>
          <w:sz w:val="28"/>
          <w:sz w:val="28"/>
          <w:szCs w:val="28"/>
          <w:rtl w:val="true"/>
          <w:lang w:bidi="fa-IR"/>
        </w:rPr>
        <w:t>الدنیا، فمکبٌ علیها، راتعٌ فیها، لا یبتغی بها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المُسّوغ لهذا الفصل وترک العطف بالواو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الجمل التالیة للجملة الأُولی کانت بدلاً منها أو توکیداً لها من حیث المعنی، فالجمل بینهما اتحاد تام؛ لذا استغنتْ عن حرف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البلاغیون هذا الانفصال بکمال الاتصال</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نلحظ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الله وإیّاکم من العباد الصالحین المجاهدین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ترک العطف وفصل بین الکلمات؛ وذلک لأنَّ العطف بالواو إنَّما یکون للجمع بین شیئین متباینین</w:t>
      </w:r>
      <w:r>
        <w:rPr>
          <w:rStyle w:val="FootnoteAnchor"/>
          <w:rtl w:val="true"/>
        </w:rPr>
        <w:footnoteReference w:id="838"/>
      </w:r>
      <w:r>
        <w:rPr>
          <w:rFonts w:ascii="IRNazanin" w:hAnsi="IRNazanin" w:eastAsia="IRNazanin"/>
          <w:color w:val="111111"/>
          <w:sz w:val="28"/>
          <w:sz w:val="28"/>
          <w:szCs w:val="28"/>
          <w:rtl w:val="true"/>
          <w:lang w:bidi="fa-IR"/>
        </w:rPr>
        <w:t>، ولمَّا کانت کلُّ صفة بمعنی الصفة التی قبلها، أو بمنزلة الجزء منها، فذلک اقتض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المقام ترک العطف؛ لکون الشیء لا یجوز عطفه علی نفسه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أنَّ الخطیب کان حاذقاً فی سبک الجمل فی خُطبته دقیقاً فی انتقائها عارفاً بمواضع الفصل التی تقع بینها، وما تُضفی علیها من مسحة أُسلوبیة وفنیة 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ورد أُسلوب الفصل فی رسالةِ سعد بن حذیفة بن الیمان إلی سلیمان بن صُرَد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جَادُّونَ مُجِدّونَ، مُعِدُّونَ مُسْرِجُونَ مُلْجِمُونَ، نَنْتَظِرُ الدَّاعی</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أرادَ سعد أنْ یمضی فی إِخبار ابن صُرَد باستعداده وقومه للقیام معه بالثورة، فلجأ إلی أُسلوب الفصل بین الجمل؛ لأنَّ الفصل فیه حماسة وتأثیر کبیر، ولأنَّ صفة الاستعداد کانت فیهم واحدة غیر متباینة، لذلک کان لا بدَّ من الفصل وترک العطف </w:t>
      </w:r>
    </w:p>
    <w:p>
      <w:pPr>
        <w:pStyle w:val="BookText"/>
        <w:rPr/>
      </w:pPr>
      <w:r>
        <w:rPr>
          <w:rFonts w:ascii="IRNazanin" w:hAnsi="IRNazanin" w:eastAsia="IRNazanin"/>
          <w:color w:val="111111"/>
          <w:sz w:val="28"/>
          <w:sz w:val="28"/>
          <w:szCs w:val="28"/>
          <w:rtl w:val="true"/>
          <w:lang w:bidi="fa-IR"/>
        </w:rPr>
        <w:t>الذی یقتض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المغایرة،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فأداة العطف لا تعطف الشیء علی نفسه</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xml:space="preserve">، والسبب البلاغی الآخر الذی سوّغ هذا الفصل هو أنَّ کلَّ صفة جاءت مؤکدة ومبینة لسابقتها، أو بدلاً منها، وهذا موضع یجب الفصل معه وترک الوصل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أُسلوب الفصل کذلک فی رسالةِ عبد الله بن یزید إلی سلیمان بن صُرَد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مَنْ یُرِد أنْ یَنْقُلِ الجِبَالَ عَنْ مَرَاتِبِها تَکِلّ معاوِلُه، وَیُنْزَع وهوَ مَذْمُومُ العَقَلِ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قومَنا لا تُطْمِعوا عدوّکُم فی أهلِ بلادِکُم، فإنَّکُم خیارٌ کلّکُم، وَمَتَی مَا یُصِبْکُم عَدوّکم یَعْلَمَوا أنَّکم أعلامُ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ْرکم</w:t>
      </w:r>
      <w:r>
        <w:rPr>
          <w:rFonts w:eastAsia="Amiri" w:cs="Amiri" w:ascii="Amiri" w:hAnsi="Amiri"/>
          <w:color w:val="111111"/>
          <w:sz w:val="28"/>
          <w:szCs w:val="28"/>
          <w:rtl w:val="true"/>
          <w:lang w:bidi="ar-SA"/>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فصل المنشئ بین الجملتین الأُولی والثانیة، ولم یوصل بینهما؛ وذلک لأنَّ بین هاتین الجملتین تبایناً تاماً لاختلافهما فی أُسلوبی الخبر والإنشاء، والإنشاء هنا هو أُسلوب النداء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قومنا لا تُطمعوا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ویُسمّی عند البلاغیین بکمال الانقطاع</w:t>
      </w:r>
      <w:r>
        <w:rPr>
          <w:rStyle w:val="FootnoteAnchor"/>
          <w:rtl w:val="true"/>
        </w:rPr>
        <w:footnoteReference w:id="844"/>
      </w:r>
      <w:r>
        <w:rPr>
          <w:rFonts w:ascii="IRNazanin" w:hAnsi="IRNazanin" w:eastAsia="IRNazanin"/>
          <w:color w:val="111111"/>
          <w:sz w:val="28"/>
          <w:sz w:val="28"/>
          <w:szCs w:val="28"/>
          <w:rtl w:val="true"/>
          <w:lang w:bidi="fa-IR"/>
        </w:rPr>
        <w:t>وهو موضع یجب الفصل معه ولا یجوز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أنَّ المنشئ کان مدرکاً لسرّ بلاغة الفصل فی موضعه، فجاء به علی أتمّ وجه مِن غیر أنْ یجهد نفسه لملاحظة الجمل ومراقبتها فی خُطبته، وهو ملحظ أُسلوبی واضح فیها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أُسلوب الوصل، فقد جاء بصورة کثیرة فی خُطب ورسائل هاتین الحِقبتین، حتی لیمکن عدّه ظاهرة أُسلوبیة فیها، فقد ورد فی خُطبةِ رفاعة بن شداد رادّاً علی </w:t>
      </w:r>
    </w:p>
    <w:p>
      <w:pPr>
        <w:pStyle w:val="BookText"/>
        <w:rPr/>
      </w:pPr>
      <w:r>
        <w:rPr>
          <w:rFonts w:ascii="Amiri" w:hAnsi="Amiri" w:eastAsia="Amiri" w:cs="Amiri"/>
          <w:color w:val="111111"/>
          <w:sz w:val="28"/>
          <w:sz w:val="28"/>
          <w:szCs w:val="28"/>
          <w:rtl w:val="true"/>
          <w:lang w:bidi="ar-SA"/>
        </w:rPr>
        <w:t>المسیّب بن نجبة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قدْ هداک لأصْوَبِ القول، ودَعوتَ إلی أرْشد الأُمور، بدأتَ بِحمدِ الله والثناء علیه، والصلاة علی نبیّه صلّی الله علیه وسلّم، ودعوتَ إلی جهادِ الفاسقین وإلی التوبة من الذنب العظیم</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وصل الخطیب الجمل مع بعضها بحرف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الجمل موصولة فی الصورة والمعنی، ولأنّ المعانی التی ذکرها الخطیب هی معانی حَسَنة، لذا کان قد 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أداة الوصل، لتکون المعانی مسترسلة متدافعة لا یعتریها انقطاع أو فصل، هذا فضلاً عن اتّفاق الجُمل کلّها بأُسلوب الخبر الذی أوجب هذا الوصل بَیْنَها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ونجد أُسلوب الوصل فی رسالةِ سلیمان بن صُرَد إلی عبد الله بن یزید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قرأنا کتابَک وفهِمنا ما نَوَیْتَ، فنِعْمَ واللهِ الوالی، ونعم الأمیر، ونعم أخو العَشیرة، أنت واللهِ مَن نأمَنه بالغَیْب، ونستَنْصِحه فی المَشُورة، ونحمَده علی کلّ حال</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فی هذا النص، أنّ سلیمان بن صُرَد قد اتکأ علی أُسلوب الوصل لغرض أُسلوبی مقصود، أَلا وهو التمهل فی الحدیث وتوکید المعانی، وهی معانی المدح والثناء، فجاء بالجمل متّحدة فی الخبر، ومتناسقة فی المعنی، فوصل بینها بأداة الوصل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 المتلقی فی تنبه دائم للعبارات من غیر أنْ یکون هناک انقطاع فیها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کذلک فی خُطبةِ عبد الله بن یزید واصفاً فعل عبید الله بن زیاد للشیعة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قَتَلَکُمْ، ومِن قَبلِهِ أتَیْتُم، والذیْ قَتَلَ مَنْ تثأرون بدمِه، قد جاءکم فاستقبلوه بحدّکُم وشوکَتِکُم، واجعلوها به، ولا تجعلوها بأنفسکم، إنّی لم آلکُم نُصحاً، جَمَعَ الله لنا </w:t>
      </w:r>
    </w:p>
    <w:p>
      <w:pPr>
        <w:pStyle w:val="BookText"/>
        <w:rPr/>
      </w:pPr>
      <w:r>
        <w:rPr>
          <w:rFonts w:ascii="Amiri" w:hAnsi="Amiri" w:eastAsia="Amiri" w:cs="Amiri"/>
          <w:color w:val="111111"/>
          <w:sz w:val="28"/>
          <w:sz w:val="28"/>
          <w:szCs w:val="28"/>
          <w:rtl w:val="true"/>
          <w:lang w:bidi="ar-SA"/>
        </w:rPr>
        <w:t>کَلِمَتَنا، وأصلح لنا أئمّتنا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اعتمد الخطیب علی أُسلوب الوصل کی یعینه علی متابعة الکلام بلا انقطاع أو فصل فی وصف أفعال عبید الله بن زیاد، وذلک لتحریض الثائرین علیه، ونجد کذلک السبب البلاغی الذی سوّغ هذا الوصل بأداة العطف هو اتّفاق الجُمل الأُولی بأُسلوب الخبر، أمَّا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فاستقبلوه بحدّکم، وشوکتکم، واجعلوها به ولا تجعلوها 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اتفقت بالأُسلوب الإنشائی المتمثل بأُسلوب الأمر، والنهی، وإنّ هذا الاتفاق حققّ الوصل بین الجمل</w:t>
      </w:r>
      <w:r>
        <w:rPr>
          <w:rStyle w:val="FootnoteAnchor"/>
          <w:rtl w:val="true"/>
        </w:rPr>
        <w:footnoteReference w:id="849"/>
      </w:r>
      <w:r>
        <w:rPr>
          <w:rFonts w:ascii="IRNazanin" w:hAnsi="IRNazanin" w:eastAsia="IRNazanin"/>
          <w:color w:val="111111"/>
          <w:sz w:val="28"/>
          <w:sz w:val="28"/>
          <w:szCs w:val="28"/>
          <w:rtl w:val="true"/>
          <w:lang w:bidi="fa-IR"/>
        </w:rPr>
        <w:t>، کما وضّح الاتفاق بالأُسلوب الخبری بین الجملتین الأخیرتین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لنا کلمتنا، وأصلح لنا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المعنی قد 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إلی الدعاء، وهو مع ذلک یجوز الوصل بینهما لکونه من الأسالیب الإنشائیة التی تعتمد علی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وَرَدَ فی خُطبةِ المختار الثقفی حین قَدِم الکوفة،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قد جئتکم من قِبَل وَلیِّ الأمر، ومَعْدِن الفضل، ووصِی الوصیّ، والإمام المهدی، بأمر فیهِ الشفاء، وکشفُ الغِطَاء، وقتلُ الأعداء، وتمامُ 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إنَّما أعملُ علی مِثالٍ مُثّل لی، وأمرٍ قد بُیِّنَ لی، فیه عزُّ ولیّکم، وَقَتْلُ عدوِّکم، وشفاء صدورِکم</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استثمر المختار أُسلوب الوصل فی إطالة نَسَق الجُمل، وذلک بعطفها بعضها علی بعضٍ، وإیراد الأخبار والمعانی متسلسلة تسلسلاً متناسباً مقنعاً</w:t>
      </w:r>
      <w:r>
        <w:rPr>
          <w:rFonts w:eastAsia="IRNazanin" w:cs="IRNazanin"/>
          <w:color w:val="111111"/>
          <w:sz w:val="28"/>
          <w:szCs w:val="28"/>
          <w:rtl w:val="true"/>
          <w:lang w:bidi="fa-IR"/>
        </w:rPr>
        <w:t xml:space="preserve">. </w:t>
      </w:r>
      <w:bookmarkStart w:id="337" w:name="pg5013_35465"/>
    </w:p>
    <w:p>
      <w:pPr>
        <w:pStyle w:val="BookText"/>
        <w:rPr/>
      </w:pPr>
      <w:bookmarkEnd w:id="337"/>
      <w:r>
        <w:rPr>
          <w:rFonts w:ascii="IRNazanin" w:hAnsi="IRNazanin" w:eastAsia="IRNazanin"/>
          <w:color w:val="111111"/>
          <w:sz w:val="28"/>
          <w:sz w:val="28"/>
          <w:szCs w:val="28"/>
          <w:rtl w:val="true"/>
          <w:lang w:bidi="fa-IR"/>
        </w:rPr>
        <w:t>ونلحظ کذلک أنّ المختار فی خُطبته قد قَصَدَ إشراک کلّ جُمْلةٍ فی حکم سابقتها، ولهذا کانت کلّ جملةٍ معطوفةٍ علی التی قبلها، موصولة بها، وهو من أسباب وجوب الوصل بلاغیاً</w:t>
      </w:r>
      <w:r>
        <w:rPr>
          <w:rStyle w:val="FootnoteAnchor"/>
          <w:rtl w:val="true"/>
        </w:rPr>
        <w:footnoteReference w:id="851"/>
      </w:r>
      <w:r>
        <w:rPr>
          <w:rFonts w:ascii="IRNazanin" w:hAnsi="IRNazanin" w:eastAsia="IRNazanin"/>
          <w:color w:val="111111"/>
          <w:sz w:val="28"/>
          <w:sz w:val="28"/>
          <w:szCs w:val="28"/>
          <w:rtl w:val="true"/>
          <w:lang w:bidi="fa-IR"/>
        </w:rPr>
        <w:t>، وکذلک کان السّبب الآخر علی وجوب الوصل فی هذه الخُطبة إلی جانب السبب السابق، هو اتفاق الجُمل بالأُسلوب الخبری</w:t>
      </w:r>
      <w:r>
        <w:rPr>
          <w:rStyle w:val="FootnoteAnchor"/>
          <w:rtl w:val="true"/>
        </w:rPr>
        <w:footnoteReference w:id="852"/>
      </w:r>
      <w:r>
        <w:rPr>
          <w:rFonts w:ascii="IRNazanin" w:hAnsi="IRNazanin" w:eastAsia="IRNazanin"/>
          <w:color w:val="111111"/>
          <w:sz w:val="28"/>
          <w:sz w:val="28"/>
          <w:szCs w:val="28"/>
          <w:rtl w:val="true"/>
          <w:lang w:bidi="fa-IR"/>
        </w:rPr>
        <w:t>، وقد أحسن المختار فی هذا الوصل، وهو دلیل علی ملکته اللُّغویة والبیانیة</w:t>
      </w:r>
      <w:r>
        <w:rPr>
          <w:rFonts w:eastAsia="IRNazanin" w:cs="IRNazanin"/>
          <w:color w:val="111111"/>
          <w:sz w:val="28"/>
          <w:szCs w:val="28"/>
          <w:rtl w:val="true"/>
          <w:lang w:bidi="fa-IR"/>
        </w:rPr>
        <w:t>.</w:t>
      </w:r>
    </w:p>
    <w:p>
      <w:pPr>
        <w:pStyle w:val="Heading4"/>
        <w:numPr>
          <w:ilvl w:val="3"/>
          <w:numId w:val="1"/>
        </w:numPr>
        <w:rPr/>
      </w:pPr>
      <w:bookmarkStart w:id="338" w:name="__RefHeading___Toc507827_774463916"/>
      <w:bookmarkStart w:id="339" w:name="_Toc115"/>
      <w:bookmarkEnd w:id="338"/>
      <w:r>
        <w:rPr>
          <w:rtl w:val="true"/>
        </w:rPr>
        <w:t>ثانیاً</w:t>
      </w:r>
      <w:r>
        <w:rPr>
          <w:rtl w:val="true"/>
        </w:rPr>
        <w:t xml:space="preserve">: </w:t>
      </w:r>
      <w:r>
        <w:rPr>
          <w:rtl w:val="true"/>
        </w:rPr>
        <w:t>التقدیم والتأخیر</w:t>
      </w:r>
      <w:bookmarkEnd w:id="339"/>
    </w:p>
    <w:p>
      <w:pPr>
        <w:pStyle w:val="Heading5"/>
        <w:numPr>
          <w:ilvl w:val="4"/>
          <w:numId w:val="1"/>
        </w:numPr>
        <w:rPr/>
      </w:pPr>
      <w:bookmarkStart w:id="340" w:name="__RefHeading___Toc507829_774463916"/>
      <w:bookmarkStart w:id="341" w:name="_Toc116"/>
      <w:bookmarkEnd w:id="340"/>
      <w:r>
        <w:rPr>
          <w:rtl w:val="true"/>
        </w:rPr>
        <w:t>اشارة</w:t>
      </w:r>
      <w:bookmarkEnd w:id="34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التقدیم والتأخیر ظاهرة مهمَّة فی الدراسة الأُسلوبیة؛ وذلک لأنّها تُحقّق غایات دلالیة ومعنویة من خلال تغیّر مواقع الألفاظ لِغرض یتطلبه المقام والمعنی</w:t>
      </w:r>
      <w:r>
        <w:rPr>
          <w:rStyle w:val="FootnoteAnchor"/>
          <w:rtl w:val="true"/>
        </w:rPr>
        <w:footnoteReference w:id="853"/>
      </w:r>
      <w:r>
        <w:rPr>
          <w:rFonts w:ascii="IRNazanin" w:hAnsi="IRNazanin" w:eastAsia="IRNazanin"/>
          <w:color w:val="111111"/>
          <w:sz w:val="28"/>
          <w:sz w:val="28"/>
          <w:szCs w:val="28"/>
          <w:rtl w:val="true"/>
          <w:lang w:bidi="fa-IR"/>
        </w:rPr>
        <w:t>، لیبرز أثرها البلاغی والأُسلوبی فی خرق النمط المعیاری للتعبیر، ممَّا یکسب لغة النثر مزیتها الأدبیة، وتفردها عن لغة الکلام الاعتیادی التی تلتزم ما هو أُصولی، فنظام الجملة العربیةُ یتألف من المسند والمسند إلیه، بحدود وضوابط، فالخبر لا یتقدَّم علی المبتدأ، والفاعل لا یتقدَّم علی الفعل إلّا فی أحوال خاصَّة یقتضیها أُسلوب الکلام</w:t>
      </w:r>
      <w:r>
        <w:rPr>
          <w:rStyle w:val="FootnoteAnchor"/>
          <w:rtl w:val="true"/>
        </w:rPr>
        <w:footnoteReference w:id="854"/>
      </w:r>
      <w:r>
        <w:rPr>
          <w:rFonts w:ascii="IRNazanin" w:hAnsi="IRNazanin" w:eastAsia="IRNazanin"/>
          <w:color w:val="111111"/>
          <w:sz w:val="28"/>
          <w:sz w:val="28"/>
          <w:szCs w:val="28"/>
          <w:rtl w:val="true"/>
          <w:lang w:bidi="fa-IR"/>
        </w:rPr>
        <w:t>، 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أنّما یقدّمون الذی ببیانه أهمُّ لهم، وهم ببیانه أعْنی وإن کان جمیعاً یهمّانهم ویعنیانهم</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 فالجانب الدلالی والقصدی هو المسوّغ لهذا الخروج عن قاعدة النمط </w:t>
      </w:r>
      <w:bookmarkStart w:id="342" w:name="pg5013_35466"/>
    </w:p>
    <w:p>
      <w:pPr>
        <w:pStyle w:val="BookText"/>
        <w:rPr/>
      </w:pPr>
      <w:bookmarkEnd w:id="342"/>
      <w:r>
        <w:rPr>
          <w:rFonts w:ascii="IRNazanin" w:hAnsi="IRNazanin" w:eastAsia="IRNazanin"/>
          <w:color w:val="111111"/>
          <w:sz w:val="28"/>
          <w:sz w:val="28"/>
          <w:szCs w:val="28"/>
          <w:rtl w:val="true"/>
          <w:lang w:bidi="fa-IR"/>
        </w:rPr>
        <w:t>التقلیدی فی ترتیب أجزاء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تکن هذه الظاهرة الأُسلوبیة غائبة عن أذهان اللّغویین والبلاغیین القدماء، فقد قرّروا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تقدیم أیّ عنصر من عَنَاصر الجُملة إنّما یکون للاهتمام بذکره والعنایة به، أو لتخصیصه دون سواه ممّا یمکن أنْ یقع موقعه، أو أنّ فی التأخیر إخلالاً ببیان المعنی، أو بالتّناسب فی الفواصل والأسجاع</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عنی المُحدَثون من اللغویین والبلاغیین بهذه الظاهرة؛ وذلک لأنَّها تُعدُّ مبحثاً مهمّاً من مباحث دراسة الأُسلوب الذی یخص ترکیب الجملة وترتیب عناصرها</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وتتباری الأسالیب أیضاً وتظهر المواهب والقدرات، لِما یدلّ علی تمکّن المنشئ فی الفصاحة، وحُسن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فی الکلام، ووضعه الموضع الذی یقتضیه، وسنلحظ فی خُطب ورسائل الحِقبتین الکثیر من مظاهر التقدیم والتأخیر فی أجزاء التراکیب، وهی لم ترد بشکل عفوی، وإنّما قصدی یُفضی إلی ملحظ أُسلوبی ظاهر</w:t>
      </w:r>
      <w:r>
        <w:rPr>
          <w:rFonts w:eastAsia="IRNazanin" w:cs="IRNazanin"/>
          <w:color w:val="111111"/>
          <w:sz w:val="28"/>
          <w:szCs w:val="28"/>
          <w:rtl w:val="true"/>
          <w:lang w:bidi="fa-IR"/>
        </w:rPr>
        <w:t>.</w:t>
      </w:r>
    </w:p>
    <w:p>
      <w:pPr>
        <w:pStyle w:val="Heading5"/>
        <w:numPr>
          <w:ilvl w:val="4"/>
          <w:numId w:val="1"/>
        </w:numPr>
        <w:rPr/>
      </w:pPr>
      <w:bookmarkStart w:id="343" w:name="__RefHeading___Toc507831_774463916"/>
      <w:bookmarkStart w:id="344" w:name="_Toc117"/>
      <w:bookmarkEnd w:id="343"/>
      <w:r>
        <w:rPr/>
        <w:t>1</w:t>
      </w:r>
      <w:r>
        <w:rPr>
          <w:rtl w:val="true"/>
        </w:rPr>
        <w:t xml:space="preserve">- </w:t>
      </w:r>
      <w:r>
        <w:rPr>
          <w:rtl w:val="true"/>
        </w:rPr>
        <w:t>تقدیم المسند إلیه</w:t>
      </w:r>
      <w:bookmarkEnd w:id="344"/>
    </w:p>
    <w:p>
      <w:pPr>
        <w:pStyle w:val="Heading6"/>
        <w:numPr>
          <w:ilvl w:val="5"/>
          <w:numId w:val="1"/>
        </w:numPr>
        <w:rPr/>
      </w:pPr>
      <w:bookmarkStart w:id="345" w:name="__RefHeading___Toc507833_774463916"/>
      <w:bookmarkStart w:id="346" w:name="_Toc118"/>
      <w:bookmarkEnd w:id="345"/>
      <w:r>
        <w:rPr>
          <w:rtl w:val="true"/>
        </w:rPr>
        <w:t xml:space="preserve">أ </w:t>
      </w:r>
      <w:r>
        <w:rPr>
          <w:rtl w:val="true"/>
        </w:rPr>
        <w:t xml:space="preserve">- </w:t>
      </w:r>
      <w:r>
        <w:rPr>
          <w:rtl w:val="true"/>
        </w:rPr>
        <w:t>تقدیم المبتدأ</w:t>
      </w:r>
      <w:bookmarkEnd w:id="34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المبتدأ کما عرّفه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اسم ابتُدئ لیُبنی علیه الکلام، والمبتدأ والمبنی علیه رفعٌ، فالابتداء لا یکون إلّا بمبنی علیه، فالمبتدأ الأوَّل والمبنی ما بعده علیه فهو مسندٌ ومسندٌ إلیه</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 وذکر أنَّ تقدیم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الأصل فی اللغة العربیة، فموقعه أن </w:t>
      </w:r>
    </w:p>
    <w:p>
      <w:pPr>
        <w:pStyle w:val="BookText"/>
        <w:rPr/>
      </w:pPr>
      <w:r>
        <w:rPr>
          <w:rFonts w:ascii="IRNazanin" w:hAnsi="IRNazanin" w:eastAsia="IRNazanin"/>
          <w:color w:val="111111"/>
          <w:sz w:val="28"/>
          <w:sz w:val="28"/>
          <w:szCs w:val="28"/>
          <w:rtl w:val="true"/>
          <w:lang w:bidi="fa-IR"/>
        </w:rPr>
        <w:t>یتقدَّم علی المسند فی الجملة</w:t>
      </w:r>
      <w:r>
        <w:rPr>
          <w:rStyle w:val="FootnoteAnchor"/>
          <w:rtl w:val="true"/>
        </w:rPr>
        <w:footnoteReference w:id="859"/>
      </w:r>
      <w:r>
        <w:rPr>
          <w:rFonts w:ascii="IRNazanin" w:hAnsi="IRNazanin" w:eastAsia="IRNazanin"/>
          <w:color w:val="111111"/>
          <w:sz w:val="28"/>
          <w:sz w:val="28"/>
          <w:szCs w:val="28"/>
          <w:rtl w:val="true"/>
          <w:lang w:bidi="fa-IR"/>
        </w:rPr>
        <w:t>، وذهب إلی ذلک ابن یعیش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اسم ابتدأته، وجرّدته من العوامل اللفظیة للإخبار عنه</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ویأتی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مُفْعَماً بالدلالات البلاغیة، ذلک أنّ تقدیمه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المسائل الأُسلوبیة التی یُستحسن بالمتکلّم مراعاة جوانبها لتجد طریقها إلی نفس السامع، لیتمَّ تهیئة الذهن وقبولها قبولاً حسناً؛ إذ کلّما ابتدأ الکلام بما یسرُّ النفس ویشرح الصدر کان أکثر وقعاً وأکثر تمکناً فی النفس</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وسوف یتناول البحث تقدیم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بلاغیة، وما یؤدیه من دلالات تعمل علی إغناء النص بالقیم الأُسلوبیة، فقد جاء فی عهدِ المختار الثقفی بالأمان لعمر بن سعد بن أبی وقاص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هذا أمانٌ من المختار بن أبی عبید لعمر بنِ سعد بن أبی وقاص، إنّکَ آمنٌ بأمان الله علی نَفْسِکَ ومالِک</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تقدّم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إشارة، علی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ذلک التقدیم لغرض أُسلوبی بلاغی، وهو لفت النظر وزیادة فی التخصیص</w:t>
      </w:r>
      <w:r>
        <w:rPr>
          <w:rStyle w:val="FootnoteAnchor"/>
          <w:rtl w:val="true"/>
        </w:rPr>
        <w:footnoteReference w:id="863"/>
      </w:r>
      <w:r>
        <w:rPr>
          <w:rFonts w:ascii="IRNazanin" w:hAnsi="IRNazanin" w:eastAsia="IRNazanin"/>
          <w:color w:val="111111"/>
          <w:sz w:val="28"/>
          <w:sz w:val="28"/>
          <w:szCs w:val="28"/>
          <w:rtl w:val="true"/>
          <w:lang w:bidi="fa-IR"/>
        </w:rPr>
        <w:t>، فهو یقصد جَذبَ تنبّه السامع وإبلاغه فی أنّ هذا العهد المبرم لعمر هو کتاب أمان مخصوص له، کی لا یعرض له أحدٌ بسوء، وکان ذلک فی بدایة حکم المختار، وهو عهد لسبب سیاسی لجأ إلیه کی یؤمن علی عمر موقفه بما لا یصدر منه ما یُفسد علیه حکمه</w:t>
      </w:r>
      <w:r>
        <w:rPr>
          <w:rFonts w:eastAsia="IRNazanin" w:cs="IRNazanin"/>
          <w:color w:val="111111"/>
          <w:sz w:val="28"/>
          <w:szCs w:val="28"/>
          <w:rtl w:val="true"/>
          <w:lang w:bidi="fa-IR"/>
        </w:rPr>
        <w:t xml:space="preserve">. </w:t>
      </w:r>
      <w:bookmarkStart w:id="347" w:name="pg5013_35468"/>
    </w:p>
    <w:p>
      <w:pPr>
        <w:pStyle w:val="BookText"/>
        <w:rPr/>
      </w:pPr>
      <w:bookmarkEnd w:id="347"/>
      <w:r>
        <w:rPr>
          <w:rFonts w:ascii="IRNazanin" w:hAnsi="IRNazanin" w:eastAsia="IRNazanin"/>
          <w:color w:val="111111"/>
          <w:sz w:val="28"/>
          <w:sz w:val="28"/>
          <w:szCs w:val="28"/>
          <w:rtl w:val="true"/>
          <w:lang w:bidi="fa-IR"/>
        </w:rPr>
        <w:t xml:space="preserve">وقد ورد تقدیم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خُطبةِ المختار التی ألقاها فی دار إبراهیم الأشتر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وأشهد أن لا إله إلّا الله، وصلَّی الله علی محمّدٍ، والسلام علیه، أمَّا بعدُ، فإنّ هذا کتابٌ إلیک من المهدیّ محمد بن أمیر المؤمنین الوصیّ، وهو خیر أهل الأرض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یسألک أن تنصرنا وتؤازرنا</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فقدّم المسند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ذکر الحمد وملَّکه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مجاراة لأُسلوب القرآن الکریم فی سورة الفاتحة،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865"/>
      </w:r>
      <w:r>
        <w:rPr>
          <w:rFonts w:ascii="IRNazanin" w:hAnsi="IRNazanin" w:eastAsia="IRNazanin"/>
          <w:color w:val="111111"/>
          <w:sz w:val="28"/>
          <w:sz w:val="28"/>
          <w:szCs w:val="28"/>
          <w:rtl w:val="true"/>
          <w:lang w:bidi="fa-IR"/>
        </w:rPr>
        <w:t>،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کتاب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علی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تمکین الخبر فی ذهن السامع</w:t>
      </w:r>
      <w:r>
        <w:rPr>
          <w:rStyle w:val="FootnoteAnchor"/>
          <w:rtl w:val="true"/>
        </w:rPr>
        <w:footnoteReference w:id="866"/>
      </w:r>
      <w:r>
        <w:rPr>
          <w:rFonts w:ascii="IRNazanin" w:hAnsi="IRNazanin" w:eastAsia="IRNazanin"/>
          <w:color w:val="111111"/>
          <w:sz w:val="28"/>
          <w:sz w:val="28"/>
          <w:szCs w:val="28"/>
          <w:rtl w:val="true"/>
          <w:lang w:bidi="fa-IR"/>
        </w:rPr>
        <w:t>، من جهة صدوره من محمد بن الحنفیة، ولکی یقنع السامع ویجذب تنبهه إلیه، ومثله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خیر أهل الأرض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فقدّم المسند إلیه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للغرض البلاغی المتقدّم</w:t>
      </w:r>
      <w:r>
        <w:rPr>
          <w:rFonts w:eastAsia="IRNazanin" w:cs="IRNazanin"/>
          <w:color w:val="111111"/>
          <w:sz w:val="28"/>
          <w:szCs w:val="28"/>
          <w:rtl w:val="true"/>
          <w:lang w:bidi="fa-IR"/>
        </w:rPr>
        <w:t>.</w:t>
      </w:r>
    </w:p>
    <w:p>
      <w:pPr>
        <w:pStyle w:val="Heading6"/>
        <w:numPr>
          <w:ilvl w:val="5"/>
          <w:numId w:val="1"/>
        </w:numPr>
        <w:rPr/>
      </w:pPr>
      <w:bookmarkStart w:id="348" w:name="__RefHeading___Toc507835_774463916"/>
      <w:bookmarkStart w:id="349" w:name="_Toc119"/>
      <w:bookmarkEnd w:id="348"/>
      <w:r>
        <w:rPr>
          <w:rtl w:val="true"/>
        </w:rPr>
        <w:t xml:space="preserve">ب </w:t>
      </w:r>
      <w:r>
        <w:rPr>
          <w:rtl w:val="true"/>
        </w:rPr>
        <w:t xml:space="preserve">- </w:t>
      </w:r>
      <w:r>
        <w:rPr>
          <w:rtl w:val="true"/>
        </w:rPr>
        <w:t>تقدیم الفاعل</w:t>
      </w:r>
      <w:bookmarkEnd w:id="349"/>
    </w:p>
    <w:p>
      <w:pPr>
        <w:pStyle w:val="BookText"/>
        <w:rPr/>
      </w:pPr>
      <w:r>
        <w:rPr>
          <w:rFonts w:ascii="IRNazanin" w:hAnsi="IRNazanin" w:eastAsia="IRNazanin"/>
          <w:color w:val="111111"/>
          <w:sz w:val="28"/>
          <w:sz w:val="28"/>
          <w:szCs w:val="28"/>
          <w:rtl w:val="true"/>
          <w:lang w:bidi="fa-IR"/>
        </w:rPr>
        <w:t>الفاعل هو المسند إلیه فی الجملة الفعلیة، وقد أطلق علیه هذه التسمیة الخلیل بن أحمد الفراهیدی وتلمیذه سیبویه</w:t>
      </w:r>
      <w:r>
        <w:rPr>
          <w:rStyle w:val="FootnoteAnchor"/>
          <w:rtl w:val="true"/>
        </w:rPr>
        <w:footnoteReference w:id="867"/>
      </w:r>
      <w:r>
        <w:rPr>
          <w:rFonts w:ascii="Amiri" w:hAnsi="Amiri" w:eastAsia="Amiri" w:cs="Amiri"/>
          <w:color w:val="111111"/>
          <w:sz w:val="28"/>
          <w:sz w:val="28"/>
          <w:szCs w:val="28"/>
          <w:rtl w:val="true"/>
          <w:lang w:bidi="ar-SA"/>
        </w:rPr>
        <w:t>، واستعمله الفرَّاء</w:t>
      </w:r>
      <w:r>
        <w:rPr>
          <w:rStyle w:val="FootnoteAnchor"/>
          <w:rtl w:val="true"/>
        </w:rPr>
        <w:footnoteReference w:id="868"/>
      </w:r>
      <w:r>
        <w:rPr>
          <w:rFonts w:ascii="IRNazanin" w:hAnsi="IRNazanin" w:eastAsia="IRNazanin"/>
          <w:color w:val="111111"/>
          <w:sz w:val="28"/>
          <w:sz w:val="28"/>
          <w:szCs w:val="28"/>
          <w:rtl w:val="true"/>
          <w:lang w:bidi="fa-IR"/>
        </w:rPr>
        <w:t>والمبرد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 الجملة الفعلیة أن یُقدّم الفعل ویلیه الفاعل، وعلی هذا مضی </w:t>
      </w:r>
    </w:p>
    <w:p>
      <w:pPr>
        <w:pStyle w:val="BookText"/>
        <w:rPr/>
      </w:pPr>
      <w:r>
        <w:rPr>
          <w:rFonts w:ascii="IRNazanin" w:hAnsi="IRNazanin" w:eastAsia="IRNazanin"/>
          <w:color w:val="111111"/>
          <w:sz w:val="28"/>
          <w:sz w:val="28"/>
          <w:szCs w:val="28"/>
          <w:rtl w:val="true"/>
          <w:lang w:bidi="fa-IR"/>
        </w:rPr>
        <w:t>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الکوفیون، فقد أجازوا تقدیم الفاعل علی الفعل</w:t>
      </w:r>
      <w:r>
        <w:rPr>
          <w:rStyle w:val="FootnoteAnchor"/>
          <w:rtl w:val="true"/>
        </w:rPr>
        <w:footnoteReference w:id="870"/>
      </w:r>
      <w:r>
        <w:rPr>
          <w:rFonts w:ascii="IRNazanin" w:hAnsi="IRNazanin" w:eastAsia="IRNazanin"/>
          <w:color w:val="111111"/>
          <w:sz w:val="28"/>
          <w:sz w:val="28"/>
          <w:szCs w:val="28"/>
          <w:rtl w:val="true"/>
          <w:lang w:bidi="fa-IR"/>
        </w:rPr>
        <w:t>، وقد تابعهم فی هذا طائفة من المُحدَثین، ومنهم المرحوم الدکتور المخزومی</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ومهما یکن من أمرٍ، فمسألة تقدیم الفاعل علی عامله مسألة خلافیّة فی أصلها، وإذا ما أخذنا بنظر الاعتبار برأی الکوفیین فی تقدیم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فإنَّنا نُدرک الأغراض الأُسلوبیة التی من أجلها یُقدم الفاعل، ومنها التخصیص، والاهتمام بالفاعل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هذا وقع تقدیم الفاعل علی عامله فی بعض المواضع من خُطب ورسائل هاتین الحِقبتین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فی خُطبةِ عبد الله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قدْ رأیت رأیاً، إِنْ یَکُنْ صواباً فالله وَفَّقَ، وإنْ یَکُنْ لیسَ بصوابٍ فَمِن قِبَلِی، فإنّی ما آلوکُم ونَفْسِی نُصْحاً خَطَأً کانَ أم صَوَاباً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قصد المتکلّم أن یُقدّم الفاعل علی فعله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فأصل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مسنداً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معه سمة أُسلوبیة أضفت علی النص انزیاحاً ترکیبیاً کان الغرض منها هو نسبة التوفیق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وإعطاؤه صفة العظمة، فهو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توفیق عباده ونصرهم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تقدیم المسند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عامله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سلیمان بن صُرَد رادّاً علی عبد الله بن یزید، وإبراهیم 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قدْ عَلِمتُ أنّکما قدْ مَحَضْتُما فی </w:t>
      </w:r>
      <w:bookmarkStart w:id="350" w:name="pg5013_35470"/>
    </w:p>
    <w:p>
      <w:pPr>
        <w:pStyle w:val="BookText"/>
        <w:rPr/>
      </w:pPr>
      <w:bookmarkEnd w:id="350"/>
      <w:r>
        <w:rPr>
          <w:rFonts w:ascii="Amiri" w:hAnsi="Amiri" w:eastAsia="Amiri" w:cs="Amiri"/>
          <w:color w:val="111111"/>
          <w:sz w:val="28"/>
          <w:sz w:val="28"/>
          <w:szCs w:val="28"/>
          <w:rtl w:val="true"/>
          <w:lang w:bidi="ar-SA"/>
        </w:rPr>
        <w:t>النصیحَة، واجْتَهَدْتُما فی المَشُورَة، فَنَحْنُ باللهِ وَلَهُ، وَقَدْ خَرَجْنا لأمرٍ، ونَحْنُ نَسْألُ اللهَ العَزِیْمَة علی الرشد والتسدید لأصوَبِه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تقدَّم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ضمیر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عامله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ذلک فی سیاق الدعاء والتضرُّع، وفی هذا التقدیم سمة أُسلوبیة، ألا وهی إفادة الاختصاص</w:t>
      </w:r>
      <w:r>
        <w:rPr>
          <w:rStyle w:val="FootnoteAnchor"/>
          <w:rtl w:val="true"/>
        </w:rPr>
        <w:footnoteReference w:id="87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الدعاء لهم وقصره علیهم</w:t>
      </w:r>
      <w:r>
        <w:rPr>
          <w:rFonts w:eastAsia="IRNazanin" w:cs="IRNazanin"/>
          <w:color w:val="111111"/>
          <w:sz w:val="28"/>
          <w:szCs w:val="28"/>
          <w:rtl w:val="true"/>
          <w:lang w:bidi="fa-IR"/>
        </w:rPr>
        <w:t>.</w:t>
      </w:r>
    </w:p>
    <w:p>
      <w:pPr>
        <w:pStyle w:val="Heading5"/>
        <w:numPr>
          <w:ilvl w:val="4"/>
          <w:numId w:val="1"/>
        </w:numPr>
        <w:rPr/>
      </w:pPr>
      <w:bookmarkStart w:id="351" w:name="__RefHeading___Toc507837_774463916"/>
      <w:bookmarkStart w:id="352" w:name="_Toc120"/>
      <w:bookmarkEnd w:id="351"/>
      <w:r>
        <w:rPr/>
        <w:t>2</w:t>
      </w:r>
      <w:r>
        <w:rPr>
          <w:rtl w:val="true"/>
        </w:rPr>
        <w:t xml:space="preserve">- </w:t>
      </w:r>
      <w:r>
        <w:rPr>
          <w:rtl w:val="true"/>
        </w:rPr>
        <w:t>تقدیم المسند</w:t>
      </w:r>
      <w:bookmarkEnd w:id="352"/>
    </w:p>
    <w:p>
      <w:pPr>
        <w:pStyle w:val="Heading6"/>
        <w:numPr>
          <w:ilvl w:val="5"/>
          <w:numId w:val="1"/>
        </w:numPr>
        <w:rPr/>
      </w:pPr>
      <w:bookmarkStart w:id="353" w:name="__RefHeading___Toc507839_774463916"/>
      <w:bookmarkStart w:id="354" w:name="_Toc121"/>
      <w:bookmarkEnd w:id="353"/>
      <w:r>
        <w:rPr>
          <w:rtl w:val="true"/>
        </w:rPr>
        <w:t>أ</w:t>
      </w:r>
      <w:r>
        <w:rPr>
          <w:rtl w:val="true"/>
        </w:rPr>
        <w:t xml:space="preserve">- </w:t>
      </w:r>
      <w:r>
        <w:rPr>
          <w:rtl w:val="true"/>
        </w:rPr>
        <w:t>تقدیم الخبر</w:t>
      </w:r>
      <w:bookmarkEnd w:id="35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المسند إذا کان خبراً أن یتأخر عن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فالخبر کما عرّفه ابن 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کلّ ما أسندته إلی المبتدأ، وحدَّثت به عنه</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xml:space="preserve">، فهو إذن یلی المبتدأ فی ترتیب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هذا الوضع غیر ثابت، فقد یطرأ علی الخبر ما یستدعی تقدیمه من ضرورة، أو حظوة باهتمام المتکلّم</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 أو غیرها من الأغراض البلاغیة التی یستدعیها السیاق، وعندها یتحقَّق الانزیاح فی ترکیب بنیة الجملة، والخروج علی النمط المعیاری الذی یقتضی أن تتسلسل البنی الترکیبیة فیه للجملة الاسمیة من 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تلک الأغراض البلاغیة التی أشار إلیها البلاغیون فی مباحثهم</w:t>
      </w:r>
      <w:r>
        <w:rPr>
          <w:rStyle w:val="FootnoteAnchor"/>
          <w:rtl w:val="true"/>
        </w:rPr>
        <w:footnoteReference w:id="878"/>
      </w:r>
      <w:r>
        <w:rPr>
          <w:rFonts w:ascii="IRNazanin" w:hAnsi="IRNazanin" w:eastAsia="IRNazanin"/>
          <w:color w:val="111111"/>
          <w:sz w:val="28"/>
          <w:sz w:val="28"/>
          <w:szCs w:val="28"/>
          <w:rtl w:val="true"/>
          <w:lang w:bidi="fa-IR"/>
        </w:rPr>
        <w:t>، وأمثلة هذا التقدیم غیر المألوف کثیرة فی خُطب ورسائل الحِقبتین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 فی خُطبةِ ابن صُرَد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أیّها النّاس، فإنَّ الله قدْ علم ما تنوُون، وما خرجتم تطلبُون، وإنَّ للدّنیا تُجَّاراً، وللآخرة تُجَّاراً</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عمد الخطیب إلی تقدیم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 أخذنا بنظر الاعتبار آراء بعض النحاة التی تُرجّح أن یکون الخبر شبه جملة ظرفاً أو جارّاً ومجروراً</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فقدَّمه علی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فعل مثل هذا الصنیع فی الجملة الثانیة؛ إذ قدَّم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جار 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المحذوفة 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علیها، وکان الخطیب إنَّما قدّم المسند علی المسند إلیه فی کلتا الجملتین، وذلک لأغراض أُسلوبیة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والقصر، والتوکید</w:t>
      </w:r>
      <w:r>
        <w:rPr>
          <w:rStyle w:val="FootnoteAnchor"/>
          <w:rtl w:val="true"/>
        </w:rPr>
        <w:footnoteReference w:id="881"/>
      </w:r>
      <w:r>
        <w:rPr>
          <w:rFonts w:ascii="IRNazanin" w:hAnsi="IRNazanin" w:eastAsia="IRNazanin"/>
          <w:color w:val="111111"/>
          <w:sz w:val="28"/>
          <w:sz w:val="28"/>
          <w:szCs w:val="28"/>
          <w:rtl w:val="true"/>
          <w:lang w:bidi="fa-IR"/>
        </w:rPr>
        <w:t>، فأراد أن یخصّص ویؤکّد أنَّ للدنیا تجارها وهم الکافرون والمنافقون، وأن یؤکّد أنّ للآخرة تجارها وهم المؤمنون والصالحون؛ لیجذب تنبه السامع نحو هذا التقدیم الذی خرج عن قاعدة الترتیب فی نظام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تقدیم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خُطبةِ محمد بن الحنفیة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فأمَّا ما ذَکرتُم ممَّا خصّصنا الله به من فَضلٍ، فإنَّ الله یؤتیه مَن یشاءُ والله ذُو الفَضل العَظیم، فلله الحَمْد</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حدث فی ترتیب الجملة الاسمیة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انزیاحٌ مقصودٌ فی تبادل عناصرها المکوّنة لها عمّا هو مألوف فی نظامها، وذلک بتقدیم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الجار </w:t>
      </w:r>
      <w:bookmarkStart w:id="355" w:name="pg5013_35472"/>
    </w:p>
    <w:p>
      <w:pPr>
        <w:pStyle w:val="BookText"/>
        <w:rPr/>
      </w:pPr>
      <w:bookmarkEnd w:id="355"/>
      <w:r>
        <w:rPr>
          <w:rFonts w:ascii="IRNazanin" w:hAnsi="IRNazanin" w:eastAsia="IRNazanin"/>
          <w:color w:val="111111"/>
          <w:sz w:val="28"/>
          <w:sz w:val="28"/>
          <w:szCs w:val="28"/>
          <w:rtl w:val="true"/>
          <w:lang w:bidi="fa-IR"/>
        </w:rPr>
        <w:t xml:space="preserve">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کان ذلک لغرض أُسلوبی فی الکلام، ألا وهو التخصیص والقصر</w:t>
      </w:r>
      <w:r>
        <w:rPr>
          <w:rStyle w:val="FootnoteAnchor"/>
          <w:rtl w:val="true"/>
        </w:rPr>
        <w:footnoteReference w:id="883"/>
      </w:r>
      <w:r>
        <w:rPr>
          <w:rFonts w:ascii="IRNazanin" w:hAnsi="IRNazanin" w:eastAsia="IRNazanin"/>
          <w:color w:val="111111"/>
          <w:sz w:val="28"/>
          <w:sz w:val="28"/>
          <w:szCs w:val="28"/>
          <w:rtl w:val="true"/>
          <w:lang w:bidi="fa-IR"/>
        </w:rPr>
        <w:t>، أی قصر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وتخصیصه له دونما سواه، فهو وحده سبحانه المستحق لذلک الحمد؛ لأنّه واهب الخیر والنعمة والعطاء</w:t>
      </w:r>
      <w:r>
        <w:rPr>
          <w:rFonts w:eastAsia="IRNazanin" w:cs="IRNazanin"/>
          <w:color w:val="111111"/>
          <w:sz w:val="28"/>
          <w:szCs w:val="28"/>
          <w:rtl w:val="true"/>
          <w:lang w:bidi="fa-IR"/>
        </w:rPr>
        <w:t>.</w:t>
      </w:r>
    </w:p>
    <w:p>
      <w:pPr>
        <w:pStyle w:val="Heading5"/>
        <w:numPr>
          <w:ilvl w:val="4"/>
          <w:numId w:val="1"/>
        </w:numPr>
        <w:rPr/>
      </w:pPr>
      <w:bookmarkStart w:id="356" w:name="__RefHeading___Toc507841_774463916"/>
      <w:bookmarkStart w:id="357" w:name="_Toc122"/>
      <w:bookmarkEnd w:id="356"/>
      <w:r>
        <w:rPr/>
        <w:t>3</w:t>
      </w:r>
      <w:r>
        <w:rPr>
          <w:rtl w:val="true"/>
        </w:rPr>
        <w:t xml:space="preserve">- </w:t>
      </w:r>
      <w:r>
        <w:rPr>
          <w:rtl w:val="true"/>
        </w:rPr>
        <w:t>التقدیم فی المتعلّقات</w:t>
      </w:r>
      <w:bookmarkEnd w:id="357"/>
    </w:p>
    <w:p>
      <w:pPr>
        <w:pStyle w:val="Heading6"/>
        <w:numPr>
          <w:ilvl w:val="5"/>
          <w:numId w:val="1"/>
        </w:numPr>
        <w:rPr/>
      </w:pPr>
      <w:bookmarkStart w:id="358" w:name="__RefHeading___Toc507843_774463916"/>
      <w:bookmarkStart w:id="359" w:name="_Toc123"/>
      <w:bookmarkEnd w:id="358"/>
      <w:r>
        <w:rPr>
          <w:rtl w:val="true"/>
        </w:rPr>
        <w:t>اشارة</w:t>
      </w:r>
      <w:bookmarkEnd w:id="35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فی المتعلّقات</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قد یُقدّم غیر المسند إلیه والمسند فی الکلام، وذلک کتقدیم الجار والمجرور أو المفعول به وغیر ذلک من المتعلّقات،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ذلک التقدیم لأغراض یدرکها القارئ أو السامع من تأمّل السیاق الذی یرد فیه</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وسنقف من موارد لهذا التقدیم علی النحو الآتی</w:t>
      </w:r>
      <w:r>
        <w:rPr>
          <w:rFonts w:eastAsia="IRNazanin" w:cs="IRNazanin"/>
          <w:color w:val="111111"/>
          <w:sz w:val="28"/>
          <w:szCs w:val="28"/>
          <w:rtl w:val="true"/>
          <w:lang w:bidi="fa-IR"/>
        </w:rPr>
        <w:t>:</w:t>
      </w:r>
    </w:p>
    <w:p>
      <w:pPr>
        <w:pStyle w:val="Heading6"/>
        <w:numPr>
          <w:ilvl w:val="5"/>
          <w:numId w:val="1"/>
        </w:numPr>
        <w:rPr/>
      </w:pPr>
      <w:bookmarkStart w:id="360" w:name="__RefHeading___Toc507845_774463916"/>
      <w:bookmarkStart w:id="361" w:name="_Toc124"/>
      <w:bookmarkEnd w:id="360"/>
      <w:r>
        <w:rPr>
          <w:rtl w:val="true"/>
        </w:rPr>
        <w:t>أ</w:t>
      </w:r>
      <w:r>
        <w:rPr>
          <w:rtl w:val="true"/>
        </w:rPr>
        <w:t xml:space="preserve">- </w:t>
      </w:r>
      <w:r>
        <w:rPr>
          <w:rtl w:val="true"/>
        </w:rPr>
        <w:t>تقدیم الجار والمجرور</w:t>
      </w:r>
      <w:bookmarkEnd w:id="361"/>
    </w:p>
    <w:p>
      <w:pPr>
        <w:pStyle w:val="BookText"/>
        <w:rPr/>
      </w:pPr>
      <w:r>
        <w:rPr>
          <w:rFonts w:ascii="IRNazanin" w:hAnsi="IRNazanin" w:eastAsia="IRNazanin"/>
          <w:color w:val="111111"/>
          <w:sz w:val="28"/>
          <w:sz w:val="28"/>
          <w:szCs w:val="28"/>
          <w:rtl w:val="true"/>
          <w:lang w:bidi="fa-IR"/>
        </w:rPr>
        <w:t>الجار والمجرور من متعلّقات الإسناد، ورتبتها عند النحویین والبلاغیین هی التأخیر عن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ومکوناته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المسند إلیه والمسند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 ویتقدّم الجار والمجرور لأغراض بلاغیة وأُسلوبیة ترتبط بالمستوی الدلالی ارتباطاً وثیقاً، وغالباً ما یأتی لأغراض التوکید والتخصیص أو الضرورة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وکثر وقوع هذه الظاهرة الأُسلوبیة فی خُطب ورسائل الحِقبتین، فقد جاء فی خُطبة سلیمان بن صُرَد الخزاعی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والله لخائفٌ ألّا یکون آخِرُنا إلی هذا الدَّهر الذی نَکِدَت فیه المعیشة، وعَظُمَت فیه الرزیة، وشَمل فیه الجورُ أولی الفضل مِن الشیعة</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362" w:name="pg5013_35473"/>
    </w:p>
    <w:p>
      <w:pPr>
        <w:pStyle w:val="BookText"/>
        <w:rPr/>
      </w:pPr>
      <w:bookmarkEnd w:id="362"/>
      <w:r>
        <w:rPr>
          <w:rFonts w:ascii="IRNazanin" w:hAnsi="IRNazanin" w:eastAsia="IRNazanin"/>
          <w:color w:val="111111"/>
          <w:sz w:val="28"/>
          <w:sz w:val="28"/>
          <w:szCs w:val="28"/>
          <w:rtl w:val="true"/>
          <w:lang w:bidi="fa-IR"/>
        </w:rPr>
        <w:t xml:space="preserve">فنلحظ أنَّ السمة الأُسلوبیة فی هذه القطعة، هی تقدیم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ثلاثة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کان ذلک لغرض ٍ یتطلَّبه المقام، وهو الاختصاص کما ذهب إلی ذلک العلوی</w:t>
      </w:r>
      <w:r>
        <w:rPr>
          <w:rStyle w:val="FootnoteAnchor"/>
          <w:rtl w:val="true"/>
        </w:rPr>
        <w:footnoteReference w:id="889"/>
      </w:r>
      <w:r>
        <w:rPr>
          <w:rFonts w:ascii="IRNazanin" w:hAnsi="IRNazanin" w:eastAsia="IRNazanin"/>
          <w:color w:val="111111"/>
          <w:sz w:val="28"/>
          <w:sz w:val="28"/>
          <w:szCs w:val="28"/>
          <w:rtl w:val="true"/>
          <w:lang w:bidi="fa-IR"/>
        </w:rPr>
        <w:t>، أو قد یکون تقدیمه إلی جانب هذا الغرض البلاغی، غرضاً موسیقیاً، ألا وهو المحافظة علی توازن العبارات ونظم الکلام</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فالخطیب إذاً؛ اعتمد تقدیم الجار والمجرور للغرضین السابقین، غرض ٍ معنوی بلاغی أفاد تخصیص المعیشة والرزیة والجور فی هذا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رهم وزمانهم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 ٍ موسیقی إیقاعی قوامه تعادل الفقرات وتوازنها، فلو لم یُقدَّم الجار والمجرور فی تلکم المواضع الثلاثة لاختلّ نظام الفقرات ولاضطرب الوزن السجعی، ولم تکن هناک مزیّة تجذب تنبّه السامع نحو النص</w:t>
      </w:r>
      <w:r>
        <w:rPr>
          <w:rFonts w:eastAsia="IRNazanin" w:cs="IRNazanin"/>
          <w:color w:val="111111"/>
          <w:sz w:val="28"/>
          <w:szCs w:val="28"/>
          <w:rtl w:val="true"/>
          <w:lang w:bidi="fa-IR"/>
        </w:rPr>
        <w:t>.</w:t>
      </w:r>
    </w:p>
    <w:p>
      <w:pPr>
        <w:pStyle w:val="Heading6"/>
        <w:numPr>
          <w:ilvl w:val="5"/>
          <w:numId w:val="1"/>
        </w:numPr>
        <w:rPr/>
      </w:pPr>
      <w:bookmarkStart w:id="363" w:name="__RefHeading___Toc507847_774463916"/>
      <w:bookmarkStart w:id="364" w:name="_Toc125"/>
      <w:bookmarkEnd w:id="363"/>
      <w:r>
        <w:rPr>
          <w:rtl w:val="true"/>
        </w:rPr>
        <w:t xml:space="preserve">ب </w:t>
      </w:r>
      <w:r>
        <w:rPr>
          <w:rtl w:val="true"/>
        </w:rPr>
        <w:t xml:space="preserve">- </w:t>
      </w:r>
      <w:r>
        <w:rPr>
          <w:rtl w:val="true"/>
        </w:rPr>
        <w:t>تقدیم المفعول به</w:t>
      </w:r>
      <w:bookmarkEnd w:id="36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الفضلة الواقع علیه عمل الفاعل، وهو الاسم المنتصب بعد تمام الجملة من ناحیة الإسناد</w:t>
      </w:r>
      <w:r>
        <w:rPr>
          <w:rStyle w:val="FootnoteAnchor"/>
          <w:rtl w:val="true"/>
        </w:rPr>
        <w:footnoteReference w:id="891"/>
      </w:r>
      <w:r>
        <w:rPr>
          <w:rFonts w:ascii="IRNazanin" w:hAnsi="IRNazanin" w:eastAsia="IRNazanin"/>
          <w:color w:val="111111"/>
          <w:sz w:val="28"/>
          <w:sz w:val="28"/>
          <w:szCs w:val="28"/>
          <w:rtl w:val="true"/>
          <w:lang w:bidi="fa-IR"/>
        </w:rPr>
        <w:t>، فالأصل فیه أنْ یقع بعد الفاعل، سواء أکان هذا الفاعل ظاهراً أم مستتراً، وأنَّ ذلک یکون فی النمط المعیاری للجملة، ولکن قد تکون هناک أحوال معینة تکسر هذا المعیار وتخرج علیه؛ فیُقّدم المفعول به تحقیقاً لغایات أُسلوبیة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السیوطی ضوابط تقدیم المفعول به فی الکلام</w:t>
      </w:r>
      <w:r>
        <w:rPr>
          <w:rStyle w:val="FootnoteAnchor"/>
          <w:rtl w:val="true"/>
        </w:rPr>
        <w:footnoteReference w:id="892"/>
      </w:r>
      <w:r>
        <w:rPr>
          <w:rFonts w:ascii="IRNazanin" w:hAnsi="IRNazanin" w:eastAsia="IRNazanin"/>
          <w:color w:val="111111"/>
          <w:sz w:val="28"/>
          <w:sz w:val="28"/>
          <w:szCs w:val="28"/>
          <w:rtl w:val="true"/>
          <w:lang w:bidi="fa-IR"/>
        </w:rPr>
        <w:t>، کما ذکر غیره الأغراض الدلالیة التی یُفیدها هذا التقدیم کالاختصاص والحصر وغیرهما</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تقدیم المفعول به فی مواضع من خُطب ورسائل الحِقبتین، فقد جاء فی خُطبةِ سلیمان بن صُرَد الخزاعی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مَعَنَا مِنْ ذَهَبٍ وَلا فِضَّة، ولا خَزّ وَلا حَرِیر، وَمَا هوَ إلّا سیوفنا فی عواتِقنا وَرِمَاحنا فی أکُفَّنا، وزادٌ قدر البُلْغة إلی لِقَاءِ عدوّنا، فمَن کانَ غیرَ هذا یَنْوی فلا یَصْحَبْنا</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عمد المنشئ إلی تقدیم المفعول 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غیر هذا 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فقدَّمه علی الفعل وفاعله المضمر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تناول البلاغیون مسألة تقدیم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فرأی الجرجانی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فی الکلام أبداً علی الفعل، ولا یستقیم المعنی إلّا إذا قُدّم</w:t>
      </w:r>
      <w:r>
        <w:rPr>
          <w:rStyle w:val="FootnoteAnchor"/>
          <w:rtl w:val="true"/>
        </w:rPr>
        <w:footnoteReference w:id="895"/>
      </w:r>
      <w:r>
        <w:rPr>
          <w:rFonts w:ascii="IRNazanin" w:hAnsi="IRNazanin" w:eastAsia="IRNazanin"/>
          <w:color w:val="111111"/>
          <w:sz w:val="28"/>
          <w:sz w:val="28"/>
          <w:szCs w:val="28"/>
          <w:rtl w:val="true"/>
          <w:lang w:bidi="fa-IR"/>
        </w:rPr>
        <w:t xml:space="preserve">، وإلی ذلک ذهب 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ویبقی الغرض البلاغی من وراء تقدیمه هو القصر، کما هو ملاحظ فی المثال أعلاه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ویُقدّم المفعول به أیضاً فی أُسلوب القص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یقع الاختصاص علی المذکور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وهو المقصور علیه</w:t>
      </w:r>
      <w:r>
        <w:rPr>
          <w:rStyle w:val="FootnoteAnchor"/>
          <w:rtl w:val="true"/>
        </w:rPr>
        <w:footnoteReference w:id="898"/>
      </w:r>
      <w:r>
        <w:rPr>
          <w:rFonts w:ascii="IRNazanin" w:hAnsi="IRNazanin" w:eastAsia="IRNazanin"/>
          <w:color w:val="111111"/>
          <w:sz w:val="28"/>
          <w:sz w:val="28"/>
          <w:szCs w:val="28"/>
          <w:rtl w:val="true"/>
          <w:lang w:bidi="fa-IR"/>
        </w:rPr>
        <w:t xml:space="preserve">، یقول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المقصور علیه یجب أنْ یلی أداة الاستثناء</w:t>
      </w:r>
      <w:r>
        <w:rPr>
          <w:rFonts w:eastAsia="IRNazanin" w:cs="IRNazanin"/>
          <w:color w:val="111111"/>
          <w:sz w:val="28"/>
          <w:szCs w:val="28"/>
          <w:rtl w:val="true"/>
          <w:lang w:bidi="fa-IR"/>
        </w:rPr>
        <w:t>»</w:t>
      </w:r>
      <w:r>
        <w:rPr>
          <w:rStyle w:val="FootnoteAnchor"/>
          <w:rtl w:val="true"/>
        </w:rPr>
        <w:footnoteReference w:id="899"/>
      </w:r>
      <w:r>
        <w:rPr>
          <w:rFonts w:ascii="Amiri" w:hAnsi="Amiri" w:eastAsia="Amiri" w:cs="Amiri"/>
          <w:color w:val="111111"/>
          <w:sz w:val="28"/>
          <w:sz w:val="28"/>
          <w:szCs w:val="28"/>
          <w:rtl w:val="true"/>
          <w:lang w:bidi="ar-SA"/>
        </w:rPr>
        <w:t>، وقد ورد هذا التقدیم فی خُطبة عبد الله بن وال التیمی رادّاً علی إبراهیم بن محمد 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اعتراضُکَ یا أخا بنی تیمَ بنَ مُرَّة فیمَا بَیْنَنَا وبینَ أمیرِنَا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 الله لَئِن کُنْتَ مُفْسِداً، ما أفسدَ أمرَ هذه الأُمَّة إلّا وَالدُکَ وجَدُّکَ النَّاکِثَان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bookmarkStart w:id="365" w:name="pg5013_35475"/>
    </w:p>
    <w:p>
      <w:pPr>
        <w:pStyle w:val="BookText"/>
        <w:rPr/>
      </w:pPr>
      <w:bookmarkEnd w:id="365"/>
      <w:r>
        <w:rPr>
          <w:rFonts w:ascii="IRNazanin" w:hAnsi="IRNazanin" w:eastAsia="IRNazanin"/>
          <w:color w:val="111111"/>
          <w:sz w:val="28"/>
          <w:sz w:val="28"/>
          <w:szCs w:val="28"/>
          <w:rtl w:val="true"/>
          <w:lang w:bidi="fa-IR"/>
        </w:rPr>
        <w:t xml:space="preserve">فقدّم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أفسد أمر هذه الأُمة إلّا والدُک وجدُّک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ذلک فی أُسلوب القصر، وأراد به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إفساد أمر الأُمّة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وطلحة، وهو المقصور علیه، وقد وقع بعد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ذلک نوع من الاختصاص والتوکید، فالخطیب أراد أن یؤکّد الدور الذی قام به طلحة وابنه محمد فی الخروج علی طاعة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 عصا المسلمین، فالذی یصدر عنه هذا الأمر هو أولی بالإفساد من غیره، فیجب علی إبراهیم عندها ألّا یرمی التوّابین بإفساد أمر الأُمّة</w:t>
      </w:r>
      <w:r>
        <w:rPr>
          <w:rFonts w:eastAsia="IRNazanin" w:cs="IRNazanin"/>
          <w:color w:val="111111"/>
          <w:sz w:val="28"/>
          <w:szCs w:val="28"/>
          <w:rtl w:val="true"/>
          <w:lang w:bidi="fa-IR"/>
        </w:rPr>
        <w:t>.</w:t>
      </w:r>
    </w:p>
    <w:p>
      <w:pPr>
        <w:pStyle w:val="Heading4"/>
        <w:numPr>
          <w:ilvl w:val="3"/>
          <w:numId w:val="1"/>
        </w:numPr>
        <w:rPr/>
      </w:pPr>
      <w:bookmarkStart w:id="366" w:name="__RefHeading___Toc507849_774463916"/>
      <w:bookmarkStart w:id="367" w:name="_Toc126"/>
      <w:bookmarkEnd w:id="366"/>
      <w:r>
        <w:rPr>
          <w:rtl w:val="true"/>
        </w:rPr>
        <w:t>ثالثاً</w:t>
      </w:r>
      <w:r>
        <w:rPr>
          <w:rtl w:val="true"/>
        </w:rPr>
        <w:t xml:space="preserve">: </w:t>
      </w:r>
      <w:r>
        <w:rPr>
          <w:rtl w:val="true"/>
        </w:rPr>
        <w:t>التعریف والتنکیر</w:t>
      </w:r>
      <w:bookmarkEnd w:id="367"/>
    </w:p>
    <w:p>
      <w:pPr>
        <w:pStyle w:val="Heading5"/>
        <w:numPr>
          <w:ilvl w:val="4"/>
          <w:numId w:val="1"/>
        </w:numPr>
        <w:rPr/>
      </w:pPr>
      <w:bookmarkStart w:id="368" w:name="__RefHeading___Toc507851_774463916"/>
      <w:bookmarkStart w:id="369" w:name="_Toc127"/>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 xml:space="preserve">یُعدُّ التعریف والتنکیر من الظواهر الأُسلوبیة التی تُعطی المنشئ المرونة فی صیاغة الجملة، فهو یمثل جانباً مهمّاً فی بنائها الترکیبی؛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قیمة تعبیریة متنوّعة بفضل المعانی التی یخرج إلیها والتی ترتبط ارتباطاً واسعاً بالسیاق، وما یتطلَّبه السیاق من إیراد المعرفة والنکرة</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تکلّم سیبویه عن ظاهرة التعریف والتنکیر وأثرها فی الکلام من حیث صحته من جهةٍ، ومن حیث دلالته من جهةٍ أُخری فی باب الإخبار عن النکرة بالنکرة</w:t>
      </w:r>
      <w:r>
        <w:rPr>
          <w:rStyle w:val="FootnoteAnchor"/>
          <w:rtl w:val="true"/>
        </w:rPr>
        <w:footnoteReference w:id="902"/>
      </w:r>
      <w:r>
        <w:rPr>
          <w:rFonts w:ascii="IRNazanin" w:hAnsi="IRNazanin" w:eastAsia="IRNazanin"/>
          <w:color w:val="111111"/>
          <w:sz w:val="28"/>
          <w:sz w:val="28"/>
          <w:szCs w:val="28"/>
          <w:rtl w:val="true"/>
          <w:lang w:bidi="fa-IR"/>
        </w:rPr>
        <w:t xml:space="preserve">، وکذلک عرض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التنکیر فی اللّغة وأثرها فی مجری العبارة بالموازنة مع حال التعریف التی تمثّل نمطاً مغایراً فی دلالتها وما تنصرف إلیه عند الاستعمال</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370" w:name="pg5013_35476"/>
    </w:p>
    <w:p>
      <w:pPr>
        <w:pStyle w:val="BookText"/>
        <w:rPr/>
      </w:pPr>
      <w:bookmarkEnd w:id="370"/>
      <w:r>
        <w:rPr>
          <w:rFonts w:ascii="IRNazanin" w:hAnsi="IRNazanin" w:eastAsia="IRNazanin"/>
          <w:color w:val="111111"/>
          <w:sz w:val="28"/>
          <w:sz w:val="28"/>
          <w:szCs w:val="28"/>
          <w:rtl w:val="true"/>
          <w:lang w:bidi="fa-IR"/>
        </w:rPr>
        <w:t>ویدخل التعریف والتنکیر فی رکنی الإسناد،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إلیه والمسند، فالأصل فی المسند إلیه أن یکون معرفة، والأصل فی المسند أن یکون نکرة</w:t>
      </w:r>
      <w:r>
        <w:rPr>
          <w:rStyle w:val="FootnoteAnchor"/>
          <w:rtl w:val="true"/>
        </w:rPr>
        <w:footnoteReference w:id="904"/>
      </w:r>
      <w:r>
        <w:rPr>
          <w:rFonts w:ascii="IRNazanin" w:hAnsi="IRNazanin" w:eastAsia="IRNazanin"/>
          <w:color w:val="111111"/>
          <w:sz w:val="28"/>
          <w:sz w:val="28"/>
          <w:szCs w:val="28"/>
          <w:rtl w:val="true"/>
          <w:lang w:bidi="fa-IR"/>
        </w:rPr>
        <w:t>، فالمسند إلیه محکوم علیه، فإذا نُکّر أصبح غیر ذی فائدة، کما أنَّ المسند محکوم به والحکم بالمعلوم لا یفید أیضاً</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للبلاغیین نصیبٌ وافرٌ فی تناول هذا الظاهرة، وما تؤدّیه من أغراض یسعی النص لتحقیقها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وسوف یتناول البحث أوَّلاً ظاهرة تعریف المسند إلیه والمسند، وما فی کلّ منهما من دلالات وإیحاءات بلاغیة؛ ذلک أنّ التعریف من الظواهر البلاغیة والنحویة التی لها أثرٌ کبیرٌ فی ترکیب الجملة ودلالتها</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507853_774463916"/>
      <w:bookmarkStart w:id="372" w:name="_Toc128"/>
      <w:bookmarkEnd w:id="371"/>
      <w:r>
        <w:rPr/>
        <w:t>1</w:t>
      </w:r>
      <w:r>
        <w:rPr>
          <w:rtl w:val="true"/>
        </w:rPr>
        <w:t xml:space="preserve">- </w:t>
      </w:r>
      <w:r>
        <w:rPr>
          <w:rtl w:val="true"/>
        </w:rPr>
        <w:t>تعریف المسند إلیه</w:t>
      </w:r>
      <w:bookmarkEnd w:id="372"/>
    </w:p>
    <w:p>
      <w:pPr>
        <w:pStyle w:val="BookText"/>
        <w:rPr/>
      </w:pPr>
      <w:r>
        <w:rPr>
          <w:rFonts w:ascii="Amiri" w:hAnsi="Amiri" w:eastAsia="Amiri" w:cs="Amiri"/>
          <w:color w:val="111111"/>
          <w:sz w:val="28"/>
          <w:sz w:val="28"/>
          <w:szCs w:val="28"/>
          <w:rtl w:val="true"/>
          <w:lang w:bidi="ar-SA"/>
        </w:rPr>
        <w:t>قد یأتی تعریف المسند إلیه بالإضمار، فمن ذلک ما جاء فی خُطبة المسیّب بن نجبة الفزاری رادّاً علی إبراهیم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 الناکثین، أنْتَ تٌهَدّدُنَا بِسَیْفِکَ وَغَشْمِکَ،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مِنْ ذلک، إنّا لا نلومُکَ علی بُغْضِنَا وَقَدْ قَتَلْنَا أبَاکَ وَجَدّکَ</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المسند إلیه معرّفاً بضمیر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تهددنا بسیفک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والله أذلُّ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والغرض البلاغی من وراء التعریف هو توجیه الخطاب إلی الحاضر المعیَّن</w:t>
      </w:r>
      <w:r>
        <w:rPr>
          <w:rStyle w:val="FootnoteAnchor"/>
          <w:rtl w:val="true"/>
        </w:rPr>
        <w:footnoteReference w:id="909"/>
      </w:r>
      <w:r>
        <w:rPr>
          <w:rFonts w:ascii="IRNazanin" w:hAnsi="IRNazanin" w:eastAsia="IRNazanin"/>
          <w:color w:val="111111"/>
          <w:sz w:val="28"/>
          <w:sz w:val="28"/>
          <w:szCs w:val="28"/>
          <w:rtl w:val="true"/>
          <w:lang w:bidi="fa-IR"/>
        </w:rPr>
        <w:t>، وهو إبراهیم بن محمد الحاضر أمامه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وجاء تعریف المسند إلیه فی خُطبة المختار حین قدِم الکوفة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المهدی ابن الوَصیّ، محمّد بن علی، بَعَثَنی إلیْکُم أمیناً وَوَزیراً، ومُنْتَجَباً وأمِیراً</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جاء بالمسند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فی أصله، معرّفاً بالعلمیة، وهو من نوع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الغرض البلاغی من تعریفه هو لأجل التعظیم</w:t>
      </w:r>
      <w:r>
        <w:rPr>
          <w:rStyle w:val="FootnoteAnchor"/>
          <w:rtl w:val="true"/>
        </w:rPr>
        <w:footnoteReference w:id="911"/>
      </w:r>
      <w:r>
        <w:rPr>
          <w:rFonts w:ascii="IRNazanin" w:hAnsi="IRNazanin" w:eastAsia="IRNazanin"/>
          <w:color w:val="111111"/>
          <w:sz w:val="28"/>
          <w:sz w:val="28"/>
          <w:szCs w:val="28"/>
          <w:rtl w:val="true"/>
          <w:lang w:bidi="fa-IR"/>
        </w:rPr>
        <w:t>، فالخطیب إنّما هو فی مقام التعظیم والتبجیل لمحمد بن الحنفیة، وقد کرَّر من تعریف ذلک المسند إلیه، لیزید الإیضاح عندما جاء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المهدی ابن الوصی، وهی فی حکم المسند إلیه؛ لکونه بدلاً منه، ولکن فی هذه المرّة جاء بتعریفه باسم یخصُّه حتی یحض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فی ذهن السامع زیادة فی التأکید والإیضاح</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خُطبةِ إبراهیم بن مالک الأشتر، محرّضاً القبائل علی قتال ابن زیاد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قاتِلُ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الله به، وأمْکَنَکُم الله مِنه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زیادٍ قاتلُ الحسینِ، الذی حال بَینَه وبَیْنَ ماءِ الفُراتِ أنْ 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مِنْه هوَ وأولادُه ونِساؤُه، وَمَنَعَهُ أنْ یَنْصَ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إلی بَلَدِهِ، أو یأتیَ یزیدَ بن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فَعَلَ فی آلِ نَبِیِّکُم مَا فَعَل، قد جاءَکُم الله به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تعریف المسند إلیه باسم الإشارة فی ثلاثة مواضع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قاتل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زیاد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الذی فعل فی آل نبیکم ما </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کان التعریف باسم الإشارة، حتی یُمیِّز المسند إلیه أکمل تمییز بإحضاره محسوساً فی ذهن السامع</w:t>
      </w:r>
      <w:r>
        <w:rPr>
          <w:rStyle w:val="FootnoteAnchor"/>
          <w:rtl w:val="true"/>
        </w:rPr>
        <w:footnoteReference w:id="914"/>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اسم الإشارة بطبیعة دلالته یُفید تحدید المراد منه تحدیداً ظاهراً وتمییزه تمییزاً تامّاً، ولذا؛ فإنّ المتکلّم قد یقصد إلی هذا التحدید لیحضر المسند إلیه فی ذهن السامع متمیّزاً تمام التمییز، وذلک عندما یکون معنیّاً بالحکم الذی یُرید إضافته إلیه، ویرغب فی إبرازه وزیادة تأکیده</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 فالخطیب أراد إحضار المسند إلیه فی الذهن لیزید إبرازه والتأکید علیه متعاضداً مع قصدیة تکراره، لیزید من ذلک التوکید والإیضاح، وکذلک لبیان حاله من القرب والبعد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خُطبةِ سلیمان بن صُرَد الخزاعی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قَتَلَ صَاحِبَکُم وعبّأ الجنودَ إلیه،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لهُ عِنْدی دُونَ أنْ یَستَسْلِمَ فأمضی فیه حُکْمی، هذا الفاسق ابنُ الفاسق،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وَرَجونا أنْ یَدِینَ لَکُمْ مَنْ وَراءکم مِنْ أهلِ 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رِکُم فی عافیة، فتنظرون إلی مَنْ شَرَکَ فی دمِ الحسینِ فَتُقاتلونَه ولا تَغْشَمُوا، وإنْ تُسْتَشهدُوا فإنَّما قاتَلْتُم المُحِلّینَ، ومَا عندَ اللهِ خیرٌ للأبرارِ والصدّیقین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تعریف المسند إلیه بالاسم الموصول فی مواضع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قتل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مسند إلیه، قد وقع اسماً موصولاً، وکان یمکن للخطیب أن یُعبّر عن المسند إلیه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آثر تعریفه بالاسم الموصول لغرض أُسلوبی بلاغی، وهو استهجان التصریح به</w:t>
      </w:r>
      <w:r>
        <w:rPr>
          <w:rStyle w:val="FootnoteAnchor"/>
          <w:rtl w:val="true"/>
        </w:rPr>
        <w:footnoteReference w:id="917"/>
      </w:r>
      <w:r>
        <w:rPr>
          <w:rFonts w:ascii="IRNazanin" w:hAnsi="IRNazanin" w:eastAsia="IRNazanin"/>
          <w:color w:val="111111"/>
          <w:sz w:val="28"/>
          <w:sz w:val="28"/>
          <w:szCs w:val="28"/>
          <w:rtl w:val="true"/>
          <w:lang w:bidi="fa-IR"/>
        </w:rPr>
        <w:t>لکونه ابن زیاد، والموضع الثانی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ورجونا أن یدین لکم مَن وراءکم من أهل مصرکم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المسند إلیه، وهو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اسم موصول معرّفاً بالموصولیة لغرض التفخیم والتشریف</w:t>
      </w:r>
      <w:r>
        <w:rPr>
          <w:rStyle w:val="FootnoteAnchor"/>
          <w:rtl w:val="true"/>
        </w:rPr>
        <w:footnoteReference w:id="918"/>
      </w:r>
      <w:r>
        <w:rPr>
          <w:rFonts w:ascii="IRNazanin" w:hAnsi="IRNazanin" w:eastAsia="IRNazanin"/>
          <w:color w:val="111111"/>
          <w:sz w:val="28"/>
          <w:sz w:val="28"/>
          <w:szCs w:val="28"/>
          <w:rtl w:val="true"/>
          <w:lang w:bidi="fa-IR"/>
        </w:rPr>
        <w:t>، فأراد الخطیب أنْ یعظّم من شأن هؤلاء الذین وراءهم من الذین یدینون لهم من أهل مصرهم، والموضع الآخر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عند الله خیر للأبرار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 بالمسند إلیه وهو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موصولاً لغرض أُسلوبی وهو التعمیم والتهویل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الموصول من إبهام وغموض</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فأراد المنشئ أن لا یحدّد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یء الذی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الخیر والعطاء، وإن کنّا نعلم أنَّما هو الجنة ونعیمها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الذهن فی تصور النعیم کلَّ مذهب، ولبیان عظمة هذا النعیم</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فی خُطبةِ المختار الثقفی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هذا کتابٌ إلیکَ مِن المهدیّ محمّد ابن أمیرِ المؤمنینَ الوصیّ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یسألکَ أنْ تَنْصُرَنَا وتُؤازِرنا، فإنْ فَعَلتَ اغْتَبَطت وإنْ لَمْ تَفْعَل فهذا الکتابُ حُجَّةٌ علیکَ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بالمسند إلیه معرّفاً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الکتاب حجة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بحکم المسند إلیه، وإنَّما جاء التعریف بالألف واللام لإفادة دلالة العهد الصریح، کأن یکون هناک معهود بین المتکلّم والسامع</w:t>
      </w:r>
      <w:r>
        <w:rPr>
          <w:rStyle w:val="FootnoteAnchor"/>
          <w:rtl w:val="true"/>
        </w:rPr>
        <w:footnoteReference w:id="9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بأن یتقدّم ما یدلُّ علی المسند إلیه من قرائن صریحة أو ضمنیة فی الکلام</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 وقد تقدَّم ذکر الکتاب صراحة فی أوّل الخُطبة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کتاب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 علی ذلک العهد الصریح</w:t>
      </w:r>
      <w:r>
        <w:rPr>
          <w:rFonts w:eastAsia="IRNazanin" w:cs="IRNazanin"/>
          <w:color w:val="111111"/>
          <w:sz w:val="28"/>
          <w:szCs w:val="28"/>
          <w:rtl w:val="true"/>
          <w:lang w:bidi="fa-IR"/>
        </w:rPr>
        <w:t xml:space="preserve">. </w:t>
      </w:r>
      <w:bookmarkStart w:id="373" w:name="pg5013_35480"/>
    </w:p>
    <w:p>
      <w:pPr>
        <w:pStyle w:val="BookText"/>
        <w:rPr/>
      </w:pPr>
      <w:bookmarkEnd w:id="373"/>
      <w:r>
        <w:rPr>
          <w:rFonts w:ascii="Amiri" w:hAnsi="Amiri" w:eastAsia="Amiri" w:cs="Amiri"/>
          <w:color w:val="111111"/>
          <w:sz w:val="28"/>
          <w:sz w:val="28"/>
          <w:szCs w:val="28"/>
          <w:rtl w:val="true"/>
          <w:lang w:bidi="ar-SA"/>
        </w:rPr>
        <w:t>وجاء فی رسالةِ المختار إلی عبد الرحمن بن 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بَلَغنی کتابُک وفَهِمْتُ کلَّ ما ذکرتَ فیه، فقد أصبْتَ بانْحِیازِکَ إلی تکریت، فلا تَبْرَحَنّ مَکَانَکَ الّذی أنتَ به حتی یأتیک أمْرِی</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جاء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لاختصار حضوره فی ذهن السامع</w:t>
      </w:r>
      <w:r>
        <w:rPr>
          <w:rStyle w:val="FootnoteAnchor"/>
          <w:rtl w:val="true"/>
        </w:rPr>
        <w:footnoteReference w:id="925"/>
      </w:r>
      <w:r>
        <w:rPr>
          <w:rFonts w:ascii="IRNazanin" w:hAnsi="IRNazanin" w:eastAsia="IRNazanin"/>
          <w:color w:val="111111"/>
          <w:sz w:val="28"/>
          <w:sz w:val="28"/>
          <w:szCs w:val="28"/>
          <w:rtl w:val="true"/>
          <w:lang w:bidi="fa-IR"/>
        </w:rPr>
        <w:t>، فهو أخصرُ منه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بلغنی الکتاب الذی أنت بعثته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یکون الکلام أکثر إجْمالاً من التفصیل الذی ربَّما یتعذَّر علی المتکلّم، ویعاظل علیه المعانی</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507855_774463916"/>
      <w:bookmarkStart w:id="375" w:name="_Toc129"/>
      <w:bookmarkEnd w:id="374"/>
      <w:r>
        <w:rPr/>
        <w:t>2</w:t>
      </w:r>
      <w:r>
        <w:rPr>
          <w:rtl w:val="true"/>
        </w:rPr>
        <w:t xml:space="preserve">- </w:t>
      </w:r>
      <w:r>
        <w:rPr>
          <w:rtl w:val="true"/>
        </w:rPr>
        <w:t>تعریف المسند</w:t>
      </w:r>
      <w:bookmarkEnd w:id="375"/>
    </w:p>
    <w:p>
      <w:pPr>
        <w:pStyle w:val="Heading6"/>
        <w:numPr>
          <w:ilvl w:val="5"/>
          <w:numId w:val="1"/>
        </w:numPr>
        <w:rPr/>
      </w:pPr>
      <w:bookmarkStart w:id="376" w:name="__RefHeading___Toc507857_774463916"/>
      <w:bookmarkStart w:id="377" w:name="_Toc130"/>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جاء تعریف المسند فی مواضع من نصوص الحِقبتین، ونجد ذلک فی خُطبة إبراهیم بن مالک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وَیْحَکُمْ یا مَعْشَرَ رَبِیْعَة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عنّی، فَحَسْبکُم مِنّی، أنا ابنُ الأشْتَر، أنا ابنُ الضلّ الذّکر، والله ما أحبُّ أن یُصَابَ أحدٌ مِنْکُم علی یَدِی</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بالإضافة فی موضعین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ابن الضلّ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عُرّفَ لغرضٍ بلاغی هو تعظیم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المسند أُضیف إلی ما یکسبه التعظیم والتشریف</w:t>
      </w:r>
      <w:r>
        <w:rPr>
          <w:rStyle w:val="FootnoteAnchor"/>
          <w:rtl w:val="true"/>
        </w:rPr>
        <w:footnoteReference w:id="928"/>
      </w:r>
      <w:r>
        <w:rPr>
          <w:rFonts w:ascii="IRNazanin" w:hAnsi="IRNazanin" w:eastAsia="IRNazanin"/>
          <w:color w:val="111111"/>
          <w:sz w:val="28"/>
          <w:sz w:val="28"/>
          <w:szCs w:val="28"/>
          <w:rtl w:val="true"/>
          <w:lang w:bidi="fa-IR"/>
        </w:rPr>
        <w:t>فالمنشئ یعظّم نفسه 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رّفها بکونه ابناً لمالک الأشتر الصحابی الجلیل صاحب الذکر والصیت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وجاء تعریف المسند فی خُطبة المختار الثقفی متوعداً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دِینِنَا تَرکُ قومٍ قَتَلُوا الحُسینَ یَمْشُونَ أحیاءً فی الدُّنیا آمِنِین، بِئسَ ناصرُ آلِ محمُّدٍ أنا إذاً الکَذّاب کَمَا سَمَّونی، فَإنّی بالله أسْتَعینُ علیهم</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جاء المنشئ بالمسند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بالألف واللّام، وإنَّما کان کذلک؛ لإفادة قصره علی المسند إلیه</w:t>
      </w:r>
      <w:r>
        <w:rPr>
          <w:rStyle w:val="FootnoteAnchor"/>
          <w:rtl w:val="true"/>
        </w:rPr>
        <w:footnoteReference w:id="930"/>
      </w:r>
      <w:r>
        <w:rPr>
          <w:rFonts w:ascii="IRNazanin" w:hAnsi="IRNazanin" w:eastAsia="IRNazanin"/>
          <w:color w:val="111111"/>
          <w:sz w:val="28"/>
          <w:sz w:val="28"/>
          <w:szCs w:val="28"/>
          <w:rtl w:val="true"/>
          <w:lang w:bidi="fa-IR"/>
        </w:rPr>
        <w:t>، فالمختار یقصر علی نفسه الکذب إنْ هو لم یطلب بثأر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کان غایة فی التأکید والإصرار علی الأخذ بثأر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تعریف المسند فی خُطبة إبراهیم بن مالک الأشتر محرّضاً القبائل علی ابن زیاد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زیادٍ قاتلُ الحسینِ، الذی حال بَینَه وبَیْنَ ماءِ الفُراتِ أنْ 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مِنْه هوَ وأولادُه ونِساؤُه، وَمَنَعَهُ أنْ یَنْصَرِفَ إلی بَلَدِهِ أو یأتیَ یزیدَ بن معاویة حتَّی قتله، 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اشْفُوا صُدُورَکُمْ مِنْهُ، وَارْوُوا رِمَاحَکُمْ وَسُیُوفَکُم مِنْ دَمِهِ، هَذا الذیْ فَعَلَ فی آلِ نَبِیِکُم مَا فَعَل، قد جاءَکُم الله به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المسند معرّفاً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زیاد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مضافاً إلی زیاد لغرض التهوین والتقلیل</w:t>
      </w:r>
      <w:r>
        <w:rPr>
          <w:rStyle w:val="FootnoteAnchor"/>
          <w:rtl w:val="true"/>
        </w:rPr>
        <w:footnoteReference w:id="932"/>
      </w:r>
      <w:r>
        <w:rPr>
          <w:rFonts w:ascii="IRNazanin" w:hAnsi="IRNazanin" w:eastAsia="IRNazanin"/>
          <w:color w:val="111111"/>
          <w:sz w:val="28"/>
          <w:sz w:val="28"/>
          <w:szCs w:val="28"/>
          <w:rtl w:val="true"/>
          <w:lang w:bidi="fa-IR"/>
        </w:rPr>
        <w:t>بانتسابه إلی زیاد بن أبیه صاحب النسب الوضیع، وأمَّا الموضع الثانی، فهو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فعل فی آل نبیکم 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 المسند معرّفاً بالموصولیة، وهو یُفید قَصْرَ ذلک المسند علی المسند إلیه</w:t>
      </w:r>
      <w:r>
        <w:rPr>
          <w:rStyle w:val="FootnoteAnchor"/>
          <w:rtl w:val="true"/>
        </w:rPr>
        <w:footnoteReference w:id="933"/>
      </w:r>
      <w:r>
        <w:rPr>
          <w:rFonts w:ascii="IRNazanin" w:hAnsi="IRNazanin" w:eastAsia="IRNazanin"/>
          <w:color w:val="111111"/>
          <w:sz w:val="28"/>
          <w:sz w:val="28"/>
          <w:szCs w:val="28"/>
          <w:rtl w:val="true"/>
          <w:lang w:bidi="fa-IR"/>
        </w:rPr>
        <w:t>، بأنّ الذی فعل کذا هو ابن زیاد لیسَ غیر</w:t>
      </w:r>
      <w:r>
        <w:rPr>
          <w:rFonts w:eastAsia="IRNazanin" w:cs="IRNazanin"/>
          <w:color w:val="111111"/>
          <w:sz w:val="28"/>
          <w:szCs w:val="28"/>
          <w:rtl w:val="true"/>
          <w:lang w:bidi="fa-IR"/>
        </w:rPr>
        <w:t xml:space="preserve">. </w:t>
      </w:r>
      <w:bookmarkStart w:id="378" w:name="pg5013_35482"/>
    </w:p>
    <w:p>
      <w:pPr>
        <w:pStyle w:val="BookText"/>
        <w:rPr/>
      </w:pPr>
      <w:bookmarkEnd w:id="378"/>
      <w:r>
        <w:rPr>
          <w:rFonts w:ascii="IRNazanin" w:hAnsi="IRNazanin" w:eastAsia="IRNazanin"/>
          <w:color w:val="111111"/>
          <w:sz w:val="28"/>
          <w:sz w:val="28"/>
          <w:szCs w:val="28"/>
          <w:rtl w:val="true"/>
          <w:lang w:bidi="fa-IR"/>
        </w:rPr>
        <w:t xml:space="preserve">ویُفْید کذلک إلی جانب القَصر زیادة التفخیم والتهویل </w:t>
      </w:r>
      <w:r>
        <w:rPr>
          <w:rStyle w:val="FootnoteAnchor"/>
          <w:rtl w:val="true"/>
        </w:rPr>
        <w:footnoteReference w:id="934"/>
      </w:r>
      <w:r>
        <w:rPr>
          <w:rFonts w:ascii="IRNazanin" w:hAnsi="IRNazanin" w:eastAsia="IRNazanin"/>
          <w:color w:val="111111"/>
          <w:sz w:val="28"/>
          <w:sz w:val="28"/>
          <w:szCs w:val="28"/>
          <w:rtl w:val="true"/>
          <w:lang w:bidi="fa-IR"/>
        </w:rPr>
        <w:t>، فالمنشئ جاء بالمسند معرَّفاً بالاسم الموصول، لیهوّل من ذلک الفعل الشنیع الذی فعله ابن زیاد فی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التنکیر، فله معانٍ ودلالات عدیدة یمکن من خلالها إضفاء البهاء والرونق علی النص</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وسوف یتناول البحث ظاهرة تنکیر المسند إلیه والمسند بحسب ورودها فی نصوص الحِقبتین</w:t>
      </w:r>
      <w:r>
        <w:rPr>
          <w:rFonts w:eastAsia="IRNazanin" w:cs="IRNazanin"/>
          <w:color w:val="111111"/>
          <w:sz w:val="28"/>
          <w:szCs w:val="28"/>
          <w:rtl w:val="true"/>
          <w:lang w:bidi="fa-IR"/>
        </w:rPr>
        <w:t>.</w:t>
      </w:r>
    </w:p>
    <w:p>
      <w:pPr>
        <w:pStyle w:val="Heading6"/>
        <w:numPr>
          <w:ilvl w:val="5"/>
          <w:numId w:val="1"/>
        </w:numPr>
        <w:rPr/>
      </w:pPr>
      <w:bookmarkStart w:id="379" w:name="__RefHeading___Toc507859_774463916"/>
      <w:bookmarkStart w:id="380" w:name="_Toc131"/>
      <w:bookmarkEnd w:id="379"/>
      <w:r>
        <w:rPr/>
        <w:t>1</w:t>
      </w:r>
      <w:r>
        <w:rPr>
          <w:rtl w:val="true"/>
        </w:rPr>
        <w:t xml:space="preserve">- </w:t>
      </w:r>
      <w:r>
        <w:rPr>
          <w:rtl w:val="true"/>
        </w:rPr>
        <w:t>تنکیر المسند إلیه</w:t>
      </w:r>
      <w:bookmarkEnd w:id="380"/>
    </w:p>
    <w:p>
      <w:pPr>
        <w:pStyle w:val="BookText"/>
        <w:rPr/>
      </w:pPr>
      <w:r>
        <w:rPr>
          <w:rFonts w:ascii="IRNazanin" w:hAnsi="IRNazanin" w:eastAsia="IRNazanin"/>
          <w:color w:val="111111"/>
          <w:sz w:val="28"/>
          <w:sz w:val="28"/>
          <w:szCs w:val="28"/>
          <w:rtl w:val="true"/>
          <w:lang w:bidi="fa-IR"/>
        </w:rPr>
        <w:t xml:space="preserve">یُنکَّر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لیحقّق أغراضاً أُسلوبیة وقصدیة فی الکلام، وقَد ذکر النحاة والبلاغیون هذه الأغراض وتناولوها فی مباحثهم</w:t>
      </w:r>
      <w:r>
        <w:rPr>
          <w:rStyle w:val="FootnoteAnchor"/>
          <w:rtl w:val="true"/>
        </w:rPr>
        <w:footnoteReference w:id="936"/>
      </w:r>
      <w:r>
        <w:rPr>
          <w:rFonts w:ascii="IRNazanin" w:hAnsi="IRNazanin" w:eastAsia="IRNazanin"/>
          <w:color w:val="111111"/>
          <w:sz w:val="28"/>
          <w:sz w:val="28"/>
          <w:szCs w:val="28"/>
          <w:rtl w:val="true"/>
          <w:lang w:bidi="fa-IR"/>
        </w:rPr>
        <w:t>، وسوف یعرض البحث لبعض منها، وبحسب ورودها فی خُطب ورسائل الحِقبتین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فی رسالة سلیمان بن صُرَد الخزاعی التی بَعَثَ بها إلی سعد بن حذیفة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نَظَرَ إخوانُکُم، وتَدَبَّرُوا عَوَاقِبَ مَا اسْتَقْبَلوا، رَأوا أنْ قَدْ خَطِئُوا بِخْذلانِ الزَّکی الطیب، وإسْلامِه، وتَرْکِ مواسَاتِه، والنصر له خَطأً کَبیراً، لَیْسَ لَهُمْ مِنْهُ مَخْرَجٌ ولا تَوبَةٌ دونَ قتلِ قاتلیه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إنّکم لأحْرِیَاء أن لا یکونَ أحدٌ مِنْ إخوانِکُم صَبَرَ علی شیءٍ مِنَ البلاءِ إرادةَ ثوابه، إلّا صَبَرْتُمْ التِمَاسَ الأجرِ فیه علی مِثلِه، وَلا یَطلبَ رضاءِ اللهِ طالبٌ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یءٍ مِنَ الأشیاء ولو أنَّه القَتْلُ إلّا طَلَبْتُم رِضَاءَ الله به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جاء المُسند إلیه نکرةً فی ثلاثة مواضع مُتَفرّقة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منه مخرج ولا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إلیه نکرة،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یکون أحدٌ من إخوانکم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إلیه نکرة، والموضع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یطلب رضاء الله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إلیه، وهو نکرة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ونلحظ أنَّ فی کلّ هذه المواضع قد جاء المسند إلیه نکرة فی سیاق النفی، وهذا ممَّا جعل الدلالة فیها تفید العموم کما أشار إلی ذلک اللغویون</w:t>
      </w:r>
      <w:r>
        <w:rPr>
          <w:rStyle w:val="FootnoteAnchor"/>
          <w:rtl w:val="true"/>
        </w:rPr>
        <w:footnoteReference w:id="938"/>
      </w:r>
      <w:r>
        <w:rPr>
          <w:rFonts w:ascii="IRNazanin" w:hAnsi="IRNazanin" w:eastAsia="IRNazanin"/>
          <w:color w:val="111111"/>
          <w:sz w:val="28"/>
          <w:sz w:val="28"/>
          <w:szCs w:val="28"/>
          <w:rtl w:val="true"/>
          <w:lang w:bidi="fa-IR"/>
        </w:rPr>
        <w:t>، فإذا وقعت النکرة فی سیاق النفی کان النفی یفید الشّمول والعموم</w:t>
      </w:r>
      <w:r>
        <w:rPr>
          <w:rStyle w:val="FootnoteAnchor"/>
          <w:rtl w:val="true"/>
        </w:rPr>
        <w:footnoteReference w:id="939"/>
      </w:r>
      <w:r>
        <w:rPr>
          <w:rFonts w:ascii="IRNazanin" w:hAnsi="IRNazanin" w:eastAsia="IRNazanin"/>
          <w:color w:val="111111"/>
          <w:sz w:val="28"/>
          <w:sz w:val="28"/>
          <w:szCs w:val="28"/>
          <w:rtl w:val="true"/>
          <w:lang w:bidi="fa-IR"/>
        </w:rPr>
        <w:t>، وهذا ما یناسب الغرض الذی یقصده الخطیب من وراء تنکیره للمسند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خُطبة عبید الله المرّی یصف ما جری علی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النوائب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غادَرُوا به؟ ذا صِدْقٍ وَصَبْر، وذا أمانَةٍ ونَجْدَةٍ وَحَزْم، ابنُ أوّلِ المُسلمینَ إسلاماً، وابنُ بِنتِ رسولِ ربّ العالمین، قلَّتْ حُمَاتُه، وکَثُرَتْ عُدَاتُه حَولهُ، فَقَتَلَه عَدوّه، وخَذَله ولیّه، فویلٌ للقاتلِ، وملامةٌ الخاذلِ</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الخطیب بالمسند إلیه منکّراً فی موضعین،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ملامةٌ الخاذل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فویل وملامة قد وقعتا مسنداً إلیه نکرة، ولم یُعرّفهما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الویل والملامة، ولو قالها لخفَّفَ من وقع الویل والملامة بما تفیده الألف واللاّم من تعیین ویل أو ملامة خاصَّة، فالغرض الأُسلوبی من وقوعهما منکّرین هو لإفادة الإعمام </w:t>
      </w:r>
      <w:r>
        <w:rPr>
          <w:rStyle w:val="FootnoteAnchor"/>
          <w:rtl w:val="true"/>
        </w:rPr>
        <w:footnoteReference w:id="941"/>
      </w:r>
      <w:r>
        <w:rPr>
          <w:rFonts w:ascii="IRNazanin" w:hAnsi="IRNazanin" w:eastAsia="IRNazanin"/>
          <w:color w:val="111111"/>
          <w:sz w:val="28"/>
          <w:sz w:val="28"/>
          <w:szCs w:val="28"/>
          <w:rtl w:val="true"/>
          <w:lang w:bidi="fa-IR"/>
        </w:rPr>
        <w:t xml:space="preserve">، أو قد یکون لإفادة التعظیم أو التهویل، بأنّ کون هذا الویل وهذه الملامة هو ویل عظیم، </w:t>
      </w:r>
    </w:p>
    <w:p>
      <w:pPr>
        <w:pStyle w:val="BookText"/>
        <w:rPr/>
      </w:pPr>
      <w:r>
        <w:rPr>
          <w:rFonts w:ascii="IRNazanin" w:hAnsi="IRNazanin" w:eastAsia="IRNazanin"/>
          <w:color w:val="111111"/>
          <w:sz w:val="28"/>
          <w:sz w:val="28"/>
          <w:szCs w:val="28"/>
          <w:rtl w:val="true"/>
          <w:lang w:bidi="fa-IR"/>
        </w:rPr>
        <w:t>وملامة عظیمة؛ لأنَّ الإقدام علی قتل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عظیم لا یقاس معه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تنکیر المسند إلیه فی خُطبة إبراهیم بن محمد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خَرَجَ عَلَیْنا خارجٌ لنَقْتُلنّه، وَلَئِن اسْتَیْقَنَّا أنَّ قوماً یُریدونَ الخُروجَ علینا، لَنَأخُذَنَّ الوالدَ بولدِه</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المسند إلیه نکرة فی موضعین،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خرج علینا خارجٌ لنقتلنه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وقع نکرة، وإنَّما کان کذلک؛ لغرض الدلالة علی فرد غیر معیَّن من الأفراد</w:t>
      </w:r>
      <w:r>
        <w:rPr>
          <w:rStyle w:val="FootnoteAnchor"/>
          <w:rtl w:val="true"/>
        </w:rPr>
        <w:footnoteReference w:id="943"/>
      </w:r>
      <w:r>
        <w:rPr>
          <w:rFonts w:ascii="IRNazanin" w:hAnsi="IRNazanin" w:eastAsia="IRNazanin"/>
          <w:color w:val="111111"/>
          <w:sz w:val="28"/>
          <w:sz w:val="28"/>
          <w:szCs w:val="28"/>
          <w:rtl w:val="true"/>
          <w:lang w:bidi="fa-IR"/>
        </w:rPr>
        <w:t>، وقد جاء کذلک منسجماً مع سیاق التهدید والقسم، فالخطیب یُقسم ویُهدّد دالاً علی أنَّ قدوم أی فرد من الأفراد علی الخروج علی ولایته فإنَّه سیقتله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الموضع الثانی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استقینا أنّ قوماً یُریدون الخروج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 بالمسند إلیه، 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لغرض التقلیل والتهوین</w:t>
      </w:r>
      <w:r>
        <w:rPr>
          <w:rStyle w:val="FootnoteAnchor"/>
          <w:rtl w:val="true"/>
        </w:rPr>
        <w:footnoteReference w:id="944"/>
      </w:r>
      <w:r>
        <w:rPr>
          <w:rFonts w:ascii="IRNazanin" w:hAnsi="IRNazanin" w:eastAsia="IRNazanin"/>
          <w:color w:val="111111"/>
          <w:sz w:val="28"/>
          <w:sz w:val="28"/>
          <w:szCs w:val="28"/>
          <w:rtl w:val="true"/>
          <w:lang w:bidi="fa-IR"/>
        </w:rPr>
        <w:t>من شأن هؤلاء الذین یخرجون علیه، وهذا ما یدلّ علیه سیاق الخُطبة، فالذین یُریدون الخروج علیه هم التوّابون، وهم فئة قلیلة من أهل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خُطبة سلیمان بن صُرد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أیُّها النَّاس، فإنَّ الله قَدْ علم ما تَنْوُون، وما خَرجْتم تَطلُبُونَ، وإنَّ للدّنیا تُجَّاراً، وللآخرة تُجَّاراً، فأمَّا تاجرُ الآخرة فساعٍ إلیها، مُتَنَصّبٌ بِتَطْلابِها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بالمسند إلیه نکرة فی الموضعین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للدنیا تجاراً، وللآخرة تجاراً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وکلاهما </w:t>
      </w:r>
      <w:bookmarkStart w:id="381" w:name="pg5013_35485"/>
    </w:p>
    <w:p>
      <w:pPr>
        <w:pStyle w:val="BookText"/>
        <w:rPr/>
      </w:pPr>
      <w:bookmarkEnd w:id="381"/>
      <w:r>
        <w:rPr>
          <w:rFonts w:ascii="IRNazanin" w:hAnsi="IRNazanin" w:eastAsia="IRNazanin"/>
          <w:color w:val="111111"/>
          <w:sz w:val="28"/>
          <w:sz w:val="28"/>
          <w:szCs w:val="28"/>
          <w:rtl w:val="true"/>
          <w:lang w:bidi="fa-IR"/>
        </w:rPr>
        <w:t>اسم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دلالة کلّ منهما تعتمد علی المعنی العام الذی یُفهم من السیاق، وقد دلَّ فی الموضع الأوّل علی التکثیر؛ ذلک لانَّ تجار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کثیرون، وقد دلَّ فی الموضع الثانی علی التقلیل؛ ذلک لأن تجار الآخرة قلیلون، وقد نصَّ البلاغیون علی أنَّ المسند إلیه یکون نکرة لإفادة التکثیر والتقلیل بحسب سیاق الحال</w:t>
      </w:r>
      <w:r>
        <w:rPr>
          <w:rStyle w:val="FootnoteAnchor"/>
          <w:rtl w:val="true"/>
        </w:rPr>
        <w:footnoteReference w:id="946"/>
      </w:r>
      <w:r>
        <w:rPr>
          <w:rFonts w:ascii="IRNazanin" w:hAnsi="IRNazanin" w:eastAsia="IRNazanin"/>
          <w:color w:val="111111"/>
          <w:sz w:val="28"/>
          <w:sz w:val="28"/>
          <w:szCs w:val="28"/>
          <w:rtl w:val="true"/>
          <w:lang w:bidi="fa-IR"/>
        </w:rPr>
        <w:t>، فأراد الخطیب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تجار الدنیا کثیرون یطلبونها ویلهثون وراءها، وتجار الآخرة قلیلون یطلبون ثوابها ونعیمها، فعبّر عن الحالین بالنکرة انسجاماً قصدیاً لمراداته</w:t>
      </w:r>
      <w:r>
        <w:rPr>
          <w:rFonts w:eastAsia="IRNazanin" w:cs="IRNazanin"/>
          <w:color w:val="111111"/>
          <w:sz w:val="28"/>
          <w:szCs w:val="28"/>
          <w:rtl w:val="true"/>
          <w:lang w:bidi="fa-IR"/>
        </w:rPr>
        <w:t>.</w:t>
      </w:r>
    </w:p>
    <w:p>
      <w:pPr>
        <w:pStyle w:val="Heading6"/>
        <w:numPr>
          <w:ilvl w:val="5"/>
          <w:numId w:val="1"/>
        </w:numPr>
        <w:rPr/>
      </w:pPr>
      <w:bookmarkStart w:id="382" w:name="__RefHeading___Toc507861_774463916"/>
      <w:bookmarkStart w:id="383" w:name="_Toc132"/>
      <w:bookmarkEnd w:id="382"/>
      <w:r>
        <w:rPr/>
        <w:t>2</w:t>
      </w:r>
      <w:r>
        <w:rPr>
          <w:rtl w:val="true"/>
        </w:rPr>
        <w:t xml:space="preserve">- </w:t>
      </w:r>
      <w:r>
        <w:rPr>
          <w:rtl w:val="true"/>
        </w:rPr>
        <w:t xml:space="preserve">تنکیر المسند </w:t>
      </w:r>
      <w:r>
        <w:rPr>
          <w:rtl w:val="true"/>
        </w:rPr>
        <w:t>(</w:t>
      </w:r>
      <w:r>
        <w:rPr>
          <w:rtl w:val="true"/>
        </w:rPr>
        <w:t>تنکیر الخبر</w:t>
      </w:r>
      <w:r>
        <w:rPr>
          <w:rtl w:val="true"/>
        </w:rPr>
        <w:t>)</w:t>
      </w:r>
      <w:bookmarkEnd w:id="383"/>
    </w:p>
    <w:p>
      <w:pPr>
        <w:pStyle w:val="BookText"/>
        <w:rPr/>
      </w:pPr>
      <w:r>
        <w:rPr>
          <w:rFonts w:ascii="IRNazanin" w:hAnsi="IRNazanin" w:eastAsia="IRNazanin"/>
          <w:color w:val="111111"/>
          <w:sz w:val="28"/>
          <w:sz w:val="28"/>
          <w:szCs w:val="28"/>
          <w:rtl w:val="true"/>
          <w:lang w:bidi="fa-IR"/>
        </w:rPr>
        <w:t xml:space="preserve">الأصل فی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نکرة </w:t>
      </w:r>
      <w:r>
        <w:rPr>
          <w:rStyle w:val="FootnoteAnchor"/>
          <w:rtl w:val="true"/>
        </w:rPr>
        <w:footnoteReference w:id="947"/>
      </w:r>
      <w:r>
        <w:rPr>
          <w:rFonts w:ascii="Amiri" w:hAnsi="Amiri" w:eastAsia="Amiri" w:cs="Amiri"/>
          <w:color w:val="111111"/>
          <w:sz w:val="28"/>
          <w:sz w:val="28"/>
          <w:szCs w:val="28"/>
          <w:rtl w:val="true"/>
          <w:lang w:bidi="ar-SA"/>
        </w:rPr>
        <w:t>لأنَّه محکوم به، ویأتی نکرة لدواعٍ أُسلوبیة فی الکلام، وقد ورد تنکیر المسند فی خُطبة سلیمان بن صُرَد الخزاعی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فإنّی والله لخائفٌ ألّا یکونَ آخِرُنَا إلی هذا الدَّهر الذی نَکِدَتْ فیهِ المَعْیشَة، وعَظُمَتْ فیهِ الرزِیَّة، وشَمِلَ فیهِ الجورُ أُولی الفَضْل مِنْ هذه الشیعة لِمَا هوَ خَیْرٌ</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والله 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فیهما المسند نکرة، فأمّا الموضع الأوّل، فإنَّه جاء لغرض أُسلوبی بلاغی، وهو مجرّد الإخبار</w:t>
      </w:r>
      <w:r>
        <w:rPr>
          <w:rStyle w:val="FootnoteAnchor"/>
          <w:rtl w:val="true"/>
        </w:rPr>
        <w:footnoteReference w:id="949"/>
      </w:r>
      <w:r>
        <w:rPr>
          <w:rFonts w:ascii="IRNazanin" w:hAnsi="IRNazanin" w:eastAsia="IRNazanin"/>
          <w:color w:val="111111"/>
          <w:sz w:val="28"/>
          <w:sz w:val="28"/>
          <w:szCs w:val="28"/>
          <w:rtl w:val="true"/>
          <w:lang w:bidi="fa-IR"/>
        </w:rPr>
        <w:t>عن کونه خائفاً من موبقات الدهر، ولم یرد به الحصر أو التخصیص لهذا الخوف، ولو أراد إفادة حصر المسند بالمسند إلیه لعرّفه بالألف واللام، ولقال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الخائف، ویُخصّص الخوف بنفسه، وقد اقترن المسند بلام التوکید لغرض توکید المسند فی ذهن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الموضع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فالمسند جاء نکرة، وأغلب الظّن إنّما جاء لغرض التکثیر</w:t>
      </w:r>
      <w:r>
        <w:rPr>
          <w:rStyle w:val="FootnoteAnchor"/>
          <w:rtl w:val="true"/>
        </w:rPr>
        <w:footnoteReference w:id="95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لتکثیر ذلک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تنکیر المسند کذلک فی خُطبة محمد بن الحنفیة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ذَکَرْتُم مِنْ مُصِیْبَتِنا بِحُسینٍ، فإنَّ ذلکَ کانَ فی الذّکرِ الحَکیمِ، وَهِیَ مَلْحَمَةٌ کُتِبَتْ علیهِ، وکَرامةٌ أهْدَاها اللهُ لَه</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فنجد أنّ الخطیب قد آثر أن یأتی بالمسند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فی موضعین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ملحمة کتبت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 أهداها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جاء به نکرة لیؤدّی غرضاً بلاغیاً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لما یُفیده التنکیر عندئذٍ من أنّ المسند بلغ من خطورة الشأن وسمو المرتبة حدّاً لا یُدرک کنهه أو مداه</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xml:space="preserve">، فجاء المسند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للدلالة علی عظیم تلک الحادثة والفجیعة، والملحمة هی الوقعة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وجاء لفظها منکّراً لیناسب تلکم التجاوزات التی اقتُرفت فیها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لمبتدأ محذوف دلّ علیه ما سبقه، جاءت بلفظ النکرة لتدلّ علی عظمها وجلالة قدرها، لکون هذه الکرامة هی هدیة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کان منه من تضحیة بنفسه وولده وصحبه لإعلاء دین الله القویم</w:t>
      </w:r>
      <w:r>
        <w:rPr>
          <w:rFonts w:eastAsia="IRNazanin" w:cs="IRNazanin"/>
          <w:color w:val="111111"/>
          <w:sz w:val="28"/>
          <w:szCs w:val="28"/>
          <w:rtl w:val="true"/>
          <w:lang w:bidi="fa-IR"/>
        </w:rPr>
        <w:t xml:space="preserve">. </w:t>
      </w:r>
      <w:bookmarkStart w:id="384" w:name="pg5013_35487"/>
    </w:p>
    <w:p>
      <w:pPr>
        <w:pStyle w:val="Heading4"/>
        <w:numPr>
          <w:ilvl w:val="3"/>
          <w:numId w:val="1"/>
        </w:numPr>
        <w:rPr/>
      </w:pPr>
      <w:bookmarkStart w:id="385" w:name="__RefHeading___Toc507863_774463916"/>
      <w:bookmarkStart w:id="386" w:name="_Toc133"/>
      <w:bookmarkEnd w:id="384"/>
      <w:bookmarkEnd w:id="385"/>
      <w:r>
        <w:rPr>
          <w:rtl w:val="true"/>
        </w:rPr>
        <w:t>رابعاً</w:t>
      </w:r>
      <w:r>
        <w:rPr>
          <w:rtl w:val="true"/>
        </w:rPr>
        <w:t xml:space="preserve">: </w:t>
      </w:r>
      <w:r>
        <w:rPr>
          <w:rtl w:val="true"/>
        </w:rPr>
        <w:t>الحذف والذکر</w:t>
      </w:r>
      <w:bookmarkEnd w:id="386"/>
    </w:p>
    <w:p>
      <w:pPr>
        <w:pStyle w:val="Heading5"/>
        <w:numPr>
          <w:ilvl w:val="4"/>
          <w:numId w:val="1"/>
        </w:numPr>
        <w:rPr/>
      </w:pPr>
      <w:bookmarkStart w:id="387" w:name="__RefHeading___Toc507865_774463916"/>
      <w:bookmarkStart w:id="388" w:name="_Toc134"/>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یتألف النظام الترکیبی للجملة العربیة من مسند إلیه ومسند</w:t>
      </w:r>
      <w:r>
        <w:rPr>
          <w:rStyle w:val="FootnoteAnchor"/>
          <w:rtl w:val="true"/>
        </w:rPr>
        <w:footnoteReference w:id="955"/>
      </w:r>
      <w:r>
        <w:rPr>
          <w:rFonts w:ascii="IRNazanin" w:hAnsi="IRNazanin" w:eastAsia="IRNazanin"/>
          <w:color w:val="111111"/>
          <w:sz w:val="28"/>
          <w:sz w:val="28"/>
          <w:szCs w:val="28"/>
          <w:rtl w:val="true"/>
          <w:lang w:bidi="fa-IR"/>
        </w:rPr>
        <w:t xml:space="preserve">، وهما طرفاه المکونان له، فقد یقتضی ذکرهما فی الجملة،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الأصل المثالی، ولا موجب للعدول عنه</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 ولکن قد یفرض المقام وطبیعة الکلام أن یحذف أحدهما لیحقّق بذلک أثراً أُسلوبیاً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 فی ذهن المتلقّی شحنة فکریة توقظ ذهنه، وتجعله یتخیّل ما هو مقصود</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وجّه اللغویون والبلاغیون عنایتهم بدراسة ظاهرة الحذف بدءاً بسیبویه، کما فی حدیثه عمّا یکون فی اللفظ من الإعراض والاستقامة فی الکلام</w:t>
      </w:r>
      <w:r>
        <w:rPr>
          <w:rStyle w:val="FootnoteAnchor"/>
          <w:rtl w:val="true"/>
        </w:rPr>
        <w:footnoteReference w:id="958"/>
      </w:r>
      <w:r>
        <w:rPr>
          <w:rFonts w:ascii="IRNazanin" w:hAnsi="IRNazanin" w:eastAsia="IRNazanin"/>
          <w:color w:val="111111"/>
          <w:sz w:val="28"/>
          <w:sz w:val="28"/>
          <w:szCs w:val="28"/>
          <w:rtl w:val="true"/>
          <w:lang w:bidi="fa-IR"/>
        </w:rPr>
        <w:t xml:space="preserve">، کما تحدّث عنها الفرَّاء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وأفرد لها ابن جنّی فی خصائصه باباً مستقلاً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شجاعة العربیة</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تحدّث فیه عن هذه الظاهرة بصورة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القاهر الجرجانی، فقد وصف هذا الباب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دقیق المسلک، لطیف المأخذ، عجیب الأمر، شبیه بالسحر</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 xml:space="preserve">، وقد اشترط النحاة فی الحذف أن یکون بوجود قرینة تمنع من حصول اللّبس </w:t>
      </w:r>
      <w:r>
        <w:rPr>
          <w:rStyle w:val="FootnoteAnchor"/>
          <w:rtl w:val="true"/>
        </w:rPr>
        <w:footnoteReference w:id="962"/>
      </w:r>
      <w:r>
        <w:rPr>
          <w:rFonts w:ascii="IRNazanin" w:hAnsi="IRNazanin" w:eastAsia="IRNazanin"/>
          <w:color w:val="111111"/>
          <w:sz w:val="28"/>
          <w:sz w:val="28"/>
          <w:szCs w:val="28"/>
          <w:rtl w:val="true"/>
          <w:lang w:bidi="fa-IR"/>
        </w:rPr>
        <w:t xml:space="preserve">، لذا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المحذوف إذا دلّت الدلالة علیه کان فی حکم الملفوظ به، إلّا أن یعترض هناک من صناعة اللفظ ما یمنع منه</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389" w:name="pg5013_35488"/>
    </w:p>
    <w:p>
      <w:pPr>
        <w:pStyle w:val="BookText"/>
        <w:rPr/>
      </w:pPr>
      <w:bookmarkEnd w:id="389"/>
      <w:r>
        <w:rPr>
          <w:rFonts w:ascii="IRNazanin" w:hAnsi="IRNazanin" w:eastAsia="IRNazanin"/>
          <w:color w:val="111111"/>
          <w:sz w:val="28"/>
          <w:sz w:val="28"/>
          <w:szCs w:val="28"/>
          <w:rtl w:val="true"/>
          <w:lang w:bidi="fa-IR"/>
        </w:rPr>
        <w:t>أمَّا الذکر، فهو إجراء أُسلوبی یلجأ إلیه المنشئ فیأتی بأحد العناصر اللغویة فی سیاق الکلام، لیحقّق بذلک زیادة فی إیضاحه وتوکیده</w:t>
      </w:r>
      <w:r>
        <w:rPr>
          <w:rStyle w:val="FootnoteAnchor"/>
          <w:rtl w:val="true"/>
        </w:rPr>
        <w:footnoteReference w:id="964"/>
      </w:r>
      <w:r>
        <w:rPr>
          <w:rFonts w:ascii="IRNazanin" w:hAnsi="IRNazanin" w:eastAsia="IRNazanin"/>
          <w:color w:val="111111"/>
          <w:sz w:val="28"/>
          <w:sz w:val="28"/>
          <w:szCs w:val="28"/>
          <w:rtl w:val="true"/>
          <w:lang w:bidi="fa-IR"/>
        </w:rPr>
        <w:t>، وهو الأصل فی النظام الترکیبی للجملة العربیة، کما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تناول البلاغیون موضوع الذّکر، فأشاروا إلی أثره الدلالی فی الجملة العربیة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والحذف والذکر من أسباب سعة المساحة فی التعبیر، فقد یُفید الحذف المبالغة أو الاقتصاد فی الأداء وغیرها، وقد یدلّ علی التوکید وغیرها من الأغراض</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وسوف یتناول البحث مواضع الحذف والذکر بحسب ورودها فی نصوص الحِقبتین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صور الحذف</w:t>
      </w:r>
      <w:r>
        <w:rPr>
          <w:rFonts w:eastAsia="IRNazanin" w:cs="IRNazanin"/>
          <w:color w:val="111111"/>
          <w:sz w:val="28"/>
          <w:szCs w:val="28"/>
          <w:rtl w:val="true"/>
          <w:lang w:bidi="fa-IR"/>
        </w:rPr>
        <w:t>:</w:t>
      </w:r>
    </w:p>
    <w:p>
      <w:pPr>
        <w:pStyle w:val="Heading5"/>
        <w:numPr>
          <w:ilvl w:val="4"/>
          <w:numId w:val="1"/>
        </w:numPr>
        <w:rPr/>
      </w:pPr>
      <w:bookmarkStart w:id="390" w:name="__RefHeading___Toc507867_774463916"/>
      <w:bookmarkStart w:id="391" w:name="_Toc135"/>
      <w:bookmarkEnd w:id="390"/>
      <w:r>
        <w:rPr/>
        <w:t>1</w:t>
      </w:r>
      <w:r>
        <w:rPr>
          <w:rtl w:val="true"/>
        </w:rPr>
        <w:t xml:space="preserve">- </w:t>
      </w:r>
      <w:r>
        <w:rPr>
          <w:rtl w:val="true"/>
        </w:rPr>
        <w:t>حذف المسند إلیه</w:t>
      </w:r>
      <w:bookmarkEnd w:id="391"/>
    </w:p>
    <w:p>
      <w:pPr>
        <w:pStyle w:val="Heading6"/>
        <w:numPr>
          <w:ilvl w:val="5"/>
          <w:numId w:val="1"/>
        </w:numPr>
        <w:rPr/>
      </w:pPr>
      <w:bookmarkStart w:id="392" w:name="__RefHeading___Toc507869_774463916"/>
      <w:bookmarkStart w:id="393" w:name="_Toc136"/>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من أرکان الجملة، والأصل فیه ذکره، وعدم حذفه منها</w:t>
      </w:r>
      <w:r>
        <w:rPr>
          <w:rStyle w:val="FootnoteAnchor"/>
          <w:rtl w:val="true"/>
        </w:rPr>
        <w:footnoteReference w:id="967"/>
      </w:r>
      <w:r>
        <w:rPr>
          <w:rFonts w:ascii="IRNazanin" w:hAnsi="IRNazanin" w:eastAsia="IRNazanin"/>
          <w:color w:val="111111"/>
          <w:sz w:val="28"/>
          <w:sz w:val="28"/>
          <w:szCs w:val="28"/>
          <w:rtl w:val="true"/>
          <w:lang w:bidi="fa-IR"/>
        </w:rPr>
        <w:t>، ولکن قد یُحذف إذا کانت هناک قرینة دالة علیه</w:t>
      </w:r>
      <w:r>
        <w:rPr>
          <w:rStyle w:val="FootnoteAnchor"/>
          <w:rtl w:val="true"/>
        </w:rPr>
        <w:footnoteReference w:id="968"/>
      </w:r>
      <w:r>
        <w:rPr>
          <w:rFonts w:ascii="IRNazanin" w:hAnsi="IRNazanin" w:eastAsia="IRNazanin"/>
          <w:color w:val="111111"/>
          <w:sz w:val="28"/>
          <w:sz w:val="28"/>
          <w:szCs w:val="28"/>
          <w:rtl w:val="true"/>
          <w:lang w:bidi="fa-IR"/>
        </w:rPr>
        <w:t>، وإنَّما یؤْثِر الأدیب حذفه لأغراض أُسلوبیة یتطلبها القصد والمقام، ومن صور هذا الحذف</w:t>
      </w:r>
      <w:r>
        <w:rPr>
          <w:rFonts w:eastAsia="IRNazanin" w:cs="IRNazanin"/>
          <w:color w:val="111111"/>
          <w:sz w:val="28"/>
          <w:szCs w:val="28"/>
          <w:rtl w:val="true"/>
          <w:lang w:bidi="fa-IR"/>
        </w:rPr>
        <w:t>:</w:t>
      </w:r>
    </w:p>
    <w:p>
      <w:pPr>
        <w:pStyle w:val="Heading6"/>
        <w:numPr>
          <w:ilvl w:val="5"/>
          <w:numId w:val="1"/>
        </w:numPr>
        <w:rPr/>
      </w:pPr>
      <w:bookmarkStart w:id="394" w:name="__RefHeading___Toc507871_774463916"/>
      <w:bookmarkStart w:id="395" w:name="_Toc137"/>
      <w:bookmarkEnd w:id="394"/>
      <w:r>
        <w:rPr>
          <w:rtl w:val="true"/>
        </w:rPr>
        <w:t>أ</w:t>
      </w:r>
      <w:r>
        <w:rPr>
          <w:rtl w:val="true"/>
        </w:rPr>
        <w:t xml:space="preserve">- </w:t>
      </w:r>
      <w:r>
        <w:rPr>
          <w:rtl w:val="true"/>
        </w:rPr>
        <w:t>حذف المبتدأ</w:t>
      </w:r>
      <w:bookmarkEnd w:id="39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المبتدأ عمدة فی الکلام؛ لأنَّ الفائدة تتوقف علیه، وذلک لکونه رکناً رئیساً من أرکان الجملة، یقول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یجد المتکلّم منه بُدَّاً، فمن ذلک الاسم المبتدأ والمبنی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قولک عبد الله أخوک، وهذا أخوک</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xml:space="preserve">، ویجب تقدیره إذا کان محذوفاً، وإنّ ذکره یکوّن مع الخبر ترکیباً اسمیاً تام الطرفین؛ لأنّ الترکیب لا یمکن أن یستغنی عن وجود الرکنین معاً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حذف المبتدأ فی رسالة سلیمان بن صُرَد إلی سعد بن حذیفة بن الیمان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ضَرَبْنَا لإخوانِنَا أجلاً یوافونَنَا إلیه، وَمَوْطِناً یَلْقُونَنَا فیه؛ فأمَّا الأجلُ فَغرَّةُ شَهْرِ رَبْیعٍ الآخر سنة خمسٍ وستّین، وأمَّا المَوْطِنُ الذی یَلْقونَنَا فیهِ فالنُّخَیْلَة</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حُذِفَ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الأجل فغرّة شهر 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غرّة ربیع الآخر،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الموطن الذی یلقوننا فیه فالنخیلة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النخیلة، وإنَّما کان ذلک الحذف لغرض الاحتراز من العبث فی الکلام</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ما لا ضرورة لذکره، وذلک ممّا یکسب الکلام قوة وجمالاً</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لأنَّ المبتدأ قد وقع بعد الفاء المقترنة بالجملة الاسمیة الواقعة جواباً للشرط</w:t>
      </w:r>
      <w:r>
        <w:rPr>
          <w:rStyle w:val="FootnoteAnchor"/>
          <w:rtl w:val="true"/>
        </w:rPr>
        <w:footnoteReference w:id="974"/>
      </w:r>
      <w:r>
        <w:rPr>
          <w:rFonts w:ascii="IRNazanin" w:hAnsi="IRNazanin" w:eastAsia="IRNazanin"/>
          <w:color w:val="111111"/>
          <w:sz w:val="28"/>
          <w:sz w:val="28"/>
          <w:szCs w:val="28"/>
          <w:rtl w:val="true"/>
          <w:lang w:bidi="fa-IR"/>
        </w:rPr>
        <w:t>، والنحاة یرون أنّ حذف المبتدأ فی هذا الموضع إنَّما هو حذف جائز ولیس بوجوبی</w:t>
      </w:r>
      <w:r>
        <w:rPr>
          <w:rStyle w:val="FootnoteAnchor"/>
          <w:rtl w:val="true"/>
        </w:rPr>
        <w:footnoteReference w:id="975"/>
      </w:r>
      <w:r>
        <w:rPr>
          <w:rFonts w:ascii="IRNazanin" w:hAnsi="IRNazanin" w:eastAsia="IRNazanin"/>
          <w:color w:val="111111"/>
          <w:sz w:val="28"/>
          <w:sz w:val="28"/>
          <w:szCs w:val="28"/>
          <w:rtl w:val="true"/>
          <w:lang w:bidi="fa-IR"/>
        </w:rPr>
        <w:t>، فیجوز عنده للمتکلّم ذکره أو حذفه، لکنّ المنشئ حذفه طلباً للغرض الأُسلوبی المتقدّم، وکذلک السرعة فی إیصال الخبر إلی ذهن السامع وإعلامه</w:t>
      </w:r>
      <w:r>
        <w:rPr>
          <w:rFonts w:eastAsia="IRNazanin" w:cs="IRNazanin"/>
          <w:color w:val="111111"/>
          <w:sz w:val="28"/>
          <w:szCs w:val="28"/>
          <w:rtl w:val="true"/>
          <w:lang w:bidi="fa-IR"/>
        </w:rPr>
        <w:t xml:space="preserve">. </w:t>
      </w:r>
      <w:bookmarkStart w:id="396" w:name="pg5013_35490"/>
    </w:p>
    <w:p>
      <w:pPr>
        <w:pStyle w:val="BookText"/>
        <w:rPr/>
      </w:pPr>
      <w:bookmarkEnd w:id="396"/>
      <w:r>
        <w:rPr>
          <w:rFonts w:ascii="Amiri" w:hAnsi="Amiri" w:eastAsia="Amiri" w:cs="Amiri"/>
          <w:color w:val="111111"/>
          <w:sz w:val="28"/>
          <w:sz w:val="28"/>
          <w:szCs w:val="28"/>
          <w:rtl w:val="true"/>
          <w:lang w:bidi="ar-SA"/>
        </w:rPr>
        <w:t xml:space="preserve">وقد جاء مثل هذا الحذف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عبد الله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قَدْ رَأیتُ رَأیاً، إنْ یَکُنْ صَوَابَاً فالله وَفَّق، وإنْ یَکُنْ لَیْسَ بِصَوابٍ فَمِنْ قِبَلِی، فإنّی ما آلُوکُم وَنَفْس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نُصْحاً، خَطأً کانَ أمْ صَوَابَاً</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حذف المسند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الفاء المقترنة بالجملة الاسمیة والواقعة جواباً للش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یکن لیس بصواب فمن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قِبلی، وکان الحذف جائزاً فی هذا الموضع وقد حُذِف لسبق ذکره، والغرض منه الإیجاز فی الکلام بأقل عدد من الکلمات والاحتراز من العبث فی ذکر المبتدأ، وتعجیل إیصال الفائدة التی یحملها الخبر إلی ذهن المتلقّی</w:t>
      </w:r>
      <w:r>
        <w:rPr>
          <w:rFonts w:eastAsia="IRNazanin" w:cs="IRNazanin"/>
          <w:color w:val="111111"/>
          <w:sz w:val="28"/>
          <w:szCs w:val="28"/>
          <w:rtl w:val="true"/>
          <w:lang w:bidi="fa-IR"/>
        </w:rPr>
        <w:t>.</w:t>
      </w:r>
    </w:p>
    <w:p>
      <w:pPr>
        <w:pStyle w:val="Heading6"/>
        <w:numPr>
          <w:ilvl w:val="5"/>
          <w:numId w:val="1"/>
        </w:numPr>
        <w:rPr/>
      </w:pPr>
      <w:bookmarkStart w:id="397" w:name="__RefHeading___Toc507873_774463916"/>
      <w:bookmarkStart w:id="398" w:name="_Toc138"/>
      <w:bookmarkEnd w:id="397"/>
      <w:r>
        <w:rPr>
          <w:rtl w:val="true"/>
        </w:rPr>
        <w:t xml:space="preserve">ب </w:t>
      </w:r>
      <w:r>
        <w:rPr>
          <w:rtl w:val="true"/>
        </w:rPr>
        <w:t xml:space="preserve">- </w:t>
      </w:r>
      <w:r>
        <w:rPr>
          <w:rtl w:val="true"/>
        </w:rPr>
        <w:t>حذف الفاعل</w:t>
      </w:r>
      <w:bookmarkEnd w:id="39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الرکن الثانی فی الجملة الفعلیة، ویشغل مجال المسند إلیه فیها، ولا یستغنی عن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واجب الذکر، ولا یجوز حذفه؛ لأنَّه عمدة فی الجملة</w:t>
      </w:r>
      <w:r>
        <w:rPr>
          <w:rStyle w:val="FootnoteAnchor"/>
          <w:rtl w:val="true"/>
        </w:rPr>
        <w:footnoteReference w:id="977"/>
      </w:r>
      <w:r>
        <w:rPr>
          <w:rFonts w:ascii="IRNazanin" w:hAnsi="IRNazanin" w:eastAsia="IRNazanin"/>
          <w:color w:val="111111"/>
          <w:sz w:val="28"/>
          <w:sz w:val="28"/>
          <w:szCs w:val="28"/>
          <w:rtl w:val="true"/>
          <w:lang w:bidi="fa-IR"/>
        </w:rPr>
        <w:t>، وإذا حُذِفَ منها قُدّر رُکنه بضمیر ملائم، وإذا جُهل قام مقامه المفعول به إن وجد فیها، وإلّا فالمصدر، أو الظرف أو الجار والمجرور</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تتبّع النحاة حذف الفاعل فی مواضع ذکرها السیوطی</w:t>
      </w:r>
      <w:r>
        <w:rPr>
          <w:rStyle w:val="FootnoteAnchor"/>
          <w:rtl w:val="true"/>
        </w:rPr>
        <w:footnoteReference w:id="979"/>
      </w:r>
      <w:r>
        <w:rPr>
          <w:rFonts w:ascii="IRNazanin" w:hAnsi="IRNazanin" w:eastAsia="IRNazanin"/>
          <w:color w:val="111111"/>
          <w:sz w:val="28"/>
          <w:sz w:val="28"/>
          <w:szCs w:val="28"/>
          <w:rtl w:val="true"/>
          <w:lang w:bidi="fa-IR"/>
        </w:rPr>
        <w:t>، وقد یُحذف فی غیرها، وجاز حذفه لدلیل</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یجوز الحذف إذا أُرید تجاهل أحد طرفی الإسناد، کالذی یکون مع ما یُعْرَف بالفعْل المبنی للمجهول، أو للمفعول، أو لما لم یُسمَّ فاعله</w:t>
      </w:r>
      <w:r>
        <w:rPr>
          <w:rFonts w:eastAsia="IRNazanin" w:cs="IRNazanin"/>
          <w:color w:val="111111"/>
          <w:sz w:val="28"/>
          <w:szCs w:val="28"/>
          <w:rtl w:val="true"/>
          <w:lang w:bidi="fa-IR"/>
        </w:rPr>
        <w:t>»</w:t>
      </w:r>
      <w:r>
        <w:rPr>
          <w:rStyle w:val="FootnoteAnchor"/>
          <w:rtl w:val="true"/>
        </w:rPr>
        <w:footnoteReference w:id="981"/>
      </w:r>
      <w:r>
        <w:rPr>
          <w:rFonts w:ascii="Amiri" w:hAnsi="Amiri" w:eastAsia="Amiri" w:cs="Amiri"/>
          <w:color w:val="111111"/>
          <w:sz w:val="28"/>
          <w:sz w:val="28"/>
          <w:szCs w:val="28"/>
          <w:rtl w:val="true"/>
          <w:lang w:bidi="ar-SA"/>
        </w:rPr>
        <w:t xml:space="preserve">، وقد وَقَعَ مثَلُ هذا الحَذْف </w:t>
      </w:r>
    </w:p>
    <w:p>
      <w:pPr>
        <w:pStyle w:val="BookText"/>
        <w:rPr/>
      </w:pPr>
      <w:r>
        <w:rPr>
          <w:rFonts w:ascii="Amiri" w:hAnsi="Amiri" w:eastAsia="Amiri" w:cs="Amiri"/>
          <w:color w:val="111111"/>
          <w:sz w:val="28"/>
          <w:sz w:val="28"/>
          <w:szCs w:val="28"/>
          <w:rtl w:val="true"/>
          <w:lang w:bidi="ar-SA"/>
        </w:rPr>
        <w:t>کثیراً فی نصوص الحِقبتین، ومن ذلک ما جاء فی خُطبة خالد بن سعد بن نفیل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فوالله لو أعلمُ أنَّ قَتْلِی نَفْسِی یُخْرِجُنِی مِنْ ذَنْبِی، وَیُرْضِی عَنّی رَبّی لَقَتَلْتُها، ولَکنَّ هذا أُمِرَ به قومٌ کانوا قَبْلَنَا ونُهِیْنَا عَنْهُ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حُذِف الفاعل وبُنِیَ الفعل للمجهول فی موضعین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والغرض من وراء هذا الحذف هو علم المتلقّی بالمحذوف</w:t>
      </w:r>
      <w:r>
        <w:rPr>
          <w:rStyle w:val="FootnoteAnchor"/>
          <w:rtl w:val="true"/>
        </w:rPr>
        <w:footnoteReference w:id="983"/>
      </w:r>
      <w:r>
        <w:rPr>
          <w:rFonts w:ascii="Amiri" w:hAnsi="Amiri" w:eastAsia="Amiri" w:cs="Amiri"/>
          <w:color w:val="111111"/>
          <w:sz w:val="28"/>
          <w:sz w:val="28"/>
          <w:szCs w:val="28"/>
          <w:rtl w:val="true"/>
          <w:lang w:bidi="ar-SA"/>
        </w:rPr>
        <w:t>ذلک أنّه یعلم أنّ نبیّ الله موسی هو الذی أمر بنی إسرائیل بقتل أنفسهم، فقد جاء فی القرآن الکریم حکایة عن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أَنْفُسَکُمْ ذَلِکُمْ خَیْرٌ لَکُمْ عِنْدَ بَارِئِکُمْ</w:t>
      </w:r>
      <w:r>
        <w:rPr>
          <w:rFonts w:eastAsia="Amiri" w:cs="Amiri" w:ascii="Amiri" w:hAnsi="Amiri"/>
          <w:color w:val="111111"/>
          <w:sz w:val="28"/>
          <w:szCs w:val="28"/>
          <w:rtl w:val="true"/>
          <w:lang w:bidi="ar-SA"/>
        </w:rPr>
        <w:t>»</w:t>
      </w:r>
      <w:r>
        <w:rPr>
          <w:rStyle w:val="FootnoteAnchor"/>
          <w:rtl w:val="true"/>
        </w:rPr>
        <w:footnoteReference w:id="984"/>
      </w:r>
      <w:r>
        <w:rPr>
          <w:rFonts w:ascii="IRNazanin" w:hAnsi="IRNazanin" w:eastAsia="IRNazanin"/>
          <w:color w:val="111111"/>
          <w:sz w:val="28"/>
          <w:sz w:val="28"/>
          <w:szCs w:val="28"/>
          <w:rtl w:val="true"/>
          <w:lang w:bidi="fa-IR"/>
        </w:rPr>
        <w:t>لما صدر عنهم من عبادة العجل، وکذلک یعلم المتلقی جیداً أنّ الله</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 نهی المسلمین مراراً من قتل أنفسهم أو تعریضها للهلاک إلّا لأمرٍ مشروع؛ لذا جاء الفاعل محذوفاً فی کلا الموضعین، فلا حاجة لذکره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ورد من حذف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عبد الله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الوالی الزبیری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بَلَغَنی أنَّ طائفةً مِنْ أهلِ هذا المصْرَ أرادُوا أنْ یَخْرُجُوا عَلَیْنَا، فسألتُ عَنِ الذی دَعَاهُم إلی ذلکَ ما هو؟ فَقِیلَ لِی زَعَمُوا أنّهُم یَطلِبُونَ بدمِ الحسینِ بنِ علی، فَرَحِمَ الله هؤلاء القوم،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دُلِلْتُ علی أمَاکِنِهِم، وأُمِرْتُ بأخْذِهِم،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ابْدأهُم قَبْلَ أنْ یَبْدَءُوکَ، فَأبَیْتُ ذَلک</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حُذِف الفاعل، وبُنیَ الفعل معه للمجهول فی أربعة مواضع،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لی زعموا أنّهم یطلبون بدم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دُللت علی أماکنهم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وأُمرت </w:t>
      </w:r>
      <w:bookmarkStart w:id="399" w:name="pg5013_35492"/>
    </w:p>
    <w:p>
      <w:pPr>
        <w:pStyle w:val="BookText"/>
        <w:rPr/>
      </w:pPr>
      <w:bookmarkEnd w:id="399"/>
      <w:r>
        <w:rPr>
          <w:rFonts w:ascii="IRNazanin" w:hAnsi="IRNazanin" w:eastAsia="IRNazanin"/>
          <w:color w:val="111111"/>
          <w:sz w:val="28"/>
          <w:sz w:val="28"/>
          <w:szCs w:val="28"/>
          <w:rtl w:val="true"/>
          <w:lang w:bidi="fa-IR"/>
        </w:rPr>
        <w:t>بأخذهم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ابدأهم قبل أن یبدءوک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الأُسلوبی من وراء هذا الحذف هو علم الخطیب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حَذْف الفاعل فی خُطبةِ یزید بن أنس الأسدی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الشیعة، قَد کنتم تُقتَلُون وتُقَطّعُ أیدِیکم وأرجُلُکُم، وتُسْمَلُ أعیُنُکم، وتُرْفَعُونَ علی جذوعِ النخلِ فی حُبّ أهلِ بیتِ نبیّکم</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حُذِفَ الفاعل وبُنِیَ معه الفعل للمجهول مکرّراً فی أربعة،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تُسْمل 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تُرفَعون علی جذوع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السبب فی حذف الفاعل وتغییبه إلی هامش الشعور هو علم المخاطب به، وهم الأُمویون الذین ساموا الشیعة أشدَّ أنواع العذاب</w:t>
      </w:r>
      <w:r>
        <w:rPr>
          <w:rFonts w:eastAsia="IRNazanin" w:cs="IRNazanin"/>
          <w:color w:val="111111"/>
          <w:sz w:val="28"/>
          <w:szCs w:val="28"/>
          <w:rtl w:val="true"/>
          <w:lang w:bidi="fa-IR"/>
        </w:rPr>
        <w:t>.</w:t>
      </w:r>
    </w:p>
    <w:p>
      <w:pPr>
        <w:pStyle w:val="Heading5"/>
        <w:numPr>
          <w:ilvl w:val="4"/>
          <w:numId w:val="1"/>
        </w:numPr>
        <w:rPr/>
      </w:pPr>
      <w:bookmarkStart w:id="400" w:name="__RefHeading___Toc507875_774463916"/>
      <w:bookmarkStart w:id="401" w:name="_Toc139"/>
      <w:bookmarkEnd w:id="400"/>
      <w:r>
        <w:rPr/>
        <w:t>2</w:t>
      </w:r>
      <w:r>
        <w:rPr>
          <w:rtl w:val="true"/>
        </w:rPr>
        <w:t xml:space="preserve">- </w:t>
      </w:r>
      <w:r>
        <w:rPr>
          <w:rtl w:val="true"/>
        </w:rPr>
        <w:t>حذف المسند</w:t>
      </w:r>
      <w:bookmarkEnd w:id="401"/>
    </w:p>
    <w:p>
      <w:pPr>
        <w:pStyle w:val="Heading6"/>
        <w:numPr>
          <w:ilvl w:val="5"/>
          <w:numId w:val="1"/>
        </w:numPr>
        <w:rPr/>
      </w:pPr>
      <w:bookmarkStart w:id="402" w:name="__RefHeading___Toc507877_774463916"/>
      <w:bookmarkStart w:id="403" w:name="_Toc140"/>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 xml:space="preserve">الأصل فی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کان أم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مذکوراً فی الکلام، فهو کالمسند إلیه من هذه الجهة، وقد یُحذف عند وجود القرینة الدالة علی حذفه</w:t>
      </w:r>
      <w:r>
        <w:rPr>
          <w:rStyle w:val="FootnoteAnchor"/>
          <w:rtl w:val="true"/>
        </w:rPr>
        <w:footnoteReference w:id="987"/>
      </w:r>
      <w:r>
        <w:rPr>
          <w:rFonts w:ascii="IRNazanin" w:hAnsi="IRNazanin" w:eastAsia="IRNazanin"/>
          <w:color w:val="111111"/>
          <w:sz w:val="28"/>
          <w:sz w:val="28"/>
          <w:szCs w:val="28"/>
          <w:rtl w:val="true"/>
          <w:lang w:bidi="fa-IR"/>
        </w:rPr>
        <w:t>، وسوف یوضِّح البحث هذه الأغراض من خلال الأمثلة الواردة فی حذف المسند سواء أکان فعلاً أم خبراً</w:t>
      </w:r>
      <w:r>
        <w:rPr>
          <w:rFonts w:eastAsia="IRNazanin" w:cs="IRNazanin"/>
          <w:color w:val="111111"/>
          <w:sz w:val="28"/>
          <w:szCs w:val="28"/>
          <w:rtl w:val="true"/>
          <w:lang w:bidi="fa-IR"/>
        </w:rPr>
        <w:t>.</w:t>
      </w:r>
    </w:p>
    <w:p>
      <w:pPr>
        <w:pStyle w:val="Heading6"/>
        <w:numPr>
          <w:ilvl w:val="5"/>
          <w:numId w:val="1"/>
        </w:numPr>
        <w:rPr/>
      </w:pPr>
      <w:bookmarkStart w:id="404" w:name="__RefHeading___Toc507879_774463916"/>
      <w:bookmarkStart w:id="405" w:name="_Toc141"/>
      <w:bookmarkEnd w:id="404"/>
      <w:r>
        <w:rPr>
          <w:rtl w:val="true"/>
        </w:rPr>
        <w:t>أ</w:t>
      </w:r>
      <w:r>
        <w:rPr>
          <w:rtl w:val="true"/>
        </w:rPr>
        <w:t xml:space="preserve">- </w:t>
      </w:r>
      <w:r>
        <w:rPr>
          <w:rtl w:val="true"/>
        </w:rPr>
        <w:t>حذف الفعل</w:t>
      </w:r>
      <w:bookmarkEnd w:id="40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یُعدُّ الفعل رکناً مهمّاً فی بناء الجملة العربیة</w:t>
      </w:r>
      <w:r>
        <w:rPr>
          <w:rStyle w:val="FootnoteAnchor"/>
          <w:rtl w:val="true"/>
        </w:rPr>
        <w:footnoteReference w:id="988"/>
      </w:r>
      <w:r>
        <w:rPr>
          <w:rFonts w:ascii="IRNazanin" w:hAnsi="IRNazanin" w:eastAsia="IRNazanin"/>
          <w:color w:val="111111"/>
          <w:sz w:val="28"/>
          <w:sz w:val="28"/>
          <w:szCs w:val="28"/>
          <w:rtl w:val="true"/>
          <w:lang w:bidi="fa-IR"/>
        </w:rPr>
        <w:t>، وهو المسند فی الجملة الفعلیة</w:t>
      </w:r>
      <w:r>
        <w:rPr>
          <w:rStyle w:val="FootnoteAnchor"/>
          <w:rtl w:val="true"/>
        </w:rPr>
        <w:footnoteReference w:id="989"/>
      </w:r>
      <w:r>
        <w:rPr>
          <w:rFonts w:ascii="IRNazanin" w:hAnsi="IRNazanin" w:eastAsia="IRNazanin"/>
          <w:color w:val="111111"/>
          <w:sz w:val="28"/>
          <w:sz w:val="28"/>
          <w:szCs w:val="28"/>
          <w:rtl w:val="true"/>
          <w:lang w:bidi="fa-IR"/>
        </w:rPr>
        <w:t xml:space="preserve">لذا فهو من أهمِّ أرکانها، وخاصّة ما یتّصل بالحدث الذی یُعرَف بوجوده زمن الجملة من </w:t>
      </w:r>
    </w:p>
    <w:p>
      <w:pPr>
        <w:pStyle w:val="BookText"/>
        <w:rPr/>
      </w:pPr>
      <w:r>
        <w:rPr>
          <w:rFonts w:ascii="IRNazanin" w:hAnsi="IRNazanin" w:eastAsia="IRNazanin"/>
          <w:color w:val="111111"/>
          <w:sz w:val="28"/>
          <w:sz w:val="28"/>
          <w:szCs w:val="28"/>
          <w:rtl w:val="true"/>
          <w:lang w:bidi="fa-IR"/>
        </w:rPr>
        <w:t>ماضٍ أو مضارع، أو أمر</w:t>
      </w:r>
      <w:r>
        <w:rPr>
          <w:rStyle w:val="FootnoteAnchor"/>
          <w:rtl w:val="true"/>
        </w:rPr>
        <w:footnoteReference w:id="9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والفعل یُذکر ویُترک وفقاً لما یقتضیه الحال، ویتطلبه المقام، فقد یُحتّم ذلک ما یذکر، وقد یکون ذکره عبثاً فیترک</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 وسوف یُبیّن البحث ذلک من خلال الأمثلة الواردة من خُطب ورسائل الحِقبتین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فی خُطبة المختار بعد هرب ابن مطیع،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وَعَدَ ولیَّه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وعدوَّه الخُسْرَ، وجَعَلَهُ فیهِ إلی آخرِ الدهر، وَعْداً مفْعُولاً وقضاءً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رُفِعَتْ لنا رَایة، وَمُدَّتْ لَنا غَایَة، فقیلَ لنا فی الرایة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ارفعُوها ولا تَضَعوها، وفی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اجروا إلیْها ولا تَعْدُوها، فَسَمِعْنَا دعوةَ الداعی، ومَقالةَ الواعی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والذی جعلَ السماء سَقفاً مکفوفاً، والأرْضَ فِجَاجاً سُبُلاً، ما بایِعْتُم بعدَ بیعةِ علی بن أبی طالب وآلِ علی أهدی مِنْها</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حذف المنشئ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متفرّقة من هذه الخُطبة، حتی صار ظاهرة أُسلوبیة بارزة فیها، والمواضع التی حذف منها الفعل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وعد ولیّه النصر، وعدوّه الخُسْر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 عدوه الخس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فحذف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الجملة الثانیة، لوجود الدلیل والقرینة وهی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السابقة، فلا حاجة إلی إعادة ذکره فی هذا الموضع، والغرض البلاغی من هذا الحذف الأُسلوبی هو الاحتراز من العبث بذکر المسند</w:t>
      </w:r>
      <w:r>
        <w:rPr>
          <w:rStyle w:val="FootnoteAnchor"/>
          <w:rtl w:val="true"/>
        </w:rPr>
        <w:footnoteReference w:id="993"/>
      </w:r>
      <w:r>
        <w:rPr>
          <w:rFonts w:ascii="IRNazanin" w:hAnsi="IRNazanin" w:eastAsia="IRNazanin"/>
          <w:color w:val="111111"/>
          <w:sz w:val="28"/>
          <w:sz w:val="28"/>
          <w:szCs w:val="28"/>
          <w:rtl w:val="true"/>
          <w:lang w:bidi="fa-IR"/>
        </w:rPr>
        <w:t>؛ إذ لا ضرورة لذکره لدلالة المتقدّم علیه</w:t>
      </w:r>
      <w:r>
        <w:rPr>
          <w:rFonts w:eastAsia="IRNazanin" w:cs="IRNazanin"/>
          <w:color w:val="111111"/>
          <w:sz w:val="28"/>
          <w:szCs w:val="28"/>
          <w:rtl w:val="true"/>
          <w:lang w:bidi="fa-IR"/>
        </w:rPr>
        <w:t xml:space="preserve">. </w:t>
      </w:r>
      <w:bookmarkStart w:id="406" w:name="pg5013_35494"/>
    </w:p>
    <w:p>
      <w:pPr>
        <w:pStyle w:val="BookText"/>
        <w:rPr/>
      </w:pPr>
      <w:bookmarkEnd w:id="406"/>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مفعولاً، وقضاءً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حُذف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العامل فی المصدر بکونه مبیّناً لنوع ذلک المصدر، وهذا إنَّما یکون بوجود الدلیل الذی یدلُّ علی حذفه</w:t>
      </w:r>
      <w:r>
        <w:rPr>
          <w:rStyle w:val="FootnoteAnchor"/>
          <w:rtl w:val="true"/>
        </w:rPr>
        <w:footnoteReference w:id="994"/>
      </w:r>
      <w:r>
        <w:rPr>
          <w:rFonts w:ascii="Amiri" w:hAnsi="Amiri" w:eastAsia="Amiri" w:cs="Amiri"/>
          <w:color w:val="111111"/>
          <w:sz w:val="28"/>
          <w:sz w:val="28"/>
          <w:szCs w:val="28"/>
          <w:rtl w:val="true"/>
          <w:lang w:bidi="ar-SA"/>
        </w:rPr>
        <w:t>، وأصل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وعداً مفعولاً، وقضی قضاءً مقضیاً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لنا فی الرایة أن ارفعوها ولا تضعوها، وفی الغایة أن اجروا إلیها ولا تعدوها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فحذف الفعل فی الجملة الثانیة، لدلالة ما تقدّم علیه، فأصل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لنا فی الغایة أن اجروا إلیها، وقد تقدّم أنَّ حذفه إنَّما یکون للاحتراز من العبث بذکره، وهذا الداعی البلاغی هو نفسه الذی سوغ حذف الفعل فی الموضع الآخر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فسمعنا دعوة الداعی، ومقالة 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والأصل فی الجملة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وسمعنا مقالة 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فحذف الفعْل منْها لدلالة ما تقدّم، وللاحتراز من الإطالة غیر المجدیة فی الکلام بذکر ذلک الفعل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نفسه نجده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والذی جَعَل السماء سقفاً مکفوفاً، والأرض فجاجاً سبلاً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أیضاً حذفٌ لدلالة المتقدّم علیه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حاجة لذکرهِ ثانیةً 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لکثرة الحذف فی هذه الخُطبة جعلها تتمیز بالإیجاز والاختصار فی إیصال المعانی بأقلّ عَدَدٍ من الألفاظ، وفی أسرع زمن ممکن</w:t>
      </w:r>
      <w:r>
        <w:rPr>
          <w:rFonts w:eastAsia="IRNazanin" w:cs="IRNazanin"/>
          <w:color w:val="111111"/>
          <w:sz w:val="28"/>
          <w:szCs w:val="28"/>
          <w:rtl w:val="true"/>
          <w:lang w:bidi="fa-IR"/>
        </w:rPr>
        <w:t>.</w:t>
      </w:r>
    </w:p>
    <w:p>
      <w:pPr>
        <w:pStyle w:val="Heading6"/>
        <w:numPr>
          <w:ilvl w:val="5"/>
          <w:numId w:val="1"/>
        </w:numPr>
        <w:rPr/>
      </w:pPr>
      <w:bookmarkStart w:id="407" w:name="__RefHeading___Toc507881_774463916"/>
      <w:bookmarkStart w:id="408" w:name="_Toc142"/>
      <w:bookmarkEnd w:id="407"/>
      <w:r>
        <w:rPr>
          <w:rtl w:val="true"/>
        </w:rPr>
        <w:t xml:space="preserve">ب </w:t>
      </w:r>
      <w:r>
        <w:rPr>
          <w:rtl w:val="true"/>
        </w:rPr>
        <w:t xml:space="preserve">- </w:t>
      </w:r>
      <w:r>
        <w:rPr>
          <w:rtl w:val="true"/>
        </w:rPr>
        <w:t>حذف الخبر</w:t>
      </w:r>
      <w:bookmarkEnd w:id="40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المسند فی الجملة الاسمیة</w:t>
      </w:r>
      <w:r>
        <w:rPr>
          <w:rStyle w:val="FootnoteAnchor"/>
          <w:rtl w:val="true"/>
        </w:rPr>
        <w:footnoteReference w:id="995"/>
      </w:r>
      <w:r>
        <w:rPr>
          <w:rFonts w:ascii="IRNazanin" w:hAnsi="IRNazanin" w:eastAsia="IRNazanin"/>
          <w:color w:val="111111"/>
          <w:sz w:val="28"/>
          <w:sz w:val="28"/>
          <w:szCs w:val="28"/>
          <w:rtl w:val="true"/>
          <w:lang w:bidi="fa-IR"/>
        </w:rPr>
        <w:t>، الذی یأتی بعد المبتدأ، وبه یتمّ الکلام، وتتحصل الفائدة</w:t>
      </w:r>
      <w:r>
        <w:rPr>
          <w:rStyle w:val="FootnoteAnchor"/>
          <w:rtl w:val="true"/>
        </w:rPr>
        <w:footnoteReference w:id="996"/>
      </w:r>
      <w:r>
        <w:rPr>
          <w:rFonts w:ascii="IRNazanin" w:hAnsi="IRNazanin" w:eastAsia="IRNazanin"/>
          <w:color w:val="111111"/>
          <w:sz w:val="28"/>
          <w:sz w:val="28"/>
          <w:szCs w:val="28"/>
          <w:rtl w:val="true"/>
          <w:lang w:bidi="fa-IR"/>
        </w:rPr>
        <w:t>، وقد ذکره سیبویه فی مواضع،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کلامه عن المبتدأ والخبر فی باب الإسناد، وکون المبتدأ بحاجة إلی خبر لیتمّ معناه،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بدّ للفعل من الاسم کما </w:t>
      </w:r>
    </w:p>
    <w:p>
      <w:pPr>
        <w:pStyle w:val="BookText"/>
        <w:rPr/>
      </w:pPr>
      <w:r>
        <w:rPr>
          <w:rFonts w:ascii="Amiri" w:hAnsi="Amiri" w:eastAsia="Amiri" w:cs="Amiri"/>
          <w:color w:val="111111"/>
          <w:sz w:val="28"/>
          <w:sz w:val="28"/>
          <w:szCs w:val="28"/>
          <w:rtl w:val="true"/>
          <w:lang w:bidi="ar-SA"/>
        </w:rPr>
        <w:t>لم یکن للاسم الأوَّل بدٌّ من الآخر فی الابتداء</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 ومعنی ذلک أنَّ الخبر یؤدی وظیفة مهمّة فی الجملة، لکون المبتدأ لا یُستغنَی عنه فضلاً عن الفائدة فی الإخبار، لکن علی الرغم من هذه الفائدة التی یؤدّیها فإنّه قد یُحْذف من الکلام جوازاً أو وجوباً فی مواضع ذکرها الدارسون</w:t>
      </w:r>
      <w:r>
        <w:rPr>
          <w:rStyle w:val="FootnoteAnchor"/>
          <w:rtl w:val="true"/>
        </w:rPr>
        <w:footnoteReference w:id="998"/>
      </w:r>
      <w:r>
        <w:rPr>
          <w:rFonts w:ascii="IRNazanin" w:hAnsi="IRNazanin" w:eastAsia="IRNazanin"/>
          <w:color w:val="111111"/>
          <w:sz w:val="28"/>
          <w:sz w:val="28"/>
          <w:szCs w:val="28"/>
          <w:rtl w:val="true"/>
          <w:lang w:bidi="fa-IR"/>
        </w:rPr>
        <w:t>، وبوجود القرینة اللفظیة أو الحالیة التی تُغنی عن النطق به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عُنیَ البلاغیون بدراسة مواضع حذف الخبر</w:t>
      </w:r>
      <w:r>
        <w:rPr>
          <w:rStyle w:val="FootnoteAnchor"/>
          <w:rtl w:val="true"/>
        </w:rPr>
        <w:footnoteReference w:id="1000"/>
      </w:r>
      <w:r>
        <w:rPr>
          <w:rFonts w:ascii="IRNazanin" w:hAnsi="IRNazanin" w:eastAsia="IRNazanin"/>
          <w:color w:val="111111"/>
          <w:sz w:val="28"/>
          <w:sz w:val="28"/>
          <w:szCs w:val="28"/>
          <w:rtl w:val="true"/>
          <w:lang w:bidi="fa-IR"/>
        </w:rPr>
        <w:t>، وهی فی مجملها تتَّصل بخصوصیات المعانی ودلالاتها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ورد حذف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مواضع متفرّقة من خُطب ورسائل الحِقبتین،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فی خُطبة المسیّب بن نجبة الفزاری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عُذْرَ دُونَ أنْ تَقْتُلُوا قَاتِلَهُ والمُوالینَ علیهِ، أو تُقْتَلُوا فی طَلَبِ ذلک، فَعَسَی رَبُنَا أن یَرْضَی عَنَّا عِندَ ذلک</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حذف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النافیة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وتقدیره لا عذر موجود، أو لا عذر الیوم أو غیر ذلک، وأکثر ما یأتی خبر لا النافیة للجنس محذوفاً ولکنّه قد یذکر</w:t>
      </w:r>
      <w:r>
        <w:rPr>
          <w:rStyle w:val="FootnoteAnchor"/>
          <w:rtl w:val="true"/>
        </w:rPr>
        <w:footnoteReference w:id="1002"/>
      </w:r>
      <w:r>
        <w:rPr>
          <w:rFonts w:ascii="IRNazanin" w:hAnsi="IRNazanin" w:eastAsia="IRNazanin"/>
          <w:color w:val="111111"/>
          <w:sz w:val="28"/>
          <w:sz w:val="28"/>
          <w:szCs w:val="28"/>
          <w:rtl w:val="true"/>
          <w:lang w:bidi="fa-IR"/>
        </w:rPr>
        <w:t>، فحذفه جائز عند النحاة إذا دلَّ علیه دلیل</w:t>
      </w:r>
      <w:r>
        <w:rPr>
          <w:rStyle w:val="FootnoteAnchor"/>
          <w:rtl w:val="true"/>
        </w:rPr>
        <w:footnoteReference w:id="1003"/>
      </w:r>
      <w:r>
        <w:rPr>
          <w:rFonts w:ascii="IRNazanin" w:hAnsi="IRNazanin" w:eastAsia="IRNazanin"/>
          <w:color w:val="111111"/>
          <w:sz w:val="28"/>
          <w:sz w:val="28"/>
          <w:szCs w:val="28"/>
          <w:rtl w:val="true"/>
          <w:lang w:bidi="fa-IR"/>
        </w:rPr>
        <w:t>، وإنَّما قصد الخطیب إلی حذفه لغرض بلاغی فی الکلام، وهو إرادة نفی العذر نفیاً مطلقاً، إذ لا یوجد عذر للجلوس والسکوت عن الأخذ بثأر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یعتمد علی قصد المتکلّم، فإنْ أراد المتکلّم نفیاً مقیداً فأنّه یذکر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w:t>
      </w:r>
      <w:bookmarkStart w:id="409" w:name="pg5013_35496"/>
    </w:p>
    <w:p>
      <w:pPr>
        <w:pStyle w:val="BookText"/>
        <w:rPr/>
      </w:pPr>
      <w:bookmarkEnd w:id="409"/>
      <w:r>
        <w:rPr>
          <w:rFonts w:ascii="Amiri" w:hAnsi="Amiri" w:eastAsia="Amiri" w:cs="Amiri"/>
          <w:color w:val="111111"/>
          <w:sz w:val="28"/>
          <w:sz w:val="28"/>
          <w:szCs w:val="28"/>
          <w:rtl w:val="true"/>
          <w:lang w:bidi="ar-SA"/>
        </w:rPr>
        <w:t>نفیاً مطلقاً ترکه</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 والخطیب آثر ترکه لذلک الغرض البلاغی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حذف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فی خُطبةِ عبد الله بن وال التیمی فی ردّه علی إبراهیم بن طلحة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علی خَرَاجِکَ، فَلَعَمْرُ الله لَئِنْ کُنْتَ مُفْسِداً، مَا أفْسَدَ أمرَ هذهِ الأُمَّة إلّا والدُکَ وجَدُّک النَّاکِثَان</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حذف الخبر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 الله لئن کنت مفسداً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قسمی لئن کنت مفسداً، فَحَذْفُهُ هنا کما یقول النحاة حذفاً وجوبیاً؛ لأنَّ المبتدأ کان لفظاً صریحاً فی القَسَم، وهو أحد المواضع التی یجب معها حذف الخبر</w:t>
      </w:r>
      <w:r>
        <w:rPr>
          <w:rStyle w:val="FootnoteAnchor"/>
          <w:rtl w:val="true"/>
        </w:rPr>
        <w:footnoteReference w:id="1006"/>
      </w:r>
      <w:r>
        <w:rPr>
          <w:rFonts w:ascii="IRNazanin" w:hAnsi="IRNazanin" w:eastAsia="IRNazanin"/>
          <w:color w:val="111111"/>
          <w:sz w:val="28"/>
          <w:sz w:val="28"/>
          <w:szCs w:val="28"/>
          <w:rtl w:val="true"/>
          <w:lang w:bidi="fa-IR"/>
        </w:rPr>
        <w:t xml:space="preserve">، وإنَّما کان وجوب الحذف؛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المحذوف معلوم، ومحلّه مشغول بجواب القسم، فتأکّد سبب الحذف</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ویتضح أنَّ حذف الخبر من الجانب البلاغی إنّما کان مأخوذاً من الدرس النحوی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 کلام النحاة ما یدلُّ علی اعتدادهم بأمر المعنی واهتمامهم به</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من خلال هذا الحذف</w:t>
      </w:r>
      <w:r>
        <w:rPr>
          <w:rFonts w:eastAsia="IRNazanin" w:cs="IRNazanin"/>
          <w:color w:val="111111"/>
          <w:sz w:val="28"/>
          <w:szCs w:val="28"/>
          <w:rtl w:val="true"/>
          <w:lang w:bidi="fa-IR"/>
        </w:rPr>
        <w:t>.</w:t>
      </w:r>
    </w:p>
    <w:p>
      <w:pPr>
        <w:pStyle w:val="Heading5"/>
        <w:numPr>
          <w:ilvl w:val="4"/>
          <w:numId w:val="1"/>
        </w:numPr>
        <w:rPr/>
      </w:pPr>
      <w:bookmarkStart w:id="410" w:name="__RefHeading___Toc507883_774463916"/>
      <w:bookmarkStart w:id="411" w:name="_Toc143"/>
      <w:bookmarkEnd w:id="410"/>
      <w:r>
        <w:rPr/>
        <w:t>3</w:t>
      </w:r>
      <w:r>
        <w:rPr>
          <w:rtl w:val="true"/>
        </w:rPr>
        <w:t xml:space="preserve"> - </w:t>
      </w:r>
      <w:r>
        <w:rPr>
          <w:rtl w:val="true"/>
        </w:rPr>
        <w:t>حذف المتعلّقات</w:t>
      </w:r>
      <w:bookmarkEnd w:id="411"/>
    </w:p>
    <w:p>
      <w:pPr>
        <w:pStyle w:val="Heading6"/>
        <w:numPr>
          <w:ilvl w:val="5"/>
          <w:numId w:val="1"/>
        </w:numPr>
        <w:rPr/>
      </w:pPr>
      <w:bookmarkStart w:id="412" w:name="__RefHeading___Toc507885_774463916"/>
      <w:bookmarkStart w:id="413" w:name="_Toc144"/>
      <w:bookmarkEnd w:id="412"/>
      <w:r>
        <w:rPr>
          <w:rtl w:val="true"/>
        </w:rPr>
        <w:t xml:space="preserve">أ </w:t>
      </w:r>
      <w:r>
        <w:rPr>
          <w:rtl w:val="true"/>
        </w:rPr>
        <w:t xml:space="preserve">- </w:t>
      </w:r>
      <w:r>
        <w:rPr>
          <w:rtl w:val="true"/>
        </w:rPr>
        <w:t>حذف المفعول به</w:t>
      </w:r>
      <w:bookmarkEnd w:id="413"/>
    </w:p>
    <w:p>
      <w:pPr>
        <w:pStyle w:val="Heading6"/>
        <w:numPr>
          <w:ilvl w:val="5"/>
          <w:numId w:val="1"/>
        </w:numPr>
        <w:rPr/>
      </w:pPr>
      <w:bookmarkStart w:id="414" w:name="__RefHeading___Toc507887_774463916"/>
      <w:bookmarkStart w:id="415" w:name="_Toc145"/>
      <w:bookmarkEnd w:id="414"/>
      <w:r>
        <w:rPr>
          <w:rtl w:val="true"/>
        </w:rPr>
        <w:t>اشارة</w:t>
      </w:r>
      <w:bookmarkEnd w:id="41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الفضلة الواقع علیه عمل الفاعل، والمنتصب بعد تمام الجملة</w:t>
      </w:r>
      <w:r>
        <w:rPr>
          <w:rStyle w:val="FootnoteAnchor"/>
          <w:rtl w:val="true"/>
        </w:rPr>
        <w:footnoteReference w:id="1009"/>
      </w:r>
      <w:r>
        <w:rPr>
          <w:rFonts w:ascii="IRNazanin" w:hAnsi="IRNazanin" w:eastAsia="IRNazanin"/>
          <w:color w:val="111111"/>
          <w:sz w:val="28"/>
          <w:sz w:val="28"/>
          <w:szCs w:val="28"/>
          <w:rtl w:val="true"/>
          <w:lang w:bidi="fa-IR"/>
        </w:rPr>
        <w:t xml:space="preserve">، وقد ذکر عبد القاهر الجرجانی أنّ حذف المفعول به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اللطائف کأنّها فیه أکثر، وما یظهر بسببه من الحسن والرونق أعجب وأظهر</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تَتَبّع النحاة طرائق حذف المفعول به فی الکلام</w:t>
      </w:r>
      <w:r>
        <w:rPr>
          <w:rStyle w:val="FootnoteAnchor"/>
          <w:rtl w:val="true"/>
        </w:rPr>
        <w:footnoteReference w:id="1011"/>
      </w:r>
      <w:r>
        <w:rPr>
          <w:rFonts w:ascii="IRNazanin" w:hAnsi="IRNazanin" w:eastAsia="IRNazanin"/>
          <w:color w:val="111111"/>
          <w:sz w:val="28"/>
          <w:sz w:val="28"/>
          <w:szCs w:val="28"/>
          <w:rtl w:val="true"/>
          <w:lang w:bidi="fa-IR"/>
        </w:rPr>
        <w:t>، وأرجع بعض المُحدَثین سبب حذفه من الکلام إلی الفعل ودلالته الواسعة بحیث یقوم مقامه</w:t>
      </w:r>
      <w:r>
        <w:rPr>
          <w:rStyle w:val="FootnoteAnchor"/>
          <w:rtl w:val="true"/>
        </w:rPr>
        <w:footnoteReference w:id="1012"/>
      </w:r>
      <w:r>
        <w:rPr>
          <w:rFonts w:ascii="IRNazanin" w:hAnsi="IRNazanin" w:eastAsia="IRNazanin"/>
          <w:color w:val="111111"/>
          <w:sz w:val="28"/>
          <w:sz w:val="28"/>
          <w:szCs w:val="28"/>
          <w:rtl w:val="true"/>
          <w:lang w:bidi="fa-IR"/>
        </w:rPr>
        <w:t>، غیر أنّ البلاغیین أطالوا فی هذه المسألة حیث وجدوا فی حذف المفعول به أسراراً بلاغیة کثیرة تتحقق فی الأُسلوب، فدرسوا هذه الأسرار وبیّنوا دلالاتها فی فضاءات النص</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حذف المفعول به فی بعض خُطب ورسائل الحِقبتین،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خُطبة سعد ابن حذیفة بن الیمان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فإنَّکم قَدْ کُنْتم مُجْمِعین مُزْمِعین علی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الحسین، وقتال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إلیْکم إخوانُکم یَسْتَنْجِدُونَکم ویَسْتَمِدّونَکم، ویَدعُونَکم إلی الحَقّ</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حذف الخطیب المفعول به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بعث إلیکم إخوانکم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متعدیاً إلی المفعول به </w:t>
      </w:r>
      <w:r>
        <w:rPr>
          <w:rStyle w:val="FootnoteAnchor"/>
          <w:rtl w:val="true"/>
        </w:rPr>
        <w:footnoteReference w:id="1015"/>
      </w:r>
      <w:r>
        <w:rPr>
          <w:rFonts w:ascii="IRNazanin" w:hAnsi="IRNazanin" w:eastAsia="IRNazanin"/>
          <w:color w:val="111111"/>
          <w:sz w:val="28"/>
          <w:sz w:val="28"/>
          <w:szCs w:val="28"/>
          <w:rtl w:val="true"/>
          <w:lang w:bidi="fa-IR"/>
        </w:rPr>
        <w:t>، فیکون 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إلیکم إخوانکم کتاباً أو رسالةً؛ لأنّ الخُطبة إنّما قیلت بسبب بعث سلیمان بن صُرَد بکتابه إلی سعد بن حذیفة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یستنهضه وإخوانه للقیام بالثورة، فقد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الجملة، لکونه واضحاً یعلم به المتلقی فلا حاجة إلی ذکره، والعلم بالمفعول به هو أحد الدواعی التی یُحذف لأجلها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جاء حذف المفعول به فی خُطبةِ محمد بن الحنفیة یصف ما جری علی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مَلْحمَةٌ کُتِبَت عَلِیه، وَکَرَامَةٌ أهدَاها الله لهُ، رَفَعَ بِمَا کانَ مِنْها درجاتُ قومٍ عِنْدَه، وَوَضَعَ بها آخَرین، وَکانَ أمرُ اللهِ مَفعُولاً</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فقد حذف الخطیب المفعول به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بها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صفته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بها قوماً آخرین، لکنّه حذفه؛ لأنّه اعتمد علی وضوح ما سبق من الکلام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حاجة لذکر المفعول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جاء من حذف المفعول به فی هذا الصدد فی رسالة المختار الثقفی إلی عبد الرحمن بن سعید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بَلَغَنِی کتابُکَ، وفَهِمتُ کلَّ ما ذکرتَ فیه، فقد أصبتَ بانحیازکَ إلی تکریت، فلا تبرحنّ مکانَکَ الذی أنتَ به حتَّی یأتیک أمری إنْ شاء الله، والسلام علیک</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حذف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فعل المشیئة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موضع من مواضع حذف المفعول به</w:t>
      </w:r>
      <w:r>
        <w:rPr>
          <w:rStyle w:val="FootnoteAnchor"/>
          <w:rtl w:val="true"/>
        </w:rPr>
        <w:footnoteReference w:id="1019"/>
      </w:r>
      <w:r>
        <w:rPr>
          <w:rFonts w:ascii="IRNazanin" w:hAnsi="IRNazanin" w:eastAsia="IRNazanin"/>
          <w:color w:val="111111"/>
          <w:sz w:val="28"/>
          <w:sz w:val="28"/>
          <w:szCs w:val="28"/>
          <w:rtl w:val="true"/>
          <w:lang w:bidi="fa-IR"/>
        </w:rPr>
        <w:t>، ویُسمّیه البلاغیون حذف الإضمار علی شریطة التفسیر</w:t>
      </w:r>
      <w:r>
        <w:rPr>
          <w:rStyle w:val="FootnoteAnchor"/>
          <w:rtl w:val="true"/>
        </w:rPr>
        <w:footnoteReference w:id="1020"/>
      </w:r>
      <w:r>
        <w:rPr>
          <w:rFonts w:ascii="IRNazanin" w:hAnsi="IRNazanin" w:eastAsia="IRNazanin"/>
          <w:color w:val="111111"/>
          <w:sz w:val="28"/>
          <w:sz w:val="28"/>
          <w:szCs w:val="28"/>
          <w:rtl w:val="true"/>
          <w:lang w:bidi="fa-IR"/>
        </w:rPr>
        <w:t>، وتقدیر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ذلک، أو إن شاء الله هذا الأمر، وغیرهما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حَذف 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کتاب عهد المختار بالأمان لعمر بن سعد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آمِنٌ بأمانِ اللهِ علی نَفْسِکَ وَمَالِکَ، وأهلِکَ وأهلِ بیتِک وَولدِکَ، لا تؤاخذ بحدثٍ کانَ منکَ قدیماً، ما سَمِعْتَ وأطَعْتَ، ولَزَمْتَ رَحْلَکَ، وأهلَکَ ومِصْرَکَ</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حذف المختار المفعول به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وأطعت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 الفعل سمع والفعل أطاع أنْ یکونا متعدیین إلی المفعول به</w:t>
      </w:r>
      <w:r>
        <w:rPr>
          <w:rStyle w:val="FootnoteAnchor"/>
          <w:rtl w:val="true"/>
        </w:rPr>
        <w:footnoteReference w:id="1022"/>
      </w:r>
      <w:r>
        <w:rPr>
          <w:rFonts w:ascii="IRNazanin" w:hAnsi="IRNazanin" w:eastAsia="IRNazanin"/>
          <w:color w:val="111111"/>
          <w:sz w:val="28"/>
          <w:sz w:val="28"/>
          <w:szCs w:val="28"/>
          <w:rtl w:val="true"/>
          <w:lang w:bidi="fa-IR"/>
        </w:rPr>
        <w:t>، وتقدیر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الکلام أو القول، وأطعت الأوامر أو غیر ذلک، وإنَّما حذف المفعول به فی هذین الموضعین، وذلک لغرض أُسلوبی وهو الإعمام</w:t>
      </w:r>
      <w:r>
        <w:rPr>
          <w:rStyle w:val="FootnoteAnchor"/>
          <w:rtl w:val="true"/>
        </w:rPr>
        <w:footnoteReference w:id="10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الإیحاء بشمولیة الفعل وعدم تخصصه بمفعول آخر</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فلمّا حذف المفعول به مع فعل السمع والطاعة دلّ ذلک علی شمولیة السمع والطاعة وعمومیتهما، فالسمع والطاعة لم تکونا مقصورتین علی شیء محدد، وإنَّما کان علیه أن یسمع ویُطیع بصفة عامّة وشاملة ومن غیر تحدید لهما، والذی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ولزمت رحلک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ذکر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المفاعیل بکون فعل اللزوم کان مقیّداً بالرحل والأهل وغیرها؛ وذلک لأنَّه ذکر 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میزة أُسلوبیة تمیَّز بها هذا النص</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مواضع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خُطبة المختار بعد هرب ابن مطیع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وَعَدَ ولیّه النصر، وعدوّه الخُسر، وجعله فیه إلی آخر الدهر، وعداً مفعولاً، وقضاء مقضیاً، وقد خاب مَن أفتری</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حذف المختار المفعول به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خاب مَن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افتری الکذب، وقد حذفه لدلالة السیاق علیه، ولکونه واضحاً عند السامع</w:t>
      </w:r>
      <w:r>
        <w:rPr>
          <w:rStyle w:val="FootnoteAnchor"/>
          <w:rtl w:val="true"/>
        </w:rPr>
        <w:footnoteReference w:id="1026"/>
      </w:r>
      <w:r>
        <w:rPr>
          <w:rFonts w:ascii="IRNazanin" w:hAnsi="IRNazanin" w:eastAsia="IRNazanin"/>
          <w:color w:val="111111"/>
          <w:sz w:val="28"/>
          <w:sz w:val="28"/>
          <w:szCs w:val="28"/>
          <w:rtl w:val="true"/>
          <w:lang w:bidi="fa-IR"/>
        </w:rPr>
        <w:t xml:space="preserve">، فالافتراء إنّما یکون للکذب، فحذف المفعول به فی هذا الموضع؛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معلوماً بدلالة الحال، فیذکر الفعل، ویُنْوی له فی النفس مفعولٌ خاصٌ قد علم موضعه من سبق ذکر، أو قرینة حال، ولکنّک تنسیه نفسک، وتخیل أنَّک لم تقصد إلّا إلی ذات الفعل، قاصداً بذلک المبالغة فیه</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 وهذا ما وجدناه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تقدّم من أنماطٍ للحذف یتضح لنا أنّ الحذف مظهر من مظاهر تکثیف الترکیب العربی وإیجازه والتخفیف فی إیراداته،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الخفَّة تلک تکمن البلاغة، ویسمو الکلام، حتی یصل إلی قوة السحر فی التأثیر، وتکون الجملة مع الحذف أشدَّ وقعاً علی النفس، وأتمَّ بیاناً</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،ومن ثَمَّ نجد أنّ الحذف قد أدی المعنی بأوجز عبارة فی تلک الأمثلة، فضلاً عن تحقّق قوة الإثراء الدلالی التی ضاعفت من إحساس المتلقی</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کان للحذف وجود فی نثر هاتین الحِقبتین، کان للذکر وجودٌ أیضاً؛ إذ هو القالب المعیاری للجملة العربیة، فهو الأصل ولا مقتضی للعدول عنه</w:t>
      </w:r>
      <w:r>
        <w:rPr>
          <w:rStyle w:val="FootnoteAnchor"/>
          <w:rtl w:val="true"/>
        </w:rPr>
        <w:footnoteReference w:id="1030"/>
      </w:r>
      <w:r>
        <w:rPr>
          <w:rFonts w:ascii="IRNazanin" w:hAnsi="IRNazanin" w:eastAsia="IRNazanin"/>
          <w:color w:val="111111"/>
          <w:sz w:val="28"/>
          <w:sz w:val="28"/>
          <w:szCs w:val="28"/>
          <w:rtl w:val="true"/>
          <w:lang w:bidi="fa-IR"/>
        </w:rPr>
        <w:t>، کما أنَّ وجوده یثری الجملة بدلالات بلاغیة وأُسلوبیة کثیرة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bookmarkStart w:id="416" w:name="pg5013_35501"/>
    </w:p>
    <w:p>
      <w:pPr>
        <w:pStyle w:val="BookText"/>
        <w:rPr/>
      </w:pPr>
      <w:bookmarkEnd w:id="416"/>
      <w:r>
        <w:rPr>
          <w:rFonts w:ascii="IRNazanin" w:hAnsi="IRNazanin" w:eastAsia="IRNazanin"/>
          <w:color w:val="111111"/>
          <w:sz w:val="28"/>
          <w:sz w:val="28"/>
          <w:szCs w:val="28"/>
          <w:rtl w:val="true"/>
          <w:lang w:bidi="fa-IR"/>
        </w:rPr>
        <w:t>ومن صور الذکر</w:t>
      </w:r>
      <w:r>
        <w:rPr>
          <w:rFonts w:eastAsia="IRNazanin" w:cs="IRNazanin"/>
          <w:color w:val="111111"/>
          <w:sz w:val="28"/>
          <w:szCs w:val="28"/>
          <w:rtl w:val="true"/>
          <w:lang w:bidi="fa-IR"/>
        </w:rPr>
        <w:t>:</w:t>
      </w:r>
    </w:p>
    <w:p>
      <w:pPr>
        <w:pStyle w:val="Heading6"/>
        <w:numPr>
          <w:ilvl w:val="5"/>
          <w:numId w:val="1"/>
        </w:numPr>
        <w:rPr/>
      </w:pPr>
      <w:bookmarkStart w:id="417" w:name="__RefHeading___Toc507889_774463916"/>
      <w:bookmarkStart w:id="418" w:name="_Toc146"/>
      <w:bookmarkEnd w:id="417"/>
      <w:r>
        <w:rPr/>
        <w:t>1</w:t>
      </w:r>
      <w:r>
        <w:rPr>
          <w:rtl w:val="true"/>
        </w:rPr>
        <w:t xml:space="preserve">- </w:t>
      </w:r>
      <w:r>
        <w:rPr>
          <w:rtl w:val="true"/>
        </w:rPr>
        <w:t>ذکر المسند إلیه</w:t>
      </w:r>
      <w:bookmarkEnd w:id="418"/>
    </w:p>
    <w:p>
      <w:pPr>
        <w:pStyle w:val="BookText"/>
        <w:rPr/>
      </w:pPr>
      <w:r>
        <w:rPr>
          <w:rFonts w:ascii="IRNazanin" w:hAnsi="IRNazanin" w:eastAsia="IRNazanin"/>
          <w:color w:val="111111"/>
          <w:sz w:val="28"/>
          <w:sz w:val="28"/>
          <w:szCs w:val="28"/>
          <w:rtl w:val="true"/>
          <w:lang w:bidi="fa-IR"/>
        </w:rPr>
        <w:t>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مهمٌ فی الترکیب، والأصل أن یُذکر فی الکلام ولا مقتضی لحذفه، لکنّه قد یُحذف لوجود قرینة تُرجّح ذلک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دواعٍ مختلفة لذکر المسند إلیه وقف عندها البلاغیون</w:t>
      </w:r>
      <w:r>
        <w:rPr>
          <w:rStyle w:val="FootnoteAnchor"/>
          <w:rtl w:val="true"/>
        </w:rPr>
        <w:footnoteReference w:id="1033"/>
      </w:r>
      <w:r>
        <w:rPr>
          <w:rFonts w:ascii="IRNazanin" w:hAnsi="IRNazanin" w:eastAsia="IRNazanin"/>
          <w:color w:val="111111"/>
          <w:sz w:val="28"/>
          <w:sz w:val="28"/>
          <w:szCs w:val="28"/>
          <w:rtl w:val="true"/>
          <w:lang w:bidi="fa-IR"/>
        </w:rPr>
        <w:t>، سوف یعرض البحث إلی أهمها من خلال الأمثلة الواردة فی خُطب الحِقبتین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خُطبة سلیمان بن صُرَد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أتاکم الله بعدوکم الذی دأبتم فی المسیر إلیه آناء اللیل والنهار، تُریدون فیما تظهرون التوبة النصوح</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ذکر الخطیب المسند إلیه وهو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ذلک لغرض زیادة الإیضاح والتقریر فی نفس السامع</w:t>
      </w:r>
      <w:r>
        <w:rPr>
          <w:rStyle w:val="FootnoteAnchor"/>
          <w:rtl w:val="true"/>
        </w:rPr>
        <w:footnoteReference w:id="1035"/>
      </w:r>
      <w:r>
        <w:rPr>
          <w:rFonts w:ascii="IRNazanin" w:hAnsi="IRNazanin" w:eastAsia="IRNazanin"/>
          <w:color w:val="111111"/>
          <w:sz w:val="28"/>
          <w:sz w:val="28"/>
          <w:szCs w:val="28"/>
          <w:rtl w:val="true"/>
          <w:lang w:bidi="fa-IR"/>
        </w:rPr>
        <w:t xml:space="preserve">، بأنّ الذی أتاهم بعدوّهم إنَّما قضاء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وقدره، فلیس من سبیل إلّا ملاقاة ذلک العدو وجهاده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خُطبة المختار حین قَدِم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المهدی بن الوصی، محمد بن علی، بعثنی إلیکم أمیناً ووزیراً، ومنتجباً وأمیراً، وأمرنی بقتال المُلحدین</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ذکر الخطیب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 فی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اسم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19" w:name="pg5013_35502"/>
    </w:p>
    <w:p>
      <w:pPr>
        <w:pStyle w:val="BookText"/>
        <w:rPr/>
      </w:pPr>
      <w:bookmarkEnd w:id="419"/>
      <w:r>
        <w:rPr>
          <w:rFonts w:ascii="IRNazanin" w:hAnsi="IRNazanin" w:eastAsia="IRNazanin"/>
          <w:color w:val="111111"/>
          <w:sz w:val="28"/>
          <w:sz w:val="28"/>
          <w:szCs w:val="28"/>
          <w:rtl w:val="true"/>
          <w:lang w:bidi="fa-IR"/>
        </w:rPr>
        <w:t>وکان الغرض من وراء ذکره هذا هو تعظیم ذلک المسند إلیه وتفخیمه</w:t>
      </w:r>
      <w:r>
        <w:rPr>
          <w:rStyle w:val="FootnoteAnchor"/>
          <w:rtl w:val="true"/>
        </w:rPr>
        <w:footnoteReference w:id="1037"/>
      </w:r>
      <w:r>
        <w:rPr>
          <w:rFonts w:ascii="IRNazanin" w:hAnsi="IRNazanin" w:eastAsia="IRNazanin"/>
          <w:color w:val="111111"/>
          <w:sz w:val="28"/>
          <w:sz w:val="28"/>
          <w:szCs w:val="28"/>
          <w:rtl w:val="true"/>
          <w:lang w:bidi="fa-IR"/>
        </w:rPr>
        <w:t>، أو الاستلذاذ بذکره</w:t>
      </w:r>
      <w:r>
        <w:rPr>
          <w:rStyle w:val="FootnoteAnchor"/>
          <w:rtl w:val="true"/>
        </w:rPr>
        <w:footnoteReference w:id="1038"/>
      </w:r>
      <w:r>
        <w:rPr>
          <w:rFonts w:ascii="IRNazanin" w:hAnsi="IRNazanin" w:eastAsia="IRNazanin"/>
          <w:color w:val="111111"/>
          <w:sz w:val="28"/>
          <w:sz w:val="28"/>
          <w:szCs w:val="28"/>
          <w:rtl w:val="true"/>
          <w:lang w:bidi="fa-IR"/>
        </w:rPr>
        <w:t>لأنَّه أقرب إلی نفس الخطیب، ومثاله الأعلی، فقد ذکره بلفظ المهدی وبابن الوصی تبرکاً به، ثمَّ أردف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بدل من الجملة السابقة، لیزید من إیضاح الفکرة ولیقرر الأمر الذی یُرید إثباته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ذکر المسند إلیه فی رسالة المختار إلی الأحنف بن قیس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فویلُ أُمِّ ربیعةَ من مضَر، فإنّ الأحنفَ مُورد قومَه سَقَر، حیث لا یستطیع لهم الصدَر، وإنیّ لا أملک ما خُطّ فی القَدَر</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ذکر المنشئ المسند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الأحنف لإظهار تحقیره وإهانته</w:t>
      </w:r>
      <w:r>
        <w:rPr>
          <w:rStyle w:val="FootnoteAnchor"/>
          <w:rtl w:val="true"/>
        </w:rPr>
        <w:footnoteReference w:id="1040"/>
      </w:r>
      <w:r>
        <w:rPr>
          <w:rFonts w:ascii="IRNazanin" w:hAnsi="IRNazanin" w:eastAsia="IRNazanin"/>
          <w:color w:val="111111"/>
          <w:sz w:val="28"/>
          <w:sz w:val="28"/>
          <w:szCs w:val="28"/>
          <w:rtl w:val="true"/>
          <w:lang w:bidi="fa-IR"/>
        </w:rPr>
        <w:t>بأنَّه یُورد قومه نار سقر؛ لموقفه السلبی تجاه المختار وثورته القائمة علی طلب الثائر من قتلة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420" w:name="__RefHeading___Toc507891_774463916"/>
      <w:bookmarkStart w:id="421" w:name="_Toc147"/>
      <w:bookmarkEnd w:id="420"/>
      <w:r>
        <w:rPr/>
        <w:t>2</w:t>
      </w:r>
      <w:r>
        <w:rPr>
          <w:rtl w:val="true"/>
        </w:rPr>
        <w:t xml:space="preserve">- </w:t>
      </w:r>
      <w:r>
        <w:rPr>
          <w:rtl w:val="true"/>
        </w:rPr>
        <w:t>ذکر المس</w:t>
      </w:r>
      <w:r>
        <w:rPr>
          <w:rtl w:val="true"/>
        </w:rPr>
        <w:t>---</w:t>
      </w:r>
      <w:r>
        <w:rPr>
          <w:rtl w:val="true"/>
        </w:rPr>
        <w:t>ند</w:t>
      </w:r>
      <w:bookmarkEnd w:id="421"/>
    </w:p>
    <w:p>
      <w:pPr>
        <w:pStyle w:val="BookText"/>
        <w:rPr/>
      </w:pPr>
      <w:r>
        <w:rPr>
          <w:rFonts w:ascii="IRNazanin" w:hAnsi="IRNazanin" w:eastAsia="IRNazanin"/>
          <w:color w:val="111111"/>
          <w:sz w:val="28"/>
          <w:sz w:val="28"/>
          <w:szCs w:val="28"/>
          <w:rtl w:val="true"/>
          <w:lang w:bidi="fa-IR"/>
        </w:rPr>
        <w:t>الأصل فی المسند أن یکون مذکوراً فی الکلام، ولا مقتض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للعدول عنه</w:t>
      </w:r>
      <w:r>
        <w:rPr>
          <w:rStyle w:val="FootnoteAnchor"/>
          <w:rtl w:val="true"/>
        </w:rPr>
        <w:footnoteReference w:id="1041"/>
      </w:r>
      <w:r>
        <w:rPr>
          <w:rFonts w:ascii="IRNazanin" w:hAnsi="IRNazanin" w:eastAsia="IRNazanin"/>
          <w:color w:val="111111"/>
          <w:sz w:val="28"/>
          <w:sz w:val="28"/>
          <w:szCs w:val="28"/>
          <w:rtl w:val="true"/>
          <w:lang w:bidi="fa-IR"/>
        </w:rPr>
        <w:t>، فهو فی هذا کالمسند إلیه؛ ولذا لا یجوز حذفه إلّا إذا کانت هناک قرینة دالة علیه فی الکلام، وهناک دواعٍ لذکر المسند سوف یتناول البحث بعضاً منها من خلال الأمثلة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ذکر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رسالة محمد بن الحنفیة إلی إبراهیم بن مالک الأشتر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قد بعثتُ إلیکم بوزیری، وأمینی ونجیِّی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 إن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رتَنی، وأجبت دعوتی، وساعدت وزیری، کانت لکَ عندی بذلک فضیلةٌ، ولکَ بذلک أعنّة </w:t>
      </w:r>
    </w:p>
    <w:p>
      <w:pPr>
        <w:pStyle w:val="BookText"/>
        <w:rPr/>
      </w:pPr>
      <w:r>
        <w:rPr>
          <w:rFonts w:ascii="Amiri" w:hAnsi="Amiri" w:eastAsia="Amiri" w:cs="Amiri"/>
          <w:color w:val="111111"/>
          <w:sz w:val="28"/>
          <w:sz w:val="28"/>
          <w:szCs w:val="28"/>
          <w:rtl w:val="true"/>
          <w:lang w:bidi="ar-SA"/>
        </w:rPr>
        <w:t>الخیل، وکلّ جیشٍ غازٍ</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ذکر المنشئ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وهو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لأنَّ الهدف من ذکره هو البیان والکشف</w:t>
      </w:r>
      <w:r>
        <w:rPr>
          <w:rStyle w:val="FootnoteAnchor"/>
          <w:rtl w:val="true"/>
        </w:rPr>
        <w:footnoteReference w:id="1043"/>
      </w:r>
      <w:r>
        <w:rPr>
          <w:rFonts w:ascii="IRNazanin" w:hAnsi="IRNazanin" w:eastAsia="IRNazanin"/>
          <w:color w:val="111111"/>
          <w:sz w:val="28"/>
          <w:sz w:val="28"/>
          <w:szCs w:val="28"/>
          <w:rtl w:val="true"/>
          <w:lang w:bidi="fa-IR"/>
        </w:rPr>
        <w:t>الذی تطلّبه السیاق، فالمنشئ أراد إبانة أنّ الأشیاء التی ذکرها من الفضیلة وأعنّة الخیل والجیش الغازی، إنَّما هی مخصّصة له إن هو قام بنص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رته وأجاب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ذکر المسند ما جاء فی خُطبة إبراهیم بن مالک الأشتر محرّضاً القبائل علی قتل ابن زیاد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قاتل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الله به وأمْکَنَکُم الله مِنه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زیادٍ قاتلُ الحسینِ، الذی حال بَینَه وبَیْنَ ماءِ الفُراتِ أنْ یَشْرَبَ مِنْه هوَ وأولادُه ونِساؤُه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فَعَلَ فی آلِ نَبِیِکُم مَا فَعَل قد جاءَکُم الله به</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ذکر المنشئ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لغرض أُسلوبی فی ثلاثة مواضع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قاتل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زیاد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فعل فی آل نبیکم 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الغرض هو التشفیع وإثارة العواطف، وجذب تنبه السامع إلی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وإعلامه بما فعل ابن زیاد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وذلک حتی یحرّض الجیوش ضد ابن زیاد وجیشه</w:t>
      </w:r>
      <w:r>
        <w:rPr>
          <w:rFonts w:eastAsia="IRNazanin" w:cs="IRNazanin"/>
          <w:color w:val="111111"/>
          <w:sz w:val="28"/>
          <w:szCs w:val="28"/>
          <w:rtl w:val="true"/>
          <w:lang w:bidi="fa-IR"/>
        </w:rPr>
        <w:t xml:space="preserve">. </w:t>
      </w:r>
      <w:bookmarkStart w:id="422" w:name="pg5013_35504"/>
    </w:p>
    <w:p>
      <w:pPr>
        <w:pStyle w:val="Heading2"/>
        <w:numPr>
          <w:ilvl w:val="1"/>
          <w:numId w:val="1"/>
        </w:numPr>
        <w:rPr/>
      </w:pPr>
      <w:bookmarkStart w:id="423" w:name="__RefHeading___Toc507893_774463916"/>
      <w:bookmarkStart w:id="424" w:name="_Toc148"/>
      <w:bookmarkEnd w:id="422"/>
      <w:bookmarkEnd w:id="423"/>
      <w:r>
        <w:rPr>
          <w:rtl w:val="true"/>
        </w:rPr>
        <w:t>الخاتمة ونتائج البحث</w:t>
      </w:r>
      <w:bookmarkEnd w:id="424"/>
    </w:p>
    <w:p>
      <w:pPr>
        <w:pStyle w:val="BookText"/>
        <w:rPr/>
      </w:pPr>
      <w:r>
        <w:rPr>
          <w:rFonts w:ascii="IRNazanin" w:hAnsi="IRNazanin" w:eastAsia="IRNazanin"/>
          <w:color w:val="111111"/>
          <w:sz w:val="28"/>
          <w:sz w:val="28"/>
          <w:szCs w:val="28"/>
          <w:rtl w:val="true"/>
          <w:lang w:bidi="fa-IR"/>
        </w:rPr>
        <w:t>توصَّل الباحث إلی النتائج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النثر الفنّی قد نشط فی ثورة التوّابین وإمارة المختار الثقفی نشاطاً واسعاً؛ لما کان لزعمائهم ودعاتهم وأنصارهم من نتاج أدبی نثری فاعل، مثّلتهُ الخُطب والرسائل والعهود والوصایا التی وصلت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لنتاج هاتین الحِقبتین أثرٌ کبیر فی الأدب العربی، ولاسیّما فی حرکة النثر الفنّی، وتطوّرهُ فی الدرس الأُسلوبی والبیانی فیما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تفاوتت الخُطب والرسائل فی حِقبة التوّابین وإمارة المختار طولاً وقص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وذلک بحسب القصد والموضوع والمقام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خُطباء وکتَّاب هاتین الحِقبتین من أُسلوب القرآن الکریم، فی نثرهم، اقتباساً، وتضمیناً، محاکاةً واحتذاءً، وهذا النثر لم یخرج عن نهج النثر الفنّی فی صدر الإسلام الذی سار علیه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وأقرَّه فی خُطبه ورسائله من حیث الشکل النثری، وهو ما ینمُّ عن إتقان البناء، ووحدة الموضوع، وإحکام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منشئو هذا النثر بنثر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فراحوا یردّدون أقواله وحکمه، ویستذکرون سیرته، وکان تأثّرهم بنثره أُسلوباً ومعنی، وقد یکون هذا مقتصراً علی الموالین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التوّابین والمختار وبعض الشیعة، أمَّا غیرهم فلا نکاد نلحظ هذا التأثر إلّا قلیلاً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الناثرون بالوسائل التی توفّر القیم الإیقاعیة للنثر الفنّی أفضل عنایة، </w:t>
      </w:r>
    </w:p>
    <w:p>
      <w:pPr>
        <w:pStyle w:val="BookText"/>
        <w:rPr/>
      </w:pPr>
      <w:r>
        <w:rPr>
          <w:rFonts w:ascii="IRNazanin" w:hAnsi="IRNazanin" w:eastAsia="IRNazanin"/>
          <w:color w:val="111111"/>
          <w:sz w:val="28"/>
          <w:sz w:val="28"/>
          <w:szCs w:val="28"/>
          <w:rtl w:val="true"/>
          <w:lang w:bidi="fa-IR"/>
        </w:rPr>
        <w:t xml:space="preserve">فراحوا یعتمدونها فی خُطبهم ورسائلهم، کالجناس بأنواعه، والسجع بأنواعه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العفوی والمتکلّف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المختار الثقفی فی بعض خُطبه ورسائله علی توشیتها بغریب اللفظ طلباً للتأنق والإعداد فیها، مشایعاً روح العصر الذی کان یحفل بالغرابة، کما أنّه انفرد فی معظم خُطبه ورسائله باعتماد حلیة السجع علی نحو متکلَّف؛ لیُضفی علیها حلیة جمالیة تجذب إلیها السامع وتؤثر فیه بالاعتماد علی الإیقاع النغمی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التحلیل الأُسلوبی الصوتی عن أثر الأصوات فی الأسالیب النثریة البدیعیة، فبعضها کان مبنیاً علی أساس التماثل الناقص کما فی الجناس غیر التام بأنواعه، وبعضها کان مبنیّاً علی أساس وحدة أصوات الفقرات واتّزانها کما فی السجع بنوعیة المطرّف والمتوازی، أو الموازنة، الأمر الذی أدَّی إلی أن تکتسب تلک الأسالیب إیقاعاً صوتیاً متمیّزاً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التحلیل الأُسلوبی الصوتی عن تداخل بعض الأسالیب البدیعیة اللفظیة فی النص النثری الواحد، کتداخل السجع والجناس معاً، أو تداخل أنواع السجع مع بعضها، وکذلک تداخل الموازنة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أنماط السجع الآخر، وهذا یُدلّل علی مقدرة الأدیب بإقامة الجانب الموسیقی والعنایة فیه علی عتبات النص</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التحلیل البیانی للأُسلوب أنّ الوسائل التی توفّر القیم الإیقاعیة لیست حلیة یوشَّی بها النثر الفنّی بقدر ما هی ضروریة نابعة من المعنی الذی یوجبه السیاق، وکشف عن تمیّز بعض الألفاظ بأدائها الصوتی الموحی فی بعض النُّصوص النثریة، انسجاماً مع حرکة الحدث ضمن سیاقها العام، سواء أکان هذا الصوت الموحی فی اللفظة المفردة، أو الأصوات المتکررة بحسبان أنّ علم الأُسلوب الحدیث لا یأبه بالجرس الصوتی إلّا من حیث إیحائه بالمعنی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البحث عن خاصیة الاختیار الأُسلوبی لألفاظ الخُطب والرسائل، فمن حیث فصاحة الألفاظ، وجد البحث أنّ الألفاظ جاءت علی قدر من الفصاحة والتأثیر، والبعد عن التعقید والغموض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التحلیل الأُسلوبی عن استعمال الناثرین لبعض الصیغ ذات الأثر الأُسلوبی والدلالی فی الکلام، کاستعمال صیغ الاسم والفعل بصورة متکررة، وکذلک استعمال بعض الألفاظ ذات العدول کالاستعارة والمجاز المرسل، وکذلک اتّساق هذه الألفاظ فی أدائها البیانی کالمجاز العقلی والکنایة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التحلیل الأُسلوبی عن عنایة الناثرین لهاتین الحِقبتین باستعمال الأسالیب اللّغویة الخبریة والإنشائیة سعیاً وراء تحقیق الإفادة الدلالیة للسامع، کما کشف عن استعمالهم بعض الأسالیب الإنشائیة انزیاحاً فی غیر دلالتها، کما فی الأمر والنَّهی والنّداء والاستفهام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الباحث الأُسلوب الشرطی بصورة مستقلّة عن الأسالیب الخبریة والإنشائیة؛ ذلک أنّهُ متکوِّن من جملتین یربط بینهما رابطٌ معنویّ، وتصلُح کلّ جملة فیه أن تکون خبریة أو إنشائیة، فرأی أن یدرسه بصورة مستقلّة؛ لأنَّ توزیعه علی مباحث الخبر أو الإنشاء، یؤدّی فی النهایة إلی تفکُّک الجملة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رطیة التَّامة، وإلی تفرّق دراستها إلی موضوعین مستقلّین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الباحث أُسلوب القسم مستقلاً عن أسالیب الخبر والإنشاء أُسوة بالأُسلوب الشَّرطی؛ وذلک لاختلاف العلماء فی ماهیة الجملة المقسم بها، فذهب بعضهم إلی کونها خبریَّة، وذهب بعضهم الآخر إلی کونها إنشائیَّة، وعلیه رأی الباحث أن یفرده بدراسة مستقلة لملاحظة الوجهتین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التحلیل الدلالی للنصوص عن عنایة الناثرین بصورة واسعة باستعمال </w:t>
      </w:r>
    </w:p>
    <w:p>
      <w:pPr>
        <w:pStyle w:val="BookText"/>
        <w:rPr/>
      </w:pPr>
      <w:r>
        <w:rPr>
          <w:rFonts w:ascii="IRNazanin" w:hAnsi="IRNazanin" w:eastAsia="IRNazanin"/>
          <w:color w:val="111111"/>
          <w:sz w:val="28"/>
          <w:sz w:val="28"/>
          <w:szCs w:val="28"/>
          <w:rtl w:val="true"/>
          <w:lang w:bidi="fa-IR"/>
        </w:rPr>
        <w:t>البُنی الأُسلوبیة المتصلة بفضاءات هندسة النص، لتحقیق قیم جمالیة وفنیة کما فی الفصل والوصل، والتقدیم والتأخیر، والذّکر والحذف، والتعریف والتنکیر وغیرها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 xml:space="preserve">. </w:t>
      </w:r>
      <w:bookmarkStart w:id="425" w:name="pg5013_35508"/>
    </w:p>
    <w:p>
      <w:pPr>
        <w:pStyle w:val="Heading2"/>
        <w:numPr>
          <w:ilvl w:val="1"/>
          <w:numId w:val="1"/>
        </w:numPr>
        <w:rPr/>
      </w:pPr>
      <w:bookmarkStart w:id="426" w:name="__RefHeading___Toc507895_774463916"/>
      <w:bookmarkStart w:id="427" w:name="_Toc149"/>
      <w:bookmarkEnd w:id="425"/>
      <w:bookmarkEnd w:id="426"/>
      <w:r>
        <w:rPr>
          <w:rtl w:val="true"/>
        </w:rPr>
        <w:t>کشَّاف المصادر والمراجع</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ما نبدأ به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القرآنیة المتعلّقة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بلاغیة وأُسلوبیة، عدنان جاسم محمد الجمیلی،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هیئة إدارة واستثمار أموال الوقف السنی، بغداد،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إبداع الدلالة فی الشعر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لغوی أُسلوبی، الدکتور محمد العبد،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الآداب، القاهرة،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أبنیة الأسماء فی اللغة العربیة، أحمد محمد الشیخ،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منشورات جامعة السابع من أبریل، الجماهیریة العربیة اللیبیة الشعبیة الاشتراکیة العظمی،</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أبنیة الصرف فی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ودراسة، الدکتورة خدیجة الحدیثی،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ناشرون،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الإتقان فی علوم القرآن، للحافظ جلال الدین عبد الرحمان السیوطی، تحقیق محمد أبو الفضل إبراهیم، منشورات الشریف الرضی، بیدار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 القرآن فی تطور النقد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أَواخر القرن الرابع الهجری، الدکتور محمد زغلول سلام، قدَّم له الأستاذ محمد خلف الله أحمد،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المعارف، مصر،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 القرآنی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الشکل والمضمون، الدکتور عباس الفحام،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الفجر للطباعة والنشر، لبنان، 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أثر النحاة فی البحث البلاغی، عبد القادر حسین، دار نهضة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للطبع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القاهرة،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الإسلامی فی عصر النبوة وخلافة الراشدین، الدکتور نایف معروف،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النفائس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فنونه، الدکتور غازی ظلیمات وعرفان الأشقر،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المعاصر،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السیاسة فی العصر الأُموی، الدکتور أحمد محمد الحوفی، دار القلم،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فی موکب 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النثر، الدکتور مصطفی الشکعة،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الدار المصریة اللبنانیة، القاهرة،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الکاتب، لأبی محمد عبد الله بن مسلم بن قتیبة الکوفی المروزی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وضبط غریبه وشرح أبیاته محمد محیی الدین عبد الحمید،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المکتبة التجاریة الکبری، مطبعة السعادة، مصر،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الکُتّاب، أبو بکر بن یحیی الصولی، نسخه وعنی بتصحیحه وتعلیق حواشیه محمد بهجة الأثری، نظر فیه علاّمة العراق السیّد محمد شکری الآلوسی، المطبعة السلفیة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وفنونه، للدکتور عز الدین إسماعیل،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ریة، مطبعة الاعتماد، مصر،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ارتشاف الضرب من لسان العرب، لأبی حیان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وشرح الدکتور رجب عثمان محمد، مراجعة الدکتور رمضان عبد التواب،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الناشر مکتبة الخانجی بالقاهرة، مطبعة المدنی المؤسسة السعودیة بمصر،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البلاغة، أبو القاسم جار الله محمود بن عمر بن أحمد الزمخش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باسل عیون السود،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محمد علی بیضون، </w:t>
      </w:r>
    </w:p>
    <w:p>
      <w:pPr>
        <w:pStyle w:val="BookText"/>
        <w:rPr/>
      </w:pP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الأدبیة فی النثر العربی القدیم، کمال الیازجی،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الأسالیب الإنشائیة فی النحو العربی، عبد السلام محمد هارون، دار الجیل،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البیان فی القرآن، السید جعفر الحسینی،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الطباعة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وزارة الثقافة والإرشاد الإسلامی، طهران،</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أسالیب الطلب عند النحویین والبلاغیین، الدکتور قیس إسماعیل الأوسی، وزارة التعلیم العالی والبحث العلمی، بیت الحکمة، بغداد،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أسالیب المعانی فی القرآن، السید جعفر باقر الحسینی،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مؤسسة بوستان کتاب،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البلاغة، للإمام عبد القاهر الجرجانی، تحقیق ریتر،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أعاد طبعه بالأوفست مکتبة المثنی، بغداد،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الأسس النفسیة لأسالیب البلاغة العربیة، الدکتور مجید عبد الحمید ناجی،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المؤسسة الجامعیة للدراسات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بلاغیة تحلیلیة لأصول الأسالیب الأدبیة، أحمد الشایب، 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مکتبة النهضة المصریة، مطبعة السعادة، مصر،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لغویة إحصائیة، الدکتور سعد مصلوح،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عالم الکتب، القاهرة،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الأُسلوب والأُسلوبیة، بییر غیرو، ترجمة الدکتور منذر عیاشی، مرکز الإنماء القومی،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والتطبیق، یوسف أبو العدوس،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المسیرة للنش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 xml:space="preserve">والتوزیع والطباعة،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الأُسلوبیة الصوتیة، الدکتور محمد صالح الضالع، دار غریب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نظری ودراسة تطبیقیة، الدکتور فتح الله أحمد سلیمان، الناشر مکتبة الآداب، القاهرة،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الأُسلوبیة والأُسلوب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بدیل السنی فی نقد الأدب، الدکتور عبد السلام المسدی،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الکتاب الجدید المتحدة،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الفاعل والمشبهات به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لغویة دلالیة، الدکتور هادی عبد علی هویدی،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الضیاء للطباعة والتصمیم، النجف الأشرف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الإشارات والتنبیهات فی علم البلاغة، رکن الدین محمد بن علی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علّق علیه ووضع حواشیه وفهارسه إبراهیم شمس الدین،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الأشباه والنظائر فی النحو، الإمام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حواشیه غرید الشیخ،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أصوات اللغة العربیة، الدکتور عبد الغفار حامد هلال،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الناشر مکتبة وهبة، القاهرة،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الأصوات اللغویة، الدکتور إبراهیم أنیس، الناشر مکتبة الأنجلو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ریة، مطبعة محمد عبد الکریم حسان،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البیان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بلاغیة معاصرة، الدکتور محمد حسین الصغیر، طبع فی دار الشؤون الثقافیة العامّة،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فی النحو، لأبی بکر محمد بن سهل بن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 النحوی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عبد الحسین الفتلی،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الإعجاز الصرفی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نظریة تطبیقیة للتوظیف البلاغی لصیغة الکلمة، الدکتور عبد الحمید أحمد یوسف هنداوی، المکتبة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ریة، شرکة أبناء شریف الأنصاری للطباعة والنشر والتوزیع،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 القاضی أبو بکر الباقلانی،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مکتبة الضلال،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القرآن والبلاغة النبویة، مصطفی صادق الرافعی،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وتراجم لأشهر الرجال والنساء من العرب والمستعربین والمستشرقین، خیر الدین الزرکلی، ط</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لأبی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یوسف البقاعی وعزیز الشیخ،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أقسام الکلام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الشکل والوظیفة، الدکتور فاضل مصطفی الساقی،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الناشر مکتبة الخانجی، مطبعة الشرکة الدولیة للطباعة، القاهرة،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الأمثال العربیة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أُسلوبیة سردیة حضاریة، الدکتورة أمانی سلیمان داوود،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المؤسسة العربیة للدراسات والنشر، بیروت،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أُمراء الکوفة وحکامها، محمد علی آل خلیفة، مراجعة وتنقیح الدکتور یاسین </w:t>
      </w:r>
    </w:p>
    <w:p>
      <w:pPr>
        <w:pStyle w:val="BookText"/>
        <w:rPr/>
      </w:pPr>
      <w:r>
        <w:rPr>
          <w:rFonts w:ascii="IRNazanin" w:hAnsi="IRNazanin" w:eastAsia="IRNazanin"/>
          <w:color w:val="111111"/>
          <w:sz w:val="28"/>
          <w:sz w:val="28"/>
          <w:szCs w:val="28"/>
          <w:rtl w:val="true"/>
          <w:lang w:bidi="fa-IR"/>
        </w:rPr>
        <w:t>صلواتی، مؤسسة الصادق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مطبعة أسوة،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الانزیاح من منظور الدراسات الأُسلوبیة، الدکتور أحمد محمد ویس، المؤسسة الجامعیة للدراسات والنشر والتوزیع، سوریة،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لأبی الحسن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وفهرسة محمود الفردوس العظم، دار الیقظة العربیة للتألیف والترجمة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سوریة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إنشاء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وشروطه النحویة والدلالیة، شکری المبخوت، مرکز 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الجامعی کلیة الآداب والفنون والإنسانیات، جامعة منوبة،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الربیع فی أنواع البدیع، السید صدر الدین بن معصوم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وترجم لشعرائه شاکر هادی شکر،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النعمان، النجف الأشرف،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أوزان الفعل ومعانیها، الدکتور هاشم طه شلاش، مطبعة الآداب، النجف الأشرف،</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الإیضاح فی علل النحو، لأبی القاسم الزجاجی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مازن المبارک،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منشورات الرضی، مطبعة أمیر،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الإیضاح فی علوم البلاغة، الإمام الخطیب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وتنقیح وتعلیق الدکتور محمد عبد المنعم خفاجی، الشرکة العالمیة للکتاب،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الدلالی عند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أُسلوبیة فی ضوء اللسانیات، الأستاذ الدکتور مشکور کاظم العوادی،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البلاغ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الدلالی فی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تحلیل النص، الأستاذ الدکتور </w:t>
      </w:r>
    </w:p>
    <w:p>
      <w:pPr>
        <w:pStyle w:val="BookText"/>
        <w:rPr/>
      </w:pPr>
      <w:r>
        <w:rPr>
          <w:rFonts w:ascii="IRNazanin" w:hAnsi="IRNazanin" w:eastAsia="IRNazanin"/>
          <w:color w:val="111111"/>
          <w:sz w:val="28"/>
          <w:sz w:val="28"/>
          <w:szCs w:val="28"/>
          <w:rtl w:val="true"/>
          <w:lang w:bidi="fa-IR"/>
        </w:rPr>
        <w:t>مشکور کاظم العوادی،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البلاغ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لأبی الفداء الحافظ 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دقق أُصوله وحققه الدکتور أحمد أبو ملحم، والدکتور علی نجیب عطوی، والأُستاذ فؤاد شیری، والأستاذ مهدی ناصر الدین، والأستاذ علی عبد الساتر،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البدیع، عبد الله بن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اعتنی بنش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وتعلیق المقدمة والفهارس اغناطیوس کراتشوفسکی،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المثنی، بغداد،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البدیع فی ضوء أسالیب القرآن، الدکتور عبد الفتاح لاشین،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الناشر مکتبة الأنجلو المصریة،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وجوه البیان، أبو الحسین إسحاق بن وهب الکاتب، تحقیق الدکتور أحمد مطلوب، والدکتورة خدیجة الحدیثی،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العانی، بغداد،</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والبدیع، الدکتور طالب محمد الزوبعی، والدکتور ناصر حلاوی،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النهضة العربیة للطباعة والنشر،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أُخری، الدکتور محمد عبد المطلب،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رکة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ریة العالمیة للنشر، لونجمان، طبع دار نوبار، للطباعة، القاهرة،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البلاغة عند السکاکی، الدکتور أحمد مطلوب،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مکتبة النهضة، طبع بمطابع دار التضامن، بغداد،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بلاغة الکتاب فی العصر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نقدیة لتطور الأسالیب، الدکتور محمد نبیه حجاب،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المطبعة الفنیة الحدیثة،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بلاغة الکلمة فی التعبیر القرآنی، الدکتور فاضل صالح السامرائی، مطبعة دار الشؤون الثقافیة،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البلاغة والأُسلوبیة، الدکتور محمد عبد المطلب،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ناشرون، بیروت، والشرعیة المصریة العالمیة للنشر، دار نوبار، القاهرة،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البنی الأُسلوبیة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أُنشودة المطر للسیاب، الدکتور حسن ناظم،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المرکز الثقافی العربی، الدار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البنیات الأُسلوبیة فی لغة الشعر العربی الحدیث، الدکتور مصطفی السعدنی، الناشر منشَأة المعارف بالإسکندریة،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بنیة اللغة الشعریة، جان کوهن، ترجمة محمد الولی، ومحمد العمری،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توبقال للنشر، الدار البیضاء،</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البنیة اللغویة فی النص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تطبیقی فی ضوء علم الأُسلوب، الدکتور محمد الدسوقی،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العلم والإیمان للنشر والتوزیع، کفر الشیخ،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روائع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لغویة وأُسلوبیة، الدکتور تمام حسان،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عالم الکتب، القاهرة،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المحمدی، الدکتور مصطفی الشکعة،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الدار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اللبنانیة، عربیة للطباعة والنشر،</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والتبیین، لأبی عثمان عمر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السلام محمد هارون،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الناشر مکتبة الخانجی بمصر، ومکتبة المثنی ببغداد، مطبعة لجنة التألیف والترجمة والنشر، القاهرة،</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الإمام محب الدین أبو فیض السید محمد مرتض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الحسین الواسطی الزبیدی الحنفی، دراسة وتحقیق علی شیری، دار الفکر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وطبقات المشاهیر والأعلام، لمؤرخ الإسلام الحافظ النقاد شمس الدین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عنیت بنش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مکتبة </w:t>
      </w:r>
    </w:p>
    <w:p>
      <w:pPr>
        <w:pStyle w:val="BookText"/>
        <w:rPr/>
      </w:pPr>
      <w:r>
        <w:rPr>
          <w:rFonts w:ascii="IRNazanin" w:hAnsi="IRNazanin" w:eastAsia="IRNazanin"/>
          <w:color w:val="111111"/>
          <w:sz w:val="28"/>
          <w:sz w:val="28"/>
          <w:szCs w:val="28"/>
          <w:rtl w:val="true"/>
          <w:lang w:bidi="fa-IR"/>
        </w:rPr>
        <w:t xml:space="preserve">القدسی، مطبعة السعادة،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الأدب العربی، أحمد حسن الزیات،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دار المعرفة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أو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تأسیسها حتی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للحافظ أبی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أبو الفضل إبراهیم،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دار المعارف، القاهرة،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أحمد بن أبی یعقوب بن جعفر بن وهب بن واضح الکاتب العباسی المشهور بالیعقوبی، تحقیق عبد الأمیر مهنا،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علم البیان المطلع علی إعجاز القرآن، کمال الدین عبد الواحد بن عبد الکریم الزملکانی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أحمد مطلوب، والدکتورة خدیجة الحدیثی،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العانی، بغداد،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التراکیب اللغویة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وصفیة تطبیقیة، الدکتور هادی نهر، ساعدت جامعة المستنصریة علی نشره، مطبعة الإرشاد، بغداد،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التراکیب النحویة من الوجهة البلاغیة عند عبد القاهر، الدکتور عبد الفتاح لاشین، الناشر دار المریخ للنشر، الریاض، دار الجمیلی للطباعة،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تصریف الأسماء فی اللغة العربیة، الدکتور شعبان صلاح، دار غریب للطباعة والنشر والتوزیع، القاهرة،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صرفیة صوتیة، الدکتورة إسراء عریبی،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أسامة للنش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 الأسالیب النثریة فی الأدب العربی، أنیس المقدسی، 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بلاغیة نقدیة، الدکتور شفیع السید، مکتبة الشباب، دار غریب للطباعة، القاهرة،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القرآنی، الدکتور فاضل صالح السامرائی،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نشر دار عمار، جمعیة عمال المطابع التعاونیة،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 لمحمد بن یوسف الشهیر بأبی حیان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وتحقیق وتعلیق الشیخ عادل أحمد عبد الموجود، والشیخ علی محمد معوض، والدکتور زکریا عبد المجید النوتی، والدکتور أحمد النجولی الجمل، قرَّضه الدکتور عبد الحی القرمادی،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التقدیم والتأخیر فی القرآن الکریم، حمید أحمد عیسی العامری،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وزارة الثقافة والإعلام، دار الشؤون الثقافیة العامّة، آفاق عربیة، بغداد،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التکریر بین المثیر والتأثیر، الدکتور عز الدین السید،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عالم الکتب،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البیان فی مجازات القرآن، الشریف الرضی، حققه وقدم له ووضع فهارسه محمد عبد الغنی حسن،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التلخیص فی علوم البلاغة، للإمام جلال الدین محمد بن عبد الرحمن القزوینی الخطیب، ضبطه وشرحه عبد الرحمن البرقوقی، المکتبة التجاریة الکبری،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التنغیم اللغوی فی القرآن الکریم، سمیر إبراهیم العزاوی،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الضیاء للنش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الأوراق فی المحاضرات، لتقی الدین أبی بکر علی بن محمد بن حجة الحموی القادری الحنفی، قدم له وشرحه الدکتور مفید قمیحه،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الکبیر فی صناعة المنظوم من الکلام والمنثور، الراجع نسبته لعز الدین 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عبد الحمید هنداوی،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الأفاق العربیة، القاهرة،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جدلیة الإفراد والترکیب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النقد العربی القدیم، الدکتور محمد عبد المطلب،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الشرکة المصریة العالمیة للنشر، طبع فی مطابع الأهرام التجاریة، مصر،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جرس الألفاظ ودلالتها فی البحث البلاغی والنقدی عند العرب، الدکتور ماهر مهدی هلال، دار الرشید للنشر، دار الحریة للطباعة، بغداد،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جمالیات التلوین الصوتی فی القرآن الکریم، الدکتور أسامة عبد العزیز جاب الله، دار ومکتبة الإسراء للطبع والنشر والتوزیع، طنطا،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الجملة الشرطیة فی شعر زهیر بن أبی سلمی، الدکتورة ندی الشایع،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ناشرون،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الجملة العربیة والمعنی، الدکتور فاضل صالح السامرائی،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ناشرون وموزعون،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خُطب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عصور العربیة الزاهرة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الأُموی، أحمد زکی صفوت،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المکتبة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رسائل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عصور العربیة الزاه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الأُموی، أحمد زکی صفوت،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شرکة مکتبة ومطبعة مصطفی البابی الحلبی وأولادهُ بمص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اللغة، أبو بکر محمد بن الحسن بن درید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 علیه </w:t>
      </w:r>
    </w:p>
    <w:p>
      <w:pPr>
        <w:pStyle w:val="BookText"/>
        <w:rPr/>
      </w:pPr>
      <w:r>
        <w:rPr>
          <w:rFonts w:ascii="IRNazanin" w:hAnsi="IRNazanin" w:eastAsia="IRNazanin"/>
          <w:color w:val="111111"/>
          <w:sz w:val="28"/>
          <w:sz w:val="28"/>
          <w:szCs w:val="28"/>
          <w:rtl w:val="true"/>
          <w:lang w:bidi="fa-IR"/>
        </w:rPr>
        <w:t>ووضع حواشیه وفهارسه إبراهیم شمس الدین،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الجنی الدانی فی حروف المعانی، حسن بن القاسم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طه محسن، ساعدت جامعة بغداد علی نشره،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 القاموس فی الجموع والمصادر، محمد بن شفیع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الثانی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وتعلیق محمد جعفر الشیخ إبراهیم الکرباسی، منشورات جمعیة منتدی النشر،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الدسوقی علی مختصر السعد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الدین التفتازانی علی متن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بن عرفة الدسوقی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خلیل إبراهیم خلیل،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الحذف والتقدیر فی الدراسة النحویة، الأستاذ الدکتور عائد کریم الحریزی، مطبعة السراج المنیر، النجف،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الشیعة فی أدب العصر الأُموی، الدکتورة ثریا عبد الفتاح ملحس،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الشرکة العالمیة للکتاب، دار الکتاب العالمی،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الأدبیة فی عصر صدر الإسلام، الدکتور محمد عبد المنعم خفاجی،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الکتاب اللبنانی،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خزانة الأدب وغایة الأرب، أبو بکر محمد بن علی المعروف بابن حجة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له وصححه وشرحه ووضع فهارسه الدکتور صلاح الدین الهواری،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المکتبة العصریة،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أبو الفتح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علی النجار،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الهدی،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التراکیب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لمسائل المعانی، الدکتور محمد محمد أبو موسی،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مکتبة وهبه، القاهرة،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الخطابة العربیة فی عصرها الذهبی، إحسان النص، دار المعارف، القاهرة،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الخلیل بن أحمد الفراهیدی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أعماله ومنهجه، الدکتور مهدی المخزومی،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الرائد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الأُسلوبیة عند المخزومی، ضمن کتاب دراسات فی نظریة النحو العربی وتطبیقاتها، الدکتور صاحب أبو جناح،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للطباعة والنشر والتوزیع،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الأدب الجاهلی، ومعه مختارات من المعلّقات الاثنی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رة، ومختارات أُخری، الدکتور عبد العزیز نبوی،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مؤسسة المختار للنش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فی الدلالة والمعجم، الدکتور رجب عبد الجواد إبراهیم، دار غریب للطباعة والنشر والتوزیع، القاهرة،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الدراسات اللهجیة والصوتیة عند ابن جنی، حسام سعید النعیمی، منشورات وزارة الثقافة والإعلام، دار الرشید للنشر، دار الطلیعة للطباعة والنشر،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التصریف، محمد محیی الدین عبد الحمید، شرکة أبناء شریف الأنصاری للطباعة والنشر والتوزیع، الشرکة العصریة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النموذجیة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علم أصوات العربیة، جان کانتینو، نقله إلی العربیة وذیله بمعجم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صالح القرمادی،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ریات مرکز الدراسات والبحوث الاقتصادیة والاجتماعیة الجامعة التونسیة،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التصریف، للقاسم بن محمد بن سعید المؤدب من علماء القرن الرابع الهجری، تحقیق الدکتور أحمد ناجی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والدکتور حاتم صالح الضامن، </w:t>
      </w:r>
    </w:p>
    <w:p>
      <w:pPr>
        <w:pStyle w:val="BookText"/>
        <w:rPr/>
      </w:pPr>
      <w:r>
        <w:rPr>
          <w:rFonts w:ascii="IRNazanin" w:hAnsi="IRNazanin" w:eastAsia="IRNazanin"/>
          <w:color w:val="111111"/>
          <w:sz w:val="28"/>
          <w:sz w:val="28"/>
          <w:szCs w:val="28"/>
          <w:rtl w:val="true"/>
          <w:lang w:bidi="fa-IR"/>
        </w:rPr>
        <w:t xml:space="preserve">والدکتور حسین تورال، مطبعة المجمع العلمی العراقی،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 الشیخ الإمام أبو بکر عبد القاهر بن عبد الرحمن بن محمد الجرجانی، قرأه وعلّق علیه أبو فهد محمود محمد شاکر،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الناشر مکتبة الخانجی،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رکة الدولیة للطباعة، القاهرة،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دلالات التراکیب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بلاغیة، الدکتور محمد محمد أبو موسی،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مکتبة وهبة، القاهرة،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الألفاظ، الدکتور إبراهیم أنیس،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الأنجلو المصریة،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الدلالة السیاقیة عند اللغویین، الدکتورة عواطف کنوش المصطفی،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السیاب للطباعة والنشر والتوزیع، لندن،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الدراسات الأُسلوبیة، جوزیف میشال شریم،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المؤسسة الجامعیة للدراسات والنشر والتوزیع،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الکلمة فی اللغة، ستیفن اولمان، ترجمه وقدّم له وعلّق علیه الدکتور کمال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ط</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دار غریب للطباعة والنشر والتوزیع،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المختار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جدیدة، صفاء أحمد الخطیب،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العلوم للتحقیق والطباعة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 و</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السیاسیة فی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العباسی الأوّل، حسین بیضون، منشورات وزارة الثقافة، دمشق،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الفنیة فی العصر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نهایة القرن الرابع الهجری، زینة عبد الجبار محمد المسعودی،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هیئة إدارة واستثمار أموال الوقف السنی، بغداد،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صناعة الإعراب، أبو الفتح عثمان بن جنی، تحقیق ودراسة الدکتور حسن هنداوی،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العلم، دمشق،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الفصاحة، للأمیر أبی محمد بن عبد الله بن محمد بن سعید بن سنان الخفاجی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وعلّق علیه عبد المتعال الصعیدی، مطبعة محمد علی صبیح وأولاده،</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للإمام المُحدّث أبی عبد الله 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محمود محمد محمود وحسن نصار،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للإمام أبی عبد الله شمس الدین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رتبه وزاد فوائده واعتنی به حسان عبد المنان، بیت الأفکار الدولیة، لبنان،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شذا العرف فی فن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 الشیخ أحمد بن محمد بن أحمد الحملاوی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شرحه وفهرسه واعتنی به الدکتور عبد الحمید هنداوی،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ألفیة ابن مالک، قاضی القضاة بهاء الدین عبد الله بن عقیل العقیلی الهمدانی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ومعه کتاب منحة الجلیل بتحقیق شرح ابن عقیل، تألیف محمد محیی الدین عبد الحمید،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ألفیة ابن مالک، تألیف ابن الناظم أبی عبد الله بدر الدین محمد بن الإمام جمال الدین محمد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باسل عیون السود،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التبیان فی علم البیان، للشیخ الإمام أبی عبد الله محمد بن عبد الکریم المغیلی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وتحقیق الدکتور أبو أزهر بلخیر هانم،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w:t>
      </w:r>
    </w:p>
    <w:p>
      <w:pPr>
        <w:pStyle w:val="BookText"/>
        <w:rPr/>
      </w:pPr>
      <w:r>
        <w:rPr>
          <w:rFonts w:ascii="IRNazanin" w:hAnsi="IRNazanin" w:eastAsia="IRNazanin"/>
          <w:color w:val="111111"/>
          <w:sz w:val="28"/>
          <w:sz w:val="28"/>
          <w:szCs w:val="28"/>
          <w:rtl w:val="true"/>
          <w:lang w:bidi="fa-IR"/>
        </w:rPr>
        <w:t xml:space="preserve">الکتب العلمیة،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جمل الزجاجی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الکبیر، ابن عصفور الأشبیلی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صاحب أبو جناح، وزارة الأوقاف والشؤون الدینیة، مطابع مدیریة دار الکتب للطباعة، جامعة الموصل،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شافیة ابن الحاجب، للشیخ رضی الدین محمد بن الحسین الأسترابادی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شرح شواهده للعالم الجلیل عبد القادر صاحب خزانة الأدب، حققهما وضبط غریبهما وشرح منهجهما الأساتذة محمد نور الحسن، ومحمد الزفاف، ومحمد محی الدین عبد الحمید،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کافیة ابن الحاجب، رضی الدین محمد بن الحسن الأسترابادی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له ووضع حواشیه وفهارسه الدکتور أمیل یعقوب،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الکافیة الشافیة، للإمام أبی عبد الله جمال الدین محمد بن عبد الله بن محمد ابن مالک الطائی الجیانی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محمد معوض، وعادل أحمد عبد الموجود،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المراح فی التصریف، العلاّمة بدر الدین محمود بن أحمد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علیه الدکتور عبد الستار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المفصّل فی صنعة الإعراب الموسوم بالتحمیر، تألیف صدر الأفاضل القاسم بن الحسین الخوارزمی، تحقیق الدکتور عبد الرحمن بن سلیمان العثیمین،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الغرب الإسلامی،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المفصّل للزمخشری، موفق الدین أبی البقاء یعیش بن علی بن یعیش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له ووضع هوامشه وفهارسه الدکتور أمیل یعقوب،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نهج اللسانیات الوصفیة، الدکتور عبد السلام المسدی، والدکتور محمد الهادی الطرابلسی، الدار العربیة للکتاب، مطبعة الاتحاد العلم التونسی لیبیا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التلخیص، وتتضمن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العلاّمة سعد الدین التفتازانی علی تلخیص المفتاح للخطیب القزوینی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الفتاح فی شرح تلخیص المفتاح لابن یعقوب المغربی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الأفراح فی شرح تلخیص المفتاح، بهاء الدین السبکی،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دار الهادی للطباعة والنشر والتوزیع، مؤسسة دار البیان العربی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فی دراسته وتقویمه، محمد النویهی، الدار القومیة للطباعة والنشر،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الخطابة،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محمد سلیم سالم، مراجعة الدکتور إبراهیم مدکور، نشر وزارة المعارف العمومیة، المطبعة الأمیریة بالقاهرة،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الصاحبی فی فقه اللغة وسنن العرب فی کلامهما، لأبی الحسین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وتدقیق أحمد صقر،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المکتبة الفیصلیة، المملکة العربیة السعودیة،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الأعشی فی صناعة الإنشاء، أحمد بن علی القلقشندی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شرحه وعلّق علیه وقابل نصوصه محمد حسین شمس الدین،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الفکر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تاج اللغة وصحاح العربیة، أبو نصر إسماعیل بن حماد الجوهری الفارابی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حدود</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شهاب الدین أبو عمر،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للإمام أبی عبد الله محمد بن إسماعیل بن إبراهیم البخاری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وتحقیق الشیخ قاسم الشماعی الرفاعی، دار القلم،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للإمام أبی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الطریف فی علم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صرفیة تطبیقیة، عبد الله الأسطی، منشورات کلیة الدعوة الإسلامیة،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ظاهرة القسم فی القرآن الکریم، فارس علی العامر،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أنوار الهدی للطباعة والنشر، مطبعة مهر، إیران،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الأفراح فی شرح تلخیص المفتاح، للشیخ بهاء الدین أبی حامد أحمد بن علی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خلیل إبراهیم خلیل،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العصر الإسلامی، الدکتور شوقی ضیف، ط</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دار المعارف،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العصر الجاهلی، الدکتور شوقی ضیف، دار المعارف،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وتطبیقات، الدکتور محمد کریم الکوَّاز،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السابع عشر من أبریل، لیبیا،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الأُسلوب والنظریة البنائیة، الدکتور صلاح فضل،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الکتاب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دار الکتاب اللبنانی، القاهرة،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الأصوات، الدکتور کمال بشر، دار غریب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الأصوات اللغویة، الدکتور مناف مهدی الموسوی،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توزیع دار الکتب العلمیة، بغداد،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لمسائل البیان، الدکتور بسیونی عبد الفتاح فیود،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المختار للنشر والتوزیع، القاهرة،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اللغة العام، فردینان دی سوسیر، ترجمة یوئیل یوسف عزیز، مراجعة النص العربی الدکتور مالک المطلبی، مطابع دار آفاق عربیة للصحافة والنشر، بغداد،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للقارئ العربی، الدکتور محمود السعران، دار المعارف بمص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مطبعة الإسکندریة،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المعانی، درویش الجندی،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نهضة مصر،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المعانی، الدکتور عبد العزیز عتیق، دار النهضة العربیة 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بیروت،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المعانی، الدکتور مجهد جیجان الدلیمی، والدکتور قیس إسماعیل الآلوسی والسیدة حذام جمال الدین الآلوسی، مدیریة دار الکتب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المکتبة الوطنیة،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بلاغة القدامی وأُسلوبیة المُحدَثین، الدکتور طالب محمد إسماعیل الزوبعی،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جامعة قان یونس، بنغازی،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تأصیل وتقییم، الدکتور حسن طبل،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طبع 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مکتبة الإیمان بالمنصورة، القاهرة،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بلاغیة ونقدیة لمسائل المعانی، الدکتور بسیونی عبد الفتاح فیود،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المختار للنشر والتوزیع،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المعانی وأسالیبه البلاغیة، الدکتور طاهر عبد الرحمن قحطان،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w:t>
      </w:r>
    </w:p>
    <w:p>
      <w:pPr>
        <w:pStyle w:val="BookText"/>
        <w:rPr/>
      </w:pPr>
      <w:r>
        <w:rPr>
          <w:rFonts w:ascii="IRNazanin" w:hAnsi="IRNazanin" w:eastAsia="IRNazanin"/>
          <w:color w:val="111111"/>
          <w:sz w:val="28"/>
          <w:sz w:val="28"/>
          <w:szCs w:val="28"/>
          <w:rtl w:val="true"/>
          <w:lang w:bidi="fa-IR"/>
        </w:rPr>
        <w:t xml:space="preserve">الإرشاد، الجمهوریة الیمنیة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فی غریب الحدیث، العلاّمة جار الله محمود بن أحمد بن عمر الزمخش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حواشیه إبراهیم شمس الدین،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زمانه وأبنیته، الدکتور إبراهیم السامرائی،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اللغة العربیة، الدکتور کاصد یاسر الزبیدی، وزارة التعلیم العالی والبحث العلمی، جامعة الموصل،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الفن ومذاهبه فی النثر العربی، الدکتور شوقی ضیف، ط</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دار المعارف،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الأدب الجاهلی، الدکتور طه حسین، 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دار المعارف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الأصوات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أصوات المد العربیة، الدکتور غالب فاضل المطلبی، منشورات وزارة الثقافة والإعلام، دائرة الشؤون الثقافیة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دار الحریة للطباعة،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البحث الصوتی عند العرب، الدکتور خلیل إبراهیم العطیة، الموسوعة الصغیرة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منشورات دار الجاحظ للنشر، بغداد،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التحلیل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وصفی تحلیلی وتطبیقه علی التوکید اللغوی والنفی اللغوی وأُسلوب الاستفهام، الدکتور خلیل أحمد عمایرة، تقدیم الدکتور سلمان حسن العانی،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المنار،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الزرقاء،</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النحو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تطبیق علی المنهج العلمی الحدیث، الدکتور مهدی المخزومی،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شرکة مکتبة ومطبعة مصطفی البابی الحلبی وأولاده بمص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وتوجیه، الدکتور مهدی المخزومی،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الشؤون </w:t>
      </w:r>
    </w:p>
    <w:p>
      <w:pPr>
        <w:pStyle w:val="BookText"/>
        <w:rPr/>
      </w:pPr>
      <w:r>
        <w:rPr>
          <w:rFonts w:ascii="IRNazanin" w:hAnsi="IRNazanin" w:eastAsia="IRNazanin"/>
          <w:color w:val="111111"/>
          <w:sz w:val="28"/>
          <w:sz w:val="28"/>
          <w:szCs w:val="28"/>
          <w:rtl w:val="true"/>
          <w:lang w:bidi="fa-IR"/>
        </w:rPr>
        <w:t xml:space="preserve">الثقافیة العامة، بغداد،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النقد الأدبی، الدکتور شوقی ضیف، ط</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دار المعارف،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 محمد بن یعقوب مجد الدین الفیروز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المصباح المنیر فی غریب الشرح الکبیر للرافعی، أحمد بن محمد بن علی المقری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 التوثیق فی 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الصرف والنحو والإعراب، الدکتور جوزیف الیاس وجرجس ناصیف،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العلم للملایین،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أبو الحسن علی بن أبی الکرم محمد بن محمد بن عبد الکریم ابن عبد الواحد الشیبانی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نخبة من العلماء،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دار الکتاب العربی، بیروت،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اللغة والأدب، أبو العباس محمد بن یزید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یحیی مراد،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المختار للنشر والتوزیع، القاهرة،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سیبویه أَبو بشر عمر بن عثمان بن 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وشرح عبد السلام محمد هارون، عالم الکتب للطباعة والنشر والتوزیع، مطابع الهیئة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ریة العامة للکتاب، بیروت،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الأفعال، لابن القوطیة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فودة،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الناشر مکتبة الخانجی، الشرکة الدولیة للطباعة، القاهرة،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التبیان فی علم المعانی والبدیع والبیان، للعلاّمة شرف الدین حسین بن محمد 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وتقدیم الدکتور هادی عطیة مطر الهلالی،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النهضة العربیة، عالم الکتب،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تهذیب التهذیب، للحافظ شهاب الدین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ومراجعة صدقی جمیل العطار، دار الفکر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التهذیب فی أصول التعریب، الدکتور أحمد بک عیسی، ط، دار الآفاق العربیة، القاهرة،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الصناعتین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والشعر، تصنیف أبی هلال الحسین، عبد الله بن سهل العسکری، تحقیق الدکتور مفید قمحة،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الطراز المتضمن لإسرار البلاغة وعلوم حقائق الإعجاز، للسیّد الإمام یحیی بن حمزة بن علی الیمنی، مراجعة وضبط محمد عبد السلام شاهین،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الفتوح، للعلاّمة أبی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شیری،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الأضواء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معانی الحروف، لأبی الحسن علی بن عیسی الرمانی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وخرّج شواهده وعلّق علیه وقدّم له وترجم للرمانی وأرخ 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الدکتور عبد الفتاح إسماعیل شلبی، دار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روق للنش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جدة، دار ومکتبة الهلال،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المفتاح فی الصرف، للإمام عبد القاهر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وقدّم له علی توفیق الحمد،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الرسالة، دار الأمل،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المقتصد فی شرح الإیضاح، للإمام عبد القاهر الجرجانی، تحقیق کاظم بحر المرجان، وزارة الثقافة والإعلام، دار الرشید للنشر، الجمهوریة </w:t>
      </w:r>
    </w:p>
    <w:p>
      <w:pPr>
        <w:pStyle w:val="BookText"/>
        <w:rPr/>
      </w:pPr>
      <w:r>
        <w:rPr>
          <w:rFonts w:ascii="IRNazanin" w:hAnsi="IRNazanin" w:eastAsia="IRNazanin"/>
          <w:color w:val="111111"/>
          <w:sz w:val="28"/>
          <w:sz w:val="28"/>
          <w:szCs w:val="28"/>
          <w:rtl w:val="true"/>
          <w:lang w:bidi="fa-IR"/>
        </w:rPr>
        <w:t>العراقیة،</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عن حقائق غوامض التنزیل وعیون الأقاویل فی وجوه التأویل، جار الله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جمال الدین بن مکرم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أمین محمد عبد الوهاب، ومحمد صادق العبیدی،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اللغة العربیة معناها ومبناها، الدکتور تمام حسان،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عالم الکتب، القاهرة،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اللغة فی الدرس البلاغی، الدکتور عدنان عبد الکریم جمعة،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السیاب للطباعة والنشر والتوزیع، لندن،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 فی العربیة، أبو الفتح عثمان 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حامد المؤمن،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منتدی النشر النجف الأشرف، مطبعة العانی، بغداد،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المباحث الأُسلوبیة عند ابن جنی، ضمن کتاب دراسات فی نظریة النحو العربی وتطبیقاتها، الدکتور صاحب أبو جناح،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للطباعة والنشر والتوزیع،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المبدع فی التصریف، أبو حیان النحوی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تحقیق وشرح وتعلیق الدکتور عبد الحمید السید طلب،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 مکتبة دار العروبة للنشر والتوزیع، طبع دار النفائس، بیروت،</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المثل السائر فی أدب الکاتب والشاعر، أبو الفتح ضیاء الدین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الله بن محمد ابن محمد بن عبد الکریم المعروف بابن الأثیر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محی الدین عبد الحمید، المکتبة العصریة، بیروت،</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المجازات النبویة، محمد بن حسین الشریف الرضی، تصحیح مهدی هوشمند،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الحدیث للطباعة والنشر، مطبعة ستارة،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خصائصه الفنیة وبلاغته العربیة، الدکتور محمد حسین علی الصغیر،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المؤرخ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ومنبع الفوائد، للحافظ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الله محمد الدرویش، دار الفکر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مخارج الحروف أو أسباب حدوث الحروف، تصنیف الشیخ الرئیس أبو علی بن سینا، تحقیق الدکتور برویز ناتل خانلری، انتشارات دانشکاه، مطبعة دانشکاه،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إلی علم اللغة ومناهج البحث اللغوی، الدکتور رمضان عبد التواب،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مکتبة الخانجی، الشرکة الدولیة للطباعة، القاهرة،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إلی کتابی عبد القاهر الجرجانی، الدکتور محمد محمد أبو موسی،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الناشر مکتبة وهبة، القاهرة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ومنهجها فی دراسة اللغة والنحو، الدکتور مهدی المخزومی،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الرائد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تطور النثر العربی فی نماذجه، الدکتور علی شلق،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المزهر فی علوم اللغة وأنواعها، للعلاّمة جلال الدین السیوطی، شرحه وضبطه وصححه وعنون موضوعاته محمد أحمد جاد المولی بک، ومحمد أبو الفضل إبراهیم، وعلی محمد البجاوی،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طبع ونشر أصحاب دار إحیاء الکتب العربیة عیسی البابی الحلبی وشرکاؤه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للإمام الحافظ أبی عبد الله محمد بن عبد الله الحاکم </w:t>
      </w:r>
    </w:p>
    <w:p>
      <w:pPr>
        <w:pStyle w:val="BookText"/>
        <w:rPr/>
      </w:pPr>
      <w:r>
        <w:rPr>
          <w:rFonts w:ascii="IRNazanin" w:hAnsi="IRNazanin" w:eastAsia="IRNazanin"/>
          <w:color w:val="111111"/>
          <w:sz w:val="28"/>
          <w:sz w:val="28"/>
          <w:szCs w:val="28"/>
          <w:rtl w:val="true"/>
          <w:lang w:bidi="fa-IR"/>
        </w:rPr>
        <w:t>النیسابوری مع تضمینات للإمام الذهبی فی التلخیص المیزان، والعراقی فی أمالیه، والمناوی فی فیض الغدیر، وغیرهم من العلماء الإجلاء، دراسة وتحقیق مصطفی عبد القادر عطا،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المستویات الجمالیة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شعریة النثر، نوفل هلال أبو رغیف،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الشؤون الثقافیة العامة، بغداد،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الراغب شرح کافیة ابن الحاجب بحاشیة السیّد، العلاّمة محمد بن عز الدین المفتی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الله حمود،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التراث الإسلامی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فی المعانی والبیان والبدیع، للإمام أبی عبد الله بدر الدین بن مالک الدمشقی الشهیر بابن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 الکتاب وقدّم له الدکتور عبد الحمید هنداوی،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تلخیص مفتاح العلوم، العلاّمة سعد الدین مسعود بن عمر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عبد الحمید هنداوی،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الأبنیة فی العربیة، الدکتور فاضل صالح السامرائی،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ساعدت جامعة بغداد علی نشره، جامعة الکویت،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القرآن، أبو زکریا یحیی بن زیاد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یوسف نجاتی، محمد علی النجار،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الهیئة المصریة العامّة للکتاب،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معترک الأقران فی أعجاز القرآن، أبو الفضل جلال بن عبد الرحمن أبو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 وصححه أحمد شمس الدین،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للشیخ الإمام شهاب الدین أبی عبد الله یاقوت بن عبد الله </w:t>
      </w:r>
    </w:p>
    <w:p>
      <w:pPr>
        <w:pStyle w:val="BookText"/>
        <w:rPr/>
      </w:pPr>
      <w:r>
        <w:rPr>
          <w:rFonts w:ascii="IRNazanin" w:hAnsi="IRNazanin" w:eastAsia="IRNazanin"/>
          <w:color w:val="111111"/>
          <w:sz w:val="28"/>
          <w:sz w:val="28"/>
          <w:szCs w:val="28"/>
          <w:rtl w:val="true"/>
          <w:lang w:bidi="fa-IR"/>
        </w:rPr>
        <w:t xml:space="preserve">الحموی الرومی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فرید عبد العزیز الجندی،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الحافظ أبو القاسم سلیمان بن أحمد الطبرانی، حقّقه وخرّج أحادیثه حمدی عد المجید السلفی،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إحیاء التراث العربی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المصطلحات البلاغیة وتطورها، الدکتور أحمد مطلوب، مطبعة المجمع العلمی العراقی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المختار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موضوعیة جدیدة، سلیم عبد الله،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الثقلین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 اللبیب عن کتب الأعاریب، جمال الدین 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علیه الدکتور مازن المبارک، والدکتور محمد علی حمد الله، راجعه سعید الأفغانی، انتشارات کلستانه،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العلوم، أبو یعقوب یوسف بن أبو بکر محمد بن علی 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 وکتب هوامشه وعلّق علیه نعیم زرزور،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المفصل فی علم العربیة، أبو القاسم محمود بن عمر الزمخش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فی الأُسلوبیة، الدکتور منذر عیاشی،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اتحاد الکتاب العرب،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المقتضب، صنعه أبو العباس محمد بن یزید المبرد، تحقیق محمد عبد الخالق عظیمة، دار الکتاب اللبنانی بیروت ودار الکتاب المصری القاهرة، القاهرة،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للخوارزمی، لأبی المؤید الموفق محمد بن أحمد المکی أخطب </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عنی بملاحظته والتعلیق علیه العلاّمة المحقق الکبیر الشیخ محمد السماوی، مطبعة الزهراء، النجف،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المقدّمة فی نقد النثر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رؤیة جدیدة فی تقنیات البحث والکتابة، الشیخ علی حب الله،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الهادئ للطباعة والنش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لدرس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نضع المعجم الجدید، عبد الله العلایلی، المطبعة العصریة،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المقرّب، علی بن عبد المؤمن المعروف بابن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أحمد عبد الستار الجواری، وعبد الله الجبوری، وزارة الأوقاف والشؤون الدینیة، لجنة إحیاء التراث الإسلامی، مطبعة العانی، بغداد،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الممتع الکبیر فی التصریف، ابن عصفور الأشبیلی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فخر الدین قباوة،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لنبان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ناشرون، لبنان،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أسرار التعبیر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تحلیلیة لسورة الأحزاب، الدکتور محمد محمد أبو موسی،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الناشر مکتبة وهبة،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أسرار اللغة، الدکتور إبراهیم أنیس، ط</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مکتبة الأنجلو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ریة، مطبعة محمد عبد الکریم حسان،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البحث فی اللغة، الدکتور تمام حسان،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الثقافة، الدار البیضاء،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الصوتی للبنیة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جدیدة فی الصرف العربی، الدکتور عبد الصبور شاهین، مؤسسة الرسالة،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مواهب الفتاح فی شرح تلخیص المفتاح، أبو العباس أحمد بن محمد بن یعقوب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خلیل إبراهیم خلیل،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الشعر، الدکتور إبراهیم أنیس،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الناشر مکتبة الأنجلو المصریة، المطبعة الفنیة الحدیثة،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النثر فی العصر الجاهلی، الدکتور هاشم صالح مناع،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العربی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النثر الفنی بین صدر الإسلام والعص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تحلیلیة، الدکتورة می یوسف خلیف، دار بقاء للطباعة والنشر والتوزیع،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النثر الفنی فی القرن الرابع، زکی مبارک، دار الجیل،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الفعل، الدکتور أحمد عبد الستار الجواری، مطبعة المجمع العلمی العراقی،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القرآن، الدکتور أحمد عبد الستار الجواری، مطبعة المجمع العلمی العراقی،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المعانی، الدکتور أحمد عبد الستار الجواری، مطبعة المجمع العلمی العراقی،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نظریة أُسلوبیة لسانیة، فیلی ساندریس، ترجمة خالد محمود جمعه،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توزیع دار الفکر،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النقد اللغوی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نهایة القرن السابع الهجری، الدکتور نعمة رحیم العزاوی، منشورات وزارة الثقافة والفنون، الجمهوریة العراقیة،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النظریة والتطبیق، قراءة فی نتاج ابن الأثیر النقدی والإبداعی، الدکتور عرفة حلمی عباس،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الناشر مکتبة الآداب، القاهرة،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الإیجاز فی درایة الإعجاز، الإمام فخر الدین الرازی، تحقیق ودراسة الدکتور بکری شیخ أمین،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أبو الحسن محمد الرضی بن الحسین الموسوی، شرح الأستاذ الشیخ </w:t>
      </w:r>
    </w:p>
    <w:p>
      <w:pPr>
        <w:pStyle w:val="BookText"/>
        <w:rPr/>
      </w:pPr>
      <w:r>
        <w:rPr>
          <w:rFonts w:ascii="IRNazanin" w:hAnsi="IRNazanin" w:eastAsia="IRNazanin"/>
          <w:color w:val="111111"/>
          <w:sz w:val="28"/>
          <w:sz w:val="28"/>
          <w:szCs w:val="28"/>
          <w:rtl w:val="true"/>
          <w:lang w:bidi="fa-IR"/>
        </w:rPr>
        <w:t xml:space="preserve">محمد عبده، دار المعرفة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الشریف الرضی، شرحه الأستاذ الإمام المرحوم الشیخ محمد عبده، حقّقه وزاد فی شرحه محمد محی الدین عبد الحمید، المکتبة التجاریة الکبری، مطبعة الاستقامة،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همع الهوامع فی شرح جمع الجوامع، الإمام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أحمد شمس الدین،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الواضح فی علم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الدکتور محمد خیر حلوانی،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دار الثقافة العربیة للطباعة والنشر والتوزیع، دار المأمون للتراث</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لنصر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وشرح عبد السلام محمد هارون،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نشر مکتبة آیة الله العظمی المرعشی النجفی، مطبعة بهم،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البحوث والمجلات</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حرکة التوّابین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زعمائها ورسائلهم، جمعها وحقّقها وقدّم لها محسن بن العربی، حولیات الجامعة التونسیة، العدد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لسنة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 والأُسلوبیة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فی المصطلح وحقول البحث ومناهجه، أحمد درویش، مجلة فصول، الهیئة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العامّة للکتاب، القاهرة، المجلد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تعریف، الدکتور محمد عیاد، مجلة فصول، الهیئة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العامّة للکتاب، القاهرة، المجلد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الأُسلوبیة الذاتیة أو النشوئیة، عبد الله حوله، مجلة فصول، الهیئة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العامّة للکتاب، القاهرة، المجلد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الأُسلوبیة الصوتیة فی النظریة والتطبیق، الدکتور ماهر مهدی هلال، مجلة آفاق </w:t>
      </w:r>
    </w:p>
    <w:p>
      <w:pPr>
        <w:pStyle w:val="BookText"/>
        <w:rPr/>
      </w:pPr>
      <w:r>
        <w:rPr>
          <w:rFonts w:ascii="IRNazanin" w:hAnsi="IRNazanin" w:eastAsia="IRNazanin"/>
          <w:color w:val="111111"/>
          <w:sz w:val="28"/>
          <w:sz w:val="28"/>
          <w:szCs w:val="28"/>
          <w:rtl w:val="true"/>
          <w:lang w:bidi="fa-IR"/>
        </w:rPr>
        <w:t>عربیة، العدد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السنة السابعة عشرة،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وتاریخ، فیتور مانویل، ترجمة وتقدیم الدکتور سلیمان العطار، مجلة فصول، الهیئة المصریة العامّة للکتاب، القاهرة، المجلد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الأُسلوبیة والنقد 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 من تعریف الأُسلوب وعلم الأُسلوب، اختارها وترجمها الدکتور عبد السلام المسدی، مجلة الثقافة الأجنبیة، بغداد، العدد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السنة الثانیة،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التوّابین بعد استشهاد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المغزی والأُسلوب، الأُستاذ الدکتور مشکور العوادی، مجلة ینابیع، العدد</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السنة الثالثة، محرم، صفر،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الدراسات الإحصائیة للأُسلوب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المفهوم والإجراء والوظیفة، الدکتور سعد مصلوح، مجلة عالم الفکر، الکویت، العدد</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سمات أُسلوبیة فی شعر صلاح عبد الصبور، الدکتور محمد العبد، مجلة فصول، الهیئة المصریة العامّة للکتاب، القاهرة، العدد</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الأُسلوب وصلته بعلم اللغة، الدکتور صلاح فضل، مجلة فصول، الهیئة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العامّة للکتاب، القاهرة، المجلد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اللغة والنقد الأدبی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الأُسلوب، الدکتور عبده الراجحی، مجلة فصول، الهیئة المصریة العامّة للکتاب، القاهرة، المجلد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الإیقاع، محمد الهادی الطرابلسی، حولیات الجامعة التونسیة، العدد</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لسنة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الکلمة فی الشعر العراقی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البنیة الصرفیة والدلالة، الدکتور هادی نهر، مجلة الأقلام، بغداد، العدد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الحرکی فی بدائع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الأُستاذ الدکتور مشکور کاظم </w:t>
      </w:r>
    </w:p>
    <w:p>
      <w:pPr>
        <w:pStyle w:val="BookText"/>
        <w:rPr/>
      </w:pPr>
      <w:r>
        <w:rPr>
          <w:rFonts w:ascii="IRNazanin" w:hAnsi="IRNazanin" w:eastAsia="IRNazanin"/>
          <w:color w:val="111111"/>
          <w:sz w:val="28"/>
          <w:sz w:val="28"/>
          <w:szCs w:val="28"/>
          <w:rtl w:val="true"/>
          <w:lang w:bidi="fa-IR"/>
        </w:rPr>
        <w:t xml:space="preserve">العوادی، بحث قُدِّم إلی مؤتمر اللغة العربیة بکلیة التربیة الأساسیة، جامعة الکوفة،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الأُسلوب، رولف ساندل، ترجمة لمیاء عبد الحمید العانی، مجلة الثقافة الأجنبیة، العدد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السنة الثانیة،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الأُسلوب فی التراث، الدکتور محمد عبد المطلب، مجلة فصول، الهیئة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ریة العامّة للکتاب، القاهرة، المجلد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النظم عند عبد القاهر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فی ضوء الأُسلوبیة، نصر أبو زید، مجلة فصول، الهیئة المصریة العامّة للکتاب، القاهرة، المجلد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العدد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المواقع الالکترونیة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الترسل الفنی فی العصر العباسی الأوّل، سهل بن هارون مترسلاً، قحطان الفلاح، </w:t>
      </w:r>
      <w:r>
        <w:rPr>
          <w:rFonts w:eastAsia="Times New Roman" w:cs="Times New Roman" w:ascii="Times New Roman" w:hAnsi="Times New Roman"/>
          <w:color w:val="111111"/>
          <w:sz w:val="28"/>
          <w:szCs w:val="28"/>
          <w:lang w:val="en-US" w:bidi="en-US"/>
        </w:rPr>
        <w:t>http: // www. Dahsha.com /vie warticle. Php ?id=28634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الجامعیة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ألفاظ السمع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لغویة، شکیب غازی بصری الحلفی، رسالة ماجستیر مخطوطة، کلیة الآداب، جامعة الکوفة،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البنیة الإیقاعیة فی شعر الجواهری، عبد نور داود عمران، أطروحة دکتوراه مخطوطة، کلیة الآداب، جامعة الکوفة،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التصویر الفنّی فی خُطب المسیرة الحسینیة، هادی سعدون حنون، رسالة ماجستیر مخطوطة، کلیة الآداب، جامعة الکوفة،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المختار بن أبی عبید الثقفی وأبعادها السیاسیة والفکریة، رغداء حسین محمد، رسالة ماجستیر مخطوطة، کلیة الآداب، جامعة الکوفة،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سیدات البیت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نهایة القرن الأوّل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موضوعیة فنیة، زینب عبد الله کاظم الموسوی، رسالة ماجستیر مخطوطة، </w:t>
      </w:r>
    </w:p>
    <w:p>
      <w:pPr>
        <w:pStyle w:val="BookText"/>
        <w:rPr/>
      </w:pPr>
      <w:r>
        <w:rPr>
          <w:rFonts w:ascii="IRNazanin" w:hAnsi="IRNazanin" w:eastAsia="IRNazanin"/>
          <w:color w:val="111111"/>
          <w:sz w:val="28"/>
          <w:sz w:val="28"/>
          <w:szCs w:val="28"/>
          <w:rtl w:val="true"/>
          <w:lang w:bidi="fa-IR"/>
        </w:rPr>
        <w:t xml:space="preserve">کلیة الآداب، جامعة الکوفة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نحویة أُسلوبیة، محمد إسماعیل عبد الله، رسالة ماجستیر مخطوطة، کلیة التربیة، جامعة بابل،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الفنیة فی العصر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نهایة العص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الأُموی، غانم جواد رضا، رسالة ماجستیر مخطوطة، کلیة الآداب، جامعة بغداد،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أُسلوبیة، تومان غازی حسین، أطروحة دکتوراه مخطوطة، کلیة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الکوفة،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زهیر بن أبی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أُسلوبیة، أیاد کمر کرم، رسالة ماجستیر مخطوطة، کلیة التربیة، جامعة القادسیة،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قصار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أُسلوبیة، کریم طاهر البعاج، رسالة ماجستیر مخطوطة، کلیة التربیة، جامعة بابل،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لغة الشعر عند الصعالیک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لغویة أُسلوبیة، وائل عبد الأمیر خلیل الحربی، رسالة ماجستیر مخطوطة، کلیة التربیة، جامعة بابل،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المناجیات وأدعیة الأیّام عند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أُسلوبیة، إدریس طارق حسین، رسالة ماجستیر مخطوطة، کلیة التربیة، جامعة بابل،</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28" w:name="pg5013_35540"/>
    </w:p>
    <w:p>
      <w:pPr>
        <w:pStyle w:val="Heading2"/>
        <w:numPr>
          <w:ilvl w:val="1"/>
          <w:numId w:val="1"/>
        </w:numPr>
        <w:rPr/>
      </w:pPr>
      <w:bookmarkStart w:id="429" w:name="__RefHeading___Toc507897_774463916"/>
      <w:bookmarkStart w:id="430" w:name="_Toc150"/>
      <w:bookmarkEnd w:id="428"/>
      <w:bookmarkEnd w:id="429"/>
      <w:r>
        <w:rPr>
          <w:rtl w:val="true"/>
        </w:rPr>
        <w:t>المحتویات</w:t>
      </w:r>
      <w:bookmarkEnd w:id="430"/>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النثر بین الموضوع والأداء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النثر الفنی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النثر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تنظیری للأُسلوبیَّة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الفصل الأوَّل</w:t>
      </w:r>
    </w:p>
    <w:p>
      <w:pPr>
        <w:pStyle w:val="BookText"/>
        <w:rPr/>
      </w:pPr>
      <w:r>
        <w:rPr>
          <w:rFonts w:ascii="Amiri" w:hAnsi="Amiri" w:eastAsia="Amiri" w:cs="Amiri"/>
          <w:color w:val="111111"/>
          <w:sz w:val="28"/>
          <w:sz w:val="28"/>
          <w:szCs w:val="28"/>
          <w:rtl w:val="true"/>
          <w:lang w:bidi="ar-SA"/>
        </w:rPr>
        <w:t>أنماط النَّثر الفنِّی ومواردها</w:t>
      </w:r>
    </w:p>
    <w:p>
      <w:pPr>
        <w:pStyle w:val="BookText"/>
        <w:rPr/>
      </w:pPr>
      <w:r>
        <w:rPr>
          <w:rFonts w:ascii="IRNazanin" w:hAnsi="IRNazanin" w:eastAsia="IRNazanin"/>
          <w:color w:val="111111"/>
          <w:sz w:val="28"/>
          <w:sz w:val="28"/>
          <w:szCs w:val="28"/>
          <w:rtl w:val="true"/>
          <w:lang w:bidi="fa-IR"/>
        </w:rPr>
        <w:t>فی ثورة التوّابین وإمارة المختار</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أنماط النثر الفنَّی فی ثورة التوّابین وإمارة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الخطابة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الخطابة بین الجاهلیة وصدر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الفنیة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الفنیة بین الجاهلیة وعصر صدر الإسلام </w:t>
      </w:r>
      <w:r>
        <w:rPr>
          <w:rFonts w:eastAsia="IRNazanin" w:cs="IRNazanin"/>
          <w:color w:val="111111"/>
          <w:sz w:val="28"/>
          <w:szCs w:val="28"/>
          <w:lang w:bidi="fa-IR"/>
        </w:rPr>
        <w:t>40</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الفنیّة فی ثورة التوّابین وإمارة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 والوصایا فی ثورة التوّابین وإمارة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النثر الفنی فی ثورة التوّابین وإمارة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الاقتباس القرآنی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الاستشهاد بالآیات القرآنیَّة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محاکاة أُسلوب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الحدیث النَّبوی الشَّریف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ورسائله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الختام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Amiri" w:hAnsi="Amiri" w:eastAsia="Amiri" w:cs="Amiri"/>
          <w:color w:val="111111"/>
          <w:sz w:val="28"/>
          <w:sz w:val="28"/>
          <w:szCs w:val="28"/>
          <w:rtl w:val="true"/>
          <w:lang w:bidi="ar-SA"/>
        </w:rPr>
        <w:t>القیم الإیقاعیَّة للمستوی الصَّوتی</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الإیقاع الصوتی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المضارع واللاحق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جناس الاشتقاق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جناس التحریف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الجناس المعکوس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التَّصحیف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السجع المتوازی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المطرَّف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السجع المطرَّف والمتوازی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السجع مع الجناس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الازدواج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التناسب المعنوی للإیحاء الصوتی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الصوت فی اللفظة المفردة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الأصوات المتکرَّرة فی السیاق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الأصوات الشدیدة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أصوات المدّ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تکرار أصوات الذَّلاقة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الفصل الثَّالث</w:t>
      </w:r>
    </w:p>
    <w:p>
      <w:pPr>
        <w:pStyle w:val="BookText"/>
        <w:rPr/>
      </w:pPr>
      <w:r>
        <w:rPr>
          <w:rFonts w:ascii="Amiri" w:hAnsi="Amiri" w:eastAsia="Amiri" w:cs="Amiri"/>
          <w:color w:val="111111"/>
          <w:sz w:val="28"/>
          <w:sz w:val="28"/>
          <w:szCs w:val="28"/>
          <w:rtl w:val="true"/>
          <w:lang w:bidi="ar-SA"/>
        </w:rPr>
        <w:t>المستوی اللَّفظی</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والفصاحة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مخارِج حروف اللفظة </w:t>
      </w:r>
      <w:r>
        <w:rPr>
          <w:rFonts w:eastAsia="Amiri" w:cs="Amiri" w:ascii="Amiri" w:hAnsi="Amiri"/>
          <w:color w:val="111111"/>
          <w:sz w:val="28"/>
          <w:szCs w:val="28"/>
          <w:lang w:bidi="ar-SA"/>
        </w:rPr>
        <w:t>152</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اللفظة وقصرها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الحروف فی اللفظة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أُلفة 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والقصد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اسم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اسم المفعول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المصدر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الصفة المُشبّهة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صیغة المبالغة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الاسم المصغَّر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الفعل الماضی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الفعل المبنی للمجهول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دلالات المستوی التَّرکیبی</w:t>
      </w:r>
    </w:p>
    <w:p>
      <w:pPr>
        <w:pStyle w:val="BookText"/>
        <w:rPr/>
      </w:pPr>
      <w:r>
        <w:rPr>
          <w:rFonts w:ascii="IRNazanin" w:hAnsi="IRNazanin" w:eastAsia="IRNazanin"/>
          <w:color w:val="111111"/>
          <w:sz w:val="28"/>
          <w:sz w:val="28"/>
          <w:szCs w:val="28"/>
          <w:rtl w:val="true"/>
          <w:lang w:bidi="fa-IR"/>
        </w:rPr>
        <w:t xml:space="preserve">وخصائصه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الأنماط البنائیَّة للأسالیب اللغویَّة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الأسالیب الخبریة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النّفی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الأسالیب الإنشائیة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الأمر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النَّهی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الاستف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النداء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جمعت بین الخبر والإنشاء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المبحث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المعنویَّة للتَّراکیب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والوصل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والتأخیر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المسند إلیه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المبتدأ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فی المتعلّقات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الجار والمجرور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والتنکیر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المسند إلیه </w:t>
      </w:r>
      <w:r>
        <w:rPr>
          <w:rFonts w:eastAsia="IRNazanin" w:cs="IRNazanin"/>
          <w:color w:val="111111"/>
          <w:sz w:val="28"/>
          <w:szCs w:val="28"/>
          <w:lang w:bidi="fa-IR"/>
        </w:rPr>
        <w:t>267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تنکیر المسند إلیه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تنکیر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تنکیر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 والذکر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المسند إلیه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المبتدأ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المتعلّقات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المسند إلیه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الخاتمة ونتائج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کشَّاف 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محمد بن یعقوب،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عرفة حلمی، نقد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فی نتاج ابن الأثیر النقدی والإبداعی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ضیف، شوقی، الفن ومذاهبه فی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الغنی، عز الدین إسماعیل، الأدب وفنونه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عرفة حلمی، نقد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فی نتاج ابن الأثیر النقدی والإبداعی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مانویل، فیتور،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سلیمان العطار،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أحمد، الأُسلوب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فی المصطلح وحقول البحث ومناهجه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المسدی، عبد السلام، الأُسلوب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بدیل السنی فی نقد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عیاد، محمد، الأُسلوبیة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شریم، جوزیف میشال، دلیل الدراسات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مرتضی، تاج العروس من جواهر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العوادی، مشکور کاظم، المعنی الحرکی فی بدائع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الشایب، أحمد،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تحلیلیة لأُصول الأسالیب الأدبیة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مصلوح، سعد،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إحصائیة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غیرو، بییر، الأُسلوب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حوله، عبد الله، الأُسلوبیة الذاتیة أو النشوئیة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ساندیرس، فیلی، نحو نظریة أُسلوبیة لسانیة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جناح، صاحب، دراسات فی نظریة النحو العربی وتطبیقاتها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شریم، جوزیف میشال، دلیل الدراسات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الجمیلی، عدنان جاسم، الآیات القرآنیة المتعلّقة بالرسول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غیرو، بییر، الأُسلوب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 عبد الله، الأُسلوبیة الذاتیة أو النشوئیة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مانویل، فیتور،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غیرو، بییر، الأُسلوب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الضالع، محمد صالح، الأُسلوبیة الصوتیة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المسدی، عبد السلام، الأُسلوبیة والأُسلوب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بدیل السنی فی نقد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غیرو، بییر، الأُسلوب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المسدی، عبد السلام، الأُسلوبیة والنقد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 من تعریف الأُسلوب وعلم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 إیاد کمر، شعر زهیر بن أبی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 می یوسف، النثر الفنی بین صدر الإسلام والعصر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زینة عبد الجبار، الرسائل الفنیة فی العصر العباسی حتی نهایة القرن الرابع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عرفة حلمی، نقد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فی نتاج ابن الأثیر النقدی والإبداعی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أمانی سلیمان، الأمثال العربیة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 سردیة حضاریة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الراجحی، عبده، علم اللغة والنقد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صلاح، علم الأُسلوب وصلته بعلم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البنیة اللغویة فی النص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تطبیقی فی ضوء 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شوقی ضیف، أحمد، العصر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 الخطابة العربیة فی عصرها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نبوی، عبد العزیز، دراسات فی الأدب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طه، فی الأدب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شوقی ضیف، أحمد، العصر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 الخطابة العربیة فی عصرها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ضیف، شوقی، أحمد، الفن ومذاهبه فی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شلق، علی، مراحل تطور النثر العربی فی نماذجه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شوقی ضیف، أحمد، العصر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منّاع، هاشم صالح، النثر فی العصر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شلق، علی، مراحل تطور النثر العربی فی نماذجه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شوقی ضیف، أحمد، الفن ومذاهبه فی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أنیس، تطور الأسالیب النثریة فی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 الخطابة العربیة فی عصرها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ضیف، شوقی، الفن ومذاهبه فی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 الخطابة العربیة فی عصرها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الزیات، أحمد حسن، تاریخ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طلیمات، غازی، والأشقر، عرفان، الأدب الجاهلی، قضایاه، أغراضه، أعلامه، فنونه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محمد عبد المنعم، الحیاة الأدبیة فی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ضیف، شوقی، الفن ومذاهبه فی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الحوفی، أحمد محمد، أدب السیاسة فی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ضیف، شوقی، الفن ومذاهبه فی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شوقی ضیف، أحمد، العصر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العوادی، مشکور، خطب التوابین بعد استشهاد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المغزی والأُسلوب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شلق، علی، مراحل تطور النثر العربی فی نماذجه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شوقی ضیف، أحمد، العصر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الیازجی، کمال، الأسالیب الأدبیة فی النثر العربی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الشایب،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تحلیلیّة لأُصول الأسالیب الأدبیّة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شوقی ضیف، أحمد، الفن ومذاهبه فی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أنیس، تطور الأسالیب النثریة فی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 می یوسف، النثر الفنی بین صدر الإسلام والعصر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غانم جواد، الرسائل الفنیة فی العصر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نهایة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غانم جواد، الرسائل الفنیة فی العصر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نهایة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فی الرسائل الفنیة فی العصر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نهایة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الأحنف بن قیس بن معاویة بن حصین، أبو بحر التمیمی، کان سیّداً مُطاعاً، أسلم فی حیاة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حدَّث عن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ذر الغفاری والعباس بن عبد المطلب وغیرهم،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إمرة مصعب بن الزبیر علی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الرحمن بن سعید بن قیس، أحد عمَّال المختار علی الموصل، قام بمساندة جیش المختار الذی بعثه بقیادة یزید بن أنس لقتال جیش عبید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شلق، علی، مراحل تطور النثر العربی فی نماذجه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الله، علی، المقدّمة فی نقد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مشروع رؤیة جدیدة فی تقنیات البحث والکتابة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شلق، علی، مراحل تطور النثر العربی فی نماذجه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 محسن، أثر حرکة التوابین فی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زعمائها ورسائلهم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محمد عبد المنعم، الحیاة الأدبیة فی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 الخطابة العربیة فی عصرها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محمد عبد المنعم، الحیاة الأدبیة فی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الحوفی، أحمد محمد، أدب السیاسة فی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غانم جواد، الرسائل الفنیة فی العصر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نهایة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 می یوسف، النثر الفنی بین صدر الإسلام والعصر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غانم جواد، الرسائل الفنیة فی العصر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نهایة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علی، صبح الأعشی فی صناعة الإنشا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معصوم، علی بن أحمد، أنوار الربیع فی أنواع 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البنیة اللغویة فی النص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تطبیقی فی ضوء 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محمد عبد المنعم، الحیاة الأدبیة فی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موسی، محمد، من أسرار التعبیر القرآنی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 لسورة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الرافعی، مصطفی صادق، إعجاز القرآن والبلاغة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الحوفی، أحمد محمد، أدب السیاسة فی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معصوم، علی بن أحمد، أنوار الربیع فی أنواع 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بیوض، حسین، الرسائل السیاسیة فی العصر العباسی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إحسان، الخطابة العربیة فی عصرها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إدریس طارق، المناجیات وأدعیة الأیّام عند الأمام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الحوفی، أحمد محمد، أدب السیاسة فی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یزید، الکامل فی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ابن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الحسن، 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الحوفی، أحمد محمد، أدب السیاسة فی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الرافعی، مصطفی صادق، إعجاز القرآن والبلاغة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محمد عبد المنعم، الحیاة الأدبیة فی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ضیف، شوقی، الفن ومذاهبه فی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نایف، الأدب الإسلامی فی عهد النبوة وخلافة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محمد عبد المنعم، الحیاة الأدبیة فی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الزیات، أحمد حسن، تاریخ الأدب العربی الزیات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علی، صبح الأعشی فی صناعة الإنشا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الکرم،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مسلم بن الحجاج،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الکرم،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محمد بن یزید،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محمد بن الحسین، المجازات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الشکعة، مصطفی، البیان المحمّدی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نایف، الأدب الإسلامی فی عهد النبوة وخلافة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محمد عبد المنعم، الحیاة الأدبیة فی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محمد عبد المنعم، الحیاة الأدبیة فی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ضیف، شوقی، الفن ومذاهبه فی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الزیات، أحمد حسن، تاریخ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ضیف، شوقی، الفن ومذاهبه فی النثر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محمود، تاریخ الترسل النثری عند العرب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الحوفی، أحمد محمد، أدب السیاسة فی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آلکم نصحاً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أُقصّر فی نصحکم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 می یوسف، النثر الفنی بین صدر الإسلام والعصر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أنیس، تطور الأسالیب النثریة فی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محمد نبیه، بلاغة الکتاب فی العصر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 نقدیة لتطور الأسالیب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محمود، تاریخ الترسل النثری عند العرب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علی، صبح الأعشی فی صناعة الإنشا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نایف، الأدب الإسلامی فی عهد النبوة وخلافة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محمود، تاریخ الترسل النثری عند العرب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محمد نبیه، بلاغة الکتاب فی العصر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 نقدیة لتطور الأسالیب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علی، صبح الأعشی فی صناعة الإنشا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محمود، تاریخ الترسل النثری عند العرب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علی، صبح الأعشی فی صناعة الإنشا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نایف، الأدب الإسلامی فی عهد النبوة وخلافة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محمود، تاریخ الترسل النثری عند العرب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علی، صبح الأعشی فی صناعة الإنشا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عبد الله مسلم، أدب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الزیات، أحمد حسن، تاریخ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القلقشندی، أحمد بن علی، صبح الأعشی فی صناعة الإنشا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الزیات، أحمد حسن، تاریخ الأدب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محمود، تاریخ الترسل النثری عند العرب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محمود، تاریخ الترسل النثری عند العرب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الحوفی، أحمد محمد، أدب السیاسة فی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غانم جواد، الرسائل الفنیة فی العصر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نهایة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محمد عبد المنعم، الحیاة الأدبیة فی عصر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العوادی، مشکور، خطب التوابین بعد استشهاد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المغزی والأُسلوب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الکرم،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 الحیَّات بالصمِّ؛ لأنَّها خبیثة لا تنزجر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الشکعة، مصطفی، الأدب فی موکب الحضارة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ثریا، حزب الشیعة فی أدب العصر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تشنأت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مکروهة مبغضة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خلیل إبراهیم، فی البحث الصوتی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کمال، علم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أصوات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العدوس، یوسف،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البیان فی روائع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وأسلوبیة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أمانی سلیمان، الأمثال العربیة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 سردیة حضاریة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غیرو، بییر، الأُسلوب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الأُسلوبیة الصوتیة فی 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عبد نور داوُد، البنیة الإیقاعیة فی شعر الجواهری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الأُسلوبیة الصوتیة فی 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الطرابلسی، محمد الهادی، فی مفهوم الإیقاع، حولیات الجامعة التونسیة، العدد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غیرو، بییر، الأُسلوب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الأُسلوبیة الصوتیة فی 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جرس الألفاظ ودلالتها فی البحث البلاغی والنقدی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الموسوی، زینب عبد الله کاظم، خُطب سیدات البیت العلوی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علیهن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نهایة القرن الأوّل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موضوعیة فنیة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الحسین بن عبد الله،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العوادی، مشکور کاظم، البحث الدلالی عند 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 فی ضوء اللسانیات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العدوس، یوسف،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المعتز، عبد الله، 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محمد،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الجمیلی، عدنان جاسم، الآیات المتعلقة بالرسول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لاشین، عبد الفتاح، البدیع فی ضوء أسالیب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غیرو، بییر، الأُسلوب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الأُسلوبیة الصوتیة فی 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المغیلی، محمد بن عبد الکریم، شرح التبیان فی علم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التلخیص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الناظم، بدر الدین بن مالک،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المعنی والبیان والبدیع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جرس الألفاظ ودلالتها فی البحث البلاغی والنقدی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محمد،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الزملکانی، عبد الواحد بن عبد الکریم، التبیان فی علم البیان المُطلع علی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نلحظ روعة استعمال إلینا وعلینا فی الاستعمال القرآنی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إِلَیْنَا إِیَابَهُمْ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 عَلَیْنَا حِسَابَهُمْ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کمال، علم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النعیمی، حسام سعید، الدراسات اللهجیة والصوتیة عند ابن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المسدی، عبد السلام، الأُسلوبیة والنقد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 من تعریف الأُسلوب وعلم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مناهج البحث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کانتینو، جان، دروس فی علم أصوات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النعیمی، حسام سعید، الدراسات اللهجیة والصوتیة عند ابن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مناهج البحث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جرس الألفاظ ودلالتها فی البحث البلاغی والنقدی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موسیقی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معترک الأقران فی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العسکری، الحسن بن عبد الله، کتاب الصناعتین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التلخیص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شریم، جوزیف میشال، دلیل الدراسات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معترک الأقران فی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الزملکانی، عبد الواحد بن عبد الکریم، التبیان فی علم البیان المُطلع علی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زکی، النثر الفنی فی 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یعقوب المغربی، أحمد، مواهب الفتاح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 إسحاق، البرهان فی وجوه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محمد زغلول، أثر القرآن فی تطور النقد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نهایة القرن الرابع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إدریس طارق، المناجیات وأدعیة الأیام عند الإمام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رمضان، المدخل إلی علم اللغة ومناهج البحث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خلیل إبراهیم، فی البحث الصوتی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رمضان، المدخل إلی علم اللغة ومناهج البحث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جرس الألفاظ ودلالتها فی البحث البلاغی والنقدی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یزید، الکامل فی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موسیقی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المغیلی، محمد بن عبد الکریم، شرح التبیان فی علم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فذاً وتوأماً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وجماعات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محمد بن حجة، ثمرات الأوراق فی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موسیقی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رغیف، نوفل، المستویات الجمالیة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شعریة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زید، نصر، مفهوم النظم عند عبد القاهر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فی ضوء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التلخیص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 قحطان، الترسل الفنی فی العصر العباسی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هارون مترسلاً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أحمد، معجم المصطلحات البلاغیة وتطورها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العسکری، الحسن بن عبد الله، کتاب الصناعتین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مفهوم الأُسلوب فی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صلاح، علم الأُسلوب والنظریة البنائیة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العوادی، مشکور کاظم، المعنی الحرکی فی بدائع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العزاوی، سمیر، التنغیم اللغوی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الأُسلوبیة الصوتیة فی 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أولمان، ستیفن، دور الکلمة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حسن، البنی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أُنشودة المطر للسیاب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دلالة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عواطف کنوش، الدلالة السیاقیة عند اللغویین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الأُسلوبیة الصوتیة فی 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البنیة اللغویة فی النص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تطبیقی فی ضوء 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الحربی، وائل عبد الأمیر، لغة الشعر عند الصعالیک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کوهن، جان، بنیة اللغة الشعریة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الحسین بن عبد الله، مخارج الحروف أو أسباب حدوث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النعیمی، حسام سعید، الدراسات اللهجیة والصوتیة عند ابن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المُحدَثین المعنیین بالمحاکاة الصوتیة الدکتور إبراهیم أنیس فی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أسرار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جرس الألفاظ ودلالتها فی البحث البلاغی والنقدی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الله، عبد العزیز، جمالیات التلوین الصوتی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ناجی، مجید عبد الحمید، الأُسس النفسیة لأسالیب البلاغة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للقاریء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محمد، إبداع الدلالة فی الشعر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لغوی أُسلوبی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النویهی، محمد، الشعر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فی دراسته وتقویمه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محمد، إبداع الدلالة فی الشعر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لُغوی أُسلوبی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للقاریء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السعدنی، مصطفی، البنیات الأُسلوبیة فی لغة الشعر العربی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أصوات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الأُسلوبیة الصوتیة فی 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أصوات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النعیمی، حسام سعید، الدراسات اللهجیة والصوتیة عند ابن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أصوات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النویهی، محمد، الشعر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فی دراسته وتقویمه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الأُسلوبیة الصوتیة فی 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موسیقی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خلیل إبراهیم، فی البحث الصوتی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کمال، علم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أحمد، کتاب التهذیب فی أصول التعریب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خلیل إبراهیم، فی البحث الصوتی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خلیل إبراهیم، فی البحث الصوتی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مقدّمة لدرس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نضع المعجم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العلایلی، عبد الله، مقدّمة لدرس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نضع المعجم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یزید،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النویهی، محمد، الشعر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فی دراسته وتقویمه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أحمد، کتاب التهذیب فی أصول التعریب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عبد الله بن محمد، سر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محمد، إبداع الدلالة فی الشعر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لُغوی أُسلوبی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مصلوح، سعد،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إحصائیة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الضالع، محمد صالح، الأُسلوبیة الصوتیة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حسن، البنی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أُنشودة المطر للسیاب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کمال، علم الأصوات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 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الرافعی، مصطفی صادق، إعجاز القرآن والبلاغة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عز الدین علی، التکریر بین المثیر والتأثیر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النعیمی، حسام سعید، الدراسات اللهجیة والصوتیة عند ابن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العوادی، مشکور کاظم، المعنی الحرکی فی بدائع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أصوات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المطلبی، فاضل غالب، فی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أصوات المد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أحمد مختار، دراسة الصوت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المطلبی، فاضل غالب، فی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أصوات المد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 إسحاق، البرهان فی وجوه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أصوات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الخلیل بن أحمد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أعماله ومنهجه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خلیل إبراهیم، فی البحث الصوتی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الحلفی، شکیب غازی، ألفاظ السمع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الثعالبی، عبد الله بن محمد، فقه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جرس الألفاظ ودلالتها فی البحث البلاغی والنقدی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الأصوات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الحسن، 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البعاج، کریم طاهر، قصار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البعاج، کریم طاهر، قصار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عز الدین علی، التکریر بین المثیر والتأثیر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أصوات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رمضان، المدخل إلی علم اللغة ومناهج البحث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عز الدین علی، التکریر بین المثیر والتأثیر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السعران، محمود، 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للقارئ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الله، أُسامة عبد العزیز، جمالیات التلوین الصوتی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زینة عبد الجبار، الرسائل الفنیة فی العصر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نهایة القرن الرابع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صلاح، علم الأُسلوب والنظریة البنائیة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هادی، الکلمة فی الشعر العراقی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البنیة الصرفیة والدلالة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الراجحی، عبده، علم اللغة والنقد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العدوس، یوسف،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عبد الله بن محمد، سر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العزاوی، نعمة رحیم، النقد اللغوی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نهایة القرن السابع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عبد الله بن محمد، سر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الحسن، 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عبد الله بن محمد، سر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الله، أُسامة عبد العزیز، مالیات التلوین الصوتی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 إسحاق، البرهان فی وجوه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عبد الله بن محمد، سرّ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سید جعفر، أسالیب البیان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سرّ صناعة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النعیمی، حسام سعید، الدراسات اللهجیة والصوتیة عند ابن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عبد الله بن محمد، سر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محمد، إبداع الدلالة فی الشعر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لُغوی أُسلوبی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عبد الله بن مسلم، أدب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شلاش، هاشم طه، أوزان الفعل ومعانیها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محمد محی الدین، دروس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معانی الأبنیة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الجامع الکبیر فی صناعة المنظوم من الکلام والمنثور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الله، أُسامة عبد العزیز، جمالیات التلوین الصوتی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الجامع الکبیر فی صناعة المنظوم من الکلام والمنثور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حفش</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الله، أُسامة عبد العزیز، جمالیات التلوین الصوتی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لةأ</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جرس الألفاظ ودلالتها فی البحث البلاغی والنقدی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عبد الله بن محمد، سر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عرفة حلمی، نقد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فی نتاج ابن الأثیر النقدی والإبداعی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 محمد بن الطیب،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ماهر مهدی، جرس الألفاظ ودلالتها فی البحث البلاغی والنقدی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شوقی ضیف، أحمد، العصر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المهامه جمع 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المفازة البعیدة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من کلِّ شیء، ورمح لدن،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الرمح،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أمیل وهو الذی لا سیف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 وهو مَن لم یجرب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انجابوا،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ثبروا،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حابوا،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المزهر فی علوم اللغة وأنواعها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مصلوح، سعد، الدراسات الإحصائیة للأُسلوب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فی المفهوم والإجراء والوظیفة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الغامدی، محمد سعید، 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وتطبیقات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عرفة حلمی، نقد النثر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فی نتاج ابن الأثیر النقدی والإبداعی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موسی، محمد، مدخل إلی کتابی عبد القاهر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معانی الأبنیة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وتطبیق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البیان فی روائع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عبد الله بن عقیل، شرح ابن عقیل علی ألفیة ابن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الناظم، محمد بن محمد، شرح ابن الناظم علی ألفیة ابن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کتاب المفتاح فی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علی بن مؤمن، شرح جمل الزجاجی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هویدی، هادی عبد علی، اسم الفاعل والمشبهات به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دلالیة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یحیی بن زیاد، 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 محمد بن یوسف، 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هویدی، هادی عبد علی، اسم الفاعل والمشبهات به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دلالیة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مدرسة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ومنهجها فی دراسة اللغة والنحو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اللغة العربیة معناها ومبناها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السنافی، فاضل مصطفی، أقسام الکلام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الشکل والوظیفة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سائرون فی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الفعل زمانه وأبنیته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کتاب المفتاح فی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معانی الأبنیة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کتاب المفتاح فی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بدر الدین أحمد، شرح المراح فی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معانی الأبنیة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معانی الأبنیة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بدر الدین أحمد، شرح المراح فی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عقیل، عبد الله بن عقیل، شرح ابن عقیل علی ألفیة ابن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الحدیثی، خدیجة عبد الرزاق، أبنیة الصرف فی کتاب 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معانی الأبنیة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معانی الأبنیة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الهنداوی، عبد الحمید، الإعجاز الصرفی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نظریة تطبیقیة للتوظیف البلاغی لصیغة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الحلوانی، محمد خیر، الواضح فی علم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الأُسطی، عبد الله محمد، الطریف فی علم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صرفیة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الزجاجی، عبد الرحمن، الإیضاح فی علل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 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القزوینی، محمد بن شفیع، جوهر القاموس فی الجموع والمصادر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الحلوانی، محمد خیر، الواضح فی علم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هویدی، هادی عبد علی، اسم الفاعل والمشبهات به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دلالیة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الحملاوی، أحمد، شذا العرف فی فن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الحلفی، شکیب غازی، ألفاظ السمع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 عبد الصبور، المنهج الصوتی للبنیة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جدیدة فی الصرف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الشیخ، أحمد، أبنیة الأسماء فی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والعوج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أراذل الناس وأوغادهم، وقال 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یُنطق منه بفعل ولا یُعرف له 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الحلوانی، محمد خیر، الواضح فی علم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شافیة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الصاحبی فی فقه اللغة وسنن العرب فی کلامها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إلیاس، جوزیف، الکافی فی الصرف والنحو والإعراب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الشیخ، أحمد، أبنیة الأسماء فی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شعبان صلاح، تصریف الأسماء فی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سعید المؤدب، القاسم بن محمد، دقائق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الأسطی، عبد الله محمد، الطریف فی علم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صرفیة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عریبی، أسراء، 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صرفیة صوتیة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شعبان صلاح، تصریف الأسماء فی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جدلیة الإفراد والترکیب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النقد العربی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محمد، سمات أُسلوبیة فی شعر صلاح عبد الصبور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علی بن مؤمن، شرح جمل الزجاجی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محمد، إبداع الدلالة فی الشعر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لُغوی أُسلوبی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السنافی، فاضل مصطفی، أقسام الکلام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الشکل والوظیفة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إبراهیم، الفعل زمانه وأبنیته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وتوجیه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مصلوح، سعد،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إحصائیة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اللغة العربیة معناها ومبناها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السنافی، فاضل مصطفی، أقسام الکلام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الشکل والوظیفة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بدر الدین أحمد، شرح المراح فی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إبراهیم، الفعل زمانه وأبنیته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بدر الدین أحمد، شرح المراح فی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 محمد بن یوسف، 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 فی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عبد الله بن مسلم، أدب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محمد محی الدین، دروس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علی بن مؤمن، الممتع الکبیر فی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بلاغة الکلمة فی التعبیر القرآنی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علی بن مؤمن، الممتع الکبیر فی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علی بن مؤمن، الممتع الکبیر فی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شلاش، هاشم طه، أوزان الفعل ومعانیها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شلاش، هاشم طه، أوزان الفعل ومعانیها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بدر الدین أحمد، شرح المراح فی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شلاش، هاشم طه، أوزان الفعل ومعانیها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عبد الله مسلم، أدب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بلاغة الکلمة فی التعبیر القرآنی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شافیة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شافیة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مصلوح، سعد،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إحصائیة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إبراهیم، الفعل زمانه وأبنیته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الحدیثی، خدیجة عبد الرزاق، أبنیة الصرف فی کتاب سیبویه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الراجحی، عبده، علم اللغة والنقد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الحربی، وائل عبد الأمیر، لغة الشعر عند الصعالیک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الهنداوی، عبد الحمید، الإعجاز الصرفی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نظریة تطبیقیة للتوظیف البلاغی لصیغة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بدر الدین أحمد، شرح المراح فی التصریف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ساندل، رولف،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لمیاء عبد الحمید العانی، مفهوم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الهنداوی، عبد الحمید، الإعجاز الصرفی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نظریة تطبیقیة للتوظیف البلاغی لصیغة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محمد حسین، الصورة الفنیّة فی المثل القرآنی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نقدیة بلاغیة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العزاوی، نعمة رحیم، النقد اللغوی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نهایة القرن السابع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أسرار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شفیع، التعبیر البیانی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بلاغیة نقدیة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 مجید عبد الحمید، الأسس النفسیة لأسالیب البلاغة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ومجاز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خصائصه الفنیة وبلاغته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الراجحی، عبده، علم اللغة والنقد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العدوس، یوسف،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 أحمد بن محمد، الانزیاح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منظور الدراسات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العوادی، مشکور، خطب التوابین بعد استشهاد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المغزی والأُسلوب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فیود، بسیونی بن عبد الفتاح، علم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 لمسائل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الکشاف عن حقائق غوامض التنزیل وعیون الأقاویل فی وجوه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جعفر بن باقر، أسالیب المعانی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محمد بن الحسین، تلخیص البیان فی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الزوبعی، طالب محمد، وحلاوی، ناصر، البلاغة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محمد حسین، أُصول البیان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بلاغیة 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محمد بن الحسین، تلخیص البیان فی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محمد بن الحسین، تلخیص البیان فی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الکشاف عن حقائق غوامض التنزیل وعیون الأقاویل فی وجوه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رجب عبد الجواد، دراسات فی الدَّلالة والمعجم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 محمد بن یعقوب، 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هنون، هادی بن سعدون، التصویر الفنی فی خطب المسیرة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ناجی، مجید عبد الحمید، الأسس النفسیة لأسالیب البلاغة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محمد بن الحسین، المجازات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محمد بن الحسین، تلخیص البیان فی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الفحام، عباس، الأثر القرآنی 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الشکل والمضمون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 مجید عبد الحمید، الأسس النفسیة لأسالیب البلاغة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محمد حسین، أُصول البیان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بلاغیة 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یُروی أنَّ ابن الزبیر کان أبخل الناس، وکان قد عیّره بابن الکاهلیة رجل من أسد بعد أن سأله مالاً فلم یعطه، فقال فیه شعراً یعیّره بابن الکاهلیة، فلمّا بلغ ذلک ابن الزبیر،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أنّها شرّ أمهاتی فعیّرنی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 علی بن الحسین، 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وهب، إسحاق، البرهان فی وجوه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فیود، بسیونی بن عبد الفتاح، علم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 لمسائل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البنیة اللغویة فی النص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تطبیقی فی ضوء 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زینة عبد الجبار، الرسائل الفنیة فی العصر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نهایة القرن الرابع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یزید،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الله بن یوسف، مغنی اللبیب عن کتب الأعاریب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الجملة العربیة 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من أسرار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صلاح، علم الأسلوب وصلته بعلم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فتح الله أحمد،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نظری ودراسة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الله، أُسامة عبد العزیز، جمالیات التلوین الصوتی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عیاد، محمد، الأُسلوبیة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العدوس، یوسف،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تومان غازی، 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المسدی، عبد السلام، الأُسلوبیة والنقد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 من تعریف الأُسلوب وعلم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العدوس، یوسف،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جناح، صاحب، الدراسات الأُسلوبیة عند المخزومی، ضمن کتاب دراسات فی نظریة النحو العربی وتطبیقاتها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جناح، صاحب، المباحث الأُسلوبیة عند ابن جنی، ضمن کتاب دراسات فی نظریة النحو العربی وتطبیقاتها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یزید،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محمد،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أحمد، البلاغة عند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بن أحمد، حاشیة الدسوقی علی مختصر 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المغیلی، محمد بن عبد الکریم، شرح التبیان فی علم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وتوجیه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عمایرة، خلیل أحمد، فی التحلیل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وصفی تحلیلی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اللغة العربیّة معناها ومبناها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المبخوت، شکری، إنشاء النفی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وشروطه النحویة والدلالیة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عمایرة، خلیل أحمد، فی التحلیل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وصفی تحلیلی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وتوجیه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المرادی، حسن بن القاسم، الجنی الدانی فی حروف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الرمانی، علی بن عیسی، کتاب معانی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الله بن یوسف، مغنی اللبیب عن کتب الأعاریب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المرادی، حسن بن القاسم، الجنی الدانی فی حروف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البیان فی روائع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وأُسلوبیة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هذا اقتباساً من الآیة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الإتقان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شروح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درویش،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العوادی، مشکور کاظم، البحث الدلالی فی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تحلیل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شروح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بن أحمد، حاشیة الدسوقی علی مختصر 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إبراهیم، من أسرار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وتطبیق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عمر، نهایة الإیجاز فی درایة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 حسن،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وتقییم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 حسن،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وتقییم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العوادی، مشکور کاظم، البحث الدلالی فی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تحلیل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محمد بن علی، الإشارات والتنبیهات فی علم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بن أحمد، حاشیة الدسوقی علی مختصر 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العدوس، یوسف،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والتطبیق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الأوسی، قیس إسماعیل، أسالیب الطلب عند النحویین والبلاغیین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أحمد، معجم المصطلحات البلاغیة وتطورها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عبد الملک عبد الوهاب، مصباح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عبد السلام محمد، الأسالیب الإنشائیة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 حسن،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وتقییم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البلاغة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الجملة العربیّة 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الله بن یوسف، مغنی اللبیب عن کتب الأعاریب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 بهاء الدین، عروس الأفراح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 فی عصور العربیة الزاهرة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الأوسی، قیس إسماعیل، أسالیب الطلب عند النحویین والبلاغیین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جعفر بن باقر، أسالیب المعانی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عمر، نهایة الإیجاز فی درایة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محمد بن سهل، الأُصول فی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 بهاء الدین، عروس الأفراح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اللمع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یعقوب المغربی، أحمد، مواهب الفتاح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شروح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 حسن،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وتقییم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جعفر بن باقر، أسالیب المعانی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فیود، بسیونی عبد الفتاح،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ونقدیة لمسائل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السرّاج، محمد بن سهل، الأُصول فی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کتاب المقتصد فی شرح 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یعقوب المغربی، أحمد، مواهب الفتاح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الله بن یوسف، مغنی اللبیب عن کتب الأعاریب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البلاغة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یزید،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جعفر بن باقر، أسالیب المعانی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 محمود بن عمر، المفصّل فی علم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جعفر بن باقر، أسالیب المعانی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جیجان، مجهد، وآخران،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الرضی الأستربادی، محمد بن الحسن، شرح کافیة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جیجان، مجهد، وآخران،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وتوجیه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المسدی، عبد السلام، والطرابلسی، محمد الهادی، الشرط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نهج اللسانیات الوصفیّة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البعاج، کریم طاهر، قصار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الشایع، ندی، الجملة الشرطیة فی شعر زهیر بن أبی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محمد إسماعیل، دعاء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نحویة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المسدی، عبد السلام، والطرابلسی، محمد الهادی، الشرط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نهج اللسانیات الوصفیّة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نکثت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المرادی، حسن بن القاسم، الجنی الدانی فی حروف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عبد الله، شرح الکافیة الشافیة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هادی، التراکیب اللغویّة فی العربیّة دراسة وصفیّة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الله بن یوسف، مغنی اللبیب عن کتب الأعاریب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والتقدیر فی الدراسة النحویّة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فتح الله أحمد،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نظری ودراسة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وتوجیه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یزید،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التفتازانی، مسعود بن عمر، المطول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تلخیص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کتاب المقتصد فی شرح 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 فارس علی، ظاهرة القسم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علی بن مؤمن، شرح جمل الزجاجی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الإتقان فی علوم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هادی، التراکیب اللغویّة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وصفیّة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البعاج، کریم طاهر، قصار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الله بن یوسف، مغنی اللبیب من کتب الأعاریب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أسماء بن خارجة بن حصن بن حذیفة الفزاری، کان أحد أشراف الکوفة، وله وفادة علی عبد الملک بن مروان، وعندما ثار مسلم 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الکوفة کان أسماء أحد الذین سعوا فی قتله، هرب أسماء من الکوفة خوفاً من بطش المختار الثقفی الذی تسلّم إمارة الکوفة، فأحرق داره وهدم له ثلاث دور أُخری، مات أسماء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 وطبقات المشاهیر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محمد بن أحمد،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هادی، التراکیب اللغویّة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وصفیّة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محمد بن عبد الله، شرح الکافیة الشافیة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الحریزی، عائد کریم، الحذف والتقدیر فی الدراسة النحویّة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البنیة اللغویة فی النص الشعری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تطبیقی فی ضوء 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جدلیّة الإفراد والترکیب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النقد العربی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فتح الله أحمد،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نظری ودراسة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 أحمد بن محمد، الانزیاح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منظور الدراسات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الراجحی، عبده، علم اللّغة والنقد الأدبی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عمرو بن بحر، البیان والتبیین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 بهاء الدین، عروس الأفراح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کتاب المقتصد فی شرح 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طبل، حسن،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وتقییم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التفتازانی، مسعود بن عمر، المطوّل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تلخیص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عتیق، عبد العزیز،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عمر، نهایة الإیجاز فی درایة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الشایب، أحمد، 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تحلیلیّة لأُصول الأسالیب الأدبیّة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العوادی، مشکور کاظم، البحث الدلالی فی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فی تحلیل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عبد القادر، أثر النحاة فی البحث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جناح، صاحب، المباحث الأُسلوبیة عند ابن جنی، ضمن کتاب دراسات فی نظریة النحو العربی وتطبیقاتها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العامری، حمید أحمد عیسی، التقدیم والتأخیر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موسی، محمد، دلالات التراکیب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العامری، حمید أحمد عیسی، التقدیم والتأخیر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العامری، حمید أحمد عیسی، التقدیم والتأخیر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شروح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یحیی بن زیاد، 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یزید،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 محمد بن یوسف، ارتشاف الضرب من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مدرسة الکوفة ومنهجها فی دراسة اللغة والنحو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وتطبیق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التعبیر القرآنی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ومحض فی 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الجملة العربیة 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اللمع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المخزومی، مهدی، فی النحو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وتطبیق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درویش،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 محمد بن یوسف، ارتشاف الضرب من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 محمود بن عمر،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طبل، حسن،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وتقییم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یزید،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نصر الله بن محمد، المثل السائر فی أدب الکاتب والشاعر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موسی، محمد، خصائص التراکیب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تحلیلیة لمسائل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المقتصد فی شرح 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الأشباه والنظائر فی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العامری، حمید أحمد عیسی، التقدیم والتأخیر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عمر، نهایة الإیجاز فی درایة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عمر، نهایة الإیجاز فی درایة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التفتازانی، مسعود بن عمر، المطوّل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تلخیص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الجمیلی، عدنان جاسم، الآیات القرآنیة المتعلّقة بالرسول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جناح، صاحب، المباحث الأُسلوبیة عند ابن جنّی، ضمن کتاب دراسات فی نظریة النحو العربی وتطبیقاتها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درویش،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یعقوب المغربی، أحمد، مواهب الفتاح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الزملکانی، عبد الواحد بن عبد الکریم، التبیان فی علم البیان المطلع علی إعجاز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الزوبعی، طالب محمد،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بلاغة القدامی وأُسلوبیّة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البلاغة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مفتاح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التفتازانی، مسعود بن عمر، المطوّل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تلخیص السکاکی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فیود، بسیونی عبد الفتاح،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ونقدیَّة لمسائل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البلاغة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البیان فی روائع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وأُسلوبیة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البلاغة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البلاغة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الکوفی، أحمد، 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فیود، بسیونی عبد الفتاح،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ونقدیّة لمسائل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جعفر بن باقر، أسالیب المعانی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فیود، بسیونی عبد الفتاح،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ونقدیّة لمسائل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جعفر بن باقر، أسالیب المعانی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الزوبعی، طالب محمد،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بلاغة القدامی وأُسلوبیّة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الأشباه والنظائر فی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درویش،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البیان فی روائع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وأُسلوبیّة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 البیان فی روائع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لغویّة وأُسلوبیّة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بن أحمد، حاشیة الدسوقی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محمد بن علی، الإشارات والتنبیهات فی علم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یعقوب المغربی، أحمد، مواهب الفتاح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حیان الأندلسی، محمد بن یوسف، ارتشاف الضرب من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یعقوب المغربی، أحمد، مواهب الفتاح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البلاغة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جعفر بن باقر، أسالیب المعانی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البلاغة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فتح الله أحمد، 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نظری ودراسة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یحیی بن زیاد، 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لاشین، عبد الفتاح، التراکیب النحویّة من الوجهة البلاغیَّة عند عبد القاهر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جنی، عثمان،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الجملة العربیّة 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الزوبعی، طالب محمد،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بلاغة القدامی وأُسلوبیّة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فاضل صالح، الجملة العربیّة 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شروح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درویش،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الله بن یوسف، مغنی اللبیب عن کتب الأعاریب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الحریزی، عائد کریم، الحذف والتقدیر فی الدراسة النحویّة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یزید، 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الأشباه والنظائر فی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همع الهوامع فی شرح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درویش،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فیود، بسیونی عبد الفتاح،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بلاغیّة نقدیّة لمسائل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السامرائی، إبراهیم، الفعل زمانه وأبنیته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الحریزی، عائد کریم، الحذف والتقدیر فی الدراسة النحویّة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درویش،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الطیبی، حسین بن محمد، التبیان فی علم المعانی والبدیع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الحریزی، عائد کریم، الحذف والتقدیر فی الدراسة النحویّة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سیبویه، عثمان بن قنبر،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هادی، التراکیب اللغویّة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وصفیّة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الحریزی، عائد کریم، الحذف والتقدیر فی الدراسة النحویّة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یعیش، یعیش بن علی، شرح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درویش،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هادی، التراکیب اللغویّة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وصفیّة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الحریزی، عائد کریم، الحذف والتقدیر فی الدراسة النحویّة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الحریزی، عائد کریم، الحذف والتقدیر فی الدراسة النحویّة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هادی، التراکیب اللغویّة فی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وصفیّة تطبیقیّة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الحریزی، عائد کریم، الحذف والتقدیر فی الدراسة النحویّة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همع الهوامع فی شرح 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عصفور، علی بن عبد المؤمن، المقرّب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الله بن یوسف، مغنی اللبیب عن کتب الأعاریب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أحمد عبد الستار، نحو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عمر، نهایة الإیجاز فی درایة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محمد، البلاغة والأُسلوبیّة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 فی غریب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عمر، نهایة الإیجاز فی درایة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 فی عصور العربیة الزاهرة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 الله بن یوسف، مغنی اللبیب عن کتب الأعاریب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عمر، نهایة الإیجاز فی درایة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رسائل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القوطیة، محمد بن عمر، الأفعال،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 فی غریب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طبل، حسن،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تأصیل وتقییم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عبد القاهر، دلائل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محمد بن عمر، نهایة الإیجاز فی درایة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جعفر بن باقر، أسالیب المعانی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لاشین، عبد الفتاح، التراکیب النحویّة من الوجهة البلاغیّة عند عبد القاهر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 عدنان عبد الکریم، اللغة فی الدرس البلاغی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قحطان، طاهر عبد الرحمن، علم المعانی وأسالیبه البلاغیّة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الزوبعی، طالب محمد،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بلاغة القدامی وأُسلوبیّة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السکاکی، یوسف بن أبی بکر،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القزوینی، محمد بن عبد الرحمن، الإیضاح فی علوم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الطیبی، حسین بن محمد، التبیان فی علم المعانی والبدیع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الجندی، درویش،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الطیبی، حسین بن محمد، التبیان فی علم المعانی والبدیع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 بهاء الدین، عروس الأفراح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عتیق، عبد العزیز، علم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السبکی، بهاء الدین، عروس الأفراح فی شرح تلخیص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الدسوقی، محمد بن أحمد، حاشیة الدسوقی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صفوت، أحمد زکی، جمهرة خطب العرب فی عصور العربیة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یحیی بن حمزة، الطراز المتضمن لأسرار البلاغة وعلوم حقائق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59970</Words>
  <Characters>287581</Characters>
  <CharactersWithSpaces>345729</CharactersWithSpaces>
  <Paragraphs>2110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2026-08-18T22:30:15Z</dcterms:created>
  <dc:creator>ghaemiyeh.com</dc:creator>
  <dc:description/>
  <dc:language>en-US</dc:language>
  <cp:lastModifiedBy/>
  <dcterms:modified xsi:type="dcterms:W3CDTF">2026-08-19T02:00:27Z</dcterms:modified>
  <cp:revision>1</cp:revision>
  <dc:subject/>
  <dc:title>النثر الفنی فی ثورة التوابین وامارة المختار الثقفی</dc:title>
</cp:coreProperties>
</file>

<file path=docProps/custom.xml><?xml version="1.0" encoding="utf-8"?>
<Properties xmlns="http://schemas.openxmlformats.org/officeDocument/2006/custom-properties" xmlns:vt="http://schemas.openxmlformats.org/officeDocument/2006/docPropsVTypes"/>
</file>