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54</w:t>
      </w:r>
      <w:r>
        <w:rPr>
          <w:rtl w:val="true"/>
        </w:rPr>
        <w:t xml:space="preserve"> </w:t>
      </w:r>
      <w:r>
        <w:rPr>
          <w:rtl w:val="true"/>
        </w:rPr>
        <w:t>سیری در احکام سفر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18754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118756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118758_2035185390">
            <w:r>
              <w:rPr>
                <w:webHidden/>
                <w:rStyle w:val="IndexLink"/>
                <w:rtl w:val="true"/>
              </w:rPr>
              <w:t>درآمد</w:t>
            </w:r>
            <w:r>
              <w:rPr>
                <w:rStyle w:val="IndexLink"/>
                <w:rtl w:val="true"/>
              </w:rPr>
              <w:tab/>
            </w:r>
            <w:r>
              <w:rPr>
                <w:rStyle w:val="IndexLink"/>
              </w:rPr>
              <w:t>8</w:t>
            </w:r>
          </w:hyperlink>
        </w:p>
        <w:p>
          <w:pPr>
            <w:pStyle w:val="Contents2"/>
            <w:tabs>
              <w:tab w:val="clear" w:pos="8743"/>
              <w:tab w:val="right" w:pos="9026" w:leader="dot"/>
            </w:tabs>
            <w:rPr/>
          </w:pPr>
          <w:hyperlink w:anchor="__RefHeading___Toc3118760_2035185390">
            <w:r>
              <w:rPr>
                <w:webHidden/>
                <w:rStyle w:val="IndexLink"/>
                <w:rtl w:val="true"/>
              </w:rPr>
              <w:t>مسافر کیست؟</w:t>
            </w:r>
            <w:r>
              <w:rPr>
                <w:rStyle w:val="IndexLink"/>
                <w:rtl w:val="true"/>
              </w:rPr>
              <w:tab/>
            </w:r>
            <w:r>
              <w:rPr>
                <w:rStyle w:val="IndexLink"/>
              </w:rPr>
              <w:t>9</w:t>
            </w:r>
          </w:hyperlink>
        </w:p>
        <w:p>
          <w:pPr>
            <w:pStyle w:val="Contents2"/>
            <w:tabs>
              <w:tab w:val="clear" w:pos="8743"/>
              <w:tab w:val="right" w:pos="9026" w:leader="dot"/>
            </w:tabs>
            <w:rPr/>
          </w:pPr>
          <w:hyperlink w:anchor="__RefHeading___Toc3118762_2035185390">
            <w:r>
              <w:rPr>
                <w:webHidden/>
                <w:rStyle w:val="IndexLink"/>
                <w:rtl w:val="true"/>
              </w:rPr>
              <w:t>استثناهای احکام مسافر چیست؟</w:t>
            </w:r>
            <w:r>
              <w:rPr>
                <w:rStyle w:val="IndexLink"/>
                <w:rtl w:val="true"/>
              </w:rPr>
              <w:tab/>
            </w:r>
            <w:r>
              <w:rPr>
                <w:rStyle w:val="IndexLink"/>
              </w:rPr>
              <w:t>10</w:t>
            </w:r>
          </w:hyperlink>
        </w:p>
        <w:p>
          <w:pPr>
            <w:pStyle w:val="Contents2"/>
            <w:tabs>
              <w:tab w:val="clear" w:pos="8743"/>
              <w:tab w:val="right" w:pos="9026" w:leader="dot"/>
            </w:tabs>
            <w:rPr/>
          </w:pPr>
          <w:hyperlink w:anchor="__RefHeading___Toc3118764_2035185390">
            <w:r>
              <w:rPr>
                <w:webHidden/>
                <w:rStyle w:val="IndexLink"/>
                <w:rtl w:val="true"/>
              </w:rPr>
              <w:t>شروط شکسته شدن نماز</w:t>
            </w:r>
            <w:r>
              <w:rPr>
                <w:rStyle w:val="IndexLink"/>
                <w:rtl w:val="true"/>
              </w:rPr>
              <w:tab/>
            </w:r>
            <w:r>
              <w:rPr>
                <w:rStyle w:val="IndexLink"/>
              </w:rPr>
              <w:t>11</w:t>
            </w:r>
          </w:hyperlink>
        </w:p>
        <w:p>
          <w:pPr>
            <w:pStyle w:val="Contents2"/>
            <w:tabs>
              <w:tab w:val="clear" w:pos="8743"/>
              <w:tab w:val="right" w:pos="9026" w:leader="dot"/>
            </w:tabs>
            <w:rPr/>
          </w:pPr>
          <w:hyperlink w:anchor="__RefHeading___Toc3118766_2035185390">
            <w:r>
              <w:rPr>
                <w:webHidden/>
                <w:rStyle w:val="IndexLink"/>
                <w:rtl w:val="true"/>
              </w:rPr>
              <w:t>اقامت بدون‌اختیار</w:t>
            </w:r>
            <w:r>
              <w:rPr>
                <w:rStyle w:val="IndexLink"/>
                <w:rtl w:val="true"/>
              </w:rPr>
              <w:tab/>
            </w:r>
            <w:r>
              <w:rPr>
                <w:rStyle w:val="IndexLink"/>
              </w:rPr>
              <w:t>13</w:t>
            </w:r>
          </w:hyperlink>
        </w:p>
        <w:p>
          <w:pPr>
            <w:pStyle w:val="Contents2"/>
            <w:tabs>
              <w:tab w:val="clear" w:pos="8743"/>
              <w:tab w:val="right" w:pos="9026" w:leader="dot"/>
            </w:tabs>
            <w:rPr/>
          </w:pPr>
          <w:hyperlink w:anchor="__RefHeading___Toc3118768_2035185390">
            <w:r>
              <w:rPr>
                <w:webHidden/>
                <w:rStyle w:val="IndexLink"/>
                <w:rtl w:val="true"/>
              </w:rPr>
              <w:t>انصراف از اقامت</w:t>
            </w:r>
            <w:r>
              <w:rPr>
                <w:rStyle w:val="IndexLink"/>
                <w:rtl w:val="true"/>
              </w:rPr>
              <w:tab/>
            </w:r>
            <w:r>
              <w:rPr>
                <w:rStyle w:val="IndexLink"/>
              </w:rPr>
              <w:t>14</w:t>
            </w:r>
          </w:hyperlink>
        </w:p>
        <w:p>
          <w:pPr>
            <w:pStyle w:val="Contents2"/>
            <w:tabs>
              <w:tab w:val="clear" w:pos="8743"/>
              <w:tab w:val="right" w:pos="9026" w:leader="dot"/>
            </w:tabs>
            <w:rPr/>
          </w:pPr>
          <w:hyperlink w:anchor="__RefHeading___Toc3118770_2035185390">
            <w:r>
              <w:rPr>
                <w:webHidden/>
                <w:rStyle w:val="IndexLink"/>
                <w:rtl w:val="true"/>
              </w:rPr>
              <w:t>شک در اقامت</w:t>
            </w:r>
            <w:r>
              <w:rPr>
                <w:rStyle w:val="IndexLink"/>
                <w:rtl w:val="true"/>
              </w:rPr>
              <w:tab/>
            </w:r>
            <w:r>
              <w:rPr>
                <w:rStyle w:val="IndexLink"/>
              </w:rPr>
              <w:t>14</w:t>
            </w:r>
          </w:hyperlink>
        </w:p>
        <w:p>
          <w:pPr>
            <w:pStyle w:val="Contents2"/>
            <w:tabs>
              <w:tab w:val="clear" w:pos="8743"/>
              <w:tab w:val="right" w:pos="9026" w:leader="dot"/>
            </w:tabs>
            <w:rPr/>
          </w:pPr>
          <w:hyperlink w:anchor="__RefHeading___Toc3118772_2035185390">
            <w:r>
              <w:rPr>
                <w:webHidden/>
                <w:rStyle w:val="IndexLink"/>
                <w:rtl w:val="true"/>
              </w:rPr>
              <w:t>نماز دانشجو در مشهد</w:t>
            </w:r>
            <w:r>
              <w:rPr>
                <w:rStyle w:val="IndexLink"/>
                <w:rtl w:val="true"/>
              </w:rPr>
              <w:tab/>
            </w:r>
            <w:r>
              <w:rPr>
                <w:rStyle w:val="IndexLink"/>
              </w:rPr>
              <w:t>16</w:t>
            </w:r>
          </w:hyperlink>
        </w:p>
        <w:p>
          <w:pPr>
            <w:pStyle w:val="Contents2"/>
            <w:tabs>
              <w:tab w:val="clear" w:pos="8743"/>
              <w:tab w:val="right" w:pos="9026" w:leader="dot"/>
            </w:tabs>
            <w:rPr/>
          </w:pPr>
          <w:hyperlink w:anchor="__RefHeading___Toc3118774_2035185390">
            <w:r>
              <w:rPr>
                <w:webHidden/>
                <w:rStyle w:val="IndexLink"/>
                <w:rtl w:val="true"/>
              </w:rPr>
              <w:t>سفر به اطراف محل اقامت</w:t>
            </w:r>
            <w:r>
              <w:rPr>
                <w:rStyle w:val="IndexLink"/>
                <w:rtl w:val="true"/>
              </w:rPr>
              <w:tab/>
            </w:r>
            <w:r>
              <w:rPr>
                <w:rStyle w:val="IndexLink"/>
              </w:rPr>
              <w:t>16</w:t>
            </w:r>
          </w:hyperlink>
        </w:p>
        <w:p>
          <w:pPr>
            <w:pStyle w:val="Contents2"/>
            <w:tabs>
              <w:tab w:val="clear" w:pos="8743"/>
              <w:tab w:val="right" w:pos="9026" w:leader="dot"/>
            </w:tabs>
            <w:rPr/>
          </w:pPr>
          <w:hyperlink w:anchor="__RefHeading___Toc3118776_2035185390">
            <w:r>
              <w:rPr>
                <w:webHidden/>
                <w:rStyle w:val="IndexLink"/>
                <w:rtl w:val="true"/>
              </w:rPr>
              <w:t>مسافرت قبل از ظهر</w:t>
            </w:r>
            <w:r>
              <w:rPr>
                <w:rStyle w:val="IndexLink"/>
                <w:rtl w:val="true"/>
              </w:rPr>
              <w:tab/>
            </w:r>
            <w:r>
              <w:rPr>
                <w:rStyle w:val="IndexLink"/>
              </w:rPr>
              <w:t>19</w:t>
            </w:r>
          </w:hyperlink>
        </w:p>
        <w:p>
          <w:pPr>
            <w:pStyle w:val="Contents2"/>
            <w:tabs>
              <w:tab w:val="clear" w:pos="8743"/>
              <w:tab w:val="right" w:pos="9026" w:leader="dot"/>
            </w:tabs>
            <w:rPr/>
          </w:pPr>
          <w:hyperlink w:anchor="__RefHeading___Toc3118778_2035185390">
            <w:r>
              <w:rPr>
                <w:webHidden/>
                <w:rStyle w:val="IndexLink"/>
                <w:rtl w:val="true"/>
              </w:rPr>
              <w:t>مسافرت در رمضان</w:t>
            </w:r>
            <w:r>
              <w:rPr>
                <w:rStyle w:val="IndexLink"/>
                <w:rtl w:val="true"/>
              </w:rPr>
              <w:tab/>
            </w:r>
            <w:r>
              <w:rPr>
                <w:rStyle w:val="IndexLink"/>
              </w:rPr>
              <w:t>20</w:t>
            </w:r>
          </w:hyperlink>
        </w:p>
        <w:p>
          <w:pPr>
            <w:pStyle w:val="Contents2"/>
            <w:tabs>
              <w:tab w:val="clear" w:pos="8743"/>
              <w:tab w:val="right" w:pos="9026" w:leader="dot"/>
            </w:tabs>
            <w:rPr/>
          </w:pPr>
          <w:hyperlink w:anchor="__RefHeading___Toc3118780_2035185390">
            <w:r>
              <w:rPr>
                <w:webHidden/>
                <w:rStyle w:val="IndexLink"/>
                <w:rtl w:val="true"/>
              </w:rPr>
              <w:t>حیض در سفر</w:t>
            </w:r>
            <w:r>
              <w:rPr>
                <w:rStyle w:val="IndexLink"/>
                <w:rtl w:val="true"/>
              </w:rPr>
              <w:tab/>
            </w:r>
            <w:r>
              <w:rPr>
                <w:rStyle w:val="IndexLink"/>
              </w:rPr>
              <w:t>20</w:t>
            </w:r>
          </w:hyperlink>
        </w:p>
        <w:p>
          <w:pPr>
            <w:pStyle w:val="Contents2"/>
            <w:tabs>
              <w:tab w:val="clear" w:pos="8743"/>
              <w:tab w:val="right" w:pos="9026" w:leader="dot"/>
            </w:tabs>
            <w:rPr/>
          </w:pPr>
          <w:hyperlink w:anchor="__RefHeading___Toc3118782_2035185390">
            <w:r>
              <w:rPr>
                <w:webHidden/>
                <w:rStyle w:val="IndexLink"/>
                <w:rtl w:val="true"/>
              </w:rPr>
              <w:t>روزه در سفر</w:t>
            </w:r>
            <w:r>
              <w:rPr>
                <w:rStyle w:val="IndexLink"/>
                <w:rtl w:val="true"/>
              </w:rPr>
              <w:tab/>
            </w:r>
            <w:r>
              <w:rPr>
                <w:rStyle w:val="IndexLink"/>
              </w:rPr>
              <w:t>22</w:t>
            </w:r>
          </w:hyperlink>
        </w:p>
        <w:p>
          <w:pPr>
            <w:pStyle w:val="Contents2"/>
            <w:tabs>
              <w:tab w:val="clear" w:pos="8743"/>
              <w:tab w:val="right" w:pos="9026" w:leader="dot"/>
            </w:tabs>
            <w:rPr/>
          </w:pPr>
          <w:hyperlink w:anchor="__RefHeading___Toc3118784_2035185390">
            <w:r>
              <w:rPr>
                <w:webHidden/>
                <w:rStyle w:val="IndexLink"/>
                <w:rtl w:val="true"/>
              </w:rPr>
              <w:t>نذر روزه</w:t>
            </w:r>
            <w:r>
              <w:rPr>
                <w:rStyle w:val="IndexLink"/>
                <w:rtl w:val="true"/>
              </w:rPr>
              <w:tab/>
            </w:r>
            <w:r>
              <w:rPr>
                <w:rStyle w:val="IndexLink"/>
              </w:rPr>
              <w:t>22</w:t>
            </w:r>
          </w:hyperlink>
        </w:p>
        <w:p>
          <w:pPr>
            <w:pStyle w:val="Contents2"/>
            <w:tabs>
              <w:tab w:val="clear" w:pos="8743"/>
              <w:tab w:val="right" w:pos="9026" w:leader="dot"/>
            </w:tabs>
            <w:rPr/>
          </w:pPr>
          <w:hyperlink w:anchor="__RefHeading___Toc3118786_2035185390">
            <w:r>
              <w:rPr>
                <w:webHidden/>
                <w:rStyle w:val="IndexLink"/>
                <w:rtl w:val="true"/>
              </w:rPr>
              <w:t>سفر زن</w:t>
            </w:r>
            <w:r>
              <w:rPr>
                <w:rStyle w:val="IndexLink"/>
                <w:rtl w:val="true"/>
              </w:rPr>
              <w:tab/>
            </w:r>
            <w:r>
              <w:rPr>
                <w:rStyle w:val="IndexLink"/>
              </w:rPr>
              <w:t>23</w:t>
            </w:r>
          </w:hyperlink>
        </w:p>
        <w:p>
          <w:pPr>
            <w:pStyle w:val="Contents2"/>
            <w:tabs>
              <w:tab w:val="clear" w:pos="8743"/>
              <w:tab w:val="right" w:pos="9026" w:leader="dot"/>
            </w:tabs>
            <w:rPr/>
          </w:pPr>
          <w:hyperlink w:anchor="__RefHeading___Toc3118788_2035185390">
            <w:r>
              <w:rPr>
                <w:webHidden/>
                <w:rStyle w:val="IndexLink"/>
                <w:rtl w:val="true"/>
              </w:rPr>
              <w:t>سفر فرزند</w:t>
            </w:r>
            <w:r>
              <w:rPr>
                <w:rStyle w:val="IndexLink"/>
                <w:rtl w:val="true"/>
              </w:rPr>
              <w:tab/>
            </w:r>
            <w:r>
              <w:rPr>
                <w:rStyle w:val="IndexLink"/>
              </w:rPr>
              <w:t>24</w:t>
            </w:r>
          </w:hyperlink>
        </w:p>
        <w:p>
          <w:pPr>
            <w:pStyle w:val="Contents2"/>
            <w:tabs>
              <w:tab w:val="clear" w:pos="8743"/>
              <w:tab w:val="right" w:pos="9026" w:leader="dot"/>
            </w:tabs>
            <w:rPr/>
          </w:pPr>
          <w:hyperlink w:anchor="__RefHeading___Toc3118790_2035185390">
            <w:r>
              <w:rPr>
                <w:webHidden/>
                <w:rStyle w:val="IndexLink"/>
                <w:rtl w:val="true"/>
              </w:rPr>
              <w:t>اجازۀ دوران عقد</w:t>
            </w:r>
            <w:r>
              <w:rPr>
                <w:rStyle w:val="IndexLink"/>
                <w:rtl w:val="true"/>
              </w:rPr>
              <w:tab/>
            </w:r>
            <w:r>
              <w:rPr>
                <w:rStyle w:val="IndexLink"/>
              </w:rPr>
              <w:t>25</w:t>
            </w:r>
          </w:hyperlink>
        </w:p>
        <w:p>
          <w:pPr>
            <w:pStyle w:val="Contents2"/>
            <w:tabs>
              <w:tab w:val="clear" w:pos="8743"/>
              <w:tab w:val="right" w:pos="9026" w:leader="dot"/>
            </w:tabs>
            <w:rPr/>
          </w:pPr>
          <w:hyperlink w:anchor="__RefHeading___Toc3118792_2035185390">
            <w:r>
              <w:rPr>
                <w:webHidden/>
                <w:rStyle w:val="IndexLink"/>
                <w:rtl w:val="true"/>
              </w:rPr>
              <w:t>اجازۀ صلۀ رحم</w:t>
            </w:r>
            <w:r>
              <w:rPr>
                <w:rStyle w:val="IndexLink"/>
                <w:rtl w:val="true"/>
              </w:rPr>
              <w:tab/>
            </w:r>
            <w:r>
              <w:rPr>
                <w:rStyle w:val="IndexLink"/>
              </w:rPr>
              <w:t>26</w:t>
            </w:r>
          </w:hyperlink>
        </w:p>
        <w:p>
          <w:pPr>
            <w:pStyle w:val="Contents2"/>
            <w:tabs>
              <w:tab w:val="clear" w:pos="8743"/>
              <w:tab w:val="right" w:pos="9026" w:leader="dot"/>
            </w:tabs>
            <w:rPr/>
          </w:pPr>
          <w:hyperlink w:anchor="__RefHeading___Toc3118794_2035185390">
            <w:r>
              <w:rPr>
                <w:webHidden/>
                <w:rStyle w:val="IndexLink"/>
                <w:rtl w:val="true"/>
              </w:rPr>
              <w:t>گلزار شهدا</w:t>
            </w:r>
            <w:r>
              <w:rPr>
                <w:rStyle w:val="IndexLink"/>
                <w:rtl w:val="true"/>
              </w:rPr>
              <w:tab/>
            </w:r>
            <w:r>
              <w:rPr>
                <w:rStyle w:val="IndexLink"/>
              </w:rPr>
              <w:t>27</w:t>
            </w:r>
          </w:hyperlink>
        </w:p>
        <w:p>
          <w:pPr>
            <w:pStyle w:val="Contents2"/>
            <w:tabs>
              <w:tab w:val="clear" w:pos="8743"/>
              <w:tab w:val="right" w:pos="9026" w:leader="dot"/>
            </w:tabs>
            <w:rPr/>
          </w:pPr>
          <w:hyperlink w:anchor="__RefHeading___Toc3118796_2035185390">
            <w:r>
              <w:rPr>
                <w:webHidden/>
                <w:rStyle w:val="IndexLink"/>
                <w:rtl w:val="true"/>
              </w:rPr>
              <w:t>حسینیه</w:t>
            </w:r>
            <w:r>
              <w:rPr>
                <w:rStyle w:val="IndexLink"/>
                <w:rtl w:val="true"/>
              </w:rPr>
              <w:tab/>
            </w:r>
            <w:r>
              <w:rPr>
                <w:rStyle w:val="IndexLink"/>
              </w:rPr>
              <w:t>27</w:t>
            </w:r>
          </w:hyperlink>
        </w:p>
        <w:p>
          <w:pPr>
            <w:pStyle w:val="Contents2"/>
            <w:tabs>
              <w:tab w:val="clear" w:pos="8743"/>
              <w:tab w:val="right" w:pos="9026" w:leader="dot"/>
            </w:tabs>
            <w:rPr/>
          </w:pPr>
          <w:hyperlink w:anchor="__RefHeading___Toc3118798_2035185390">
            <w:r>
              <w:rPr>
                <w:webHidden/>
                <w:rStyle w:val="IndexLink"/>
                <w:rtl w:val="true"/>
              </w:rPr>
              <w:t>سرداب مسجد</w:t>
            </w:r>
            <w:r>
              <w:rPr>
                <w:rStyle w:val="IndexLink"/>
                <w:rtl w:val="true"/>
              </w:rPr>
              <w:tab/>
            </w:r>
            <w:r>
              <w:rPr>
                <w:rStyle w:val="IndexLink"/>
              </w:rPr>
              <w:t>28</w:t>
            </w:r>
          </w:hyperlink>
        </w:p>
        <w:p>
          <w:pPr>
            <w:pStyle w:val="Contents2"/>
            <w:tabs>
              <w:tab w:val="clear" w:pos="8743"/>
              <w:tab w:val="right" w:pos="9026" w:leader="dot"/>
            </w:tabs>
            <w:rPr/>
          </w:pPr>
          <w:hyperlink w:anchor="__RefHeading___Toc3118800_2035185390">
            <w:r>
              <w:rPr>
                <w:webHidden/>
                <w:rStyle w:val="IndexLink"/>
                <w:rtl w:val="true"/>
              </w:rPr>
              <w:t>حرم امام‌زادگان</w:t>
            </w:r>
            <w:r>
              <w:rPr>
                <w:rStyle w:val="IndexLink"/>
                <w:rtl w:val="true"/>
              </w:rPr>
              <w:tab/>
            </w:r>
            <w:r>
              <w:rPr>
                <w:rStyle w:val="IndexLink"/>
              </w:rPr>
              <w:t>28</w:t>
            </w:r>
          </w:hyperlink>
        </w:p>
        <w:p>
          <w:pPr>
            <w:pStyle w:val="Contents2"/>
            <w:tabs>
              <w:tab w:val="clear" w:pos="8743"/>
              <w:tab w:val="right" w:pos="9026" w:leader="dot"/>
            </w:tabs>
            <w:rPr/>
          </w:pPr>
          <w:hyperlink w:anchor="__RefHeading___Toc3118802_2035185390">
            <w:r>
              <w:rPr>
                <w:webHidden/>
                <w:rStyle w:val="IndexLink"/>
                <w:rtl w:val="true"/>
              </w:rPr>
              <w:t>رواق‌های حرم</w:t>
            </w:r>
            <w:r>
              <w:rPr>
                <w:rStyle w:val="IndexLink"/>
                <w:rtl w:val="true"/>
              </w:rPr>
              <w:tab/>
            </w:r>
            <w:r>
              <w:rPr>
                <w:rStyle w:val="IndexLink"/>
              </w:rPr>
              <w:t>30</w:t>
            </w:r>
          </w:hyperlink>
        </w:p>
        <w:p>
          <w:pPr>
            <w:pStyle w:val="Contents2"/>
            <w:tabs>
              <w:tab w:val="clear" w:pos="8743"/>
              <w:tab w:val="right" w:pos="9026" w:leader="dot"/>
            </w:tabs>
            <w:rPr/>
          </w:pPr>
          <w:hyperlink w:anchor="__RefHeading___Toc3118804_2035185390">
            <w:r>
              <w:rPr>
                <w:webHidden/>
                <w:rStyle w:val="IndexLink"/>
                <w:rtl w:val="true"/>
              </w:rPr>
              <w:t>گردن‌بند اسمای جلاله</w:t>
            </w:r>
            <w:r>
              <w:rPr>
                <w:rStyle w:val="IndexLink"/>
                <w:rtl w:val="true"/>
              </w:rPr>
              <w:tab/>
            </w:r>
            <w:r>
              <w:rPr>
                <w:rStyle w:val="IndexLink"/>
              </w:rPr>
              <w:t>30</w:t>
            </w:r>
          </w:hyperlink>
        </w:p>
        <w:p>
          <w:pPr>
            <w:pStyle w:val="Contents2"/>
            <w:tabs>
              <w:tab w:val="clear" w:pos="8743"/>
              <w:tab w:val="right" w:pos="9026" w:leader="dot"/>
            </w:tabs>
            <w:rPr/>
          </w:pPr>
          <w:hyperlink w:anchor="__RefHeading___Toc3118806_2035185390">
            <w:r>
              <w:rPr>
                <w:webHidden/>
                <w:rStyle w:val="IndexLink"/>
                <w:rtl w:val="true"/>
              </w:rPr>
              <w:t>تماس با قرآن</w:t>
            </w:r>
            <w:r>
              <w:rPr>
                <w:rStyle w:val="IndexLink"/>
                <w:rtl w:val="true"/>
              </w:rPr>
              <w:tab/>
            </w:r>
            <w:r>
              <w:rPr>
                <w:rStyle w:val="IndexLink"/>
              </w:rPr>
              <w:t>31</w:t>
            </w:r>
          </w:hyperlink>
        </w:p>
        <w:p>
          <w:pPr>
            <w:pStyle w:val="Contents2"/>
            <w:tabs>
              <w:tab w:val="clear" w:pos="8743"/>
              <w:tab w:val="right" w:pos="9026" w:leader="dot"/>
            </w:tabs>
            <w:rPr/>
          </w:pPr>
          <w:hyperlink w:anchor="__RefHeading___Toc3118808_2035185390">
            <w:r>
              <w:rPr>
                <w:webHidden/>
                <w:rStyle w:val="IndexLink"/>
                <w:rtl w:val="true"/>
              </w:rPr>
              <w:t>ترجمۀ قرآن</w:t>
            </w:r>
            <w:r>
              <w:rPr>
                <w:rStyle w:val="IndexLink"/>
                <w:rtl w:val="true"/>
              </w:rPr>
              <w:tab/>
            </w:r>
            <w:r>
              <w:rPr>
                <w:rStyle w:val="IndexLink"/>
              </w:rPr>
              <w:t>32</w:t>
            </w:r>
          </w:hyperlink>
        </w:p>
        <w:p>
          <w:pPr>
            <w:pStyle w:val="Contents2"/>
            <w:tabs>
              <w:tab w:val="clear" w:pos="8743"/>
              <w:tab w:val="right" w:pos="9026" w:leader="dot"/>
            </w:tabs>
            <w:rPr/>
          </w:pPr>
          <w:hyperlink w:anchor="__RefHeading___Toc3118810_2035185390">
            <w:r>
              <w:rPr>
                <w:webHidden/>
                <w:rStyle w:val="IndexLink"/>
                <w:rtl w:val="true"/>
              </w:rPr>
              <w:t>گردن‌بند قرآن</w:t>
            </w:r>
            <w:r>
              <w:rPr>
                <w:rStyle w:val="IndexLink"/>
                <w:rtl w:val="true"/>
              </w:rPr>
              <w:tab/>
            </w:r>
            <w:r>
              <w:rPr>
                <w:rStyle w:val="IndexLink"/>
              </w:rPr>
              <w:t>32</w:t>
            </w:r>
          </w:hyperlink>
        </w:p>
        <w:p>
          <w:pPr>
            <w:pStyle w:val="Contents2"/>
            <w:tabs>
              <w:tab w:val="clear" w:pos="8743"/>
              <w:tab w:val="right" w:pos="9026" w:leader="dot"/>
            </w:tabs>
            <w:rPr/>
          </w:pPr>
          <w:hyperlink w:anchor="__RefHeading___Toc3118812_2035185390">
            <w:r>
              <w:rPr>
                <w:webHidden/>
                <w:rStyle w:val="IndexLink"/>
                <w:rtl w:val="true"/>
              </w:rPr>
              <w:t>حاشیۀ قرآن</w:t>
            </w:r>
            <w:r>
              <w:rPr>
                <w:rStyle w:val="IndexLink"/>
                <w:rtl w:val="true"/>
              </w:rPr>
              <w:tab/>
            </w:r>
            <w:r>
              <w:rPr>
                <w:rStyle w:val="IndexLink"/>
              </w:rPr>
              <w:t>33</w:t>
            </w:r>
          </w:hyperlink>
        </w:p>
        <w:p>
          <w:pPr>
            <w:pStyle w:val="Contents2"/>
            <w:tabs>
              <w:tab w:val="clear" w:pos="8743"/>
              <w:tab w:val="right" w:pos="9026" w:leader="dot"/>
            </w:tabs>
            <w:rPr/>
          </w:pPr>
          <w:hyperlink w:anchor="__RefHeading___Toc3118814_2035185390">
            <w:r>
              <w:rPr>
                <w:webHidden/>
                <w:rStyle w:val="IndexLink"/>
                <w:rtl w:val="true"/>
              </w:rPr>
              <w:t>اسامی و القاب معصومان</w:t>
            </w:r>
            <w:r>
              <w:rPr>
                <w:rStyle w:val="IndexLink"/>
                <w:rtl w:val="true"/>
              </w:rPr>
              <w:tab/>
            </w:r>
            <w:r>
              <w:rPr>
                <w:rStyle w:val="IndexLink"/>
              </w:rPr>
              <w:t>33</w:t>
            </w:r>
          </w:hyperlink>
        </w:p>
        <w:p>
          <w:pPr>
            <w:pStyle w:val="Contents2"/>
            <w:tabs>
              <w:tab w:val="clear" w:pos="8743"/>
              <w:tab w:val="right" w:pos="9026" w:leader="dot"/>
            </w:tabs>
            <w:rPr/>
          </w:pPr>
          <w:hyperlink w:anchor="__RefHeading___Toc3118816_2035185390">
            <w:r>
              <w:rPr>
                <w:webHidden/>
                <w:rStyle w:val="IndexLink"/>
                <w:rtl w:val="true"/>
              </w:rPr>
              <w:t>سورۀ سجده‌دار</w:t>
            </w:r>
            <w:r>
              <w:rPr>
                <w:rStyle w:val="IndexLink"/>
                <w:rtl w:val="true"/>
              </w:rPr>
              <w:tab/>
            </w:r>
            <w:r>
              <w:rPr>
                <w:rStyle w:val="IndexLink"/>
              </w:rPr>
              <w:t>36</w:t>
            </w:r>
          </w:hyperlink>
        </w:p>
        <w:p>
          <w:pPr>
            <w:pStyle w:val="Contents2"/>
            <w:tabs>
              <w:tab w:val="clear" w:pos="8743"/>
              <w:tab w:val="right" w:pos="9026" w:leader="dot"/>
            </w:tabs>
            <w:rPr/>
          </w:pPr>
          <w:hyperlink w:anchor="__RefHeading___Toc3118818_2035185390">
            <w:r>
              <w:rPr>
                <w:webHidden/>
                <w:rStyle w:val="IndexLink"/>
                <w:rtl w:val="true"/>
              </w:rPr>
              <w:t>شرکت در مجالس ختم</w:t>
            </w:r>
            <w:r>
              <w:rPr>
                <w:rStyle w:val="IndexLink"/>
                <w:rtl w:val="true"/>
              </w:rPr>
              <w:tab/>
            </w:r>
            <w:r>
              <w:rPr>
                <w:rStyle w:val="IndexLink"/>
              </w:rPr>
              <w:t>36</w:t>
            </w:r>
          </w:hyperlink>
        </w:p>
        <w:p>
          <w:pPr>
            <w:pStyle w:val="Contents2"/>
            <w:tabs>
              <w:tab w:val="clear" w:pos="8743"/>
              <w:tab w:val="right" w:pos="9026" w:leader="dot"/>
            </w:tabs>
            <w:rPr/>
          </w:pPr>
          <w:hyperlink w:anchor="__RefHeading___Toc3118820_2035185390">
            <w:r>
              <w:rPr>
                <w:webHidden/>
                <w:rStyle w:val="IndexLink"/>
                <w:rtl w:val="true"/>
              </w:rPr>
              <w:t>خواندن دعای کمیل</w:t>
            </w:r>
            <w:r>
              <w:rPr>
                <w:rStyle w:val="IndexLink"/>
                <w:rtl w:val="true"/>
              </w:rPr>
              <w:tab/>
            </w:r>
            <w:r>
              <w:rPr>
                <w:rStyle w:val="IndexLink"/>
              </w:rPr>
              <w:t>37</w:t>
            </w:r>
          </w:hyperlink>
        </w:p>
        <w:p>
          <w:pPr>
            <w:pStyle w:val="Contents2"/>
            <w:tabs>
              <w:tab w:val="clear" w:pos="8743"/>
              <w:tab w:val="right" w:pos="9026" w:leader="dot"/>
            </w:tabs>
            <w:rPr/>
          </w:pPr>
          <w:hyperlink w:anchor="__RefHeading___Toc3118822_2035185390">
            <w:r>
              <w:rPr>
                <w:webHidden/>
                <w:rStyle w:val="IndexLink"/>
                <w:rtl w:val="true"/>
              </w:rPr>
              <w:t>غسل بدون وضو</w:t>
            </w:r>
            <w:r>
              <w:rPr>
                <w:rStyle w:val="IndexLink"/>
                <w:rtl w:val="true"/>
              </w:rPr>
              <w:tab/>
            </w:r>
            <w:r>
              <w:rPr>
                <w:rStyle w:val="IndexLink"/>
              </w:rPr>
              <w:t>39</w:t>
            </w:r>
          </w:hyperlink>
        </w:p>
        <w:p>
          <w:pPr>
            <w:pStyle w:val="Contents2"/>
            <w:tabs>
              <w:tab w:val="clear" w:pos="8743"/>
              <w:tab w:val="right" w:pos="9026" w:leader="dot"/>
            </w:tabs>
            <w:rPr/>
          </w:pPr>
          <w:hyperlink w:anchor="__RefHeading___Toc3118824_2035185390">
            <w:r>
              <w:rPr>
                <w:webHidden/>
                <w:rStyle w:val="IndexLink"/>
                <w:rtl w:val="true"/>
              </w:rPr>
              <w:t>غسل در سفر</w:t>
            </w:r>
            <w:r>
              <w:rPr>
                <w:rStyle w:val="IndexLink"/>
                <w:rtl w:val="true"/>
              </w:rPr>
              <w:tab/>
            </w:r>
            <w:r>
              <w:rPr>
                <w:rStyle w:val="IndexLink"/>
              </w:rPr>
              <w:t>40</w:t>
            </w:r>
          </w:hyperlink>
        </w:p>
        <w:p>
          <w:pPr>
            <w:pStyle w:val="Contents2"/>
            <w:tabs>
              <w:tab w:val="clear" w:pos="8743"/>
              <w:tab w:val="right" w:pos="9026" w:leader="dot"/>
            </w:tabs>
            <w:rPr/>
          </w:pPr>
          <w:hyperlink w:anchor="__RefHeading___Toc3118826_2035185390">
            <w:r>
              <w:rPr>
                <w:webHidden/>
                <w:rStyle w:val="IndexLink"/>
                <w:rtl w:val="true"/>
              </w:rPr>
              <w:t>احکام حائض و جُنُب</w:t>
            </w:r>
            <w:r>
              <w:rPr>
                <w:rStyle w:val="IndexLink"/>
                <w:rtl w:val="true"/>
              </w:rPr>
              <w:tab/>
            </w:r>
            <w:r>
              <w:rPr>
                <w:rStyle w:val="IndexLink"/>
              </w:rPr>
              <w:t>40</w:t>
            </w:r>
          </w:hyperlink>
        </w:p>
        <w:p>
          <w:pPr>
            <w:pStyle w:val="Contents2"/>
            <w:tabs>
              <w:tab w:val="clear" w:pos="8743"/>
              <w:tab w:val="right" w:pos="9026" w:leader="dot"/>
            </w:tabs>
            <w:rPr/>
          </w:pPr>
          <w:hyperlink w:anchor="__RefHeading___Toc3118828_2035185390">
            <w:r>
              <w:rPr>
                <w:webHidden/>
                <w:rStyle w:val="IndexLink"/>
                <w:rtl w:val="true"/>
              </w:rPr>
              <w:t>حضور بیمار در حرم</w:t>
            </w:r>
            <w:r>
              <w:rPr>
                <w:rStyle w:val="IndexLink"/>
                <w:rtl w:val="true"/>
              </w:rPr>
              <w:tab/>
            </w:r>
            <w:r>
              <w:rPr>
                <w:rStyle w:val="IndexLink"/>
              </w:rPr>
              <w:t>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74_39796"/>
      <w:bookmarkStart w:id="1" w:name="pg4874_39796"/>
      <w:bookmarkEnd w:id="1"/>
    </w:p>
    <w:p>
      <w:pPr>
        <w:pStyle w:val="Heading2"/>
        <w:numPr>
          <w:ilvl w:val="1"/>
          <w:numId w:val="1"/>
        </w:numPr>
        <w:rPr/>
      </w:pPr>
      <w:bookmarkStart w:id="2" w:name="pg4874_39796"/>
      <w:bookmarkStart w:id="3" w:name="__RefHeading___Toc3118754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احکام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سفارش آستان قدس رضوی،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۲۵۴</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۶۵۵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۲۸۲۸۹۶۷</w:t>
      </w:r>
    </w:p>
    <w:p>
      <w:pPr>
        <w:pStyle w:val="BookText"/>
        <w:rPr/>
      </w:pPr>
      <w:r>
        <w:rPr>
          <w:rFonts w:ascii="IRNazanin" w:hAnsi="IRNazanin" w:eastAsia="IRNazanin"/>
          <w:color w:val="111111"/>
          <w:sz w:val="28"/>
          <w:sz w:val="28"/>
          <w:szCs w:val="28"/>
          <w:rtl w:val="true"/>
          <w:lang w:bidi="fa-IR"/>
        </w:rPr>
        <w:t>سیری در احکام مسافر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18756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7" w:name="pg4874_39800"/>
    </w:p>
    <w:p>
      <w:pPr>
        <w:pStyle w:val="BookText"/>
        <w:rPr/>
      </w:pPr>
      <w:bookmarkEnd w:id="7"/>
      <w:r>
        <w:rPr>
          <w:rFonts w:ascii="IRNazanin" w:hAnsi="IRNazanin" w:eastAsia="IRNazanin"/>
          <w:color w:val="111111"/>
          <w:sz w:val="28"/>
          <w:sz w:val="28"/>
          <w:szCs w:val="28"/>
          <w:rtl w:val="true"/>
          <w:lang w:bidi="fa-IR"/>
        </w:rPr>
        <w:t>سیری در احکام مسافر</w:t>
      </w:r>
    </w:p>
    <w:p>
      <w:pPr>
        <w:pStyle w:val="Heading2"/>
        <w:numPr>
          <w:ilvl w:val="1"/>
          <w:numId w:val="1"/>
        </w:numPr>
        <w:rPr/>
      </w:pPr>
      <w:bookmarkStart w:id="8" w:name="__RefHeading___Toc3118758_2035185390"/>
      <w:bookmarkStart w:id="9" w:name="_Toc3"/>
      <w:bookmarkEnd w:id="8"/>
      <w:r>
        <w:rPr>
          <w:rtl w:val="true"/>
        </w:rPr>
        <w:t>درآمد</w:t>
      </w:r>
      <w:bookmarkEnd w:id="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و حضر دو بخش از زندگی انسان‌هاست که برای خود، احکام و مسائلی جداگانه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در هیچ مرحله‌ای از زندگی خود، رهاشده و بی‌تکلیف نیست و از این قاعده، سفر را نیز نمی‌توان استثنا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را نمی‌توان بهانۀ گریختن از احکام خداوندی قرار داد؛ زیرا آنچه بر انسان واجب است، جز به انجام‌دادن تکلیف،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دینی ما آن‌چنان به اجرای فرایض و اهتمام به احکام الهی، چه در سفر و چه در حضر، سفارش بلیغ</w:t>
      </w:r>
      <w:bookmarkStart w:id="10" w:name="pg4874_39801"/>
    </w:p>
    <w:p>
      <w:pPr>
        <w:pStyle w:val="BookText"/>
        <w:rPr/>
      </w:pPr>
      <w:bookmarkEnd w:id="10"/>
      <w:r>
        <w:rPr>
          <w:rFonts w:ascii="IRNazanin" w:hAnsi="IRNazanin" w:eastAsia="IRNazanin"/>
          <w:color w:val="111111"/>
          <w:sz w:val="28"/>
          <w:sz w:val="28"/>
          <w:szCs w:val="28"/>
          <w:rtl w:val="true"/>
          <w:lang w:bidi="fa-IR"/>
        </w:rPr>
        <w:t>کرده‌اند که راه را بر هرگونه فرار و بهانه‌جویی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روایت‌ها و سفارش‌ها به‌اندازه‌ای است که نقل اندکی از آن‌ها نیز رساله‌ای جداگانه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آن‌ها صرف‌نظر کرده و تنها به ذکر برخی احکام برای مسافر اکتفا می‌کنیم</w:t>
      </w:r>
      <w:r>
        <w:rPr>
          <w:rFonts w:eastAsia="IRNazanin" w:cs="IRNazanin"/>
          <w:color w:val="111111"/>
          <w:sz w:val="28"/>
          <w:szCs w:val="28"/>
          <w:rtl w:val="true"/>
          <w:lang w:bidi="fa-IR"/>
        </w:rPr>
        <w:t>.</w:t>
      </w:r>
    </w:p>
    <w:p>
      <w:pPr>
        <w:pStyle w:val="Heading2"/>
        <w:numPr>
          <w:ilvl w:val="1"/>
          <w:numId w:val="1"/>
        </w:numPr>
        <w:rPr/>
      </w:pPr>
      <w:bookmarkStart w:id="11" w:name="__RefHeading___Toc3118760_2035185390"/>
      <w:bookmarkStart w:id="12" w:name="_Toc4"/>
      <w:bookmarkEnd w:id="11"/>
      <w:r>
        <w:rPr>
          <w:rtl w:val="true"/>
        </w:rPr>
        <w:t>مسافر کیست؟</w:t>
      </w:r>
      <w:bookmarkEnd w:id="1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اسلامی، به کسی مسافر می‌گویند که حداقل هشت فرسخ از وطن خود دور شده باشد یا اینکه چهار فرسخ از دیار خود دور شود و چهار فرسخ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اقامت ده روز، چنین شخصی مسافر نامیده شده است و احکام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احکام مسافر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نمازهای چهاررکعتی به دورکعتی؛ اِسقاط نافله های ظهر و عصر، همچنین 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افطار روزه، هرچند در ماه مبارک رمضان باشد</w:t>
      </w:r>
      <w:r>
        <w:rPr>
          <w:rFonts w:eastAsia="IRNazanin" w:cs="IRNazanin"/>
          <w:color w:val="111111"/>
          <w:sz w:val="28"/>
          <w:szCs w:val="28"/>
          <w:rtl w:val="true"/>
          <w:lang w:bidi="fa-IR"/>
        </w:rPr>
        <w:t>.</w:t>
      </w:r>
      <w:bookmarkStart w:id="13" w:name="pg4874_39802"/>
    </w:p>
    <w:p>
      <w:pPr>
        <w:pStyle w:val="Heading2"/>
        <w:numPr>
          <w:ilvl w:val="1"/>
          <w:numId w:val="1"/>
        </w:numPr>
        <w:rPr/>
      </w:pPr>
      <w:bookmarkStart w:id="14" w:name="__RefHeading___Toc3118762_2035185390"/>
      <w:bookmarkStart w:id="15" w:name="_Toc5"/>
      <w:bookmarkEnd w:id="13"/>
      <w:bookmarkEnd w:id="14"/>
      <w:r>
        <w:rPr>
          <w:rtl w:val="true"/>
        </w:rPr>
        <w:t>استثناهای احکام مسافر چیست؟</w:t>
      </w:r>
      <w:bookmarkEnd w:id="15"/>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کند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سفرش 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نماز را تمام بخواند و روزه‌اش را اگر ماه رمضان بود،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سفری که فی‌نفسه حرام است، این مثال‌ها را می‌توان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برایش ضرر داشته باشد؛ زن بدون اجازۀ شوهر سفر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سفر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سفر فرزندی سبب اذیت پدر و مادر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سفر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شغل او سفر باشد، مانند راننده و خلبان، در غیر سفر اول باید نماز را تمام بخواند و روزه‌اش را اگر ماه رمضان است، بگیرد و در سفر اول، اگرچه طول هم بکشد، نمازش شکسته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شغلش سفر نیست، ولی محل کارش در شهر دیگری است و همواره در محل خود و آن شهر رفت‌وآمد می‌کند، مثل پیشه‌وران سیّار یا معلمانی که محل کارشان ثابت نیست یا کارگرانی که برای کار به شهر دیگری سفر می‌کنند، نمازشان تمام است و روزه‌شان را باید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نمازشان را شکسته بخوانند و روزه‌شان را نگیرند</w:t>
      </w:r>
      <w:r>
        <w:rPr>
          <w:rFonts w:eastAsia="IRNazanin" w:cs="IRNazanin"/>
          <w:color w:val="111111"/>
          <w:sz w:val="28"/>
          <w:szCs w:val="28"/>
          <w:rtl w:val="true"/>
          <w:lang w:bidi="fa-IR"/>
        </w:rPr>
        <w:t>.»</w:t>
      </w:r>
      <w:bookmarkStart w:id="16" w:name="pg4874_39803"/>
    </w:p>
    <w:p>
      <w:pPr>
        <w:pStyle w:val="BookText"/>
        <w:rPr/>
      </w:pPr>
      <w:bookmarkEnd w:id="16"/>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دارد ده روز پشت‌سرِهم در یک محل بماند، باید نمازهای خود را در آن محل، تمام بخواند و روزه‌اش را اگر ماه رمضان است،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بعد از رسیدن به هشت فرسخ یا بیشتر، سی روز در محلی بماند و مردّد باشد که می‌ماند یا می‌رود، باید نماز را شکسته بخواند؛ ولی پس از سی روز باید نماز را تمام بخواند و اگر ماه رمضان است، روزه‌اش را بگیرد</w:t>
      </w:r>
      <w:r>
        <w:rPr>
          <w:rFonts w:eastAsia="IRNazanin" w:cs="IRNazanin"/>
          <w:color w:val="111111"/>
          <w:sz w:val="28"/>
          <w:szCs w:val="28"/>
          <w:rtl w:val="true"/>
          <w:lang w:bidi="fa-IR"/>
        </w:rPr>
        <w:t>.</w:t>
      </w:r>
    </w:p>
    <w:p>
      <w:pPr>
        <w:pStyle w:val="Heading2"/>
        <w:numPr>
          <w:ilvl w:val="1"/>
          <w:numId w:val="1"/>
        </w:numPr>
        <w:rPr/>
      </w:pPr>
      <w:bookmarkStart w:id="17" w:name="__RefHeading___Toc3118764_2035185390"/>
      <w:bookmarkStart w:id="18" w:name="_Toc6"/>
      <w:bookmarkEnd w:id="17"/>
      <w:r>
        <w:rPr>
          <w:rtl w:val="true"/>
        </w:rPr>
        <w:t>شروط شکسته شدن نماز</w:t>
      </w:r>
      <w:bookmarkEnd w:id="18"/>
    </w:p>
    <w:p>
      <w:pPr>
        <w:pStyle w:val="BookText"/>
        <w:rPr/>
      </w:pP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صورتی نماز در مسافرت شکسته می‌شود؟</w:t>
      </w:r>
    </w:p>
    <w:p>
      <w:p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این شروط فراهم شود، نماز شکسته می‌شود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رفت‌وبرگشت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هشت فرسخ شرعی نباشد؛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 مسافرت، قصد هشت فرسخ داشته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بین راه، از قصد خود برنگردد؛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ماندنِ ده روز در آنجا نداشته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او معصیت و حرام نباشد؛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شغلش مسافرت نباشد، مانند راننده‌ها؛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به‌حدّ ترخص برسد؛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جایی‌که سفر می‌کند، وطن دوم او نباشد؛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رسیدن به هشت فرسخ، از وطن خود نگذرد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ترخص یعنی از وطن یا محل اقامتش به‌اندازه‌ای دور شود که دیوار شهر را نبیند و صدای اذان آن‌را نشنود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تعریف حدّ ترخص، بین مراجع تقلید اختلاف‌نظر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کسی‌که قصد مسافرت دارد، اگر بخواهد نمازش را نزدیک دروازۀ شهر بخواند، باید تمام بخواند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مراجع تقلید در تعیین مقدار فرسخ شرعی کمی اختلاف‌نظر است</w:t>
      </w:r>
      <w:r>
        <w:rPr>
          <w:rFonts w:eastAsia="IRNazanin" w:cs="IRNazanin"/>
          <w:color w:val="111111"/>
          <w:sz w:val="28"/>
          <w:szCs w:val="28"/>
          <w:rtl w:val="true"/>
          <w:lang w:bidi="fa-IR"/>
        </w:rPr>
        <w:t>:</w:t>
      </w:r>
      <w:bookmarkStart w:id="19" w:name="pg4874_39805"/>
    </w:p>
    <w:p>
      <w:pPr>
        <w:pStyle w:val="BookText"/>
        <w:rPr/>
      </w:pPr>
      <w:bookmarkEnd w:id="19"/>
      <w:r>
        <w:rPr>
          <w:rFonts w:ascii="IRNazanin" w:hAnsi="IRNazanin" w:eastAsia="IRNazanin"/>
          <w:color w:val="111111"/>
          <w:sz w:val="28"/>
          <w:sz w:val="28"/>
          <w:szCs w:val="28"/>
          <w:rtl w:val="true"/>
          <w:lang w:bidi="fa-IR"/>
        </w:rPr>
        <w:t xml:space="preserve">آیات عظام امام، خامنه‌ای، بهجت، صافی، فاضل و نوری مقدار هشت فرسخ شرعی را تقریباًٌ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کیلومتر می‌دانند و آیات عظام تبریزی و سیستانی و وحید تقریباً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کیلومتر و آیت‌الله مکارم تقریباً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شرط چهارم که گذشت، اگر مسافری بخواهد اقامت ده روزه در یک مکان مشخص داشته باشد، باید نمازش را تمام بخواند</w:t>
      </w:r>
      <w:r>
        <w:rPr>
          <w:rFonts w:eastAsia="IRNazanin" w:cs="IRNazanin"/>
          <w:color w:val="111111"/>
          <w:sz w:val="28"/>
          <w:szCs w:val="28"/>
          <w:rtl w:val="true"/>
          <w:lang w:bidi="fa-IR"/>
        </w:rPr>
        <w:t>.</w:t>
      </w:r>
    </w:p>
    <w:p>
      <w:pPr>
        <w:pStyle w:val="Heading2"/>
        <w:numPr>
          <w:ilvl w:val="1"/>
          <w:numId w:val="1"/>
        </w:numPr>
        <w:rPr/>
      </w:pPr>
      <w:bookmarkStart w:id="20" w:name="__RefHeading___Toc3118766_2035185390"/>
      <w:bookmarkStart w:id="21" w:name="_Toc7"/>
      <w:bookmarkEnd w:id="20"/>
      <w:r>
        <w:rPr>
          <w:rtl w:val="true"/>
        </w:rPr>
        <w:t>اقامت بدون‌اختیار</w:t>
      </w:r>
      <w:bookmarkEnd w:id="21"/>
    </w:p>
    <w:p>
      <w:pPr>
        <w:pStyle w:val="BookText"/>
        <w:rPr/>
      </w:pP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اردوی دانشجویی، با کاروانی به سفر زیارت حضرت علی‌بن‌موسی‌الرضا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اختیار و اراده‌ای داشته باشم، می‌دانم بیش از ده روز در آنجا توقف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نمازم چیست؟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یادشده، باید نمازتان را تمام بخوانید</w:t>
      </w:r>
      <w:r>
        <w:rPr>
          <w:rFonts w:eastAsia="IRNazanin" w:cs="IRNazanin"/>
          <w:color w:val="111111"/>
          <w:sz w:val="28"/>
          <w:szCs w:val="28"/>
          <w:rtl w:val="true"/>
          <w:lang w:bidi="fa-IR"/>
        </w:rPr>
        <w:t>.</w:t>
      </w:r>
      <w:r>
        <w:rPr>
          <w:rStyle w:val="FootnoteAnchor"/>
          <w:rtl w:val="true"/>
        </w:rPr>
        <w:footnoteReference w:id="3"/>
      </w:r>
      <w:bookmarkStart w:id="22" w:name="pg4874_39806"/>
    </w:p>
    <w:p>
      <w:pPr>
        <w:pStyle w:val="Heading2"/>
        <w:numPr>
          <w:ilvl w:val="1"/>
          <w:numId w:val="1"/>
        </w:numPr>
        <w:rPr/>
      </w:pPr>
      <w:bookmarkStart w:id="23" w:name="__RefHeading___Toc3118768_2035185390"/>
      <w:bookmarkStart w:id="24" w:name="_Toc8"/>
      <w:bookmarkEnd w:id="22"/>
      <w:bookmarkEnd w:id="23"/>
      <w:r>
        <w:rPr>
          <w:rtl w:val="true"/>
        </w:rPr>
        <w:t>انصراف از اقامت</w:t>
      </w:r>
      <w:bookmarkEnd w:id="24"/>
    </w:p>
    <w:p>
      <w:pPr>
        <w:pStyle w:val="BookText"/>
        <w:rPr/>
      </w:pP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مقدس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داشتیم بیش از ده روز در آنجا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نمازمان را کامل خواندیم؛ ولی بعد از گذشت چند روز، از اقامتمان منصرف شدیم و تصمیم گرفتیم پیش از ده روز، به وطن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نماز در بقیۀ روزها چیست؟ آیا شکسته بخوانیم یا تمام؟</w:t>
      </w:r>
    </w:p>
    <w:p>
      <w:p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در آنجا به‌سر می‌برید، نمازتان تمام است</w:t>
      </w:r>
      <w:r>
        <w:rPr>
          <w:rFonts w:eastAsia="IRNazanin" w:cs="IRNazanin"/>
          <w:color w:val="111111"/>
          <w:sz w:val="28"/>
          <w:szCs w:val="28"/>
          <w:rtl w:val="true"/>
          <w:lang w:bidi="fa-IR"/>
        </w:rPr>
        <w:t>.</w:t>
      </w:r>
      <w:r>
        <w:rPr>
          <w:rStyle w:val="FootnoteAnchor"/>
          <w:rtl w:val="true"/>
        </w:rPr>
        <w:footnoteReference w:id="4"/>
      </w:r>
    </w:p>
    <w:p>
      <w:pPr>
        <w:pStyle w:val="Heading2"/>
        <w:numPr>
          <w:ilvl w:val="1"/>
          <w:numId w:val="1"/>
        </w:numPr>
        <w:rPr/>
      </w:pPr>
      <w:bookmarkStart w:id="25" w:name="__RefHeading___Toc3118770_2035185390"/>
      <w:bookmarkStart w:id="26" w:name="_Toc9"/>
      <w:bookmarkEnd w:id="25"/>
      <w:r>
        <w:rPr>
          <w:rtl w:val="true"/>
        </w:rPr>
        <w:t>شک در اقامت</w:t>
      </w:r>
      <w:bookmarkEnd w:id="26"/>
    </w:p>
    <w:p>
      <w:pPr>
        <w:pStyle w:val="BookText"/>
        <w:rPr/>
      </w:pP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نمی‌داند در محل اقامت، چند روز می‌ماند، تکلیف نمازش چه می‌شود؟ آیا باید شکسته بخواند یا تمام؟</w:t>
      </w:r>
    </w:p>
    <w:p>
      <w:p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نمازش را شکسته بخواند؛ مگر آنکه تصمیم داشته باشد ده روز یا بیشتر در آنجا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تصمیم و با تردید سی روز را در یک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چند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کرد، بعد از سی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 سی‌ویکم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نمازش را تمام بخواند</w:t>
      </w:r>
      <w:r>
        <w:rPr>
          <w:rFonts w:eastAsia="IRNazanin" w:cs="IRNazanin"/>
          <w:color w:val="111111"/>
          <w:sz w:val="28"/>
          <w:szCs w:val="28"/>
          <w:rtl w:val="true"/>
          <w:lang w:bidi="fa-IR"/>
        </w:rPr>
        <w:t>.</w:t>
      </w:r>
      <w:r>
        <w:rPr>
          <w:rStyle w:val="FootnoteAnchor"/>
          <w:rtl w:val="true"/>
        </w:rPr>
        <w:footnoteReference w:id="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4" o:detectmouseclick="t"/>
                <v:stroke color="#3465a4" joinstyle="round" endcap="flat"/>
                <w10:wrap type="none"/>
              </v:shape>
            </w:pict>
          </mc:Fallback>
        </mc:AlternateConten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w:t>
      </w:r>
      <w:bookmarkStart w:id="27" w:name="pg4874_39808"/>
    </w:p>
    <w:p>
      <w:pPr>
        <w:pStyle w:val="Heading2"/>
        <w:numPr>
          <w:ilvl w:val="1"/>
          <w:numId w:val="1"/>
        </w:numPr>
        <w:rPr/>
      </w:pPr>
      <w:bookmarkStart w:id="28" w:name="__RefHeading___Toc3118772_2035185390"/>
      <w:bookmarkStart w:id="29" w:name="_Toc10"/>
      <w:bookmarkEnd w:id="27"/>
      <w:bookmarkEnd w:id="28"/>
      <w:r>
        <w:rPr>
          <w:rtl w:val="true"/>
        </w:rPr>
        <w:t>نماز دانشجو در مشهد</w:t>
      </w:r>
      <w:bookmarkEnd w:id="29"/>
    </w:p>
    <w:p>
      <w:pPr>
        <w:pStyle w:val="BookText"/>
        <w:rPr/>
      </w:pP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یا دانشجویی که در محل درس نمازش تمام است، چنانچه به‌طوراتفاقی، به سفری غیر از محل درس، مانند زیارت حضرت علی‌بن‌موسی‌الرضا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برود، نماز و روزه‌اش چگونه است؟</w:t>
      </w:r>
    </w:p>
    <w:p>
      <w:pPr>
        <w:pStyle w:val="BookText"/>
        <w:rPr/>
      </w:pPr>
      <w:r>
        <w:rPr>
          <w:rFonts w:ascii="IRNazanin" w:hAnsi="IRNazanin" w:eastAsia="IRNazanin"/>
          <w:color w:val="111111"/>
          <w:sz w:val="28"/>
          <w:sz w:val="28"/>
          <w:szCs w:val="28"/>
          <w:rtl w:val="true"/>
          <w:lang w:bidi="fa-IR"/>
        </w:rPr>
        <w:t>همه، به‌جز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شکسته است و روزه صحیح نیست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تمام و روزه صحیح است</w:t>
      </w:r>
      <w:r>
        <w:rPr>
          <w:rFonts w:eastAsia="IRNazanin" w:cs="IRNazanin"/>
          <w:color w:val="111111"/>
          <w:sz w:val="28"/>
          <w:szCs w:val="28"/>
          <w:rtl w:val="true"/>
          <w:lang w:bidi="fa-IR"/>
        </w:rPr>
        <w:t>.</w:t>
      </w:r>
      <w:r>
        <w:rPr>
          <w:rStyle w:val="FootnoteAnchor"/>
          <w:rtl w:val="true"/>
        </w:rPr>
        <w:footnoteReference w:id="7"/>
      </w:r>
    </w:p>
    <w:p>
      <w:pPr>
        <w:pStyle w:val="Heading2"/>
        <w:numPr>
          <w:ilvl w:val="1"/>
          <w:numId w:val="1"/>
        </w:numPr>
        <w:rPr/>
      </w:pPr>
      <w:bookmarkStart w:id="30" w:name="__RefHeading___Toc3118774_2035185390"/>
      <w:bookmarkStart w:id="31" w:name="_Toc11"/>
      <w:bookmarkEnd w:id="30"/>
      <w:r>
        <w:rPr>
          <w:rtl w:val="true"/>
        </w:rPr>
        <w:t>سفر به اطراف محل اقامت</w:t>
      </w:r>
      <w:bookmarkEnd w:id="31"/>
    </w:p>
    <w:p>
      <w:pPr>
        <w:pStyle w:val="BookText"/>
        <w:rPr/>
      </w:pP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 ماندنِ ده روز یا بیشتر را در جایی داشته باشیم، چنانچه از آنجا به محلی که فاصلۀ آن تا اقامتگاهِ فعلی کمتر از چهار فرسخ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برویم و برگردیم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از ابتدا قصد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تکلیف نماز در هر دو جا چیست؟</w:t>
      </w:r>
    </w:p>
    <w:p>
      <w:p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خواندن یک نماز چهار رکعتی، بخواهد به آن محل سفر کند، نمازش در هر دو جا تمام است؛ به‌شرطی که فاصلۀ زمانی رفت‌وبرگشت زیاد نشود</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بیشتر در جواب پرسش</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داریم با اردوی دانشجویی، بیش از ده روز به زیارت حضرت علی‌بن‌موسیالرضا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شویم و گاهی، روزها به محل‌های اطرف سفر کنیم که از حدّ ترخص خارج است و فاصلۀ آن‌ها تا اقامتگاه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چهار فرسخ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نماز در آنجا چگونه است؟</w:t>
      </w:r>
    </w:p>
    <w:p>
      <w:pPr>
        <w:pStyle w:val="BookText"/>
        <w:rPr/>
      </w:pPr>
      <w:r>
        <w:rPr>
          <w:rFonts w:ascii="IRNazanin" w:hAnsi="IRNazanin" w:eastAsia="IRNazanin"/>
          <w:color w:val="111111"/>
          <w:sz w:val="28"/>
          <w:sz w:val="28"/>
          <w:szCs w:val="28"/>
          <w:rtl w:val="true"/>
          <w:lang w:bidi="fa-IR"/>
        </w:rPr>
        <w:t>امام و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مدت ده روز، تنها یک مرتبه و به‌اندازۀ دو ساعت، از محل اقامت به اطراف بروید و بازگردید، نماز تمام است و در غیراین‌صورت شکسته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مدت ده روز، به‌اندازۀ یک تا دو ساعت در روز یا چند روز که مجموع آن به‌مقدار یک‌سوم روز یا یک‌سوم شب باشد، از محل اقامت به اطراف بروید، نماز تمام است و در غیراین‌صورت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صِدق اقامت ده روز ضرر نزند، مثل بیرون‌رفتن از آنجا به مدت چند ساعت از روز یا شب برای یک‌بار یا چندبار، به‌شرطی که مجموع ساعات خروج کمتر</w:t>
      </w:r>
    </w:p>
    <w:p>
      <w:pPr>
        <w:pStyle w:val="BookText"/>
        <w:rPr/>
      </w:pPr>
      <w:r>
        <w:rPr>
          <w:rFonts w:ascii="IRNazanin" w:hAnsi="IRNazanin" w:eastAsia="IRNazanin"/>
          <w:color w:val="111111"/>
          <w:sz w:val="28"/>
          <w:sz w:val="28"/>
          <w:szCs w:val="28"/>
          <w:rtl w:val="true"/>
          <w:lang w:bidi="fa-IR"/>
        </w:rPr>
        <w:t>از شش‌هفت ساعت باشد، دراین‌صورت قصد خروج به‌قصد اقامت لطمه نمی‌زند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به‌اندازۀ پنج‌شش ساعت، از محل اقامت به اطراف بروید و بازگردید، نماز تمام است؛ به‌شرط آنکه شب را در محل اقامت بمانید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 عمدۀ روز را در محل اقامت باشید، نمازتان تمام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محل اقامت خارج شوید، نمازتان شکسته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خویی و تبریزی و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رفت و بازگشت، به‌اندازۀ یک یا دو ساعت باشد که درنظر عرف با اقامت ده روز منافات ندارد، نماز تمام است و اگر از این مقدار بیشتر شود، بنابر احتیاط‌واجب باید جمعِ بین شکسته و تمام کنید و اگر تمام یا بیشترِ روز را از محل اقامت خارج شوید، باید نماز را شکسته بخوانید</w:t>
      </w:r>
      <w:r>
        <w:rPr>
          <w:rFonts w:eastAsia="IRNazanin" w:cs="IRNazanin"/>
          <w:color w:val="111111"/>
          <w:sz w:val="28"/>
          <w:szCs w:val="28"/>
          <w:rtl w:val="true"/>
          <w:lang w:bidi="fa-IR"/>
        </w:rPr>
        <w:t>.</w:t>
      </w:r>
      <w:r>
        <w:rPr>
          <w:rStyle w:val="FootnoteAnchor"/>
          <w:rtl w:val="true"/>
        </w:rPr>
        <w:footnoteReference w:id="1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مدت رفت‌وبازگشت، در نصف روز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برگشتن، بعد از رسیدنِ شب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تمام است؛ مگر آنکه دفعات خارج‌شدنِ او به‌مقداری تکرار شود که درنظر عرف</w:t>
      </w:r>
      <w:bookmarkStart w:id="32" w:name="pg4874_39811"/>
    </w:p>
    <w:p>
      <w:pPr>
        <w:pStyle w:val="BookText"/>
        <w:rPr/>
      </w:pPr>
      <w:bookmarkEnd w:id="32"/>
      <w:r>
        <w:rPr>
          <w:rFonts w:ascii="IRNazanin" w:hAnsi="IRNazanin" w:eastAsia="IRNazanin"/>
          <w:color w:val="111111"/>
          <w:sz w:val="28"/>
          <w:sz w:val="28"/>
          <w:szCs w:val="28"/>
          <w:rtl w:val="true"/>
          <w:lang w:bidi="fa-IR"/>
        </w:rPr>
        <w:t>گفته شود دو جا یا بیشتر اقامت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نماز شکسته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به‌اندازه‌ای دور نیست که جزو مسافرت محسوب شود، نماز تمام است</w:t>
      </w:r>
      <w:r>
        <w:rPr>
          <w:rFonts w:eastAsia="IRNazanin" w:cs="IRNazanin"/>
          <w:color w:val="111111"/>
          <w:sz w:val="28"/>
          <w:szCs w:val="28"/>
          <w:rtl w:val="true"/>
          <w:lang w:bidi="fa-IR"/>
        </w:rPr>
        <w:t>.</w:t>
      </w:r>
      <w:r>
        <w:rPr>
          <w:rStyle w:val="FootnoteAnchor"/>
          <w:rtl w:val="true"/>
        </w:rPr>
        <w:footnoteReference w:id="16"/>
      </w:r>
    </w:p>
    <w:p>
      <w:pPr>
        <w:pStyle w:val="Heading2"/>
        <w:numPr>
          <w:ilvl w:val="1"/>
          <w:numId w:val="1"/>
        </w:numPr>
        <w:rPr/>
      </w:pPr>
      <w:bookmarkStart w:id="33" w:name="__RefHeading___Toc3118776_2035185390"/>
      <w:bookmarkStart w:id="34" w:name="_Toc12"/>
      <w:bookmarkEnd w:id="33"/>
      <w:r>
        <w:rPr>
          <w:rtl w:val="true"/>
        </w:rPr>
        <w:t>مسافرت قبل از ظهر</w:t>
      </w:r>
      <w:bookmarkEnd w:id="34"/>
    </w:p>
    <w:p>
      <w:pPr>
        <w:pStyle w:val="BookText"/>
        <w:rPr/>
      </w:pP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پیش از ظهر تصمیم به مسافرت دارد، تکلیف روزۀ او چه می‌شود؟</w:t>
      </w:r>
    </w:p>
    <w:p>
      <w:pPr>
        <w:pStyle w:val="BookText"/>
        <w:rPr/>
      </w:pPr>
      <w:r>
        <w:rPr>
          <w:rFonts w:ascii="IRNazanin" w:hAnsi="IRNazanin" w:eastAsia="IRNazanin"/>
          <w:color w:val="111111"/>
          <w:sz w:val="28"/>
          <w:sz w:val="28"/>
          <w:szCs w:val="28"/>
          <w:rtl w:val="true"/>
          <w:lang w:bidi="fa-IR"/>
        </w:rPr>
        <w:t>همه، به‌جز تبریزی و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ظهر مسافرت کند، روزه‌اش باطل است؛ ولی قبل از آنکه به‌حدّ ترخّص برسد، نمی‌تواند روزه را بخورد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سر شب تصمیم بر سفر داشته و پیش از ظهر مسافرت کند، روزه‌اش باطل است؛ ولی قبل از آنکه به حد ترخص برسد، نمی‌تواند روزه را بخورد و اگر پیش از ظهر تصمیم بر مسافرت گرفته، بنابر احتیاط واجب باید روزه بگیرد</w:t>
      </w:r>
      <w:r>
        <w:rPr>
          <w:rFonts w:eastAsia="IRNazanin" w:cs="IRNazanin"/>
          <w:color w:val="111111"/>
          <w:sz w:val="28"/>
          <w:szCs w:val="28"/>
          <w:rtl w:val="true"/>
          <w:lang w:bidi="fa-IR"/>
        </w:rPr>
        <w:t>.</w:t>
      </w:r>
      <w:r>
        <w:rPr>
          <w:rStyle w:val="FootnoteAnchor"/>
          <w:rtl w:val="true"/>
        </w:rPr>
        <w:footnoteReference w:id="1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ظهر مسافرت کند، بنابر احتیاط واجب باید روزه‌اش را افطار کند؛</w:t>
      </w:r>
      <w:bookmarkStart w:id="35" w:name="pg4874_39812"/>
    </w:p>
    <w:p>
      <w:pPr>
        <w:pStyle w:val="BookText"/>
        <w:rPr/>
      </w:pPr>
      <w:bookmarkEnd w:id="35"/>
      <w:r>
        <w:rPr>
          <w:rFonts w:ascii="IRNazanin" w:hAnsi="IRNazanin" w:eastAsia="IRNazanin"/>
          <w:color w:val="111111"/>
          <w:sz w:val="28"/>
          <w:sz w:val="28"/>
          <w:szCs w:val="28"/>
          <w:rtl w:val="true"/>
          <w:lang w:bidi="fa-IR"/>
        </w:rPr>
        <w:t>ولی قبل از آنکه به حد ترخص برسد، نمی‌تواند روزه را بخورد</w:t>
      </w:r>
      <w:r>
        <w:rPr>
          <w:rFonts w:eastAsia="IRNazanin" w:cs="IRNazanin"/>
          <w:color w:val="111111"/>
          <w:sz w:val="28"/>
          <w:szCs w:val="28"/>
          <w:rtl w:val="true"/>
          <w:lang w:bidi="fa-IR"/>
        </w:rPr>
        <w:t>.</w:t>
      </w:r>
      <w:r>
        <w:rPr>
          <w:rStyle w:val="FootnoteAnchor"/>
          <w:rtl w:val="true"/>
        </w:rPr>
        <w:footnoteReference w:id="19"/>
      </w:r>
    </w:p>
    <w:p>
      <w:pPr>
        <w:pStyle w:val="Heading2"/>
        <w:numPr>
          <w:ilvl w:val="1"/>
          <w:numId w:val="1"/>
        </w:numPr>
        <w:rPr/>
      </w:pPr>
      <w:bookmarkStart w:id="36" w:name="__RefHeading___Toc3118778_2035185390"/>
      <w:bookmarkStart w:id="37" w:name="_Toc13"/>
      <w:bookmarkEnd w:id="36"/>
      <w:r>
        <w:rPr>
          <w:rtl w:val="true"/>
        </w:rPr>
        <w:t>مسافرت در رمضان</w:t>
      </w:r>
      <w:bookmarkEnd w:id="37"/>
    </w:p>
    <w:p>
      <w:pPr>
        <w:pStyle w:val="BookText"/>
        <w:rPr/>
      </w:pP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در ماه رمضان، برای فرار از روزه مسافرت کرد؟</w:t>
      </w:r>
    </w:p>
    <w:p>
      <w:p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مسافرت‌کردن در ماه رمضان، هرچند به‌عنوان فرار از روزه باشد، اِشکال ندارد؛ ولی این امر تا قبل از روز بیست‌وسوم مکروه است</w:t>
      </w:r>
      <w:r>
        <w:rPr>
          <w:rFonts w:eastAsia="IRNazanin" w:cs="IRNazanin"/>
          <w:color w:val="111111"/>
          <w:sz w:val="28"/>
          <w:szCs w:val="28"/>
          <w:rtl w:val="true"/>
          <w:lang w:bidi="fa-IR"/>
        </w:rPr>
        <w:t>.</w:t>
      </w:r>
      <w:r>
        <w:rPr>
          <w:rStyle w:val="FootnoteAnchor"/>
          <w:rtl w:val="true"/>
        </w:rPr>
        <w:footnoteReference w:id="20"/>
      </w:r>
    </w:p>
    <w:p>
      <w:pPr>
        <w:pStyle w:val="Heading2"/>
        <w:numPr>
          <w:ilvl w:val="1"/>
          <w:numId w:val="1"/>
        </w:numPr>
        <w:rPr/>
      </w:pPr>
      <w:bookmarkStart w:id="38" w:name="__RefHeading___Toc3118780_2035185390"/>
      <w:bookmarkStart w:id="39" w:name="_Toc14"/>
      <w:bookmarkEnd w:id="38"/>
      <w:r>
        <w:rPr>
          <w:rtl w:val="true"/>
        </w:rPr>
        <w:t>حیض در سفر</w:t>
      </w:r>
      <w:bookmarkEnd w:id="39"/>
    </w:p>
    <w:p>
      <w:pPr>
        <w:pStyle w:val="BookText"/>
        <w:rPr/>
      </w:pP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در شهری که وطنش نیست، قصد ماندن ده 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ده روز، از خون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نماز خود را شکسته بخواند یا تمام؟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ماندن ده روز را داشته، نمازش تمام است؛ هرچند تعدادی از روزها</w:t>
      </w:r>
    </w:p>
    <w:p>
      <w:pPr>
        <w:pStyle w:val="BookText"/>
        <w:rPr/>
      </w:pPr>
      <w:r>
        <w:rPr>
          <w:rFonts w:ascii="IRNazanin" w:hAnsi="IRNazanin" w:eastAsia="IRNazanin"/>
          <w:color w:val="111111"/>
          <w:sz w:val="28"/>
          <w:sz w:val="28"/>
          <w:szCs w:val="28"/>
          <w:rtl w:val="true"/>
          <w:lang w:bidi="fa-IR"/>
        </w:rPr>
        <w:t>تصویر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2" o:detectmouseclick="t"/>
                <v:stroke color="#3465a4" joinstyle="round" endcap="flat"/>
                <w10:wrap type="none"/>
              </v:shape>
            </w:pict>
          </mc:Fallback>
        </mc:AlternateContent>
      </w:r>
      <w:bookmarkStart w:id="40" w:name="pg4874_39814"/>
    </w:p>
    <w:p>
      <w:pPr>
        <w:pStyle w:val="BookText"/>
        <w:rPr/>
      </w:pPr>
      <w:bookmarkEnd w:id="40"/>
      <w:r>
        <w:rPr>
          <w:rFonts w:ascii="IRNazanin" w:hAnsi="IRNazanin" w:eastAsia="IRNazanin"/>
          <w:color w:val="111111"/>
          <w:sz w:val="28"/>
          <w:sz w:val="28"/>
          <w:szCs w:val="28"/>
          <w:rtl w:val="true"/>
          <w:lang w:bidi="fa-IR"/>
        </w:rPr>
        <w:t>را نماز نخوانده باشد</w:t>
      </w:r>
      <w:r>
        <w:rPr>
          <w:rFonts w:eastAsia="IRNazanin" w:cs="IRNazanin"/>
          <w:color w:val="111111"/>
          <w:sz w:val="28"/>
          <w:szCs w:val="28"/>
          <w:rtl w:val="true"/>
          <w:lang w:bidi="fa-IR"/>
        </w:rPr>
        <w:t>.</w:t>
      </w:r>
      <w:r>
        <w:rPr>
          <w:rStyle w:val="FootnoteAnchor"/>
          <w:rtl w:val="true"/>
        </w:rPr>
        <w:footnoteReference w:id="21"/>
      </w:r>
    </w:p>
    <w:p>
      <w:pPr>
        <w:pStyle w:val="Heading2"/>
        <w:numPr>
          <w:ilvl w:val="1"/>
          <w:numId w:val="1"/>
        </w:numPr>
        <w:rPr/>
      </w:pPr>
      <w:bookmarkStart w:id="41" w:name="__RefHeading___Toc3118782_2035185390"/>
      <w:bookmarkStart w:id="42" w:name="_Toc15"/>
      <w:bookmarkEnd w:id="41"/>
      <w:r>
        <w:rPr>
          <w:rtl w:val="true"/>
        </w:rPr>
        <w:t>روزه در سفر</w:t>
      </w:r>
      <w:bookmarkEnd w:id="42"/>
    </w:p>
    <w:p>
      <w:pPr>
        <w:pStyle w:val="BookText"/>
        <w:rPr/>
      </w:pP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گرفتن روزه‌های قضا، در سفری که نماز شکسته است، صحیح است؟</w:t>
      </w:r>
    </w:p>
    <w:p>
      <w:pPr>
        <w:pStyle w:val="BookText"/>
        <w:rPr/>
      </w:pP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جایز نیست</w:t>
      </w:r>
      <w:r>
        <w:rPr>
          <w:rFonts w:eastAsia="IRNazanin" w:cs="IRNazanin"/>
          <w:color w:val="111111"/>
          <w:sz w:val="28"/>
          <w:szCs w:val="28"/>
          <w:rtl w:val="true"/>
          <w:lang w:bidi="fa-IR"/>
        </w:rPr>
        <w:t>.</w:t>
      </w:r>
      <w:r>
        <w:rPr>
          <w:rStyle w:val="FootnoteAnchor"/>
          <w:rtl w:val="true"/>
        </w:rPr>
        <w:footnoteReference w:id="22"/>
      </w:r>
    </w:p>
    <w:p>
      <w:pPr>
        <w:pStyle w:val="Heading2"/>
        <w:numPr>
          <w:ilvl w:val="1"/>
          <w:numId w:val="1"/>
        </w:numPr>
        <w:rPr/>
      </w:pPr>
      <w:bookmarkStart w:id="43" w:name="__RefHeading___Toc3118784_2035185390"/>
      <w:bookmarkStart w:id="44" w:name="_Toc16"/>
      <w:bookmarkEnd w:id="43"/>
      <w:r>
        <w:rPr>
          <w:rtl w:val="true"/>
        </w:rPr>
        <w:t>نذر روزه</w:t>
      </w:r>
      <w:bookmarkEnd w:id="44"/>
    </w:p>
    <w:p>
      <w:pPr>
        <w:pStyle w:val="BookText"/>
        <w:rPr/>
      </w:pP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رمضان در سفر است، آیا می‌تواند نذر کند روزه بگیرد؟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جایز نیست</w:t>
      </w:r>
      <w:r>
        <w:rPr>
          <w:rFonts w:eastAsia="IRNazanin" w:cs="IRNazanin"/>
          <w:color w:val="111111"/>
          <w:sz w:val="28"/>
          <w:szCs w:val="28"/>
          <w:rtl w:val="true"/>
          <w:lang w:bidi="fa-IR"/>
        </w:rPr>
        <w:t>.</w:t>
      </w:r>
      <w:r>
        <w:rPr>
          <w:rStyle w:val="FootnoteAnchor"/>
          <w:rtl w:val="true"/>
        </w:rPr>
        <w:footnoteReference w:id="23"/>
      </w:r>
      <w:bookmarkStart w:id="45" w:name="pg4874_39815"/>
    </w:p>
    <w:p>
      <w:pPr>
        <w:pStyle w:val="BookText"/>
        <w:rPr/>
      </w:pPr>
      <w:bookmarkEnd w:id="45"/>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بارگاه حضرت علی‌بن‌موسی‌الرضا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درآنجا می‌توانم نذر روزه کنم و روزه بگیرم؟</w:t>
      </w:r>
    </w:p>
    <w:p>
      <w:pPr>
        <w:pStyle w:val="BookText"/>
        <w:rPr/>
      </w:pPr>
      <w:r>
        <w:rPr>
          <w:rFonts w:ascii="IRNazanin" w:hAnsi="IRNazanin" w:eastAsia="IRNazanin"/>
          <w:color w:val="111111"/>
          <w:sz w:val="28"/>
          <w:sz w:val="28"/>
          <w:szCs w:val="28"/>
          <w:rtl w:val="true"/>
          <w:lang w:bidi="fa-IR"/>
        </w:rPr>
        <w:t>امام، تبریزی، صافی، فاضل، نوری،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نذر روزه جایز نیست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بهجت، خامنه‌ای،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مسافرت نذر روزه جایز و صحیح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نذر روزه اشکال دارد و اگر نذر کرد، احتیاط‌واجب آن است که به نذر خود عمل کند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پیش از سفر در وطن خود، نذر کنیم که در سفر، روزۀ مستحبی بگیریم؟</w:t>
      </w:r>
    </w:p>
    <w:p>
      <w:pPr>
        <w:pStyle w:val="BookText"/>
        <w:rPr/>
      </w:pP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نذر صحیح است</w:t>
      </w:r>
      <w:r>
        <w:rPr>
          <w:rFonts w:eastAsia="IRNazanin" w:cs="IRNazanin"/>
          <w:color w:val="111111"/>
          <w:sz w:val="28"/>
          <w:szCs w:val="28"/>
          <w:rtl w:val="true"/>
          <w:lang w:bidi="fa-IR"/>
        </w:rPr>
        <w:t>.</w:t>
      </w:r>
      <w:r>
        <w:rPr>
          <w:rStyle w:val="FootnoteAnchor"/>
          <w:rtl w:val="true"/>
        </w:rPr>
        <w:footnoteReference w:id="27"/>
      </w:r>
    </w:p>
    <w:p>
      <w:pPr>
        <w:pStyle w:val="Heading2"/>
        <w:numPr>
          <w:ilvl w:val="1"/>
          <w:numId w:val="1"/>
        </w:numPr>
        <w:rPr/>
      </w:pPr>
      <w:bookmarkStart w:id="46" w:name="__RefHeading___Toc3118786_2035185390"/>
      <w:bookmarkStart w:id="47" w:name="_Toc17"/>
      <w:bookmarkEnd w:id="46"/>
      <w:r>
        <w:rPr>
          <w:rtl w:val="true"/>
        </w:rPr>
        <w:t>سفر زن</w:t>
      </w:r>
      <w:bookmarkEnd w:id="47"/>
    </w:p>
    <w:p>
      <w:pPr>
        <w:pStyle w:val="BookText"/>
        <w:rPr/>
      </w:pP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بدون‌اجازۀ شوهرش به مسافرت برود، تکلیف نمازش چیست؟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مراجع، به‌جز تبریزی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نمازش را در آنجا تمام بخواند</w:t>
      </w:r>
      <w:r>
        <w:rPr>
          <w:rFonts w:eastAsia="IRNazanin" w:cs="IRNazanin"/>
          <w:color w:val="111111"/>
          <w:sz w:val="28"/>
          <w:szCs w:val="28"/>
          <w:rtl w:val="true"/>
          <w:lang w:bidi="fa-IR"/>
        </w:rPr>
        <w:t>.</w:t>
      </w:r>
      <w:r>
        <w:rPr>
          <w:rStyle w:val="FootnoteAnchor"/>
          <w:rtl w:val="true"/>
        </w:rPr>
        <w:footnoteReference w:id="28"/>
      </w:r>
      <w:bookmarkStart w:id="48" w:name="pg4874_39816"/>
    </w:p>
    <w:p>
      <w:pPr>
        <w:pStyle w:val="BookText"/>
        <w:rPr/>
      </w:pPr>
      <w:bookmarkEnd w:id="48"/>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نشوز صدق کند، باید نمازش را در آنجا تمام بخواند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احتیاط‌واجب باید نمازش را در آنجا تمام بخواند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 زن سفر واجب باشد، مانند سفر حج واجب، دراین‌صورت اجازۀ شوهر برای مسافرت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در آنجا شکسته خواهد بود</w:t>
      </w:r>
      <w:r>
        <w:rPr>
          <w:rFonts w:eastAsia="IRNazanin" w:cs="IRNazanin"/>
          <w:color w:val="111111"/>
          <w:sz w:val="28"/>
          <w:szCs w:val="28"/>
          <w:rtl w:val="true"/>
          <w:lang w:bidi="fa-IR"/>
        </w:rPr>
        <w:t>.</w:t>
      </w:r>
    </w:p>
    <w:p>
      <w:pPr>
        <w:pStyle w:val="Heading2"/>
        <w:numPr>
          <w:ilvl w:val="1"/>
          <w:numId w:val="1"/>
        </w:numPr>
        <w:rPr/>
      </w:pPr>
      <w:bookmarkStart w:id="49" w:name="__RefHeading___Toc3118788_2035185390"/>
      <w:bookmarkStart w:id="50" w:name="_Toc18"/>
      <w:bookmarkEnd w:id="49"/>
      <w:r>
        <w:rPr>
          <w:rtl w:val="true"/>
        </w:rPr>
        <w:t>سفر فرزند</w:t>
      </w:r>
      <w:bookmarkEnd w:id="50"/>
    </w:p>
    <w:p>
      <w:pPr>
        <w:pStyle w:val="BookText"/>
        <w:rPr/>
      </w:pP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بدون‌اجازۀ پدر و مادرش مسافرت کند، تکلیف نمازش چیست؟</w:t>
      </w:r>
    </w:p>
    <w:p>
      <w:pPr>
        <w:pStyle w:val="BookText"/>
        <w:rPr/>
      </w:pPr>
      <w:r>
        <w:rPr>
          <w:rFonts w:ascii="IRNazanin" w:hAnsi="IRNazanin" w:eastAsia="IRNazanin"/>
          <w:color w:val="111111"/>
          <w:sz w:val="28"/>
          <w:sz w:val="28"/>
          <w:szCs w:val="28"/>
          <w:rtl w:val="true"/>
          <w:lang w:bidi="fa-IR"/>
        </w:rPr>
        <w:t>همۀ مراجع، به‌جز سیستانی و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از این سفر نهی کنند؛ به‌طوری‌که مایۀ اذیت آنان شود، باید نمازش را در آنجا تمام بخواند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از این سفر نهی کنند؛ به‌طوری‌که مایۀ اذیت آنان شود و منشأ اذیت، شفقت و دلسوزی آنان باشد، باید نمازش را در آنجا تمام بخواند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از این سفر نهی کنند، باید نمازش را در آنجا تمام بخواند</w:t>
      </w:r>
      <w:r>
        <w:rPr>
          <w:rFonts w:eastAsia="IRNazanin" w:cs="IRNazanin"/>
          <w:color w:val="111111"/>
          <w:sz w:val="28"/>
          <w:szCs w:val="28"/>
          <w:rtl w:val="true"/>
          <w:lang w:bidi="fa-IR"/>
        </w:rPr>
        <w:t>.</w:t>
      </w:r>
      <w:r>
        <w:rPr>
          <w:rStyle w:val="FootnoteAnchor"/>
          <w:rtl w:val="true"/>
        </w:rPr>
        <w:footnoteReference w:id="33"/>
      </w:r>
      <w:bookmarkStart w:id="51" w:name="pg4874_39817"/>
    </w:p>
    <w:p>
      <w:pPr>
        <w:pStyle w:val="BookText"/>
        <w:rPr/>
      </w:pPr>
      <w:bookmarkEnd w:id="51"/>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 فرزند سفر واجب باشد، مانند سفر حج واجب، دراین‌صورت اجازۀ پدر و مادر برای مسافرت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در آنجا شکسته خواهد بود</w:t>
      </w:r>
      <w:r>
        <w:rPr>
          <w:rFonts w:eastAsia="IRNazanin" w:cs="IRNazanin"/>
          <w:color w:val="111111"/>
          <w:sz w:val="28"/>
          <w:szCs w:val="28"/>
          <w:rtl w:val="true"/>
          <w:lang w:bidi="fa-IR"/>
        </w:rPr>
        <w:t>.</w:t>
      </w:r>
    </w:p>
    <w:p>
      <w:pPr>
        <w:pStyle w:val="Heading2"/>
        <w:numPr>
          <w:ilvl w:val="1"/>
          <w:numId w:val="1"/>
        </w:numPr>
        <w:rPr/>
      </w:pPr>
      <w:bookmarkStart w:id="52" w:name="__RefHeading___Toc3118790_2035185390"/>
      <w:bookmarkStart w:id="53" w:name="_Toc19"/>
      <w:bookmarkEnd w:id="52"/>
      <w:r>
        <w:rPr>
          <w:rtl w:val="true"/>
        </w:rPr>
        <w:t>اجازۀ دوران عقد</w:t>
      </w:r>
      <w:bookmarkEnd w:id="53"/>
    </w:p>
    <w:p>
      <w:pPr>
        <w:pStyle w:val="BookText"/>
        <w:rPr/>
      </w:pP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دوران عقد که دختر در خانۀ پدر و مادر زندگی می‌کند، برای مسافرت نیاز به اجازۀ شوهر دارد؟ اگر بدون اجازۀ به مسافرت برود، تکلیف نمازش چیست؟</w:t>
      </w:r>
    </w:p>
    <w:p>
      <w:pPr>
        <w:pStyle w:val="BookText"/>
        <w:rPr/>
      </w:pPr>
      <w:r>
        <w:rPr>
          <w:rFonts w:ascii="IRNazanin" w:hAnsi="IRNazanin" w:eastAsia="IRNazanin"/>
          <w:color w:val="111111"/>
          <w:sz w:val="28"/>
          <w:sz w:val="28"/>
          <w:szCs w:val="28"/>
          <w:rtl w:val="true"/>
          <w:lang w:bidi="fa-IR"/>
        </w:rPr>
        <w:t>امام، بهجت، صافی، مکارم،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اجازه بگیرد و اگر بدون‌اجازه مسافرت کند، باید نمازش را در آنجا تمام بخواند</w:t>
      </w:r>
      <w:r>
        <w:rPr>
          <w:rFonts w:eastAsia="IRNazanin" w:cs="IRNazanin"/>
          <w:color w:val="111111"/>
          <w:sz w:val="28"/>
          <w:szCs w:val="28"/>
          <w:rtl w:val="true"/>
          <w:lang w:bidi="fa-IR"/>
        </w:rPr>
        <w:t>.</w:t>
      </w:r>
      <w:r>
        <w:rPr>
          <w:rStyle w:val="FootnoteAnchor"/>
          <w:rtl w:val="true"/>
        </w:rPr>
        <w:footnoteReference w:id="3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بنابر احتیاط‌واجب، باید اجازه بگیرد و اگر بدون‌اجازه مسافرت کند، بنابر احتیاط‌واجب باید نمازش را در آنجا تمام بخواند</w:t>
      </w:r>
      <w:r>
        <w:rPr>
          <w:rFonts w:eastAsia="IRNazanin" w:cs="IRNazanin"/>
          <w:color w:val="111111"/>
          <w:sz w:val="28"/>
          <w:szCs w:val="28"/>
          <w:rtl w:val="true"/>
          <w:lang w:bidi="fa-IR"/>
        </w:rPr>
        <w:t>.</w:t>
      </w:r>
      <w:r>
        <w:rPr>
          <w:rStyle w:val="FootnoteAnchor"/>
          <w:rtl w:val="true"/>
        </w:rPr>
        <w:footnoteReference w:id="35"/>
      </w:r>
      <w:bookmarkStart w:id="54" w:name="pg4874_39818"/>
    </w:p>
    <w:p>
      <w:pPr>
        <w:pStyle w:val="BookText"/>
        <w:rPr/>
      </w:pPr>
      <w:bookmarkEnd w:id="54"/>
      <w:r>
        <w:rPr>
          <w:rFonts w:ascii="IRNazanin" w:hAnsi="IRNazanin" w:eastAsia="IRNazanin"/>
          <w:color w:val="111111"/>
          <w:sz w:val="28"/>
          <w:sz w:val="28"/>
          <w:szCs w:val="28"/>
          <w:rtl w:val="true"/>
          <w:lang w:bidi="fa-IR"/>
        </w:rPr>
        <w:t>تبریزی و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این فرض، اجازۀ شوهر لازم نیست و نمازش در مسافرت شکسته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شهری که زندگی می‌کنند، متعارف این است که دختر در این مدت از شوهر اجازه نمی‌گیرد، در‌این‌صورت نمازش در مسافرت شکسته است و در غیراین‌صورت، باید اجازه بگیرد و اگر بدون‌اجازه مسافرت کند، باید نمازش را در آنجا تمام بخواند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درضمن عقد، شرط کرده باشد که در این مدت، بدون‌اجازۀ او بیرون رود یا عقد بر توافق قبلی واقع شده باشد، دراین‌صورت به فتوای همۀ مراجع، این شرط نافذ است و دیگر اجازۀ شوهر لازم نیست</w:t>
      </w:r>
      <w:r>
        <w:rPr>
          <w:rFonts w:eastAsia="IRNazanin" w:cs="IRNazanin"/>
          <w:color w:val="111111"/>
          <w:sz w:val="28"/>
          <w:szCs w:val="28"/>
          <w:rtl w:val="true"/>
          <w:lang w:bidi="fa-IR"/>
        </w:rPr>
        <w:t>.</w:t>
      </w:r>
    </w:p>
    <w:p>
      <w:pPr>
        <w:pStyle w:val="Heading2"/>
        <w:numPr>
          <w:ilvl w:val="1"/>
          <w:numId w:val="1"/>
        </w:numPr>
        <w:rPr/>
      </w:pPr>
      <w:bookmarkStart w:id="55" w:name="__RefHeading___Toc3118792_2035185390"/>
      <w:bookmarkStart w:id="56" w:name="_Toc20"/>
      <w:bookmarkEnd w:id="55"/>
      <w:r>
        <w:rPr>
          <w:rtl w:val="true"/>
        </w:rPr>
        <w:t>اجازۀ صلۀ رحم</w:t>
      </w:r>
      <w:bookmarkEnd w:id="5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بدون‌اجازۀ شوهرش، بخواهد برای دیدار والدین خود مسافرت کند، آیا می‌تواند بدون اجازۀ او مسافرت کند؟ تکلیف نمازش در سفر چیست؟</w:t>
      </w:r>
      <w:bookmarkStart w:id="57" w:name="pg4874_39819"/>
    </w:p>
    <w:p>
      <w:pPr>
        <w:pStyle w:val="BookText"/>
        <w:rPr/>
      </w:pPr>
      <w:bookmarkEnd w:id="57"/>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نمی‌تواند بدون‌اجازۀ شوهر به دیدار آنان برود و صلۀ رحم منحصر به رفت‌وآمد نیست؛ بلکه با احوال‌پرسی و پیغام فرستادن ازطریق تلفن و نامه و مانند آن نیز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در آنجا تمام است</w:t>
      </w:r>
      <w:r>
        <w:rPr>
          <w:rFonts w:eastAsia="IRNazanin" w:cs="IRNazanin"/>
          <w:color w:val="111111"/>
          <w:sz w:val="28"/>
          <w:szCs w:val="28"/>
          <w:rtl w:val="true"/>
          <w:lang w:bidi="fa-IR"/>
        </w:rPr>
        <w:t>.</w:t>
      </w:r>
      <w:r>
        <w:rPr>
          <w:rStyle w:val="FootnoteAnchor"/>
          <w:rtl w:val="true"/>
        </w:rPr>
        <w:footnoteReference w:id="38"/>
      </w:r>
    </w:p>
    <w:p>
      <w:pPr>
        <w:pStyle w:val="Heading2"/>
        <w:numPr>
          <w:ilvl w:val="1"/>
          <w:numId w:val="1"/>
        </w:numPr>
        <w:rPr/>
      </w:pPr>
      <w:bookmarkStart w:id="58" w:name="__RefHeading___Toc3118794_2035185390"/>
      <w:bookmarkStart w:id="59" w:name="_Toc21"/>
      <w:bookmarkEnd w:id="58"/>
      <w:r>
        <w:rPr>
          <w:rtl w:val="true"/>
        </w:rPr>
        <w:t>گلزار شهدا</w:t>
      </w:r>
      <w:bookmarkEnd w:id="59"/>
    </w:p>
    <w:p>
      <w:pPr>
        <w:pStyle w:val="BookText"/>
        <w:rPr/>
      </w:pP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رفتن فرد جُنُب یا حائض بر سر قبر بزرگان دین یا گلزار شهدا جایز است؟</w:t>
      </w:r>
    </w:p>
    <w:p>
      <w:p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جایز است</w:t>
      </w:r>
      <w:r>
        <w:rPr>
          <w:rFonts w:eastAsia="IRNazanin" w:cs="IRNazanin"/>
          <w:color w:val="111111"/>
          <w:sz w:val="28"/>
          <w:szCs w:val="28"/>
          <w:rtl w:val="true"/>
          <w:lang w:bidi="fa-IR"/>
        </w:rPr>
        <w:t>.</w:t>
      </w:r>
      <w:r>
        <w:rPr>
          <w:rStyle w:val="FootnoteAnchor"/>
          <w:rtl w:val="true"/>
        </w:rPr>
        <w:footnoteReference w:id="39"/>
      </w:r>
    </w:p>
    <w:p>
      <w:pPr>
        <w:pStyle w:val="Heading2"/>
        <w:numPr>
          <w:ilvl w:val="1"/>
          <w:numId w:val="1"/>
        </w:numPr>
        <w:rPr/>
      </w:pPr>
      <w:bookmarkStart w:id="60" w:name="__RefHeading___Toc3118796_2035185390"/>
      <w:bookmarkStart w:id="61" w:name="_Toc22"/>
      <w:bookmarkEnd w:id="60"/>
      <w:r>
        <w:rPr>
          <w:rtl w:val="true"/>
        </w:rPr>
        <w:t>حسینیه</w:t>
      </w:r>
      <w:bookmarkEnd w:id="61"/>
    </w:p>
    <w:p>
      <w:pPr>
        <w:pStyle w:val="BookText"/>
        <w:rPr/>
      </w:pP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زنان حائض در حسینیه‌ها چه حکمی دارد؟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40"/>
      </w:r>
      <w:bookmarkStart w:id="62" w:name="pg4874_39820"/>
    </w:p>
    <w:p>
      <w:pPr>
        <w:pStyle w:val="Heading2"/>
        <w:numPr>
          <w:ilvl w:val="1"/>
          <w:numId w:val="1"/>
        </w:numPr>
        <w:rPr/>
      </w:pPr>
      <w:bookmarkStart w:id="63" w:name="__RefHeading___Toc3118798_2035185390"/>
      <w:bookmarkStart w:id="64" w:name="_Toc23"/>
      <w:bookmarkEnd w:id="62"/>
      <w:bookmarkEnd w:id="63"/>
      <w:r>
        <w:rPr>
          <w:rtl w:val="true"/>
        </w:rPr>
        <w:t>سرداب مسجد</w:t>
      </w:r>
      <w:bookmarkEnd w:id="64"/>
    </w:p>
    <w:p>
      <w:pPr>
        <w:pStyle w:val="BookText"/>
        <w:rPr/>
      </w:pP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زن حائض به مکان‌هایی که شک دارد جزو مسجد است، مانند بام و سرداب و مقداری که به مسجد افزوده می‌شود، چگونه است؟</w:t>
      </w:r>
    </w:p>
    <w:p>
      <w:pPr>
        <w:pStyle w:val="BookText"/>
        <w:rPr/>
      </w:pP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مشکوک است، حکم مسجد را ندارد و ورود به آنجا برای زنِ حائض، اِشکال ندارد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مردم عوام در برخی مواقع، بجا نیست؛ مانند جایی‌که از ابتدا اصلِ زمین، وقف مسجد شده است که دراین‌صورت پشت‌بام و سرداب و تمام ملحقات داخل زمین در حکم مسجدند</w:t>
      </w:r>
      <w:r>
        <w:rPr>
          <w:rFonts w:eastAsia="IRNazanin" w:cs="IRNazanin"/>
          <w:color w:val="111111"/>
          <w:sz w:val="28"/>
          <w:szCs w:val="28"/>
          <w:rtl w:val="true"/>
          <w:lang w:bidi="fa-IR"/>
        </w:rPr>
        <w:t>.</w:t>
      </w:r>
    </w:p>
    <w:p>
      <w:pPr>
        <w:pStyle w:val="Heading2"/>
        <w:numPr>
          <w:ilvl w:val="1"/>
          <w:numId w:val="1"/>
        </w:numPr>
        <w:rPr/>
      </w:pPr>
      <w:bookmarkStart w:id="65" w:name="__RefHeading___Toc3118800_2035185390"/>
      <w:bookmarkStart w:id="66" w:name="_Toc24"/>
      <w:bookmarkEnd w:id="65"/>
      <w:r>
        <w:rPr>
          <w:rtl w:val="true"/>
        </w:rPr>
        <w:t>حرم امام‌زادگان</w:t>
      </w:r>
      <w:bookmarkEnd w:id="66"/>
    </w:p>
    <w:p>
      <w:pPr>
        <w:pStyle w:val="BookText"/>
        <w:rPr/>
      </w:pP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ورود فرد جُنُب یا حائض به داخل حرم امام‌زادگان، مانند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است؟</w:t>
      </w:r>
    </w:p>
    <w:p>
      <w:p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جایز است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ورود به حرم، باعث هتک و بی‌حرمتی شود،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2" o:detectmouseclick="t"/>
                <v:stroke color="#3465a4" joinstyle="round" endcap="flat"/>
                <w10:wrap type="none"/>
              </v:shape>
            </w:pict>
          </mc:Fallback>
        </mc:AlternateContent>
      </w:r>
      <w:bookmarkStart w:id="67" w:name="pg4874_39822"/>
    </w:p>
    <w:p>
      <w:pPr>
        <w:pStyle w:val="Heading2"/>
        <w:numPr>
          <w:ilvl w:val="1"/>
          <w:numId w:val="1"/>
        </w:numPr>
        <w:rPr/>
      </w:pPr>
      <w:bookmarkStart w:id="68" w:name="__RefHeading___Toc3118802_2035185390"/>
      <w:bookmarkStart w:id="69" w:name="_Toc25"/>
      <w:bookmarkEnd w:id="67"/>
      <w:bookmarkEnd w:id="68"/>
      <w:r>
        <w:rPr>
          <w:rtl w:val="true"/>
        </w:rPr>
        <w:t>رواق‌های حرم</w:t>
      </w:r>
      <w:bookmarkEnd w:id="69"/>
    </w:p>
    <w:p>
      <w:pPr>
        <w:pStyle w:val="BookText"/>
        <w:rPr/>
      </w:pP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حائض و فرد جُنُب می‌تواند بی‌آنکه داخل حرم شود، به رواق‌های اطراف ضریح مطهر امام‌معصوم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p>
    <w:p>
      <w:pPr>
        <w:pStyle w:val="BookText"/>
        <w:rPr/>
      </w:pPr>
      <w:r>
        <w:rPr>
          <w:rFonts w:ascii="IRNazanin" w:hAnsi="IRNazanin" w:eastAsia="IRNazanin"/>
          <w:color w:val="111111"/>
          <w:sz w:val="28"/>
          <w:sz w:val="28"/>
          <w:szCs w:val="28"/>
          <w:rtl w:val="true"/>
          <w:lang w:bidi="fa-IR"/>
        </w:rPr>
        <w:t>همۀ مراجع، به‌جز امام و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اشکال ندارد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امام و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احتیاط‌واجب جایز نیست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آخرین در وارد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استفتائات جدید آیت‌الله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یادشده درصورتی است که رواق‌های حرم، مسجد نباشد</w:t>
      </w:r>
      <w:r>
        <w:rPr>
          <w:rFonts w:eastAsia="IRNazanin" w:cs="IRNazanin"/>
          <w:color w:val="111111"/>
          <w:sz w:val="28"/>
          <w:szCs w:val="28"/>
          <w:rtl w:val="true"/>
          <w:lang w:bidi="fa-IR"/>
        </w:rPr>
        <w:t>.</w:t>
      </w:r>
    </w:p>
    <w:p>
      <w:pPr>
        <w:pStyle w:val="Heading2"/>
        <w:numPr>
          <w:ilvl w:val="1"/>
          <w:numId w:val="1"/>
        </w:numPr>
        <w:rPr/>
      </w:pPr>
      <w:bookmarkStart w:id="70" w:name="__RefHeading___Toc3118804_2035185390"/>
      <w:bookmarkStart w:id="71" w:name="_Toc26"/>
      <w:bookmarkEnd w:id="70"/>
      <w:r>
        <w:rPr>
          <w:rtl w:val="true"/>
        </w:rPr>
        <w:t>گردن‌بند اسمای جلاله</w:t>
      </w:r>
      <w:bookmarkEnd w:id="71"/>
    </w:p>
    <w:p>
      <w:pPr>
        <w:pStyle w:val="BookText"/>
        <w:rPr/>
      </w:pP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گردنبند منقّش به نام خدا، در زمان حیض چه حکمی دارد؟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آن مانع ندارد؛ ولی باید از تماس آن با بدن اجتناب کرد</w:t>
      </w:r>
      <w:r>
        <w:rPr>
          <w:rFonts w:eastAsia="IRNazanin" w:cs="IRNazanin"/>
          <w:color w:val="111111"/>
          <w:sz w:val="28"/>
          <w:szCs w:val="28"/>
          <w:rtl w:val="true"/>
          <w:lang w:bidi="fa-IR"/>
        </w:rPr>
        <w:t>.</w:t>
      </w:r>
      <w:r>
        <w:rPr>
          <w:rStyle w:val="FootnoteAnchor"/>
          <w:rtl w:val="true"/>
        </w:rPr>
        <w:footnoteReference w:id="45"/>
      </w:r>
      <w:bookmarkStart w:id="72" w:name="pg4874_39823"/>
    </w:p>
    <w:p>
      <w:pPr>
        <w:pStyle w:val="BookText"/>
        <w:rPr/>
      </w:pPr>
      <w:bookmarkEnd w:id="72"/>
      <w:r>
        <w:rPr>
          <w:rFonts w:ascii="IRNazanin" w:hAnsi="IRNazanin" w:eastAsia="IRNazanin"/>
          <w:color w:val="111111"/>
          <w:sz w:val="28"/>
          <w:sz w:val="28"/>
          <w:szCs w:val="28"/>
          <w:rtl w:val="true"/>
          <w:lang w:bidi="fa-IR"/>
        </w:rPr>
        <w:t>تبصرۀ</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بداند که گاهی گردنبند فوق، با بدنش تماس پیدا می‌کند، انداختن آن به گردن در زمان حیض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تبصرۀ</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استفاده از گردنبند یادشده، غیر از تماس بدن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ممنوع است، تنها تماس است؛ نه استفاده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آن‌را روی لباس خود بیندازد و بدون‌طهارت هم باشد، اِشکال ندارد؛ چون تماس با بدن صورت نگرفته است</w:t>
      </w:r>
      <w:r>
        <w:rPr>
          <w:rFonts w:eastAsia="IRNazanin" w:cs="IRNazanin"/>
          <w:color w:val="111111"/>
          <w:sz w:val="28"/>
          <w:szCs w:val="28"/>
          <w:rtl w:val="true"/>
          <w:lang w:bidi="fa-IR"/>
        </w:rPr>
        <w:t>.</w:t>
      </w:r>
    </w:p>
    <w:p>
      <w:pPr>
        <w:pStyle w:val="Heading2"/>
        <w:numPr>
          <w:ilvl w:val="1"/>
          <w:numId w:val="1"/>
        </w:numPr>
        <w:rPr/>
      </w:pPr>
      <w:bookmarkStart w:id="73" w:name="__RefHeading___Toc3118806_2035185390"/>
      <w:bookmarkStart w:id="74" w:name="_Toc27"/>
      <w:bookmarkEnd w:id="73"/>
      <w:r>
        <w:rPr>
          <w:rtl w:val="true"/>
        </w:rPr>
        <w:t>تماس با قرآن</w:t>
      </w:r>
      <w:bookmarkEnd w:id="74"/>
    </w:p>
    <w:p>
      <w:pPr>
        <w:pStyle w:val="BookText"/>
        <w:rPr/>
      </w:pP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بدن با خط قرآن برای زن حائض چه حکمی دارد؟</w:t>
      </w:r>
    </w:p>
    <w:p>
      <w:p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بدن با خط قرآن در زمان حیض حرام است</w:t>
      </w:r>
      <w:r>
        <w:rPr>
          <w:rFonts w:eastAsia="IRNazanin" w:cs="IRNazanin"/>
          <w:color w:val="111111"/>
          <w:sz w:val="28"/>
          <w:szCs w:val="28"/>
          <w:rtl w:val="true"/>
          <w:lang w:bidi="fa-IR"/>
        </w:rPr>
        <w:t>.</w:t>
      </w:r>
      <w:r>
        <w:rPr>
          <w:rStyle w:val="FootnoteAnchor"/>
          <w:rtl w:val="true"/>
        </w:rPr>
        <w:footnoteReference w:id="4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2</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خانمی که از حیض پاک شده، ولی غسل نکرده، جایز است به خط قرآن دست بزند یا به مسجد برود؟</w:t>
      </w:r>
      <w:bookmarkStart w:id="75" w:name="pg4874_39824"/>
    </w:p>
    <w:p>
      <w:pPr>
        <w:pStyle w:val="BookText"/>
        <w:rPr/>
      </w:pPr>
      <w:bookmarkEnd w:id="75"/>
      <w:r>
        <w:rPr>
          <w:rFonts w:ascii="IRNazanin" w:hAnsi="IRNazanin" w:eastAsia="IRNazanin"/>
          <w:color w:val="111111"/>
          <w:sz w:val="28"/>
          <w:sz w:val="28"/>
          <w:szCs w:val="28"/>
          <w:rtl w:val="true"/>
          <w:lang w:bidi="fa-IR"/>
        </w:rPr>
        <w:t>همۀ مراجع، به‌جز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جایز نیست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احتیاط‌واجب جایز نیست</w:t>
      </w:r>
      <w:r>
        <w:rPr>
          <w:rFonts w:eastAsia="IRNazanin" w:cs="IRNazanin"/>
          <w:color w:val="111111"/>
          <w:sz w:val="28"/>
          <w:szCs w:val="28"/>
          <w:rtl w:val="true"/>
          <w:lang w:bidi="fa-IR"/>
        </w:rPr>
        <w:t>.</w:t>
      </w:r>
      <w:r>
        <w:rPr>
          <w:rStyle w:val="FootnoteAnchor"/>
          <w:rtl w:val="true"/>
        </w:rPr>
        <w:footnoteReference w:id="48"/>
      </w:r>
    </w:p>
    <w:p>
      <w:pPr>
        <w:pStyle w:val="Heading2"/>
        <w:numPr>
          <w:ilvl w:val="1"/>
          <w:numId w:val="1"/>
        </w:numPr>
        <w:rPr/>
      </w:pPr>
      <w:bookmarkStart w:id="76" w:name="__RefHeading___Toc3118808_2035185390"/>
      <w:bookmarkStart w:id="77" w:name="_Toc28"/>
      <w:bookmarkEnd w:id="76"/>
      <w:r>
        <w:rPr>
          <w:rtl w:val="true"/>
        </w:rPr>
        <w:t>ترجمۀ قرآن</w:t>
      </w:r>
      <w:bookmarkEnd w:id="7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2</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دست‌زدن به ترجمۀ قرآن، در زمان حیض چه حکمی دارد؟</w:t>
      </w:r>
    </w:p>
    <w:p>
      <w:p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ترجمۀ قرآن، به هر زبانی که باشد، اِشکال ندارد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ترجمۀ قرآن، خود کلمات قرآن یا نام خدا، به‌هر زبانی که باشد، به‌کار رفته باشد، نباید به آن کلمات بدون‌طهارت دست زد</w:t>
      </w:r>
      <w:r>
        <w:rPr>
          <w:rFonts w:eastAsia="IRNazanin" w:cs="IRNazanin"/>
          <w:color w:val="111111"/>
          <w:sz w:val="28"/>
          <w:szCs w:val="28"/>
          <w:rtl w:val="true"/>
          <w:lang w:bidi="fa-IR"/>
        </w:rPr>
        <w:t>.</w:t>
      </w:r>
    </w:p>
    <w:p>
      <w:pPr>
        <w:pStyle w:val="Heading2"/>
        <w:numPr>
          <w:ilvl w:val="1"/>
          <w:numId w:val="1"/>
        </w:numPr>
        <w:rPr/>
      </w:pPr>
      <w:bookmarkStart w:id="78" w:name="__RefHeading___Toc3118810_2035185390"/>
      <w:bookmarkStart w:id="79" w:name="_Toc29"/>
      <w:bookmarkEnd w:id="78"/>
      <w:r>
        <w:rPr>
          <w:rtl w:val="true"/>
        </w:rPr>
        <w:t>گردن‌بند قرآن</w:t>
      </w:r>
      <w:bookmarkEnd w:id="7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2</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آویختن گردن‌بندی که روی آن، آیۀ قرآن نوشته شده است، در ایام عادت</w:t>
      </w:r>
      <w:bookmarkStart w:id="80" w:name="pg4874_39825"/>
    </w:p>
    <w:p>
      <w:pPr>
        <w:pStyle w:val="BookText"/>
        <w:rPr/>
      </w:pPr>
      <w:bookmarkEnd w:id="80"/>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آن مانع ندارد؛ ولی بدون طهارت، آن‌را مس نکند</w:t>
      </w:r>
      <w:r>
        <w:rPr>
          <w:rFonts w:eastAsia="IRNazanin" w:cs="IRNazanin"/>
          <w:color w:val="111111"/>
          <w:sz w:val="28"/>
          <w:szCs w:val="28"/>
          <w:rtl w:val="true"/>
          <w:lang w:bidi="fa-IR"/>
        </w:rPr>
        <w:t>.</w:t>
      </w:r>
      <w:r>
        <w:rPr>
          <w:rStyle w:val="FootnoteAnchor"/>
          <w:rtl w:val="true"/>
        </w:rPr>
        <w:footnoteReference w:id="50"/>
      </w:r>
    </w:p>
    <w:p>
      <w:pPr>
        <w:pStyle w:val="Heading2"/>
        <w:numPr>
          <w:ilvl w:val="1"/>
          <w:numId w:val="1"/>
        </w:numPr>
        <w:rPr/>
      </w:pPr>
      <w:bookmarkStart w:id="81" w:name="__RefHeading___Toc3118812_2035185390"/>
      <w:bookmarkStart w:id="82" w:name="_Toc30"/>
      <w:bookmarkEnd w:id="81"/>
      <w:r>
        <w:rPr>
          <w:rtl w:val="true"/>
        </w:rPr>
        <w:t>حاشیۀ قرآن</w:t>
      </w:r>
      <w:bookmarkEnd w:id="8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2</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دست‌زدن به جلد قرآن برای زن حائض چه حکمی دارد؟</w:t>
      </w:r>
    </w:p>
    <w:p>
      <w:p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دست‌گذاشتن روی خط قرآن، برای هرکسی‌که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غسل، 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ندارد، حرام است، اما مسّ جلد یا حاشیۀ قرآن اِشکال ندارد و تنها مکروه است</w:t>
      </w:r>
      <w:r>
        <w:rPr>
          <w:rFonts w:eastAsia="IRNazanin" w:cs="IRNazanin"/>
          <w:color w:val="111111"/>
          <w:sz w:val="28"/>
          <w:szCs w:val="28"/>
          <w:rtl w:val="true"/>
          <w:lang w:bidi="fa-IR"/>
        </w:rPr>
        <w:t>.</w:t>
      </w:r>
    </w:p>
    <w:p>
      <w:pPr>
        <w:pStyle w:val="Heading2"/>
        <w:numPr>
          <w:ilvl w:val="1"/>
          <w:numId w:val="1"/>
        </w:numPr>
        <w:rPr/>
      </w:pPr>
      <w:bookmarkStart w:id="83" w:name="__RefHeading___Toc3118814_2035185390"/>
      <w:bookmarkStart w:id="84" w:name="_Toc31"/>
      <w:bookmarkEnd w:id="83"/>
      <w:r>
        <w:rPr>
          <w:rtl w:val="true"/>
        </w:rPr>
        <w:t>اسامی و القاب معصومان</w:t>
      </w:r>
      <w:bookmarkEnd w:id="8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حائض می‌تواند به نام نبی‌اکرم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بزند؟</w:t>
      </w:r>
    </w:p>
    <w:p>
      <w:pPr>
        <w:pStyle w:val="BookText"/>
        <w:rPr/>
      </w:pPr>
      <w:r>
        <w:rPr>
          <w:rFonts w:ascii="IRNazanin" w:hAnsi="IRNazanin" w:eastAsia="IRNazanin"/>
          <w:color w:val="111111"/>
          <w:sz w:val="28"/>
          <w:sz w:val="28"/>
          <w:szCs w:val="28"/>
          <w:rtl w:val="true"/>
          <w:lang w:bidi="fa-IR"/>
        </w:rPr>
        <w:t>همۀ مراجع، به‌جز تبریزی، سیستانی،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احتیاط‌واجب اسامی آنان را مس نکند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تبریزی، سیستانی و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اسامی آنان را مس نکند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لمس‌کردن القاب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حائض چگونه است؟</w:t>
      </w:r>
    </w:p>
    <w:p>
      <w:pPr>
        <w:pStyle w:val="BookText"/>
        <w:rPr/>
      </w:pPr>
      <w:r>
        <w:rPr>
          <w:rFonts w:ascii="IRNazanin" w:hAnsi="IRNazanin" w:eastAsia="IRNazanin"/>
          <w:color w:val="111111"/>
          <w:sz w:val="28"/>
          <w:sz w:val="28"/>
          <w:szCs w:val="28"/>
          <w:rtl w:val="true"/>
          <w:lang w:bidi="fa-IR"/>
        </w:rPr>
        <w:t>امام، بهجت، خامنه‌ای،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احتیاط‌واجب، القاب آنان را مس نکند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تبریزی، سیستانی، صافی، فاضل، نوری،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ولی بهتر است القاب آنان را بدون وضو مس نکند و چنانچه هتک‌حرمت و بی‌احترامی باشد، حرام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که منسوب به امام است، ولی</w:t>
      </w:r>
    </w:p>
    <w:p>
      <w:pPr>
        <w:pStyle w:val="BookText"/>
        <w:rPr/>
      </w:pPr>
      <w:r>
        <w:rPr>
          <w:rFonts w:ascii="IRNazanin" w:hAnsi="IRNazanin" w:eastAsia="IRNazanin"/>
          <w:color w:val="111111"/>
          <w:sz w:val="28"/>
          <w:sz w:val="28"/>
          <w:szCs w:val="28"/>
          <w:rtl w:val="true"/>
          <w:lang w:bidi="fa-IR"/>
        </w:rPr>
        <w:t>درحال حاضر نام برخی مؤسسسات فرهنگی یا شرکت‌ها شده است، حکم اسم امام را دارد و رعایت احترام آن واجب است؟</w:t>
      </w:r>
    </w:p>
    <w:p>
      <w:pPr>
        <w:pStyle w:val="BookText"/>
        <w:rPr/>
      </w:pPr>
      <w:r>
        <w:rPr>
          <w:rFonts w:ascii="IRNazanin" w:hAnsi="IRNazanin" w:eastAsia="IRNazanin"/>
          <w:color w:val="111111"/>
          <w:sz w:val="28"/>
          <w:sz w:val="28"/>
          <w:szCs w:val="28"/>
          <w:rtl w:val="true"/>
          <w:lang w:bidi="fa-IR"/>
        </w:rPr>
        <w:t>همۀ مراجع، به‌جز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به‌قصد اسم مؤسسه یا شرکت باشد، مسّ آن اِشکال ندارد</w:t>
      </w:r>
      <w:r>
        <w:rPr>
          <w:rFonts w:eastAsia="IRNazanin" w:cs="IRNazanin"/>
          <w:color w:val="111111"/>
          <w:sz w:val="28"/>
          <w:szCs w:val="28"/>
          <w:rtl w:val="true"/>
          <w:lang w:bidi="fa-IR"/>
        </w:rPr>
        <w:t>.</w:t>
      </w:r>
      <w:r>
        <w:rPr>
          <w:rStyle w:val="FootnoteAnchor"/>
          <w:rtl w:val="true"/>
        </w:rPr>
        <w:footnoteReference w:id="5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منسوب به امامان، مانند رضوی، هم مورداحتیاط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تصویر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0" o:detectmouseclick="t"/>
                <v:stroke color="#3465a4" joinstyle="round" endcap="flat"/>
                <w10:wrap type="none"/>
              </v:shape>
            </w:pict>
          </mc:Fallback>
        </mc:AlternateContent>
      </w:r>
      <w:bookmarkStart w:id="85" w:name="pg4874_39828"/>
    </w:p>
    <w:p>
      <w:pPr>
        <w:pStyle w:val="Heading2"/>
        <w:numPr>
          <w:ilvl w:val="1"/>
          <w:numId w:val="1"/>
        </w:numPr>
        <w:rPr/>
      </w:pPr>
      <w:bookmarkStart w:id="86" w:name="__RefHeading___Toc3118816_2035185390"/>
      <w:bookmarkStart w:id="87" w:name="_Toc32"/>
      <w:bookmarkEnd w:id="85"/>
      <w:bookmarkEnd w:id="86"/>
      <w:r>
        <w:rPr>
          <w:rtl w:val="true"/>
        </w:rPr>
        <w:t>سورۀ سجده‌دار</w:t>
      </w:r>
      <w:bookmarkEnd w:id="87"/>
    </w:p>
    <w:p>
      <w:pPr>
        <w:pStyle w:val="BookText"/>
        <w:rPr/>
      </w:pP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زن حائض، تنها، خواندن آیۀ سجده‌دار حرام است؛ یا علاوه بر آن، خواندن بقیۀ سوره نیز حرام است؟</w:t>
      </w:r>
    </w:p>
    <w:p>
      <w:pPr>
        <w:pStyle w:val="BookText"/>
        <w:rPr/>
      </w:pPr>
      <w:r>
        <w:rPr>
          <w:rFonts w:ascii="IRNazanin" w:hAnsi="IRNazanin" w:eastAsia="IRNazanin"/>
          <w:color w:val="111111"/>
          <w:sz w:val="28"/>
          <w:sz w:val="28"/>
          <w:szCs w:val="28"/>
          <w:rtl w:val="true"/>
          <w:lang w:bidi="fa-IR"/>
        </w:rPr>
        <w:t>امام، بهجت، فاضل،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خواندن آیۀ سجده‌دار، خواندن بقیۀ آن سوره نیز حرام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تبریزی، خامنه‌ای، سیستانی، صافی،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خواندن آیۀ سجده‌دار، حرام است و خواندن بقیۀ سوره حرام نیست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آیۀ سجده‌دار، حرام است و بنابر احتیاط‌واجب، خواندن بقیۀ سوره نیز حرام است</w:t>
      </w:r>
      <w:r>
        <w:rPr>
          <w:rFonts w:eastAsia="IRNazanin" w:cs="IRNazanin"/>
          <w:color w:val="111111"/>
          <w:sz w:val="28"/>
          <w:szCs w:val="28"/>
          <w:rtl w:val="true"/>
          <w:lang w:bidi="fa-IR"/>
        </w:rPr>
        <w:t>.</w:t>
      </w:r>
      <w:r>
        <w:rPr>
          <w:rStyle w:val="FootnoteAnchor"/>
          <w:rtl w:val="true"/>
        </w:rPr>
        <w:footnoteReference w:id="59"/>
      </w:r>
    </w:p>
    <w:p>
      <w:pPr>
        <w:pStyle w:val="Heading2"/>
        <w:numPr>
          <w:ilvl w:val="1"/>
          <w:numId w:val="1"/>
        </w:numPr>
        <w:rPr/>
      </w:pPr>
      <w:bookmarkStart w:id="88" w:name="__RefHeading___Toc3118818_2035185390"/>
      <w:bookmarkStart w:id="89" w:name="_Toc33"/>
      <w:bookmarkEnd w:id="88"/>
      <w:r>
        <w:rPr>
          <w:rtl w:val="true"/>
        </w:rPr>
        <w:t>شرکت در مجالس ختم</w:t>
      </w:r>
      <w:bookmarkEnd w:id="8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حائض می‌تواند در مجالس ختم قرآن شرکت کند و فقط به قرآن گوش فرا دهد؛ بی‌آنکه خودش تلاوت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آیۀ سجده‌دار تلاوت شود،</w:t>
      </w:r>
      <w:bookmarkStart w:id="90" w:name="pg4874_39829"/>
    </w:p>
    <w:p>
      <w:pPr>
        <w:pStyle w:val="BookText"/>
        <w:rPr/>
      </w:pPr>
      <w:bookmarkEnd w:id="90"/>
      <w:r>
        <w:rPr>
          <w:rFonts w:ascii="IRNazanin" w:hAnsi="IRNazanin" w:eastAsia="IRNazanin"/>
          <w:color w:val="111111"/>
          <w:sz w:val="28"/>
          <w:sz w:val="28"/>
          <w:szCs w:val="28"/>
          <w:rtl w:val="true"/>
          <w:lang w:bidi="fa-IR"/>
        </w:rPr>
        <w:t>تکلیفش چیست؟</w:t>
      </w:r>
    </w:p>
    <w:p>
      <w:p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زن حائض حرام است، فقط خواندن سوره‌های سجده‌دار است؛ ولی گوش‌دادن به آن اِشکال ندارد و اگر به آیۀ سجده‌دار گوش دهد، باید سجدۀ آن‌را به‌جا آورد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برای زن حائض خواندن سوره‌های سجده‌دار حرام است یا فقط خواندن آیۀ سجده‌دار، بین مراجع تقلید اختلاف دیدگاه است که در جای خود بیان شده است</w:t>
      </w:r>
      <w:r>
        <w:rPr>
          <w:rFonts w:eastAsia="IRNazanin" w:cs="IRNazanin"/>
          <w:color w:val="111111"/>
          <w:sz w:val="28"/>
          <w:szCs w:val="28"/>
          <w:rtl w:val="true"/>
          <w:lang w:bidi="fa-IR"/>
        </w:rPr>
        <w:t>.</w:t>
      </w:r>
    </w:p>
    <w:p>
      <w:pPr>
        <w:pStyle w:val="Heading2"/>
        <w:numPr>
          <w:ilvl w:val="1"/>
          <w:numId w:val="1"/>
        </w:numPr>
        <w:rPr/>
      </w:pPr>
      <w:bookmarkStart w:id="91" w:name="__RefHeading___Toc3118820_2035185390"/>
      <w:bookmarkStart w:id="92" w:name="_Toc34"/>
      <w:bookmarkEnd w:id="91"/>
      <w:r>
        <w:rPr>
          <w:rtl w:val="true"/>
        </w:rPr>
        <w:t>خواندن دعای کمیل</w:t>
      </w:r>
      <w:bookmarkEnd w:id="9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3</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کمیل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کانَ مُؤمنا کمَن کان فاسقا لایَستَوون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سوره‌ای است که سجدۀ واجب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حائض می‌تواند دعای کمیل بخواند؟</w:t>
      </w:r>
    </w:p>
    <w:p>
      <w:pPr>
        <w:pStyle w:val="BookText"/>
        <w:rPr/>
      </w:pPr>
      <w:r>
        <w:rPr>
          <w:rFonts w:ascii="IRNazanin" w:hAnsi="IRNazanin" w:eastAsia="IRNazanin"/>
          <w:color w:val="111111"/>
          <w:sz w:val="28"/>
          <w:sz w:val="28"/>
          <w:szCs w:val="28"/>
          <w:rtl w:val="true"/>
          <w:lang w:bidi="fa-IR"/>
        </w:rPr>
        <w:t>امام، بهجت، فاضل،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کمیل برای زن حائض اِشکال ندارد؛ ولی باید آیۀ یادشده را بر زبان جاری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 خامنه‌ای، سیستانی، صافی،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کمیل و نیز آیۀ یادشده، برای زن حائض اِشکال ندارد؛ چه اینکه خواندن اصل آیۀ سجده‌دار برای حائض حرام است، نه باقیِ سوره</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کمیل برای زن حائض اِشکال ندارد؛ ولی بنابر احتیاط‌واجب آیۀ یادشده را بر زبان جاری نکند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تبصرۀ</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یادشده، آیۀ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سجده است و آیه‌ای که سجده دارد، آیۀ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سوره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تبصرۀ</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خواندن آیات سجده‌دار برای زن حائض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 آیۀ یادشده برای او حرام نیست؛ ولی اگر خواندن تمام سوره‌هایی که سجدۀ واجب دارند، برای زن حائض حرام باشد، خواندن آیۀ یادشده برای او حرام خواهد بود؛ خواه در قرآن باشد یا در دعا</w:t>
      </w:r>
      <w:r>
        <w:rPr>
          <w:rFonts w:eastAsia="IRNazanin" w:cs="IRNazanin"/>
          <w:color w:val="111111"/>
          <w:sz w:val="28"/>
          <w:szCs w:val="28"/>
          <w:rtl w:val="true"/>
          <w:lang w:bidi="fa-IR"/>
        </w:rPr>
        <w:t>.</w:t>
      </w:r>
      <w:bookmarkStart w:id="93" w:name="pg4874_39831"/>
    </w:p>
    <w:p>
      <w:pPr>
        <w:pStyle w:val="Heading2"/>
        <w:numPr>
          <w:ilvl w:val="1"/>
          <w:numId w:val="1"/>
        </w:numPr>
        <w:rPr/>
      </w:pPr>
      <w:bookmarkStart w:id="94" w:name="__RefHeading___Toc3118822_2035185390"/>
      <w:bookmarkStart w:id="95" w:name="_Toc35"/>
      <w:bookmarkEnd w:id="93"/>
      <w:bookmarkEnd w:id="94"/>
      <w:r>
        <w:rPr>
          <w:rtl w:val="true"/>
        </w:rPr>
        <w:t>غسل بدون وضو</w:t>
      </w:r>
      <w:bookmarkEnd w:id="9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3</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غسل زیارت می‌توان نماز خواند؟</w:t>
      </w:r>
    </w:p>
    <w:p>
      <w:pPr>
        <w:pStyle w:val="BookText"/>
        <w:rPr/>
      </w:pPr>
      <w:r>
        <w:rPr>
          <w:rFonts w:ascii="IRNazanin" w:hAnsi="IRNazanin" w:eastAsia="IRNazanin"/>
          <w:color w:val="111111"/>
          <w:sz w:val="28"/>
          <w:sz w:val="28"/>
          <w:szCs w:val="28"/>
          <w:rtl w:val="true"/>
          <w:lang w:bidi="fa-IR"/>
        </w:rPr>
        <w:t>امام، بهجت، خامنه‌ای، صافی،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تنها با غسل جنابت می‌توان نماز خواند؛ ولی با غسل‌های دیگر، مانند غسل زیارت، باید وضو هم گرفت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غسل‌های واجب و مستحب که استحبابش ثابت شده است، مانند غسل زیارت، می‌توان نماز خواند و گرفتن وضو واجب نیست؛ اما احتیاط‌مستحب آن است که در غیر غسل جنابت، مانند غسل زیارت، وضو هم بگیرد</w:t>
      </w:r>
      <w:r>
        <w:rPr>
          <w:rFonts w:eastAsia="IRNazanin" w:cs="IRNazanin"/>
          <w:color w:val="111111"/>
          <w:sz w:val="28"/>
          <w:szCs w:val="28"/>
          <w:rtl w:val="true"/>
          <w:lang w:bidi="fa-IR"/>
        </w:rPr>
        <w:t>.</w:t>
      </w:r>
      <w:r>
        <w:rPr>
          <w:rStyle w:val="FootnoteAnchor"/>
          <w:rtl w:val="true"/>
        </w:rPr>
        <w:footnoteReference w:id="6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خویی، تبریزی، سیستانی، نوری،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غسل‌های واجب و مستحب که استحبابش ثابت شده است، غیر از غسل استحاضۀ متوسطه، می‌توان نماز خواند؛ اگرچه احتیاط‌مستحب آن است که در غیر غسل جنابت، مانند غسل زیارت و غسل جمعه، وضو هم بگیرد</w:t>
      </w:r>
      <w:r>
        <w:rPr>
          <w:rFonts w:eastAsia="IRNazanin" w:cs="IRNazanin"/>
          <w:color w:val="111111"/>
          <w:sz w:val="28"/>
          <w:szCs w:val="28"/>
          <w:rtl w:val="true"/>
          <w:lang w:bidi="fa-IR"/>
        </w:rPr>
        <w:t>.</w:t>
      </w:r>
      <w:r>
        <w:rPr>
          <w:rStyle w:val="FootnoteAnchor"/>
          <w:rtl w:val="true"/>
        </w:rPr>
        <w:footnoteReference w:id="65"/>
      </w:r>
      <w:bookmarkStart w:id="96" w:name="pg4874_39832"/>
    </w:p>
    <w:p>
      <w:pPr>
        <w:pStyle w:val="Heading2"/>
        <w:numPr>
          <w:ilvl w:val="1"/>
          <w:numId w:val="1"/>
        </w:numPr>
        <w:rPr/>
      </w:pPr>
      <w:bookmarkStart w:id="97" w:name="__RefHeading___Toc3118824_2035185390"/>
      <w:bookmarkStart w:id="98" w:name="_Toc36"/>
      <w:bookmarkEnd w:id="96"/>
      <w:bookmarkEnd w:id="97"/>
      <w:r>
        <w:rPr>
          <w:rtl w:val="true"/>
        </w:rPr>
        <w:t>غسل در سفر</w:t>
      </w:r>
      <w:bookmarkEnd w:id="9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3</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بین مسافرت، مثلاً در قطار و اتوبوس، از حیض پاک شود و دسترسی به آب نداشته باشد، تکلیف نمازش چیست؟</w:t>
      </w:r>
    </w:p>
    <w:p>
      <w:p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تا رسیدن به مقصد تمام نمی‌شود، باید صبر کند و در غیراین‌صورت، اگر در بین راه دسترسی به آب نداشته باشد، باید به‌جای غسل حیض، تیمّم کند و بعد از تمیز‌کردن بدن، نماز بخواند</w:t>
      </w:r>
      <w:r>
        <w:rPr>
          <w:rFonts w:eastAsia="IRNazanin" w:cs="IRNazanin"/>
          <w:color w:val="111111"/>
          <w:sz w:val="28"/>
          <w:szCs w:val="28"/>
          <w:rtl w:val="true"/>
          <w:lang w:bidi="fa-IR"/>
        </w:rPr>
        <w:t>.</w:t>
      </w:r>
      <w:r>
        <w:rPr>
          <w:rStyle w:val="FootnoteAnchor"/>
          <w:rtl w:val="true"/>
        </w:rPr>
        <w:footnoteReference w:id="66"/>
      </w:r>
    </w:p>
    <w:p>
      <w:pPr>
        <w:pStyle w:val="Heading2"/>
        <w:numPr>
          <w:ilvl w:val="1"/>
          <w:numId w:val="1"/>
        </w:numPr>
        <w:rPr/>
      </w:pPr>
      <w:bookmarkStart w:id="99" w:name="__RefHeading___Toc3118826_2035185390"/>
      <w:bookmarkStart w:id="100" w:name="_Toc37"/>
      <w:bookmarkEnd w:id="99"/>
      <w:r>
        <w:rPr>
          <w:rtl w:val="true"/>
        </w:rPr>
        <w:t>احکام حائض و جُنُب</w:t>
      </w:r>
      <w:bookmarkEnd w:id="10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3</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کارهایی بر زن حائض حرام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انجام‌دادن عبادت‌هایی مانند نماز که باید با وضو، غسل یا تیمم به‌جا آورده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انجام‌دادن کارهایی که بر جُنُب حرام است؛ مانند رساندن جایی از بدن به خط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آمیزش جنسی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3</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کارهایی بر زن حائض مستحب است؟</w:t>
      </w:r>
    </w:p>
    <w:p>
      <w:pPr>
        <w:pStyle w:val="BookText"/>
        <w:rPr/>
      </w:pPr>
      <w:r>
        <w:rPr>
          <w:rFonts w:ascii="IRNazanin" w:hAnsi="IRNazanin" w:eastAsia="IRNazanin"/>
          <w:color w:val="111111"/>
          <w:sz w:val="28"/>
          <w:sz w:val="28"/>
          <w:szCs w:val="28"/>
          <w:rtl w:val="true"/>
          <w:lang w:bidi="fa-IR"/>
        </w:rPr>
        <w:t>بر زن حائض مستحب است که در وقت نماز، خود را از خون پاک کرده و پنبه و دستمال را عوض کند و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نمی‌تواند،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جای نماز، روبه‌قبله بنشیند و به ذکر و دعا و قرائت قرآن و صلوات بپردازد؛ ولی خواندن تسبیحات اربعه بهتر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در وقت نماز، برای زن حائض کراهت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حرم مطهر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 ببرد و در همان لحظۀ کوتاه، جُنُب شود، تکلیفش چیست؟</w:t>
      </w:r>
    </w:p>
    <w:p>
      <w:pPr>
        <w:pStyle w:val="BookText"/>
        <w:rPr/>
      </w:pPr>
      <w:r>
        <w:rPr>
          <w:rFonts w:ascii="IRNazanin" w:hAnsi="IRNazanin" w:eastAsia="IRNazanin"/>
          <w:color w:val="111111"/>
          <w:sz w:val="28"/>
          <w:sz w:val="28"/>
          <w:szCs w:val="28"/>
          <w:rtl w:val="true"/>
          <w:lang w:bidi="fa-IR"/>
        </w:rPr>
        <w:t>همۀ مراجع، به‌جز بهجت، صافی،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جُنُب در حرم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احتیاط‌واجب جایز نیست؛ ازاین‌رو، باید همان لحظه از حرم خارج شود</w:t>
      </w:r>
      <w:r>
        <w:rPr>
          <w:rFonts w:eastAsia="IRNazanin" w:cs="IRNazanin"/>
          <w:color w:val="111111"/>
          <w:sz w:val="28"/>
          <w:szCs w:val="28"/>
          <w:rtl w:val="true"/>
          <w:lang w:bidi="fa-IR"/>
        </w:rPr>
        <w:t>.</w:t>
      </w:r>
      <w:r>
        <w:rPr>
          <w:rStyle w:val="FootnoteAnchor"/>
          <w:rtl w:val="true"/>
        </w:rPr>
        <w:footnoteReference w:id="6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بهجت،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و عبور جُنُب در حرم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احتیاط‌واجب جایز نیست؛</w:t>
      </w:r>
    </w:p>
    <w:p>
      <w:pPr>
        <w:pStyle w:val="BookText"/>
        <w:rPr/>
      </w:pPr>
      <w:r>
        <w:rPr>
          <w:rFonts w:ascii="IRNazanin" w:hAnsi="IRNazanin" w:eastAsia="IRNazanin"/>
          <w:color w:val="111111"/>
          <w:sz w:val="28"/>
          <w:sz w:val="28"/>
          <w:szCs w:val="28"/>
          <w:rtl w:val="true"/>
          <w:lang w:bidi="fa-IR"/>
        </w:rPr>
        <w:t>ازاین‌رو، باید همان لحظه از حرم خارج شود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جُنُب در حرم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بنابر احتیاط‌واجب عبور از آنجا نیز اِشکال دارد؛ ازاین‌رو، باید همان لحظه از حرم خارج شود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تبصرۀ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مسئله جایی است که این امر در مساجدِ حرم اتفاق نیفتاده است؛ اگر در مسجد حرم باشد، حکم مسجد را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فتوای آیات عظام بهجت، صافی و وحید، اگر خاک یا سنگ تیمّم در دسترس دارد و می‌تواند در مدت کوتاهی تیمّم کند، باید در همان لحظه این کار را انجام دهد و با تیمم از حرم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تبصرۀ</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حرم، محدودۀ زیرِ گنبد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حائض از سرِ ناآگاهی، داخل حرم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آیا گناه کرده است؟ تکلیفش چیست؟</w:t>
      </w:r>
    </w:p>
    <w:p>
      <w:pPr>
        <w:pStyle w:val="BookText"/>
        <w:rPr/>
      </w:pPr>
      <w:r>
        <w:rPr>
          <w:rFonts w:ascii="IRNazanin" w:hAnsi="IRNazanin" w:eastAsia="IRNazanin"/>
          <w:color w:val="111111"/>
          <w:sz w:val="28"/>
          <w:sz w:val="28"/>
          <w:szCs w:val="28"/>
          <w:rtl w:val="true"/>
          <w:lang w:bidi="fa-IR"/>
        </w:rPr>
        <w:t>همۀ مراجع، به‌جز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گناه نکرده است؛ ولی بنابر احتیاط‌واجب باید از همان لحظه از حرم خارج شود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گناه نکرده است؛ ولی باید از همان لحظه از حرم خارج شود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پرسش</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رفتنِ زن حائض به حرم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همۀ مراجع، به‌جز بهجت، صافی،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حرم مطهر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حائض اِشکال ندارد؛ ولی بنابر احتیاط‌واجب نباید در آنجا توقف کند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احتیاط‌واجب آن است که زن حائض به حرم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نشود؛ هرچند بخواهد از آنجا عبور کند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زن حائض به حرم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هرچند بخواهد از آنجا عبور کند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حرم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حائض جایز نیست و احتیاط‌واجب آنست</w:t>
      </w:r>
      <w:bookmarkStart w:id="101" w:name="pg4874_39836"/>
    </w:p>
    <w:p>
      <w:pPr>
        <w:pStyle w:val="BookText"/>
        <w:rPr/>
      </w:pPr>
      <w:bookmarkEnd w:id="101"/>
      <w:r>
        <w:rPr>
          <w:rFonts w:ascii="IRNazanin" w:hAnsi="IRNazanin" w:eastAsia="IRNazanin"/>
          <w:color w:val="111111"/>
          <w:sz w:val="28"/>
          <w:sz w:val="28"/>
          <w:szCs w:val="28"/>
          <w:rtl w:val="true"/>
          <w:lang w:bidi="fa-IR"/>
        </w:rPr>
        <w:t>که از آنجا هم عبور نکند</w:t>
      </w:r>
      <w:r>
        <w:rPr>
          <w:rFonts w:eastAsia="IRNazanin" w:cs="IRNazanin"/>
          <w:color w:val="111111"/>
          <w:sz w:val="28"/>
          <w:szCs w:val="28"/>
          <w:rtl w:val="true"/>
          <w:lang w:bidi="fa-IR"/>
        </w:rPr>
        <w:t>.</w:t>
      </w:r>
      <w:r>
        <w:rPr>
          <w:rStyle w:val="FootnoteAnchor"/>
          <w:rtl w:val="true"/>
        </w:rPr>
        <w:footnoteReference w:id="76"/>
      </w:r>
    </w:p>
    <w:p>
      <w:pPr>
        <w:pStyle w:val="Heading2"/>
        <w:numPr>
          <w:ilvl w:val="1"/>
          <w:numId w:val="1"/>
        </w:numPr>
        <w:rPr/>
      </w:pPr>
      <w:bookmarkStart w:id="102" w:name="__RefHeading___Toc3118828_2035185390"/>
      <w:bookmarkStart w:id="103" w:name="_Toc38"/>
      <w:bookmarkEnd w:id="102"/>
      <w:r>
        <w:rPr>
          <w:rtl w:val="true"/>
        </w:rPr>
        <w:t>حضور بیمار در حرم</w:t>
      </w:r>
      <w:bookmarkEnd w:id="10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بیماری قند و کبد دارد، به‌طوری‌که نمی‌تواند اِدرار خود را نگه دارد،</w:t>
      </w:r>
    </w:p>
    <w:p>
      <w:pPr>
        <w:pStyle w:val="BookText"/>
        <w:rPr/>
      </w:pPr>
      <w:r>
        <w:rPr>
          <w:rFonts w:ascii="IRNazanin" w:hAnsi="IRNazanin" w:eastAsia="IRNazanin"/>
          <w:color w:val="111111"/>
          <w:sz w:val="28"/>
          <w:sz w:val="28"/>
          <w:szCs w:val="28"/>
          <w:rtl w:val="true"/>
          <w:lang w:bidi="fa-IR"/>
        </w:rPr>
        <w:t>آیا می‌تواند با لباس نجس به اماکن متبرّکۀ زیارتی و حرم وارد شود؟</w:t>
      </w:r>
    </w:p>
    <w:p>
      <w:pPr>
        <w:pStyle w:val="BookText"/>
        <w:rPr/>
      </w:pPr>
      <w:r>
        <w:rPr>
          <w:rFonts w:ascii="IRNazanin" w:hAnsi="IRNazanin" w:eastAsia="IRNazanin"/>
          <w:color w:val="111111"/>
          <w:sz w:val="28"/>
          <w:sz w:val="28"/>
          <w:szCs w:val="28"/>
          <w:rtl w:val="true"/>
          <w:lang w:bidi="fa-IR"/>
        </w:rPr>
        <w:t>همۀ مراجع، به‌جز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داخل‌شدن به حرم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نجس اِشکال ندارد؛ ولی نجس و آلوده‌کردن آنجا حرام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داخل‌شدن به حرم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نجس اِشکال ندارد؛ ولی نجس و آلوده‌کردن آن، اگر باعث هتک باشد، حرام است</w:t>
      </w:r>
      <w:r>
        <w:rPr>
          <w:rFonts w:eastAsia="IRNazanin" w:cs="IRNazanin"/>
          <w:color w:val="111111"/>
          <w:sz w:val="28"/>
          <w:szCs w:val="28"/>
          <w:rtl w:val="true"/>
          <w:lang w:bidi="fa-IR"/>
        </w:rPr>
        <w:t>.</w:t>
      </w:r>
      <w:r>
        <w:rPr>
          <w:rStyle w:val="FootnoteAnchor"/>
          <w:rtl w:val="true"/>
        </w:rPr>
        <w:footnoteReference w:id="7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داخل شدن به حرم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و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تمیز و پاک، مستحب و پسندیده است؛ ولی ازنظر شرعی، واجب نیست؛ به‌خصوص برای بیماران یادشده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وحید، توضیح المسائل، م</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خامنه‌ای، دفتر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وحید، توضیح المسائل، م</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خامنه‌ای، دفتر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وحید، توضیح المسائل، م</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خامنه‌ای، دفتر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وحید، توضیح المسائل، م</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خامنه‌ای، اجوبة الاستفتائات، س</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وحید، توضیح المسائل، م</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خامنه‌ای، دفتر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خامنه‌ای، اجوبة الاستفتائات، س</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تبریزی، توضیح المسائل مراجع، م</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وحید، توضیح المسائل، م</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وحید، توضیح المسائل، م</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خامنه‌ای، دفتر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تبریزی، توضیح المسائل مراجع، م</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توضیح المسائل مراجع، م</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نوری و فاضل، تعلیقات علی العروة،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شرایط صحة الصوم، الخامس؛ صافی، هدایة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تبریزی و سیستانی و وحید، منهاج الصالحین، شرایط صحة الصوم؛ بهجت، وسیلة النجاة،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خامنه‌ای، دفتر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فاضل،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وحید و تبریزی و امام و صافی، دفتر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خامنه‌ای و سیستانی و بهجت، دفتر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و نوری و فاضل، تعلیقات علی العروة،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شرایط صحة الصوم، الخامس؛ صافی،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تبریزی و سیستانی و وحید، منهاج الصالحین، شرایط صحة الصوم؛ بهجت، وسیلة النجاة،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خامنه‌ای، دفتر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احکام مسافر، شرط پنجم؛ خامنه‌ای، دفتر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احکام مسافر، شرط پنجم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احکام مسافر، شرط پنجم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احکام مسافر، شرط پنجم و م</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وحید، توضیح المسائل، م</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خامنه‌ای، دفتر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احکام مسافر، شرط پنجم و م</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احکام مسافر، شرط پنجم و م</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جامع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امام،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حقوق زوجیت، س</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بهجت و مکارم و بهجت و فاضل و نوری، دفتر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جامع‌المسائل،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تبریزی، صراط النجاة،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وحید، دفتر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دفتر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جامع‌المسائل،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امام، 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 فی القسم و النشوز؛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سؤالات متفرقه، س</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صافی، هدایة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 فی‌القسم و صله‌رحم،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تبریزی، استفتائات، س</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tl w:val="true"/>
        </w:rPr>
        <w:t>؛ صراط النجاة،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سیستانی، منهاج الصالحین،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الفصل الثامن، م</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بهجت و وحید و مکارم و نوری و خامنه‌ای، دفتر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همۀ مراجع، دفتر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استفتائات،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غسل حیض، س</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تبریزی، استفتائات، س</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همۀ مراجع، دفتر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فیما یحرم علی الجُنب، م</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الاعتکاف، م</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احکام الحیض، السادس؛ امام،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غسل حیض، س</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خامنه‌ای، اجوبة الاستفتائات، س</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تبریزی، استفتائات، س</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فاضل،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بهجت، احکام دختران و بانوان،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نوری و صافی و وحید و سیستانی و مکارم، دفتر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و سیستانی و مکارم و فاضل و نوری، تعلیقات علی العروة، احکام الحائض، السادس؛ صافی،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تبریزی و وحید، منهاج الصالحین، غسل الجِنابة، الفصل الثانی و الخامس و احکام الحیض، م</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خامنه‌ای، دفتر؛ فاضل،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وسیلة النجاة،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تحریر الوسیله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وحید، توضیح المسائل، م</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وحید، توضیح المسائل،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خامنه‌ای، اجوبة الاستفتائات، س</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وحید، توضیح المسائل، م</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بهجت و خامنه‌ای، دفتر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وحید، توضیح المسائل، م</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نوری، توضیح المسائل، م</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خامنه‌ای، اجوبة الاستفتائات، س</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وحید، توضیح المسائل، م</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خامنه‌ای، اجوبة الاستفتائات، س</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وحید، توضیح المسائل، م</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امام و بهجت و خامنه‌ای، دفتر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نوری،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وحید، توضیح المسائل، م</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تبریزی، توضیح المسائل مراجع، م</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صراط النجاة،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صافی، دفتر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غایات الوضو، م</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مکارم،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احکام الحائض، م</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خامنه‌ای، اجوبة الاستفتائات،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 توضیح المسائل، م</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احکام الحائض، الثالث، 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خامنه‌ای، اجوبة الاستفتائات،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 توضیح المسائل، م</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وحید، توضیح المسائل، م</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نوری، توضیح المسائل، م</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همۀ مراجع، دفتر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احکام الحائض، م</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نظر آیت‌الله بهجت، فتواست، نه احتیاط</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 توضیح‌المسائل، م</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نظر آیت‌الله بهجت، فتواست، نه احتیاط</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 توضیح‌المسائل، م</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 توضیح‌المسائل، م</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وحید، توضیح المسائل، م</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ظاهراً فتوای ایشان با دیگر مراجع تفاوتی ندارد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image" Target="media/image6.jpeg"/><Relationship Id="rId24" Type="http://schemas.openxmlformats.org/officeDocument/2006/relationships/image" Target="media/image6.jpeg"/><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image" Target="media/image7.jpeg"/><Relationship Id="rId32" Type="http://schemas.openxmlformats.org/officeDocument/2006/relationships/image" Target="media/image7.jpeg"/><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image" Target="media/image8.jpeg"/><Relationship Id="rId42" Type="http://schemas.openxmlformats.org/officeDocument/2006/relationships/image" Target="media/image8.jpeg"/><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image" Target="media/image9.jpeg"/><Relationship Id="rId50" Type="http://schemas.openxmlformats.org/officeDocument/2006/relationships/image" Target="media/image9.jpeg"/><Relationship Id="rId51" Type="http://schemas.openxmlformats.org/officeDocument/2006/relationships/footer" Target="footer32.xml"/><Relationship Id="rId52" Type="http://schemas.openxmlformats.org/officeDocument/2006/relationships/footer" Target="footer33.xml"/><Relationship Id="rId53" Type="http://schemas.openxmlformats.org/officeDocument/2006/relationships/footer" Target="footer34.xml"/><Relationship Id="rId54" Type="http://schemas.openxmlformats.org/officeDocument/2006/relationships/footer" Target="footer35.xml"/><Relationship Id="rId55" Type="http://schemas.openxmlformats.org/officeDocument/2006/relationships/footer" Target="footer36.xml"/><Relationship Id="rId56" Type="http://schemas.openxmlformats.org/officeDocument/2006/relationships/footer" Target="footer37.xml"/><Relationship Id="rId57" Type="http://schemas.openxmlformats.org/officeDocument/2006/relationships/footer" Target="footer38.xml"/><Relationship Id="rId58" Type="http://schemas.openxmlformats.org/officeDocument/2006/relationships/footer" Target="footer39.xml"/><Relationship Id="rId59" Type="http://schemas.openxmlformats.org/officeDocument/2006/relationships/footer" Target="footer40.xml"/><Relationship Id="rId60" Type="http://schemas.openxmlformats.org/officeDocument/2006/relationships/footer" Target="footer41.xml"/><Relationship Id="rId61" Type="http://schemas.openxmlformats.org/officeDocument/2006/relationships/image" Target="media/image10.jpeg"/><Relationship Id="rId62" Type="http://schemas.openxmlformats.org/officeDocument/2006/relationships/image" Target="media/image10.jpeg"/><Relationship Id="rId63" Type="http://schemas.openxmlformats.org/officeDocument/2006/relationships/footer" Target="footer42.xml"/><Relationship Id="rId64" Type="http://schemas.openxmlformats.org/officeDocument/2006/relationships/image" Target="media/image2.jpeg"/><Relationship Id="rId65" Type="http://schemas.openxmlformats.org/officeDocument/2006/relationships/image" Target="media/image2.jpeg"/><Relationship Id="rId66" Type="http://schemas.openxmlformats.org/officeDocument/2006/relationships/footer" Target="footer43.xml"/><Relationship Id="rId67" Type="http://schemas.openxmlformats.org/officeDocument/2006/relationships/footnotes" Target="footnotes.xml"/><Relationship Id="rId68" Type="http://schemas.openxmlformats.org/officeDocument/2006/relationships/numbering" Target="numbering.xml"/><Relationship Id="rId69" Type="http://schemas.openxmlformats.org/officeDocument/2006/relationships/fontTable" Target="fontTable.xml"/><Relationship Id="rId70" Type="http://schemas.openxmlformats.org/officeDocument/2006/relationships/settings" Target="settings.xml"/><Relationship Id="rId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Pages>
  <Words>4848</Words>
  <Characters>20768</Characters>
  <CharactersWithSpaces>25292</CharactersWithSpaces>
  <Paragraphs>425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2026-08-18T21:37:38Z</dcterms:created>
  <dc:creator>ghaemiyeh.com</dc:creator>
  <dc:description/>
  <dc:language>en-US</dc:language>
  <cp:lastModifiedBy/>
  <dcterms:modified xsi:type="dcterms:W3CDTF">2026-08-19T01:07:40Z</dcterms:modified>
  <cp:revision>1</cp:revision>
  <dc:subject/>
  <dc:title>رهنما 54 سیری در احکام سفر</dc:title>
</cp:coreProperties>
</file>

<file path=docProps/custom.xml><?xml version="1.0" encoding="utf-8"?>
<Properties xmlns="http://schemas.openxmlformats.org/officeDocument/2006/custom-properties" xmlns:vt="http://schemas.openxmlformats.org/officeDocument/2006/docPropsVTypes"/>
</file>