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فقیهی منذر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2631_36445660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22633_36445660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22635_364456609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722637_3644566090">
            <w:r>
              <w:rPr>
                <w:webHidden/>
                <w:rStyle w:val="IndexLink"/>
                <w:rtl w:val="true"/>
              </w:rPr>
              <w:t>زندگینامه</w:t>
            </w:r>
            <w:r>
              <w:rPr>
                <w:rStyle w:val="IndexLink"/>
                <w:rtl w:val="true"/>
              </w:rPr>
              <w:tab/>
            </w:r>
            <w:r>
              <w:rPr>
                <w:rStyle w:val="IndexLink"/>
              </w:rPr>
              <w:t>22</w:t>
            </w:r>
          </w:hyperlink>
        </w:p>
        <w:p>
          <w:pPr>
            <w:pStyle w:val="Contents3"/>
            <w:tabs>
              <w:tab w:val="clear" w:pos="8459"/>
              <w:tab w:val="right" w:pos="9026" w:leader="dot"/>
            </w:tabs>
            <w:rPr/>
          </w:pPr>
          <w:hyperlink w:anchor="__RefHeading___Toc722639_364456609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722641_3644566090">
            <w:r>
              <w:rPr>
                <w:webHidden/>
                <w:rStyle w:val="IndexLink"/>
                <w:rtl w:val="true"/>
              </w:rPr>
              <w:t>ولادت</w:t>
            </w:r>
            <w:r>
              <w:rPr>
                <w:rStyle w:val="IndexLink"/>
                <w:rtl w:val="true"/>
              </w:rPr>
              <w:tab/>
            </w:r>
            <w:r>
              <w:rPr>
                <w:rStyle w:val="IndexLink"/>
              </w:rPr>
              <w:t>24</w:t>
            </w:r>
          </w:hyperlink>
        </w:p>
        <w:p>
          <w:pPr>
            <w:pStyle w:val="Contents3"/>
            <w:tabs>
              <w:tab w:val="clear" w:pos="8459"/>
              <w:tab w:val="right" w:pos="9026" w:leader="dot"/>
            </w:tabs>
            <w:rPr/>
          </w:pPr>
          <w:hyperlink w:anchor="__RefHeading___Toc722643_3644566090">
            <w:r>
              <w:rPr>
                <w:webHidden/>
                <w:rStyle w:val="IndexLink"/>
                <w:rtl w:val="true"/>
              </w:rPr>
              <w:t>سلطنت علم</w:t>
            </w:r>
            <w:r>
              <w:rPr>
                <w:rStyle w:val="IndexLink"/>
                <w:rtl w:val="true"/>
              </w:rPr>
              <w:tab/>
            </w:r>
            <w:r>
              <w:rPr>
                <w:rStyle w:val="IndexLink"/>
              </w:rPr>
              <w:t>25</w:t>
            </w:r>
          </w:hyperlink>
        </w:p>
        <w:p>
          <w:pPr>
            <w:pStyle w:val="Contents3"/>
            <w:tabs>
              <w:tab w:val="clear" w:pos="8459"/>
              <w:tab w:val="right" w:pos="9026" w:leader="dot"/>
            </w:tabs>
            <w:rPr/>
          </w:pPr>
          <w:hyperlink w:anchor="__RefHeading___Toc722645_3644566090">
            <w:r>
              <w:rPr>
                <w:webHidden/>
                <w:rStyle w:val="IndexLink"/>
                <w:rtl w:val="true"/>
              </w:rPr>
              <w:t>دولت فقر</w:t>
            </w:r>
            <w:r>
              <w:rPr>
                <w:rStyle w:val="IndexLink"/>
                <w:rtl w:val="true"/>
              </w:rPr>
              <w:tab/>
            </w:r>
            <w:r>
              <w:rPr>
                <w:rStyle w:val="IndexLink"/>
              </w:rPr>
              <w:t>32</w:t>
            </w:r>
          </w:hyperlink>
        </w:p>
        <w:p>
          <w:pPr>
            <w:pStyle w:val="Contents3"/>
            <w:tabs>
              <w:tab w:val="clear" w:pos="8459"/>
              <w:tab w:val="right" w:pos="9026" w:leader="dot"/>
            </w:tabs>
            <w:rPr/>
          </w:pPr>
          <w:hyperlink w:anchor="__RefHeading___Toc722647_3644566090">
            <w:r>
              <w:rPr>
                <w:webHidden/>
                <w:rStyle w:val="IndexLink"/>
                <w:rtl w:val="true"/>
              </w:rPr>
              <w:t>جوایز</w:t>
            </w:r>
            <w:r>
              <w:rPr>
                <w:rStyle w:val="IndexLink"/>
                <w:rtl w:val="true"/>
              </w:rPr>
              <w:tab/>
            </w:r>
            <w:r>
              <w:rPr>
                <w:rStyle w:val="IndexLink"/>
              </w:rPr>
              <w:t>35</w:t>
            </w:r>
          </w:hyperlink>
        </w:p>
        <w:p>
          <w:pPr>
            <w:pStyle w:val="Contents3"/>
            <w:tabs>
              <w:tab w:val="clear" w:pos="8459"/>
              <w:tab w:val="right" w:pos="9026" w:leader="dot"/>
            </w:tabs>
            <w:rPr/>
          </w:pPr>
          <w:hyperlink w:anchor="__RefHeading___Toc722649_3644566090">
            <w:r>
              <w:rPr>
                <w:webHidden/>
                <w:rStyle w:val="IndexLink"/>
                <w:rtl w:val="true"/>
              </w:rPr>
              <w:t>خانه بر دامنه‌ی آتشفشان</w:t>
            </w:r>
            <w:r>
              <w:rPr>
                <w:rStyle w:val="IndexLink"/>
                <w:rtl w:val="true"/>
              </w:rPr>
              <w:tab/>
            </w:r>
            <w:r>
              <w:rPr>
                <w:rStyle w:val="IndexLink"/>
              </w:rPr>
              <w:t>36</w:t>
            </w:r>
          </w:hyperlink>
        </w:p>
        <w:p>
          <w:pPr>
            <w:pStyle w:val="Contents3"/>
            <w:tabs>
              <w:tab w:val="clear" w:pos="8459"/>
              <w:tab w:val="right" w:pos="9026" w:leader="dot"/>
            </w:tabs>
            <w:rPr/>
          </w:pPr>
          <w:hyperlink w:anchor="__RefHeading___Toc722651_3644566090">
            <w:r>
              <w:rPr>
                <w:webHidden/>
                <w:rStyle w:val="IndexLink"/>
                <w:rtl w:val="true"/>
              </w:rPr>
              <w:t>سیاه‌پوشی در سوگ ائمّه‌ی نور</w:t>
            </w:r>
            <w:r>
              <w:rPr>
                <w:rStyle w:val="IndexLink"/>
                <w:rtl w:val="true"/>
              </w:rPr>
              <w:tab/>
            </w:r>
            <w:r>
              <w:rPr>
                <w:rStyle w:val="IndexLink"/>
              </w:rPr>
              <w:t>38</w:t>
            </w:r>
          </w:hyperlink>
        </w:p>
        <w:p>
          <w:pPr>
            <w:pStyle w:val="Contents3"/>
            <w:tabs>
              <w:tab w:val="clear" w:pos="8459"/>
              <w:tab w:val="right" w:pos="9026" w:leader="dot"/>
            </w:tabs>
            <w:rPr/>
          </w:pPr>
          <w:hyperlink w:anchor="__RefHeading___Toc722653_3644566090">
            <w:r>
              <w:rPr>
                <w:webHidden/>
                <w:rStyle w:val="IndexLink"/>
                <w:rtl w:val="true"/>
              </w:rPr>
              <w:t>بوسه برخاک پی حیدر علیه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722655_3644566090">
            <w:r>
              <w:rPr>
                <w:webHidden/>
                <w:rStyle w:val="IndexLink"/>
                <w:rtl w:val="true"/>
              </w:rPr>
              <w:t>ذوق لطیف</w:t>
            </w:r>
            <w:r>
              <w:rPr>
                <w:rStyle w:val="IndexLink"/>
                <w:rtl w:val="true"/>
              </w:rPr>
              <w:tab/>
            </w:r>
            <w:r>
              <w:rPr>
                <w:rStyle w:val="IndexLink"/>
              </w:rPr>
              <w:t>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15_28413"/>
      <w:bookmarkStart w:id="1" w:name="pg4515_28413"/>
      <w:bookmarkEnd w:id="1"/>
    </w:p>
    <w:p>
      <w:pPr>
        <w:pStyle w:val="Heading2"/>
        <w:numPr>
          <w:ilvl w:val="1"/>
          <w:numId w:val="1"/>
        </w:numPr>
        <w:rPr/>
      </w:pPr>
      <w:bookmarkStart w:id="2" w:name="pg4515_28413"/>
      <w:bookmarkStart w:id="3" w:name="__RefHeading___Toc722631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پژوهشگر عرصه امامت و مهدویّت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پژوهشگر عرصه‌ی امامت و مهدویت، مدافع شعائر مذهبی، مورخ شهیر حجه‌الاسلام و المسلمین استاد علی ابوالحسنی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 اه با ز ندگی‌نامه‌ی ابوالحسنیبه قلم جمعی از شاگردان آن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نوشته‌ی سیدمحمود بحرالعلوم میردامادی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نظر مجمع مطالعات و تحقیقات مسائل جهانی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قلوب،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9967</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پژوهشگر عرصه‌ی امامت و مهدویت، مدافع شعائر مذهبی، مورخ شهیر حجه‌الاسلام و المسلمین استاد علی ابوالحسنی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ابوالحسنی، علی،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یادنامه‌ها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میردامادی، بحرالعلوم، </w:t>
      </w:r>
      <w:r>
        <w:rPr>
          <w:rFonts w:ascii="IRNazanin" w:hAnsi="IRNazanin" w:eastAsia="IRNazanin"/>
          <w:color w:val="111111"/>
          <w:sz w:val="28"/>
          <w:sz w:val="28"/>
          <w:szCs w:val="28"/>
          <w:lang w:bidi="fa-IR"/>
        </w:rPr>
        <w:t>۱۳۰۵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مطالعات و تحقیقات مسائل جهانی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۳۶۵۸۵۵۶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2633_36445660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فقیهی منذر</w:t>
      </w:r>
    </w:p>
    <w:p>
      <w:pPr>
        <w:pStyle w:val="BookText"/>
        <w:rPr/>
      </w:pPr>
      <w:r>
        <w:rPr>
          <w:rFonts w:ascii="IRNazanin" w:hAnsi="IRNazanin" w:eastAsia="IRNazanin"/>
          <w:color w:val="111111"/>
          <w:sz w:val="28"/>
          <w:sz w:val="28"/>
          <w:szCs w:val="28"/>
          <w:rtl w:val="true"/>
          <w:lang w:bidi="fa-IR"/>
        </w:rPr>
        <w:t>یادمان پژوهشگر عرصه‌ی امامت و مهدویّت،</w:t>
      </w:r>
    </w:p>
    <w:p>
      <w:pPr>
        <w:pStyle w:val="BookText"/>
        <w:rPr/>
      </w:pPr>
      <w:r>
        <w:rPr>
          <w:rFonts w:ascii="IRNazanin" w:hAnsi="IRNazanin" w:eastAsia="IRNazanin"/>
          <w:color w:val="111111"/>
          <w:sz w:val="28"/>
          <w:sz w:val="28"/>
          <w:szCs w:val="28"/>
          <w:rtl w:val="true"/>
          <w:lang w:bidi="fa-IR"/>
        </w:rPr>
        <w:t>مدافع شعائر مذهبی، مورّخ شهیر</w:t>
      </w:r>
    </w:p>
    <w:p>
      <w:pPr>
        <w:pStyle w:val="BookText"/>
        <w:rPr/>
      </w:pPr>
      <w:r>
        <w:rPr>
          <w:rFonts w:ascii="IRNazanin" w:hAnsi="IRNazanin" w:eastAsia="IRNazanin"/>
          <w:color w:val="111111"/>
          <w:sz w:val="28"/>
          <w:sz w:val="28"/>
          <w:szCs w:val="28"/>
          <w:rtl w:val="true"/>
          <w:lang w:bidi="fa-IR"/>
        </w:rPr>
        <w:t>حجة الاسلام و المسلمین استاد</w:t>
      </w:r>
    </w:p>
    <w:p>
      <w:pPr>
        <w:pStyle w:val="BookText"/>
        <w:rPr/>
      </w:pPr>
      <w:r>
        <w:rPr>
          <w:rFonts w:ascii="Amiri" w:hAnsi="Amiri" w:eastAsia="Amiri" w:cs="Amiri"/>
          <w:color w:val="111111"/>
          <w:sz w:val="28"/>
          <w:sz w:val="28"/>
          <w:szCs w:val="28"/>
          <w:rtl w:val="true"/>
          <w:lang w:bidi="ar-SA"/>
        </w:rPr>
        <w:t xml:space="preserve">علی ابوالحسنی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نوشته‌ی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سید محمود بحرالعلوم میردامادی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زندگی‌نامه‌ی استاد ابوالحسنی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قلم جمعی از شاگردان آن مرحوم </w:t>
      </w:r>
    </w:p>
    <w:p>
      <w:pPr>
        <w:pStyle w:val="BookText"/>
        <w:rPr/>
      </w:pPr>
      <w:r>
        <w:rPr>
          <w:rFonts w:ascii="IRNazanin" w:hAnsi="IRNazanin" w:eastAsia="IRNazanin"/>
          <w:color w:val="111111"/>
          <w:sz w:val="28"/>
          <w:sz w:val="28"/>
          <w:szCs w:val="28"/>
          <w:rtl w:val="true"/>
          <w:lang w:bidi="fa-IR"/>
        </w:rPr>
        <w:t>فقیهی منذر</w:t>
      </w:r>
    </w:p>
    <w:p>
      <w:pPr>
        <w:pStyle w:val="BookText"/>
        <w:rPr/>
      </w:pP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بحرالعلوم میردامادی</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مطالعات و تحقیقات مسائل جهانی مهدویّت</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قلوب</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گل‌وردی</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9967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و نشر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37705493</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32237352</w:t>
      </w:r>
      <w:r>
        <w:rPr>
          <w:rFonts w:eastAsia="IRNazanin" w:cs="IRNazanin"/>
          <w:color w:val="111111"/>
          <w:sz w:val="28"/>
          <w:szCs w:val="28"/>
          <w:rtl w:val="true"/>
          <w:lang w:bidi="fa-IR"/>
        </w:rPr>
        <w:t xml:space="preserve"> - </w:t>
      </w:r>
      <w:r>
        <w:rPr>
          <w:rFonts w:eastAsia="IRNazanin" w:cs="IRNazanin"/>
          <w:color w:val="111111"/>
          <w:sz w:val="28"/>
          <w:szCs w:val="28"/>
          <w:lang w:bidi="fa-IR"/>
        </w:rPr>
        <w:t>031</w:t>
      </w:r>
    </w:p>
    <w:p>
      <w:pPr>
        <w:pStyle w:val="BookText"/>
        <w:rPr/>
      </w:pPr>
      <w:r>
        <w:rPr>
          <w:rFonts w:ascii="IRNazanin" w:hAnsi="IRNazanin" w:eastAsia="IRNazanin"/>
          <w:color w:val="111111"/>
          <w:sz w:val="28"/>
          <w:sz w:val="28"/>
          <w:szCs w:val="28"/>
          <w:rtl w:val="true"/>
          <w:lang w:bidi="fa-IR"/>
        </w:rPr>
        <w:t>ارتباط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09127594117</w:t>
      </w:r>
    </w:p>
    <w:p>
      <w:pPr>
        <w:pStyle w:val="BookText"/>
        <w:rPr/>
      </w:pPr>
      <w:r>
        <w:rPr>
          <w:rFonts w:eastAsia="Times New Roman" w:cs="Times New Roman" w:ascii="Times New Roman" w:hAnsi="Times New Roman"/>
          <w:color w:val="111111"/>
          <w:sz w:val="28"/>
          <w:szCs w:val="28"/>
          <w:lang w:val="en-US" w:bidi="en-US"/>
        </w:rPr>
        <w:t>Mahdavi-Pblication.com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Info@Mahdavi-Pblication.com</w:t>
      </w:r>
      <w:r>
        <w:rPr>
          <w:rFonts w:eastAsia="Times New Roman" w:cs="Times New Roman" w:ascii="Times New Roman" w:hAnsi="Times New Roman"/>
          <w:color w:val="111111"/>
          <w:sz w:val="28"/>
          <w:szCs w:val="28"/>
          <w:rtl w:val="true"/>
          <w:lang w:val="en-US" w:bidi="en-US"/>
        </w:rPr>
        <w:t xml:space="preserve"> </w:t>
      </w:r>
      <w:bookmarkStart w:id="7" w:name="pg4515_28417"/>
    </w:p>
    <w:p>
      <w:pPr>
        <w:pStyle w:val="Heading2"/>
        <w:numPr>
          <w:ilvl w:val="1"/>
          <w:numId w:val="1"/>
        </w:numPr>
        <w:rPr/>
      </w:pPr>
      <w:bookmarkStart w:id="8" w:name="__RefHeading___Toc722635_364456609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یکی از آیات قرآن کریم که حتی در بین اهل دانش مهجور مانده است،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الْمُؤْمِنُونَ لِیَنْفِرُوا کَافَّةً 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آیه‌ی مذکور سخن از تفقّه دارد، ممکن است سؤال شود تفقّه در چه چیز مطلوب قرآن کریم است؟ </w:t>
      </w:r>
    </w:p>
    <w:p>
      <w:pPr>
        <w:pStyle w:val="BookText"/>
        <w:rPr/>
      </w:pPr>
      <w:r>
        <w:rPr>
          <w:rFonts w:ascii="IRNazanin" w:hAnsi="IRNazanin" w:eastAsia="IRNazanin"/>
          <w:color w:val="111111"/>
          <w:sz w:val="28"/>
          <w:sz w:val="28"/>
          <w:szCs w:val="28"/>
          <w:rtl w:val="true"/>
          <w:lang w:bidi="fa-IR"/>
        </w:rPr>
        <w:t>پاسخ را از خودِ قرآن می‌توانیم دریافت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ذیل آیه‌ی شریفه روایاتی از شیعه و عامه به ما رسیده است که همه ی ما مسئول از ولایت اهل البیت علیهم السلام هستیم،</w:t>
      </w:r>
      <w:r>
        <w:rPr>
          <w:rStyle w:val="FootnoteAnchor"/>
          <w:rtl w:val="true"/>
        </w:rPr>
        <w:footnoteReference w:id="4"/>
      </w:r>
      <w:r>
        <w:rPr>
          <w:rFonts w:ascii="IRNazanin" w:hAnsi="IRNazanin" w:eastAsia="IRNazanin"/>
          <w:color w:val="111111"/>
          <w:sz w:val="28"/>
          <w:sz w:val="28"/>
          <w:szCs w:val="28"/>
          <w:rtl w:val="true"/>
          <w:lang w:bidi="fa-IR"/>
        </w:rPr>
        <w:t>پس آنچه قبل از هر چیز دیگر، مورد سؤال الهی واقع می شود توجّه به امامت و ولایت پیامبر خدا و اهل بیت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انبیاء و پیامبران الهی نیز به این سؤال باید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مَنْ أَرْسَلْنا مِنْ قَبْلِکَ مِنْ رُسُلِنا أَ جَعَلْنا مِنْ دُونِ الرَّحْمنِ آلِهَةً یُعْبَدُونَ</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البرهان فی تفسیر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870</w:t>
      </w:r>
      <w:r>
        <w:rPr>
          <w:rFonts w:ascii="IRNazanin" w:hAnsi="IRNazanin" w:eastAsia="IRNazanin"/>
          <w:color w:val="111111"/>
          <w:sz w:val="28"/>
          <w:sz w:val="28"/>
          <w:szCs w:val="28"/>
          <w:rtl w:val="true"/>
          <w:lang w:bidi="fa-IR"/>
        </w:rPr>
        <w:t>، شواهد التنزیل،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برای پاسخ به سائل، پیرامون امامت و ولایت و دانشجوی امر مهدویّت هزار آیه دارد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پیامبر خدا که پیام بزرگیِ امامت و ولایت را برای بشریت آورده است، برای متفقّهین در این موضوع صدها و هزاران حدیث را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که مبیّن وصف ولیّ و شارح مقامات وصیّ به شمار می‌آید، با مکر یهود و مشرکین در امامت و ولایت، به دست فراموشی سپرده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أَشَدَّ النَّاسِ عَداوَةً لِلَّذینَ آمَنُوا الْیَهُودَ وَ الَّذینَ أَشْرَکُوا وَ لَتَجِدَنَّ أَقْرَبَهُمْ مَوَدَّةً لِلَّذینَ آمَنُوا الَّذینَ قالُوا إِنَّا نَصاری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ذلِکَ بِأَنَّ مِنْهُمْ قِسِّیسینَ وَ رُهْباناً وَ أَنَّهُمْ لا یَسْتَکْبِرُونَ</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منذری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می‌یابیم که اگر تفقّه در دین یعنی در ولایت معصومین علیهم السلام به خوبی انجام گیرد، نوبت به انذار جامعه می‌رسد و فقیه منذر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جامه‌ی بشریت به منذر محتاج است، ولی باید دانست که منذر با چه سرمایه‌ای می تواند انذار کند و خلق را به خاطر کوتاهی در امر امامت و مهدویّت و سستی در مودّت بترساند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منذر به قدر توان خود در آیات الولایة تفقّه نداشته باشد و در احادیث مهدویّت تدبّر نکرده باشد، چگونه می‌تواند به انذار قیام کند؟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جامعه به منذری نیاز دارد که با سرمایه‌ی تفقّه در مبانی معرفة الحجة به انذار برخیزد و ناصح بشریت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مربوط به عقائد، به ویژه امامت و مهدویّت است و ما در کتاب رسالة فی التفقّه و السؤال، به عنایت حق به این مهم پرداخته‌ایم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می‌دانند، فقه اصول دین مقدم بر فقه فروع دین است، بخصوص این زمان که ما به تهاجم، نه بلکه به هجمه‌ی دشمنان مبتلا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پروتکل‌ها و تصمیم‌گیری‌های یهود و عمّال آنها اوّلاً قصد</w:t>
      </w:r>
    </w:p>
    <w:p>
      <w:pPr>
        <w:pStyle w:val="BookText"/>
        <w:rPr/>
      </w:pPr>
      <w:r>
        <w:rPr>
          <w:rFonts w:ascii="IRNazanin" w:hAnsi="IRNazanin" w:eastAsia="IRNazanin"/>
          <w:color w:val="111111"/>
          <w:sz w:val="28"/>
          <w:sz w:val="28"/>
          <w:szCs w:val="28"/>
          <w:rtl w:val="true"/>
          <w:lang w:bidi="fa-IR"/>
        </w:rPr>
        <w:t>هدم خانه‌ی عقائد مؤمنین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اهل تغافل که تعلیم اصول فقه را بر اصول دین ترجیح می‌دهند و گاه کتاب عقائد و کلام را با هدف تحقیر، کتاب روضه‌خوانی معرفی می‌کنند، در مورد دشمنی اعداء استصحاب نمی‌نمایند؟ و حداقل به موازات استصحاب شناسی به استعمار شناسی نمی‌پردازند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قرآن کریم که مأخذ فقه ماست، در مورد </w:t>
      </w:r>
    </w:p>
    <w:p>
      <w:pPr>
        <w:pStyle w:val="BookText"/>
        <w:rPr/>
      </w:pPr>
      <w:r>
        <w:rPr>
          <w:rFonts w:ascii="IRNazanin" w:hAnsi="IRNazanin" w:eastAsia="IRNazanin"/>
          <w:color w:val="111111"/>
          <w:sz w:val="28"/>
          <w:sz w:val="28"/>
          <w:szCs w:val="28"/>
          <w:rtl w:val="true"/>
          <w:lang w:bidi="fa-IR"/>
        </w:rPr>
        <w:t>دشمنان دین و ولایت معصومین علیهم السلام آیه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دشمنان دین فقط در گذشته بوده‌اند، و امروز دین مبین به مکر و ستم اعداء مبتلا نمی‌باشد؟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متفقّه وقتی آیه‌ی شریفه‌ی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کَفَرُوا فَتَعْساً لَهُمْ وَ أَضَلَّ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را می‌خواند و پستی مخالفین ولایت معصومین علیهم السلام را می‌فهمد، می‌تواند با قدرت به انذار اقدام نماید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متفقّه می‌فهمد عقیده به توحید و نبوت در قبول امامت و ولایت نهفته است و با بیعت کردن با شاهد حقّانیّت پیامبر خدا صلی الله علیه و آله ، یعنی علی مرتضی علیه السلام می‌تواند به بزرگی ولایت و عظمت سنّت رسول الله صلی الله علیه و آله برسد، برای همین رادّ ولایت را مردود قرآن می‌شمارد و بر سر مخالف فریاد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می‌دانید ائمه‌ی اطهار علیهم السلام خاصّه امیرالمؤمنین علیه السلام شاهد حقّانیّت پیامبر خدا صلی الله علیه و آله هستند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عَلی بَیِّنَةٍ مِنْ رَبِّهِ وَ یَتْلُوهُ شاهِدٌ مِنْهُ وَ مِنْ قَبْلِهِ کِتابُ مُوسی إِماماً وَ رَحْمَةً أُولئِکَ یُؤْمِنُونَ بِهِ وَ مَنْ یَکْفُرْ بِهِ مِنَ الْأَحْزابِ فَالنَّارُ مَوْعِدُهُ فَلا تَکُ فی مِرْیَةٍ مِنْهُ إِنَّهُ الْحَقُّ مِنْ رَبِّکَ وَ لکِنَّ أَکْثَرَ النَّاسِ لا یُؤْمِنُونَ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شاهد، عالم به احوال و شئونات مشهود است، یعنی بالاترین درجه‌ی معرفة النبی صلی الله علیه و آله را ائمه‌ی اطهار علیهم السلام دارا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این مقدمه حدیث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 عَلِیٌّ بَابُهَا</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را طالب معرفت خوب درک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نبگشاد علم حیدر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ندهد سنّت پیمبر بر</w:t>
      </w:r>
    </w:p>
    <w:p>
      <w:pPr>
        <w:pStyle w:val="BookText"/>
        <w:rPr/>
      </w:pPr>
      <w:r>
        <w:rPr>
          <w:rFonts w:ascii="IRNazanin" w:hAnsi="IRNazanin" w:eastAsia="IRNazanin"/>
          <w:color w:val="111111"/>
          <w:sz w:val="28"/>
          <w:sz w:val="28"/>
          <w:szCs w:val="28"/>
          <w:rtl w:val="true"/>
          <w:lang w:bidi="fa-IR"/>
        </w:rPr>
        <w:t>یعنی امیرالمؤمنین علیه السلام آینه‌ی پیامبر صلی الله علیه و آله است و این در حالی است که پیامبر خدا صلی الله علیه و آله نیز آینه‌ی علی نما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متفقّه با نگاه به آیه‌ی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الَّذینَ کَفَرُوا لَسْتَ مُرْسَلاً قُلْ کَفی بِاللَّهِ شَهیداً بَیْنی وَ بَیْنَکُمْ وَ مَنْ عِنْدَهُ عِلْمُ الْکِتابِ</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نسبت به حقّانیّت پیامبر خدا صلی الله علیه و آله همتای گواهی خدا می‌یابد و از اینجا اضافه بر حقّانیّت مشهود، به حقّانیّت شاهد پی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همه‌ی لوازم معرفت‌یابی برای طالب فقاهت مهیّا است و کلاس فقه امامت و مهدویّت در قرآن و روایات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کم‌اند کسانی که اولاً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بفهمند و سپس به مدلول اولیّ آن عمل نمایند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مدلول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قبل از کتاب الطهاره‌ی فروع، به کتاب الطهاره‌ی عقائد یعنی امامت و مهدویّت باید پرداخت، به طوریکه در علم امام مثلاً تردیدی برای فقیه پیش نیاید و یا فقیه با شبه استدلال استصحاب، به ردّ آگاهی امام اقدام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طالب علم با تفقّه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واعیه</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روایات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تَسْمَعُ مَا أَسْمَعُ وَ تَرَی مَا أَرَی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 xml:space="preserve">و ده‌ها دلیل دیگر به مرحله‌ی معرفتی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لایُقاس</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می‌رسد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عظیم</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و مصباح هدایت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لایعلمون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قیاس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مِنِّی وَ أَنَا مِنْ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که به قول مناوی</w:t>
      </w:r>
      <w:r>
        <w:rPr>
          <w:rStyle w:val="FootnoteAnchor"/>
          <w:rtl w:val="true"/>
        </w:rPr>
        <w:footnoteReference w:id="19"/>
      </w:r>
      <w:r>
        <w:rPr>
          <w:rFonts w:ascii="IRNazanin" w:hAnsi="IRNazanin" w:eastAsia="IRNazanin"/>
          <w:color w:val="111111"/>
          <w:sz w:val="28"/>
          <w:sz w:val="28"/>
          <w:szCs w:val="28"/>
          <w:rtl w:val="true"/>
          <w:lang w:bidi="fa-IR"/>
        </w:rPr>
        <w:t>،مبالغه در شدت اتصال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هو متّصل بی، و أنا متّصل به فی الاختصاص و المحبّة و </w:t>
      </w:r>
    </w:p>
    <w:p>
      <w:pPr>
        <w:pStyle w:val="BookText"/>
        <w:rPr/>
      </w:pPr>
      <w:r>
        <w:rPr>
          <w:rFonts w:ascii="Amiri" w:hAnsi="Amiri" w:eastAsia="Amiri" w:cs="Amiri"/>
          <w:color w:val="111111"/>
          <w:sz w:val="28"/>
          <w:sz w:val="28"/>
          <w:szCs w:val="28"/>
          <w:rtl w:val="true"/>
          <w:lang w:bidi="ar-SA"/>
        </w:rPr>
        <w:t>غیرهما، و من هذه تسمی اتصالیّة، و فقه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فَالَّذینَ آمَنُوا بِهِ وَ عَزَّرُوهُ وَ نَصَرُوهُ وَ اتَّبَعُوا النُّورَ الَّذی أُنْزِلَ مَعَهُ أُولئِکَ هُمُ الْمُفْلِحُونَ</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أْتُوا الْبُیُوتَ مِنْ أَبْوابِها</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با عنایت حق فقیهی پرورش می‌دهد که می‌تواند خلق خدا را از شبکه‌های ابلیسی و احزاب شیطانی نجات دهد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اینها مقدمه‌ی عمل به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w:t>
      </w:r>
      <w:r>
        <w:rPr>
          <w:rStyle w:val="FootnoteAnchor"/>
          <w:rtl w:val="true"/>
        </w:rPr>
        <w:footnoteReference w:id="22"/>
      </w:r>
      <w:r>
        <w:rPr>
          <w:rFonts w:ascii="Amiri" w:hAnsi="Amiri" w:eastAsia="Amiri" w:cs="Amiri"/>
          <w:color w:val="111111"/>
          <w:sz w:val="28"/>
          <w:sz w:val="28"/>
          <w:szCs w:val="28"/>
          <w:rtl w:val="true"/>
          <w:lang w:bidi="ar-SA"/>
        </w:rPr>
        <w:t xml:space="preserve">است، سربازِ آماده‌ی قیام و مهیّای مبارزه، آن سربازی است که به آیه‌ی شریفه‌ی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xml:space="preserve">به خصوص در بُعد آمادگی اعتقادی توجّه کامل نموده، مدال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نَاصِرُنَا </w:t>
      </w:r>
    </w:p>
    <w:p>
      <w:pPr>
        <w:pStyle w:val="BookText"/>
        <w:rPr/>
      </w:pPr>
      <w:r>
        <w:rPr>
          <w:rFonts w:ascii="Amiri" w:hAnsi="Amiri" w:eastAsia="Amiri" w:cs="Amiri"/>
          <w:color w:val="111111"/>
          <w:sz w:val="28"/>
          <w:sz w:val="28"/>
          <w:szCs w:val="28"/>
          <w:rtl w:val="true"/>
          <w:lang w:bidi="ar-SA"/>
        </w:rPr>
        <w:t>بِقَلْبِهِ وَ لِسَانِهِ وَ یَدِهِ</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را از آنِ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فرمانده‌ی سربازان آماده است، اوست که مردم را به موازین قسط آشنا می‌کند و میزان انسانیت، عدالت، شرف و سیادت را برای آنها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محبوس است، محبوس چه چیز؟ محبوس خدمت، اتصال روحی و ملازمت با جان هستی و مودّت مبلغین حق پرستی، او را به حبل ولایت پیوند داده و وقف نموده است و این حبس نفس و وقف جسم و جان، برای جان جانان گشایش روحی و فرج معنوی را برای فقیه در بر 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صدر و نورانیّت، مخصوص فقهائی است که برای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خود را وقف یار و ولیّ پروردگار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فقیه است که می‌تواند قبل از دیگران به امیر کاروان و امام انس و جان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نُصْرَتِی مُعَدَّةٌ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آماده، که احیای امر کند و موازین انسانیت و عدالت را برای انسانها بازگو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برادرمان فقیه واقف، محیی امر ولایت و مهدویّت، روضه‌خوان سیاه‌پوشی، مرحوم استاد علی ابوالحسنی منذر، آنکه بوسه بر خاک پِی حیدر را به دانشگاهیان یاد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عبداً حَبَس نَفسَه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حوزویان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بود آنگاه که او را بر فراز منبری از نور دیدم و ملهم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شِیعَتُکَ عَلَی مَنَابِرَ مِنْ نُورٍ مُبْیَضَّةً وُجُوهُهُمْ حَوْلِی فِی الْجَنَّةِ وَ هُمْ جِیرَانِی</w:t>
      </w:r>
      <w:r>
        <w:rPr>
          <w:rFonts w:eastAsia="IRNazanin" w:cs="IRNazanin"/>
          <w:color w:val="111111"/>
          <w:sz w:val="28"/>
          <w:szCs w:val="28"/>
          <w:rtl w:val="true"/>
          <w:lang w:bidi="fa-IR"/>
        </w:rPr>
        <w:t>.»</w:t>
      </w:r>
      <w:r>
        <w:rPr>
          <w:rStyle w:val="FootnoteAnchor"/>
          <w:rtl w:val="true"/>
        </w:rPr>
        <w:footnoteReference w:id="2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او که منذر بود، به جهاد فکری و فرهنگی پرداخت و با تفقّه در پیشگاه فقهای بزرگ انذار خلق و مبارزه‌ی با خطوط انحرافی را سرلوحه‌ی کار خود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حرم امیرالمؤمنین علیه السلام یادش کردم و بر وظیفه‌شناسی‌اش حسرت خوردم و امروز به کار و تلاش تربیت یافته‌گان او در عرصه‌ی امامت و مهدویّت، مبارزه با انحرافات و خطوط شیطانی چشم دوخته‌ایم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علیه و رحمة الله و برکاته</w:t>
      </w:r>
    </w:p>
    <w:p>
      <w:pPr>
        <w:pStyle w:val="BookText"/>
        <w:rPr/>
      </w:pPr>
      <w:r>
        <w:rPr>
          <w:rFonts w:ascii="IRNazanin" w:hAnsi="IRNazanin" w:eastAsia="IRNazanin"/>
          <w:color w:val="111111"/>
          <w:sz w:val="28"/>
          <w:sz w:val="28"/>
          <w:szCs w:val="28"/>
          <w:rtl w:val="true"/>
          <w:lang w:bidi="fa-IR"/>
        </w:rPr>
        <w:t xml:space="preserve">دهه‌ی مهدویه‌ی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محمود بحرالعلوم میردامادی </w:t>
      </w:r>
      <w:bookmarkStart w:id="10" w:name="pg4515_28431"/>
    </w:p>
    <w:p>
      <w:pPr>
        <w:pStyle w:val="Heading2"/>
        <w:numPr>
          <w:ilvl w:val="1"/>
          <w:numId w:val="1"/>
        </w:numPr>
        <w:rPr/>
      </w:pPr>
      <w:bookmarkStart w:id="11" w:name="__RefHeading___Toc722637_3644566090"/>
      <w:bookmarkStart w:id="12" w:name="_Toc4"/>
      <w:bookmarkEnd w:id="10"/>
      <w:bookmarkEnd w:id="11"/>
      <w:r>
        <w:rPr>
          <w:rtl w:val="true"/>
        </w:rPr>
        <w:t>زندگینامه</w:t>
      </w:r>
      <w:bookmarkEnd w:id="12"/>
    </w:p>
    <w:p>
      <w:pPr>
        <w:pStyle w:val="Heading3"/>
        <w:numPr>
          <w:ilvl w:val="2"/>
          <w:numId w:val="1"/>
        </w:numPr>
        <w:rPr/>
      </w:pPr>
      <w:bookmarkStart w:id="13" w:name="__RefHeading___Toc722639_364456609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نخستین ساعات بامداد روز پنجشنبه </w:t>
      </w:r>
      <w:r>
        <w:rPr>
          <w:rFonts w:eastAsia="IRNazanin" w:cs="IRNazanin"/>
          <w:color w:val="111111"/>
          <w:sz w:val="28"/>
          <w:szCs w:val="28"/>
          <w:lang w:bidi="fa-IR"/>
        </w:rPr>
        <w:t>4/12/90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اطلاعیه‌ای به سرعت روی خروجی سایت‌ها و وبلاگ‌ها قرار گرفت که محققان، مورخان و دوستداران علم وفرهنگ ایران اسلامی را سخت متحیر و اندوهناک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اطلاعیه مربوط به خانواده‌ی حجة الاسلام والمسلمین استاد علی ابوالحسنی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شرح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انا لله و انا الیه راجعون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 العلماء افضل من دماء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بودی و، آیینه و آب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 بود و شبهای مهتاب بود</w:t>
      </w:r>
    </w:p>
    <w:p>
      <w:pPr>
        <w:pStyle w:val="BookText"/>
        <w:rPr/>
      </w:pPr>
      <w:r>
        <w:rPr>
          <w:rFonts w:ascii="IRNazanin" w:hAnsi="IRNazanin" w:eastAsia="IRNazanin"/>
          <w:color w:val="111111"/>
          <w:sz w:val="28"/>
          <w:sz w:val="28"/>
          <w:szCs w:val="28"/>
          <w:rtl w:val="true"/>
          <w:lang w:bidi="fa-IR"/>
        </w:rPr>
        <w:t>تو رفتی، دل از داغ لبریزشد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غزل‌های باران غم انگیز شد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 صادق اهل بیت عصمت و طهارت علیهم السلام و </w:t>
      </w:r>
    </w:p>
    <w:p>
      <w:pPr>
        <w:pStyle w:val="BookText"/>
        <w:rPr/>
      </w:pPr>
      <w:r>
        <w:rPr>
          <w:rFonts w:ascii="IRNazanin" w:hAnsi="IRNazanin" w:eastAsia="IRNazanin"/>
          <w:color w:val="111111"/>
          <w:sz w:val="28"/>
          <w:sz w:val="28"/>
          <w:szCs w:val="28"/>
          <w:rtl w:val="true"/>
          <w:lang w:bidi="fa-IR"/>
        </w:rPr>
        <w:t xml:space="preserve">مروج مذهب حقه‌ی تشیع، پژوهشگر ژرف اندیش، محقق سخت کوش، مورّخ پیشکسوت، نویسنده‌ی توانا، مدافع غیور حریم ولایت، افشاگر توطئه‌های رنگارنگ استعمار و ایادی داخلی و خارجی آن، عالم عامل، خادم الحجّة علیه السلام ،حجة الاسلام و المسلمین استاد علی ابوالحسنی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عمری خدمت بی شائبه، دعوت حق را لبیک گفت و به ملکوت اعلی پیوست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ملیک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و آرام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ابوالحسنی که بود که مراجع در فقدانش گریستند و بزرگان اندیشه، فرهنگ و تاریخ ایران به سوگ او نشستند؟</w:t>
      </w:r>
    </w:p>
    <w:p>
      <w:pPr>
        <w:pStyle w:val="BookText"/>
        <w:rPr/>
      </w:pPr>
      <w:r>
        <w:rPr>
          <w:rFonts w:ascii="IRNazanin" w:hAnsi="IRNazanin" w:eastAsia="IRNazanin"/>
          <w:color w:val="111111"/>
          <w:sz w:val="28"/>
          <w:sz w:val="28"/>
          <w:szCs w:val="28"/>
          <w:rtl w:val="true"/>
          <w:lang w:bidi="fa-IR"/>
        </w:rPr>
        <w:t>این وجیزه می‌کوشد در حد بضاعت اندک خویش، گوشه ای از زندگی و اندیشه‌های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متعالی آن بزرگمرد را به تصویر کشد</w:t>
      </w:r>
      <w:r>
        <w:rPr>
          <w:rFonts w:eastAsia="IRNazanin" w:cs="IRNazanin"/>
          <w:color w:val="111111"/>
          <w:sz w:val="28"/>
          <w:szCs w:val="28"/>
          <w:rtl w:val="true"/>
          <w:lang w:bidi="fa-IR"/>
        </w:rPr>
        <w:t xml:space="preserve">. </w:t>
      </w:r>
      <w:bookmarkStart w:id="15" w:name="pg4515_28433"/>
    </w:p>
    <w:p>
      <w:pPr>
        <w:pStyle w:val="Heading3"/>
        <w:numPr>
          <w:ilvl w:val="2"/>
          <w:numId w:val="1"/>
        </w:numPr>
        <w:rPr/>
      </w:pPr>
      <w:bookmarkStart w:id="16" w:name="__RefHeading___Toc722641_3644566090"/>
      <w:bookmarkStart w:id="17" w:name="_Toc6"/>
      <w:bookmarkEnd w:id="15"/>
      <w:bookmarkEnd w:id="16"/>
      <w:r>
        <w:rPr>
          <w:rtl w:val="true"/>
        </w:rPr>
        <w:t>ولادت</w:t>
      </w:r>
      <w:bookmarkEnd w:id="17"/>
    </w:p>
    <w:p>
      <w:pPr>
        <w:pStyle w:val="BookText"/>
        <w:rPr/>
      </w:pPr>
      <w:r>
        <w:rPr>
          <w:rFonts w:ascii="IRNazanin" w:hAnsi="IRNazanin" w:eastAsia="IRNazanin"/>
          <w:color w:val="111111"/>
          <w:sz w:val="28"/>
          <w:sz w:val="28"/>
          <w:szCs w:val="28"/>
          <w:rtl w:val="true"/>
          <w:lang w:bidi="fa-IR"/>
        </w:rPr>
        <w:t xml:space="preserve">استادعلی ابوالحسنی مشهور 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سالروز ولادت مولی الموحدین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یک خانواده‌ی روحانی در تهران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مرحوم حجة الاسلام حاج شیخ محمد ابوالحسنی از روحانیان وارسته و خدوم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اخذ دیپلم وارد دانشگاه علم و صنعت تهران شد، ولی از آنجا که دل در گرو تحصیلات حوزوی داشت، به حوزه‌ی علمیه‌ی قم رفت و در محضر استادان بنامی، همچون حضرات آیات و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افغانی وموسوی گرگانی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اعتمادی، راستی کاشانی، دوزدوزانی،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طاهر شمس گلپایگانی، موسوی تهرانی و سیدعلی محقق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ستوده و پایانی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خزعلی و شب زنده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8" w:name="pg4515_28434"/>
    </w:p>
    <w:p>
      <w:pPr>
        <w:pStyle w:val="BookText"/>
        <w:rPr/>
      </w:pPr>
      <w:bookmarkEnd w:id="18"/>
      <w:r>
        <w:rPr>
          <w:rFonts w:ascii="IRNazanin" w:hAnsi="IRNazanin" w:eastAsia="IRNazanin"/>
          <w:color w:val="111111"/>
          <w:sz w:val="28"/>
          <w:sz w:val="28"/>
          <w:szCs w:val="28"/>
          <w:rtl w:val="true"/>
          <w:lang w:bidi="fa-IR"/>
        </w:rPr>
        <w:t xml:space="preserve">حسین مظاهری و جواد کربلایی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جواد تبریزی و وحید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در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از برخی اساتید به صورت غیر رسمی، بهره وافر برد، که از آن جمله می‌توان به آیت الله شیخ حسین لنکرانی در تاریخ، سیاست، تفسیر و ادبیات، سید محمد کاظم قزوینی در معارف اسلامی و ولایت، دکتر سید احمد فردید و دکتر رضا داوری اردکانی در غرب شناسی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ابوالحسنی مدرک سطح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اخذ نمود</w:t>
      </w:r>
      <w:r>
        <w:rPr>
          <w:rFonts w:eastAsia="IRNazanin" w:cs="IRNazanin"/>
          <w:color w:val="111111"/>
          <w:sz w:val="28"/>
          <w:szCs w:val="28"/>
          <w:rtl w:val="true"/>
          <w:lang w:bidi="fa-IR"/>
        </w:rPr>
        <w:t>.</w:t>
      </w:r>
    </w:p>
    <w:p>
      <w:pPr>
        <w:pStyle w:val="Heading3"/>
        <w:numPr>
          <w:ilvl w:val="2"/>
          <w:numId w:val="1"/>
        </w:numPr>
        <w:rPr/>
      </w:pPr>
      <w:bookmarkStart w:id="19" w:name="__RefHeading___Toc722643_3644566090"/>
      <w:bookmarkStart w:id="20" w:name="_Toc7"/>
      <w:bookmarkEnd w:id="19"/>
      <w:r>
        <w:rPr>
          <w:rtl w:val="true"/>
        </w:rPr>
        <w:t>سلطنت علم</w:t>
      </w:r>
      <w:bookmarkEnd w:id="2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منذر از ابتدای جوانی به نگارش و تألیف کتاب پرداخت و با توجه به شرایط قبل از انقلاب، همچون یک دیده بان بیدار به رصد شرایط فرهنگی کشور پرداخت و بر آن مبنا، تکاپوی علمی و قلمی خویش را برگسترش فرهنگ اسلامی متمرکز </w:t>
      </w:r>
    </w:p>
    <w:p>
      <w:pPr>
        <w:pStyle w:val="BookText"/>
        <w:rPr/>
      </w:pPr>
      <w:r>
        <w:rPr>
          <w:rFonts w:ascii="IRNazanin" w:hAnsi="IRNazanin" w:eastAsia="IRNazanin"/>
          <w:color w:val="111111"/>
          <w:sz w:val="28"/>
          <w:sz w:val="28"/>
          <w:szCs w:val="28"/>
          <w:rtl w:val="true"/>
          <w:lang w:bidi="fa-IR"/>
        </w:rPr>
        <w:t>ساخت که آثاری همچون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ضرورت جاویدان تکامل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قرآنی و روائی توکل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بازکاوی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پاییز</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گذرگاه تجهیز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ضمیمه‌ی راه‌ها و بیراهه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پاییز</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روانه‌ی بازار نشر ساخت که در آن روزگار</w:t>
      </w:r>
    </w:p>
    <w:p>
      <w:pPr>
        <w:pStyle w:val="BookText"/>
        <w:rPr/>
      </w:pPr>
      <w:r>
        <w:rPr>
          <w:rFonts w:ascii="IRNazanin" w:hAnsi="IRNazanin" w:eastAsia="IRNazanin"/>
          <w:color w:val="111111"/>
          <w:sz w:val="28"/>
          <w:sz w:val="28"/>
          <w:szCs w:val="28"/>
          <w:rtl w:val="true"/>
          <w:lang w:bidi="fa-IR"/>
        </w:rPr>
        <w:t>تأثیر بسزایی در آگاهی بخشی گروه های مختلف مردم به ویژه نسل جوان در مسیر تحقق انقلاب اسلامی ایفا نمود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اسلامی نیز ایشان، فعالیت های قلمی خود را در عرصه‌های مختلف تداوم و توسعه بخشید و نشان داد که در تحقیق و پژوهش صاحب سبک است و نگاهی دقیق و منحصر به فرد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فقید، در جریان بررسی دقیق تاریخ مشروطه به اوج مظلومیت و فداکاری آیت الله شهید حاج شیخ فضل الله نوری پی برد و در خلال مکتوبات و اسناد تاریخی با سوز اسلام خواهی و استقلال طلبیِ آن فقیه مجاهد بیشتر آشنا شد و بر این نکته وقوف یافت که مشروطه نگاران فراماسون و فراماسون مآب به حذف فیزیکی رهبر نهضت</w:t>
      </w:r>
    </w:p>
    <w:p>
      <w:pPr>
        <w:pStyle w:val="BookText"/>
        <w:rPr/>
      </w:pPr>
      <w:r>
        <w:rPr>
          <w:rFonts w:ascii="IRNazanin" w:hAnsi="IRNazanin" w:eastAsia="IRNazanin"/>
          <w:color w:val="111111"/>
          <w:sz w:val="28"/>
          <w:sz w:val="28"/>
          <w:szCs w:val="28"/>
          <w:rtl w:val="true"/>
          <w:lang w:bidi="fa-IR"/>
        </w:rPr>
        <w:t>عدالتخانه بسنده نکرده و با غیراخلاقی ترین روشها اعم از دروغگویی، شایعه پردازی، تهمت پراکنی‌های بی اساس وناروا به تحریف گسترده‌ی شخصیت آن شهید دست یازیده‌اند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برای زدودن غبار از چهره‌ی تابناک آن روحانی مظلوم، دست به کاری عظیم زد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 شکافی چند شایعه در بارۀ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تاریخ نگاری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کوشیده با تحریف واقعیت‌ها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کارنامه‌ی شیخ فضل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دگرگون و مشوّه نشان دهد، حال آنکه </w:t>
      </w:r>
    </w:p>
    <w:p>
      <w:pPr>
        <w:pStyle w:val="BookText"/>
        <w:rPr/>
      </w:pPr>
      <w:r>
        <w:rPr>
          <w:rFonts w:ascii="IRNazanin" w:hAnsi="IRNazanin" w:eastAsia="IRNazanin"/>
          <w:color w:val="111111"/>
          <w:sz w:val="28"/>
          <w:sz w:val="28"/>
          <w:szCs w:val="28"/>
          <w:rtl w:val="true"/>
          <w:lang w:bidi="fa-IR"/>
        </w:rPr>
        <w:t xml:space="preserve">این روحانی اسلام خواه و شریعت پوی، با برگ آخر حیات پربار خویش، در عمل نشان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اندیشه‌ی سبز و زندگی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بان بیدار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بر دامنه‌ی آتشفشان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کرده و در عصر سیزده رجب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آواز 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زیبای آزادی خواهی و عدالت طلبی‌اش در میدان توپخانه‌ی تهران طنین انداز می‌شود و در دالان هزار توی تاریخ به گوش همه‌ی آزادگان جهان در هر عصر و مصر خواهد رسید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منذر بر آن بود که زمانه، اندیشه و کارنامه‌ی شیخ شهید، نمایانگر عمق تفکّر مشروعه خواهی ایرانی در تقابل با مشروطه خواهیِ وارداتی است و با بررسی شایعات و پرسشهایی که پیرامون شیخ مطرح شده ، می‌توان به عمق تحریف نگاری مکتب تاریخ نگاری مشروطه پی برد و دست آنان را رو کرد، به عبارت دیگر، شیخ فضل الله نوری برای منذر، حکم یک نماد را داشت که با بررسی جامع و کامل ابعاد مختلف زندگی او و موافقان و مخالفانش </w:t>
      </w:r>
    </w:p>
    <w:p>
      <w:pPr>
        <w:pStyle w:val="BookText"/>
        <w:rPr/>
      </w:pPr>
      <w:r>
        <w:rPr>
          <w:rFonts w:ascii="IRNazanin" w:hAnsi="IRNazanin" w:eastAsia="IRNazanin"/>
          <w:color w:val="111111"/>
          <w:sz w:val="28"/>
          <w:sz w:val="28"/>
          <w:szCs w:val="28"/>
          <w:rtl w:val="true"/>
          <w:lang w:bidi="fa-IR"/>
        </w:rPr>
        <w:t>می‌توان به شناخت دقیق و همه جانبه‌ای از مشروطه دست یافت، به همین دلیل او کتابهایی پیرامون سه تن از همفکران شیخ یعنی حضرات آیات عظام سید محمدکاظم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آخوند ملاقربانعلی زنجانی و حاج سید میر احمد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مرحوم آیت الله سید محمد طباطبایی، از رهبران جنبش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 و نیز یک کتاب پیرامون شیخ ابراهیم زنجانی، از مخالفان سرسخت شیخ شهید و دادستان بیدادگاهی که حکم به اعدام او داد، به رشته‌ی تحریر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همچنین تألیف دوره‌ای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پیرامون ابعاد مختلف شخصیت شیخ فضل الله نوری را وجهه‌ی همّت خویش قرار داده بود که چند جلد آن با عناوین زیر، انتشار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آواز 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بازکاوی شخصیت و عملکرد شیخ فضل الله نوری بر، اساس آخرین برگ زندگی او و فرجام مشروطه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فضل الله نوری و مکتب تاریخ نگاری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سال حوزه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اندیشه‌ی سبز، زندگی سرخ، زمان و زندگی شیخ فضل الله نوری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بر دامنه‌ی آتشفشان، شهادت نامه‌ی شیخ فضل الله نوری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بان بیدار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دیدگاهها ومواضع سیاسی و فرهنگی شیخ فضل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کارنامه‌ی شیخ فضل الله نوری ، پرسش‌ها و پاسخ 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کالبد شکافی چند شایعه درباره‌ی شیخ فضل الله نوری، فروش مدرسه‌ی چال به بانک استقراضی ، رشوه گیری از شاه و امین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خلاصه‌ی کتاب آینه دار طلعت یار به قلم ایشان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هند بر شاخسار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بنیاد اندیشه‌ی اسلامی به زبان اردو ترجمه و در شبه قاره‌ی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 منتشر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استاد ابوالحسنی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زیر در دست چاپ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بوسه بر خاک پی حیدر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ویراست جدید</w:t>
      </w:r>
    </w:p>
    <w:p>
      <w:pPr>
        <w:pStyle w:val="BookText"/>
        <w:rPr/>
      </w:pPr>
      <w:r>
        <w:rPr>
          <w:rFonts w:ascii="IRNazanin" w:hAnsi="IRNazanin" w:eastAsia="IRNazanin"/>
          <w:color w:val="111111"/>
          <w:sz w:val="28"/>
          <w:sz w:val="28"/>
          <w:szCs w:val="28"/>
          <w:rtl w:val="true"/>
          <w:lang w:bidi="fa-IR"/>
        </w:rPr>
        <w:t>یک اثر جامع پیرامون شهید شیخ فضل الله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ذوق لطیف ایرانی در سه جلد</w:t>
      </w:r>
    </w:p>
    <w:p>
      <w:pPr>
        <w:pStyle w:val="BookText"/>
        <w:rPr/>
      </w:pPr>
      <w:r>
        <w:rPr>
          <w:rFonts w:ascii="IRNazanin" w:hAnsi="IRNazanin" w:eastAsia="IRNazanin"/>
          <w:color w:val="111111"/>
          <w:sz w:val="28"/>
          <w:sz w:val="28"/>
          <w:szCs w:val="28"/>
          <w:rtl w:val="true"/>
          <w:lang w:bidi="fa-IR"/>
        </w:rPr>
        <w:t xml:space="preserve">نیز به زودی مجموعه‌ی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استاد توسط کانون اندیشه جوان منتشر خواهد 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استاد فرهیخته درعرصه‌ی مطبوعات نیز حضور چشمگیر و مؤثری داشت، از جمله در ابتدای انقلاب اسلامی سه شماره‌ی نشریه‌ی مذهبی سیاسی کوثر را منتشر ساخت، همچنین مقالات بسیاری در مطبوعات از جمله در فصلنامه‌ی تخصصی کلام اسلامی،فصلنامه ی تاریخ معاصر ایران، ماهنامه‌ی زمانه، فصل نامه‌ی کتاب نقد و ویژه نامه‌ی ایام و </w:t>
      </w:r>
      <w:bookmarkStart w:id="21" w:name="pg4515_28441"/>
    </w:p>
    <w:p>
      <w:pPr>
        <w:pStyle w:val="BookText"/>
        <w:rPr/>
      </w:pPr>
      <w:bookmarkEnd w:id="21"/>
      <w:r>
        <w:rPr>
          <w:rFonts w:ascii="IRNazanin" w:hAnsi="IRNazanin" w:eastAsia="IRNazanin"/>
          <w:color w:val="111111"/>
          <w:sz w:val="28"/>
          <w:sz w:val="28"/>
          <w:szCs w:val="28"/>
          <w:rtl w:val="true"/>
          <w:lang w:bidi="fa-IR"/>
        </w:rPr>
        <w:t xml:space="preserve">صفحه‌ی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روزنامه‌های جام جم و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دیگر از تکاپوی علمی ایشان در مطبوعات را به نمایش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نظارت علمی بر صفحات روزانه‌ی مشروطه در روزنامه‌ی جام جم در مردادماه سال</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یکصدمین سالگرد شمسی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وهمچنین نظارت علمی بر نخستین کتاب ضمیمه‌ی ماهنامه‌ی زمانه پیرامون آخوند خراسانی، که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و قال‌ها پیرامون آخوند خراسانی و دیدگاه‌هایش، تبیین بی تعصب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 را عهده دار بود</w:t>
      </w:r>
      <w:r>
        <w:rPr>
          <w:rFonts w:eastAsia="IRNazanin" w:cs="IRNazanin"/>
          <w:color w:val="111111"/>
          <w:sz w:val="28"/>
          <w:szCs w:val="28"/>
          <w:rtl w:val="true"/>
          <w:lang w:bidi="fa-IR"/>
        </w:rPr>
        <w:t>.</w:t>
      </w:r>
    </w:p>
    <w:p>
      <w:pPr>
        <w:pStyle w:val="Heading3"/>
        <w:numPr>
          <w:ilvl w:val="2"/>
          <w:numId w:val="1"/>
        </w:numPr>
        <w:rPr/>
      </w:pPr>
      <w:bookmarkStart w:id="22" w:name="__RefHeading___Toc722645_3644566090"/>
      <w:bookmarkStart w:id="23" w:name="_Toc8"/>
      <w:bookmarkEnd w:id="22"/>
      <w:r>
        <w:rPr>
          <w:rtl w:val="true"/>
        </w:rPr>
        <w:t>دولت فقر</w:t>
      </w:r>
      <w:bookmarkEnd w:id="2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ژرف اندیشی، جریان شناسی، سخت کوشی، دقت نظر،انصاف علمی، وسعت تتبع، کثرت مستندات، قوت استدلال، قلم جذاب و رعایت ادب در مقابل مدعیان، از خصوصیات بارز ایشان بود که در آثارشان، جای‌جای مشاهده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استادی که تحقیقات متعدد، گسترده و عمیقی را به حقیقت‌جویان منصف تقدیم نمود و در حیات معنوی‌اش 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المعونه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 در زندگی شخصی‌اش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 و وارستگی و زهد پیشه ساخته بود و هیچگاه زیّ طلبگی را فراموش و رها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محمد رضا سنگری، عاشورا پژوه و نویسنده‌ی نام آشنا، که اخیراً ساعتی را درمحضر آن بزرگمرد گذرانده بود، این گونه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پیش توفیق شد،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ایشان را درمنزلشان زیارت کردم، آخرین کتابش، سیاه پوشی در سوگ ائمه‌ی نور، را به من داد که بیش از سیصد و چند جلد کتاب را دیده بود تا این کتاب را نوشت، منزل مرحوم منذر خیلی زاهدانه بود و خیلی تأسّف خوردم، وقتی از منزل آمدم بیرون، نتواستم اشک نریزم، خانه‌ی ساده‌ی </w:t>
      </w:r>
    </w:p>
    <w:p>
      <w:pPr>
        <w:pStyle w:val="BookText"/>
        <w:rPr/>
      </w:pPr>
      <w:r>
        <w:rPr>
          <w:rFonts w:ascii="IRNazanin" w:hAnsi="IRNazanin" w:eastAsia="IRNazanin"/>
          <w:color w:val="111111"/>
          <w:sz w:val="28"/>
          <w:sz w:val="28"/>
          <w:szCs w:val="28"/>
          <w:rtl w:val="true"/>
          <w:lang w:bidi="fa-IR"/>
        </w:rPr>
        <w:t>ایشان که در طبقه‌ی چهارم آپارتمانی بود و در اتاقی نشسته بود و کتاب هایی که داشت مطالعه می‌کرد، اطرافش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قلم استاد به دلیل قوّت استدلال، وسعت تتّبع، گستره‌ی مستندات، اتقان مطالب، نثر شیوا و فاخر چنان تأثیرگذار بود، که حجة الاسلام والمسلمین زمانی قمشه‌ای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فضلای قم و محققان موسسه‌ی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قصیده‌ای سروده که با ابیات زیر،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مُنذِر در نوشتن خامه ای سحّار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صهیون دون، یک تیغ آتشبار داشت</w:t>
      </w:r>
    </w:p>
    <w:p>
      <w:pPr>
        <w:pStyle w:val="BookText"/>
        <w:rPr/>
      </w:pPr>
      <w:r>
        <w:rPr>
          <w:rFonts w:ascii="IRNazanin" w:hAnsi="IRNazanin" w:eastAsia="IRNazanin"/>
          <w:color w:val="111111"/>
          <w:sz w:val="28"/>
          <w:sz w:val="28"/>
          <w:szCs w:val="28"/>
          <w:rtl w:val="true"/>
          <w:lang w:bidi="fa-IR"/>
        </w:rPr>
        <w:t xml:space="preserve">حمله ور می‌بود دائم روز تا هنگام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یکی مرد دلاور، غرش و پیکار داشت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می‌تاخت بر آن نابکاران با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خامه اش همچون مسلسل دائماً رگبار داشت</w:t>
      </w:r>
      <w:r>
        <w:rPr>
          <w:rFonts w:eastAsia="IRNazanin" w:cs="IRNazanin"/>
          <w:color w:val="111111"/>
          <w:sz w:val="28"/>
          <w:szCs w:val="28"/>
          <w:rtl w:val="true"/>
          <w:lang w:bidi="fa-IR"/>
        </w:rPr>
        <w:t xml:space="preserve">... </w:t>
      </w:r>
      <w:bookmarkStart w:id="24" w:name="pg4515_28444"/>
    </w:p>
    <w:p>
      <w:pPr>
        <w:pStyle w:val="Heading3"/>
        <w:numPr>
          <w:ilvl w:val="2"/>
          <w:numId w:val="1"/>
        </w:numPr>
        <w:rPr/>
      </w:pPr>
      <w:bookmarkStart w:id="25" w:name="__RefHeading___Toc722647_3644566090"/>
      <w:bookmarkStart w:id="26" w:name="_Toc9"/>
      <w:bookmarkEnd w:id="24"/>
      <w:bookmarkEnd w:id="25"/>
      <w:r>
        <w:rPr>
          <w:rtl w:val="true"/>
        </w:rPr>
        <w:t>جوایز</w:t>
      </w:r>
      <w:bookmarkEnd w:id="26"/>
    </w:p>
    <w:p>
      <w:pPr>
        <w:pStyle w:val="BookText"/>
        <w:rPr/>
      </w:pPr>
      <w:r>
        <w:rPr>
          <w:rFonts w:ascii="IRNazanin" w:hAnsi="IRNazanin" w:eastAsia="IRNazanin"/>
          <w:color w:val="111111"/>
          <w:sz w:val="28"/>
          <w:sz w:val="28"/>
          <w:szCs w:val="28"/>
          <w:rtl w:val="true"/>
          <w:lang w:bidi="fa-IR"/>
        </w:rPr>
        <w:t>کتب و مقالات بسیاری از ایشان در مجامع مختلف همچون کتاب سال حوزه،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جشنواره‌ی مطبوعات اسلامی، جشنواره‌ی علامه طباطبایی وهمایش نقش آفتاب برگزیده شدند، که از آن جمله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ابراهیم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فضل الله نوری و مکتب تاریخ نگاری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کتاب سال حوزه در سالهای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معرفی شدند و مقاله‌ی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 صلیبی، به نام مسیح، به کام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مندرج در ماهنامه‌ی ایران معاصر، زمانه‌ی بعدی،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مقاله‌ی احمد کسروی، عناد با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 در ماهنامه‌ی زمانه مقاله‌ی برگزیده نخستین و دومین دوره‌ی جشنواره‌ی مطبوعات اسلامی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توفان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مندرج در ماهنامه‌ی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به عنوان منتخب داوران در دو دوره‌ی پنجم و هفتم جشنواره‌ی علامه طباطبایی </w:t>
      </w:r>
      <w:bookmarkStart w:id="27" w:name="pg4515_28445"/>
    </w:p>
    <w:p>
      <w:pPr>
        <w:pStyle w:val="BookText"/>
        <w:rPr/>
      </w:pPr>
      <w:bookmarkEnd w:id="27"/>
      <w:r>
        <w:rPr>
          <w:rFonts w:ascii="IRNazanin" w:hAnsi="IRNazanin" w:eastAsia="IRNazanin"/>
          <w:color w:val="111111"/>
          <w:sz w:val="28"/>
          <w:sz w:val="28"/>
          <w:szCs w:val="28"/>
          <w:rtl w:val="true"/>
          <w:lang w:bidi="fa-IR"/>
        </w:rPr>
        <w:t>جایزه‌ی بهترین مقاله را در ربود،</w:t>
      </w:r>
    </w:p>
    <w:p>
      <w:pPr>
        <w:pStyle w:val="BookText"/>
        <w:rPr/>
      </w:pPr>
      <w:r>
        <w:rPr>
          <w:rFonts w:ascii="IRNazanin" w:hAnsi="IRNazanin" w:eastAsia="IRNazanin"/>
          <w:color w:val="111111"/>
          <w:sz w:val="28"/>
          <w:sz w:val="28"/>
          <w:szCs w:val="28"/>
          <w:rtl w:val="true"/>
          <w:lang w:bidi="fa-IR"/>
        </w:rPr>
        <w:t xml:space="preserve">جشنواره‌ی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همّت صدا وسیما و سازمان فرهنگی هنری شهرداری تهران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شاهد اعطای دو جایزه به استاد فقید بود، یکی برای مقاله‌ی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 وکارنامه‌ی ابراهیم پور داوود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مندرج در روزنامه‌ی جام 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جایزه‌ی نخست را از آن خود کرد و دیگری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بهترین نویسنده‌ی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حجة الاسلام والمسلمین استاد منذر اعطا شد</w:t>
      </w:r>
      <w:r>
        <w:rPr>
          <w:rFonts w:eastAsia="IRNazanin" w:cs="IRNazanin"/>
          <w:color w:val="111111"/>
          <w:sz w:val="28"/>
          <w:szCs w:val="28"/>
          <w:rtl w:val="true"/>
          <w:lang w:bidi="fa-IR"/>
        </w:rPr>
        <w:t xml:space="preserve">. </w:t>
      </w:r>
      <w:r>
        <w:rPr>
          <w:rStyle w:val="FootnoteAnchor"/>
          <w:rtl w:val="true"/>
        </w:rPr>
        <w:footnoteReference w:id="26"/>
      </w:r>
    </w:p>
    <w:p>
      <w:pPr>
        <w:pStyle w:val="Heading3"/>
        <w:numPr>
          <w:ilvl w:val="2"/>
          <w:numId w:val="1"/>
        </w:numPr>
        <w:rPr/>
      </w:pPr>
      <w:bookmarkStart w:id="28" w:name="__RefHeading___Toc722649_3644566090"/>
      <w:bookmarkStart w:id="29" w:name="_Toc10"/>
      <w:bookmarkEnd w:id="28"/>
      <w:r>
        <w:rPr>
          <w:rtl w:val="true"/>
        </w:rPr>
        <w:t>خانه بر دامنه‌ی آتشفشان</w:t>
      </w:r>
      <w:bookmarkEnd w:id="29"/>
    </w:p>
    <w:p>
      <w:pPr>
        <w:pStyle w:val="BookText"/>
        <w:rPr/>
      </w:pPr>
      <w:r>
        <w:rPr>
          <w:rFonts w:ascii="IRNazanin" w:hAnsi="IRNazanin" w:eastAsia="IRNazanin"/>
          <w:color w:val="111111"/>
          <w:sz w:val="28"/>
          <w:sz w:val="28"/>
          <w:szCs w:val="28"/>
          <w:rtl w:val="true"/>
          <w:lang w:bidi="fa-IR"/>
        </w:rPr>
        <w:t>استاد ابوالحسنی در کنار نگارش وتألیف، به فعالیت‌های فرهنگی سیاسی و</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با گروه‌ها و فرقه‌های انحرافی نیز اهتمام می‌ورزید و همواره در صف مقدم مبارزات فرهنگی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قبل </w:t>
      </w:r>
    </w:p>
    <w:p>
      <w:pPr>
        <w:pStyle w:val="BookText"/>
        <w:rPr/>
      </w:pPr>
      <w:r>
        <w:rPr>
          <w:rFonts w:ascii="IRNazanin" w:hAnsi="IRNazanin" w:eastAsia="IRNazanin"/>
          <w:color w:val="111111"/>
          <w:sz w:val="28"/>
          <w:sz w:val="28"/>
          <w:szCs w:val="28"/>
          <w:rtl w:val="true"/>
          <w:lang w:bidi="fa-IR"/>
        </w:rPr>
        <w:t xml:space="preserve">از انقلاب اسلامی با گروه منحرف فرقان،که استاد شهید مطهری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ماتریالیست‌های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بود، تقابل علمی جدی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قبولی استاد در دانشگاه علم و صنعت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نفوذ فراوانی که این فرقه در آن دانشگاه داشتند، مبارزه‌ی ایشان با آنان اوج گرفت تا به صدور حکم اعدام ایشان از سوی فرقان منجر شد، که بحمد الله تمام توطئه‌های گروه مزبور ناکام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پیروزی انقلاب اسلامی و شهادت استاد مطهری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فرقانیسم، تبیینی از فلسفه‌ی سیاسی اجتماعی و اخلاقی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میعاد با استاد مطهری، شهید راه تطهیر سیمای فرهنگ اسلامی از</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زنگار غرب زدگی وشرق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افشای انحرافات عمیق گروه فرقان نگاشت، لکن کار اساسی در مبارزه با تحریف و انحراف را با انتشار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 افشاگر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رساند که از همان زمان، تهدیدها و اقدامات ایذائی علیه ایشان و خانواده‌شان، شتاب و توسعه‌ی </w:t>
      </w:r>
      <w:bookmarkStart w:id="30" w:name="pg4515_28447"/>
    </w:p>
    <w:p>
      <w:pPr>
        <w:pStyle w:val="BookText"/>
        <w:rPr/>
      </w:pPr>
      <w:bookmarkEnd w:id="30"/>
      <w:r>
        <w:rPr>
          <w:rFonts w:ascii="IRNazanin" w:hAnsi="IRNazanin" w:eastAsia="IRNazanin"/>
          <w:color w:val="111111"/>
          <w:sz w:val="28"/>
          <w:sz w:val="28"/>
          <w:szCs w:val="28"/>
          <w:rtl w:val="true"/>
          <w:lang w:bidi="fa-IR"/>
        </w:rPr>
        <w:t>بیشتری یافت، ولی با عنایات علوی علیه السلام و مهدوی علیه السلام تمام این تشبثات به شکست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روحانی دانشور، طی سالهای جنگ تحمیلی، در کنار تکاپوی علمی خویش، از حضور در جبهه‌ها نیز غافل نبود و به دفعات از سوی حوزه‌ی علمیه‌ی قم به جبهه اعزام شد، لکن در آنجا نیز از عمق بخشی به مبانی اعتقادی رزمندگان غافل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آذر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که در توپخانه‌ی لشگر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می‌کرد، دو شماره جزوه در موضوعات اعتقادی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واحد عقیدتی سیاسی برای رزمندگان آماده و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منذر در عرصه‌ی مقابله با فرقه‌های ضاله‌ی وهابیت و بهائیت نیز فعال بود و با قلم و بیان خویش به روشنگری پیرامون ماهیت آنها می‌پرداخت</w:t>
      </w:r>
      <w:r>
        <w:rPr>
          <w:rFonts w:eastAsia="IRNazanin" w:cs="IRNazanin"/>
          <w:color w:val="111111"/>
          <w:sz w:val="28"/>
          <w:szCs w:val="28"/>
          <w:rtl w:val="true"/>
          <w:lang w:bidi="fa-IR"/>
        </w:rPr>
        <w:t>.</w:t>
      </w:r>
    </w:p>
    <w:p>
      <w:pPr>
        <w:pStyle w:val="Heading3"/>
        <w:numPr>
          <w:ilvl w:val="2"/>
          <w:numId w:val="1"/>
        </w:numPr>
        <w:rPr/>
      </w:pPr>
      <w:bookmarkStart w:id="31" w:name="__RefHeading___Toc722651_3644566090"/>
      <w:bookmarkStart w:id="32" w:name="_Toc11"/>
      <w:bookmarkEnd w:id="31"/>
      <w:r>
        <w:rPr>
          <w:rtl w:val="true"/>
        </w:rPr>
        <w:t>سیاه‌پوشی در سوگ ائمّه‌ی نور</w:t>
      </w:r>
      <w:bookmarkEnd w:id="3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محقق فرزانه به اهل بیت عصمت و طهارت علیهم السلام علاقه ای وافر داشت و در ترویج مذهب </w:t>
      </w:r>
    </w:p>
    <w:p>
      <w:pPr>
        <w:pStyle w:val="BookText"/>
        <w:rPr/>
      </w:pPr>
      <w:r>
        <w:rPr>
          <w:rFonts w:ascii="IRNazanin" w:hAnsi="IRNazanin" w:eastAsia="IRNazanin"/>
          <w:color w:val="111111"/>
          <w:sz w:val="28"/>
          <w:sz w:val="28"/>
          <w:szCs w:val="28"/>
          <w:rtl w:val="true"/>
          <w:lang w:bidi="fa-IR"/>
        </w:rPr>
        <w:t>حقّه‌ی تشیّع به جان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غیورانه بر حفظ شعائر حسینی علیه السلام تأکید خاص مبذول می‌داشت که به سامان آوردن تحقیقِ استخوان‌سوز و کم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سیاهپوشی در سوگ ائمّه نور علیهم السلام ، ریشه‌های تاریخی، مبانی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شایسته به این ضرورت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منذر معتقد بود که یکی از فراگیرترین شعائر اهل بیت علیهم السلام ، سیاه‌پوشی در سوگ آل الله است، زیرا در میان محبان اهل البیت علیهم السلام و عزاداران سالار شهیدان، با سلایق مختلف، عمومیت دارد و موجب افزایش وحدت و انسجام ملّی حول محور آن ذوات مقدّسه می‌شود و همین امر بر اهمیّت آن می‌افزاید و از این روی، دشمن نیز به مقابله‌ی جدّی با آن برخاسته است، او این تحقیق را بدان جهت سامان داد تا به این شبهه‌ی بی‌اساس که سنّت اصیل سیاه‌پوشی را غیر اسلامی دانسته و آن را به بنی عباس منتسب می‌ساخت، پاسخی درخور دهد، لذا </w:t>
      </w:r>
    </w:p>
    <w:p>
      <w:pPr>
        <w:pStyle w:val="BookText"/>
        <w:rPr/>
      </w:pPr>
      <w:r>
        <w:rPr>
          <w:rFonts w:ascii="IRNazanin" w:hAnsi="IRNazanin" w:eastAsia="IRNazanin"/>
          <w:color w:val="111111"/>
          <w:sz w:val="28"/>
          <w:sz w:val="28"/>
          <w:szCs w:val="28"/>
          <w:rtl w:val="true"/>
          <w:lang w:bidi="fa-IR"/>
        </w:rPr>
        <w:t>در خلال این تحقیق، با بحثی فقهی، کلامی و تاریخی، اصالت این سنّت در مذهب حقه‌ی تشیّع را به اثبات رساند و در مسیر مستند سازی نظریه‌ی خویش، تصاویر جمع زیادی از مراجع عظام و بزرگان دین با پوشش سیاه در عزای اهل بیت علیهم السلام را نیز زیب آن دفتر قرار داد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استاد منذر معتقد بود شعائر حسینی علیه السلام ، همچون سنّت سیاه‌پوشی، و اَشکال و نحوه‌های گوناگون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گروههای مختلف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ابزار مورد استفاده در عزاداری‌ها غالباً اصالت و حکمتی دقیق و حساب‌شده دارد، که باید تبیین شود، لکن جریان وهابیّت و وهابی مآبان با سوء استفاده از عدم اطلاع مردم، و حتّی نخبگان آنان، این سنّتها را به عنوان تحریف و خرافات معرفی می‌کنند و افراد سطحی و مرعوب نیز این ادعاها را می‌پذیرند</w:t>
      </w:r>
      <w:r>
        <w:rPr>
          <w:rFonts w:eastAsia="IRNazanin" w:cs="IRNazanin"/>
          <w:color w:val="111111"/>
          <w:sz w:val="28"/>
          <w:szCs w:val="28"/>
          <w:rtl w:val="true"/>
          <w:lang w:bidi="fa-IR"/>
        </w:rPr>
        <w:t xml:space="preserve">. </w:t>
      </w:r>
      <w:bookmarkStart w:id="33" w:name="pg4515_28450"/>
    </w:p>
    <w:p>
      <w:pPr>
        <w:pStyle w:val="BookText"/>
        <w:rPr/>
      </w:pPr>
      <w:bookmarkEnd w:id="33"/>
      <w:r>
        <w:rPr>
          <w:rFonts w:ascii="IRNazanin" w:hAnsi="IRNazanin" w:eastAsia="IRNazanin"/>
          <w:color w:val="111111"/>
          <w:sz w:val="28"/>
          <w:sz w:val="28"/>
          <w:szCs w:val="28"/>
          <w:rtl w:val="true"/>
          <w:lang w:bidi="fa-IR"/>
        </w:rPr>
        <w:t>استاد منذر بر آن بود که باید اندیش‌ورزانی دقیق النظر و بی‌غرض و مرض، با تتبعی وسیع به جای پاک کردن صورت مسأله، به عنوان سهل‌ترین راه، با حزم و حلم، که لازمه‌ی این قبیل پژوهش‌ها است، از سطح و پوسته‌ی این شعائر به باطن و عمق، بلکه اعماق، آنها راه جویند و با بهره‌گیری از قرآن و سنّت آنها را به درستی تبیین نمایند و خود نیز سرِ این کار را داشت که پیک اجل به او مهلت نداد</w:t>
      </w:r>
      <w:r>
        <w:rPr>
          <w:rFonts w:eastAsia="IRNazanin" w:cs="IRNazanin"/>
          <w:color w:val="111111"/>
          <w:sz w:val="28"/>
          <w:szCs w:val="28"/>
          <w:rtl w:val="true"/>
          <w:lang w:bidi="fa-IR"/>
        </w:rPr>
        <w:t>.</w:t>
      </w:r>
    </w:p>
    <w:p>
      <w:pPr>
        <w:pStyle w:val="Heading3"/>
        <w:numPr>
          <w:ilvl w:val="2"/>
          <w:numId w:val="1"/>
        </w:numPr>
        <w:rPr/>
      </w:pPr>
      <w:bookmarkStart w:id="34" w:name="__RefHeading___Toc722653_3644566090"/>
      <w:bookmarkStart w:id="35" w:name="_Toc12"/>
      <w:bookmarkEnd w:id="34"/>
      <w:r>
        <w:rPr>
          <w:rtl w:val="true"/>
        </w:rPr>
        <w:t>بوسه برخاک پی حیدر علیه السلام</w:t>
      </w:r>
      <w:bookmarkEnd w:id="35"/>
    </w:p>
    <w:p>
      <w:pPr>
        <w:pStyle w:val="BookText"/>
        <w:rPr/>
      </w:pPr>
      <w:r>
        <w:rPr>
          <w:rFonts w:ascii="IRNazanin" w:hAnsi="IRNazanin" w:eastAsia="IRNazanin"/>
          <w:color w:val="111111"/>
          <w:sz w:val="28"/>
          <w:sz w:val="28"/>
          <w:szCs w:val="28"/>
          <w:rtl w:val="true"/>
          <w:lang w:bidi="fa-IR"/>
        </w:rPr>
        <w:t xml:space="preserve">استاد منذر برحفظ حریم ولایت و تبیین چیستی و چرایی آن اصراری ویژه داشت و بر این نَمَط، در آثار خویش، جای جای به تناسب بحث، به این موضوع نیز اشاره می‌کرد که درج ضمیمه‌ای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تکوینی پیامبر و ائمّه‌ی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شیخ ابراهیم زنجانی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بحثِ، به ظاهر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نامرتبط، را از آنروی در این اثر آورده تا به تشکیکات زنجانی در </w:t>
      </w:r>
    </w:p>
    <w:p>
      <w:pPr>
        <w:pStyle w:val="BookText"/>
        <w:rPr/>
      </w:pPr>
      <w:r>
        <w:rPr>
          <w:rFonts w:ascii="IRNazanin" w:hAnsi="IRNazanin" w:eastAsia="IRNazanin"/>
          <w:color w:val="111111"/>
          <w:sz w:val="28"/>
          <w:sz w:val="28"/>
          <w:szCs w:val="28"/>
          <w:rtl w:val="true"/>
          <w:lang w:bidi="fa-IR"/>
        </w:rPr>
        <w:t>مقامات والای پیامبر و ائمّه علیهم السلام در هستی، که ناشی از گرایش‌های او به وهابیّت بوده است، پاسخی درخور و قاطع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آثاری که پیرامون بزرگان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آخوند ملاقربانعلی زنجانی، حکیم ابوالقاسم فردوسی، شیخ فضل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شخصیت‌های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از قبیل مهاتما گاندی و مرحوم سید احمد رضوی مشهور به ادیب پیشاوری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بخشی را به ارادت آنان به پیامبر اکرم و معصومین علیهم السلام اختصاص داده، که همین امر کاشف از علاقه و اهتمام استاد فقید به ساحت قدسی اهل البیت علیهم السلام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وی هر فرصتی را برای ابراز ارادت به ساحت آل الله مغتنم می‌شمرد، فی المثل هنگامی که عکاس یکی از نشریات می‌خواهد که تصویری از ایشان در حال بیرون آوردن یک کتاب از قفسه بگیرد، در آن حال، با عنایت خاص، کتاب </w:t>
      </w:r>
    </w:p>
    <w:p>
      <w:pPr>
        <w:pStyle w:val="BookText"/>
        <w:rPr/>
      </w:pPr>
      <w:r>
        <w:rPr>
          <w:rFonts w:ascii="IRNazanin" w:hAnsi="IRNazanin" w:eastAsia="IRNazanin"/>
          <w:color w:val="111111"/>
          <w:sz w:val="28"/>
          <w:sz w:val="28"/>
          <w:szCs w:val="28"/>
          <w:rtl w:val="true"/>
          <w:lang w:bidi="fa-IR"/>
        </w:rPr>
        <w:t xml:space="preserve">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مرحوم علامه‌ی امینی را بیرون می‌آورد، و برای نشان دادن عمق علاقه‌ی خویش به ساحت قدسی مولا و مقتدایش امیر المؤمنین علیه السلام و این اثر بی نظیر، آن را بر سینه‌ی خود می‌نهد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ابوالحسنی همچنین در معرفی رجال برجسته‌ی ایران اسلامی و زدودن غبار تحریف از چهره‌ی آنان اهتمام می‌ورزید، چرا که آنان را مبلّغ ومروّج گوهر ولایت می‌دانست و به همین دلیل سالیان متمادی از عمر خویش را مصروف تحقیقی بی نظیر پیرامون ایمان وآرمان حکیم ابوالقاسم فردوسی نمود و نتیجه‌ی آن را در قالب اثری ماندگار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بوسه بر خاک پی حیدر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علم و پژوهش تقدیم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تحقیق علاوه بر اثبات تشیّع فردوسی، اهداف دیگری نیز داشت که رفع مصادره‌ی باستان‌گرایان از استاد طوس و نفی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اسلام و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کسانی </w:t>
      </w:r>
    </w:p>
    <w:p>
      <w:pPr>
        <w:pStyle w:val="BookText"/>
        <w:rPr/>
      </w:pPr>
      <w:r>
        <w:rPr>
          <w:rFonts w:ascii="IRNazanin" w:hAnsi="IRNazanin" w:eastAsia="IRNazanin"/>
          <w:color w:val="111111"/>
          <w:sz w:val="28"/>
          <w:sz w:val="28"/>
          <w:szCs w:val="28"/>
          <w:rtl w:val="true"/>
          <w:lang w:bidi="fa-IR"/>
        </w:rPr>
        <w:t>همچون ابراهیم پور داوود بر طبل آن می‌کوبیدند،</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و نیز اثبات نظریه‌ی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پویه‌ی تاریخ، که بزرگانی همچون استاد شهید مطهری بر آن بودند، از آن جمله است که به شایستگی از عهده برآمد و به همین دلیل، جریان ارتجاعی‌ای که سودای بازگشت</w:t>
      </w:r>
    </w:p>
    <w:p>
      <w:pPr>
        <w:pStyle w:val="BookText"/>
        <w:rPr/>
      </w:pPr>
      <w:r>
        <w:rPr>
          <w:rFonts w:ascii="IRNazanin" w:hAnsi="IRNazanin" w:eastAsia="IRNazanin"/>
          <w:color w:val="111111"/>
          <w:sz w:val="28"/>
          <w:sz w:val="28"/>
          <w:szCs w:val="28"/>
          <w:rtl w:val="true"/>
          <w:lang w:bidi="fa-IR"/>
        </w:rPr>
        <w:t>ارزشهای طاغوتی پیش از اسلام را در سر می‌پروراند و این اثر بی نظیر را مانع جدی در تحقق خواسته‌ی خویش می‌داند، آن را بایکوت شدید نموده و فضایی ایجاد کرده که کمتر دانشجویی جرأت یابد در فرآیند پژوهش و پایان نامه‌ی خویش پیرامون استاد طوس به این منبع، مراجعه و استناد نماید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افشای توطئه های رنگارنگ استعمار و ایادی داخلی و خارجی آن و صهیونیسم بین الملل، بخشی </w:t>
      </w:r>
      <w:bookmarkStart w:id="36" w:name="pg4515_28454"/>
    </w:p>
    <w:p>
      <w:pPr>
        <w:pStyle w:val="BookText"/>
        <w:rPr/>
      </w:pPr>
      <w:bookmarkEnd w:id="36"/>
      <w:r>
        <w:rPr>
          <w:rFonts w:ascii="IRNazanin" w:hAnsi="IRNazanin" w:eastAsia="IRNazanin"/>
          <w:color w:val="111111"/>
          <w:sz w:val="28"/>
          <w:sz w:val="28"/>
          <w:szCs w:val="28"/>
          <w:rtl w:val="true"/>
          <w:lang w:bidi="fa-IR"/>
        </w:rPr>
        <w:t xml:space="preserve">دیگر از آثار او را رقم می زند که با عناوینی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دشمن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 بیدار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جای آثار آن روحانی آگاه و تیزبین مشاهده می‌شود</w:t>
      </w:r>
      <w:r>
        <w:rPr>
          <w:rFonts w:eastAsia="IRNazanin" w:cs="IRNazanin"/>
          <w:color w:val="111111"/>
          <w:sz w:val="28"/>
          <w:szCs w:val="28"/>
          <w:rtl w:val="true"/>
          <w:lang w:bidi="fa-IR"/>
        </w:rPr>
        <w:t>.</w:t>
      </w:r>
    </w:p>
    <w:p>
      <w:pPr>
        <w:pStyle w:val="Heading3"/>
        <w:numPr>
          <w:ilvl w:val="2"/>
          <w:numId w:val="1"/>
        </w:numPr>
        <w:rPr/>
      </w:pPr>
      <w:bookmarkStart w:id="37" w:name="__RefHeading___Toc722655_3644566090"/>
      <w:bookmarkStart w:id="38" w:name="_Toc13"/>
      <w:bookmarkEnd w:id="37"/>
      <w:r>
        <w:rPr>
          <w:rtl w:val="true"/>
        </w:rPr>
        <w:t>ذوق لطیف</w:t>
      </w:r>
      <w:bookmarkEnd w:id="38"/>
    </w:p>
    <w:p>
      <w:pPr>
        <w:pStyle w:val="BookText"/>
        <w:rPr/>
      </w:pPr>
      <w:r>
        <w:rPr>
          <w:rFonts w:ascii="IRNazanin" w:hAnsi="IRNazanin" w:eastAsia="IRNazanin"/>
          <w:color w:val="111111"/>
          <w:sz w:val="28"/>
          <w:sz w:val="28"/>
          <w:szCs w:val="28"/>
          <w:rtl w:val="true"/>
          <w:lang w:bidi="fa-IR"/>
        </w:rPr>
        <w:t>ایشان در شعر و ادبیات نیز دست داشت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تخلص گزیده بود وگاه‌گاه، بویژه در مدح اهل بیت علیهم السلام ، طبع خویش را می‌آزمود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قصیده‌ی پرسوز و گدازی که در مدح حضرت زینب</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سروده است، عمق اعتقاد و سوز او در مظلومیت آل الله و نیز تردستی‌اش را در این وادی به نمایش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ذکر بعضی از ابیات آن قصیده، چشم دل را به ضیافت قدسی حضرتش می‌بریم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خیره اش منگرگرامی لؤلؤ لالاست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زیب دفتر، زینت اَب، زینب والاست این </w:t>
      </w:r>
    </w:p>
    <w:p>
      <w:pPr>
        <w:pStyle w:val="BookText"/>
        <w:rPr/>
      </w:pPr>
      <w:r>
        <w:rPr>
          <w:rFonts w:ascii="IRNazanin" w:hAnsi="IRNazanin" w:eastAsia="IRNazanin"/>
          <w:color w:val="111111"/>
          <w:sz w:val="28"/>
          <w:sz w:val="28"/>
          <w:szCs w:val="28"/>
          <w:rtl w:val="true"/>
          <w:lang w:bidi="fa-IR"/>
        </w:rPr>
        <w:t xml:space="preserve">بنده‌ی پاک خدا و، نور چشم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مولا، فخر زهرا، یار ثارالله است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زهرا شهید راه قرآن گشت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سفیر خوش صفیر شاه عاشوراست این</w:t>
      </w:r>
    </w:p>
    <w:p>
      <w:pPr>
        <w:pStyle w:val="BookText"/>
        <w:rPr/>
      </w:pPr>
      <w:r>
        <w:rPr>
          <w:rFonts w:ascii="IRNazanin" w:hAnsi="IRNazanin" w:eastAsia="IRNazanin"/>
          <w:color w:val="111111"/>
          <w:sz w:val="28"/>
          <w:sz w:val="28"/>
          <w:szCs w:val="28"/>
          <w:rtl w:val="true"/>
          <w:lang w:bidi="fa-IR"/>
        </w:rPr>
        <w:t xml:space="preserve">خطبه‌ی سوزان او را هرکه در کوفه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بی شک نغمه‌ای از حنجر مولاست این</w:t>
      </w:r>
    </w:p>
    <w:p>
      <w:pPr>
        <w:pStyle w:val="BookText"/>
        <w:rPr/>
      </w:pPr>
      <w:r>
        <w:rPr>
          <w:rFonts w:ascii="IRNazanin" w:hAnsi="IRNazanin" w:eastAsia="IRNazanin"/>
          <w:color w:val="111111"/>
          <w:sz w:val="28"/>
          <w:sz w:val="28"/>
          <w:szCs w:val="28"/>
          <w:rtl w:val="true"/>
          <w:lang w:bidi="fa-IR"/>
        </w:rPr>
        <w:t xml:space="preserve">سم به کام مجتبی و نیزه در کام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گرفتار دوصد موج غم و بلواست این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حلم و صبر وی نازم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حال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دیدم از بلایا، جملگی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حجة الاسلام والمسلمین ابوالحسنی در ادامه‌ی این قصیده پس از بیان گوشه ای از فضائل و مناقب آن بانو، در بیت آخر به خویش چنین نهیب می‌زند که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مُنذِرا بس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وصفش خارج از امکان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است‌این، زینب است‌این، زینب کبری‌است این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نیست از برای مؤمنین و نباید که تمام آنها کوچ کنند پس چرا کوچ نمی‌کند از هر فرقه از مؤمنین طائفه‌ای تا اینکه تفقه در دین کنند و انذار کنند قوم خود را زمانی که مراجعت کنند به سوی آنها امید است که آنها حذر کنند و مخالفت دین نکنند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رسولانی که پیش از تو فرستادیم باز پرس که آیا ما جز خدای یکتای مهربان خدایان دیگری را معبود مردم قرار دادیم؟</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النورانیة فی أسماء علی و أهل بیته القرآنیة، از علامه سید هاشم البحرانی رحمه الله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آینه دشمن‌ترین مردم نسبت به مسلمانان، یهود و مشرکان را خواهی یافت، و بامحبت‌تر از همه کس به اهل ایمان آنان را که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نصرانی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بدین سبب است که برخی از آنها دانشمند و پارسا هستند و تکبر و گردنکشی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حکم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که کافر شدند نابود و هلاک شوند و خدا اعمالشان را ضایع و باطل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این آیه در مورد ولایت معصومین علیهم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پیغمبری که از جانب خدا دلیلی روشن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و گواهی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پی اوست و به علاوه کتاب تورات موسی هم که پیشوا و رحمت حق بر خلق بود پیش از او بوده و اینان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اهل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ایمان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آمدن آن پیامبر بشارت داده، چنین پیامبری مانند آن کس است که این امتیازات را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هر کس از طوایف بشر به او کافر شود وعده‌گاهش البته آتش دوزخ است، پس در آن هیچ شک مدار که این حق و درست از سوی پروردگار توست و لیکن اکثر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نمی‌آورند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کافران بر تو اعتراض کنند که تو رسول خدا نیستی،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گواه بین من و شما خدا و عالمان حقیقی به کتاب یعنی ائمه علیهم السلام کافی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 بن ابیطالب علیه السلام ، آیة الله رحمانی همدانی رحمه الله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آنان که به او گرویدند و از او حرمت و عزت نگاه داشتند و یاری او کردند و نوری را که به او نازل شد پیروی نمودند آن گروه به حقیقت رستگاران عالمند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ولی نیکویی آن است که پارسا باشید و به خانه‌ها از راه آن داخل شوید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مقام مبارزه با آن کافران خود را مهیا 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دعای ندبه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ویراست پیشین این مقاله، استاد منذر به عنوان نویسنده‌ی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ردپای الحاد و وابستگی در تبار هویدا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زمانه، ش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شده بود، در حالیکه این مقاله به خامه‌ی آقای مهندس سید رضا هاشمی می‌باشد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همین مسیر، تالیف کتابی پیرامون زمانه وکارنامه‌ی ابراهیم پورداوود را نیز در دست تألیف داشت که بخش اعظم آن را به پایان برد و امید آنکه به زودی در دسترس علاقمندان قرار گیرد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image" Target="media/image2.jpeg"/><Relationship Id="rId51" Type="http://schemas.openxmlformats.org/officeDocument/2006/relationships/image" Target="media/image2.jpeg"/><Relationship Id="rId52" Type="http://schemas.openxmlformats.org/officeDocument/2006/relationships/footer" Target="footer45.xml"/><Relationship Id="rId53" Type="http://schemas.openxmlformats.org/officeDocument/2006/relationships/footnotes" Target="footnotes.xml"/><Relationship Id="rId54" Type="http://schemas.openxmlformats.org/officeDocument/2006/relationships/numbering" Target="numbering.xml"/><Relationship Id="rId55" Type="http://schemas.openxmlformats.org/officeDocument/2006/relationships/fontTable" Target="fontTable.xml"/><Relationship Id="rId56" Type="http://schemas.openxmlformats.org/officeDocument/2006/relationships/settings" Target="settings.xml"/><Relationship Id="rId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Pages>
  <Words>5419</Words>
  <Characters>22120</Characters>
  <CharactersWithSpaces>27314</CharactersWithSpaces>
  <Paragraphs>304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2026-08-18T13:22:52Z</dcterms:created>
  <dc:creator>ghaemiyeh.com</dc:creator>
  <dc:description/>
  <dc:language>en-US</dc:language>
  <cp:lastModifiedBy/>
  <dcterms:modified xsi:type="dcterms:W3CDTF">2026-08-18T16:53:20Z</dcterms:modified>
  <cp:revision>1</cp:revision>
  <dc:subject/>
  <dc:title>فقیهی منذر</dc:title>
</cp:coreProperties>
</file>

<file path=docProps/custom.xml><?xml version="1.0" encoding="utf-8"?>
<Properties xmlns="http://schemas.openxmlformats.org/officeDocument/2006/custom-properties" xmlns:vt="http://schemas.openxmlformats.org/officeDocument/2006/docPropsVTypes"/>
</file>