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4878_2749589250">
            <w:r>
              <w:rPr>
                <w:webHidden/>
                <w:rStyle w:val="IndexLink"/>
                <w:rtl w:val="true"/>
              </w:rPr>
              <w:t>مشخصات فصلنامه</w:t>
            </w:r>
            <w:r>
              <w:rPr>
                <w:rStyle w:val="IndexLink"/>
                <w:rtl w:val="true"/>
              </w:rPr>
              <w:tab/>
            </w:r>
            <w:r>
              <w:rPr>
                <w:rStyle w:val="IndexLink"/>
              </w:rPr>
              <w:t>10</w:t>
            </w:r>
          </w:hyperlink>
        </w:p>
        <w:p>
          <w:pPr>
            <w:pStyle w:val="Contents2"/>
            <w:tabs>
              <w:tab w:val="clear" w:pos="8743"/>
              <w:tab w:val="right" w:pos="9026" w:leader="dot"/>
            </w:tabs>
            <w:rPr/>
          </w:pPr>
          <w:hyperlink w:anchor="__RefHeading___Toc2104880_2749589250">
            <w:r>
              <w:rPr>
                <w:webHidden/>
                <w:rStyle w:val="IndexLink"/>
                <w:rtl w:val="true"/>
              </w:rPr>
              <w:t>رتبه علمی فصلنامه</w:t>
            </w:r>
            <w:r>
              <w:rPr>
                <w:rStyle w:val="IndexLink"/>
                <w:rtl w:val="true"/>
              </w:rPr>
              <w:tab/>
            </w:r>
            <w:r>
              <w:rPr>
                <w:rStyle w:val="IndexLink"/>
              </w:rPr>
              <w:t>10</w:t>
            </w:r>
          </w:hyperlink>
        </w:p>
        <w:p>
          <w:pPr>
            <w:pStyle w:val="Contents2"/>
            <w:tabs>
              <w:tab w:val="clear" w:pos="8743"/>
              <w:tab w:val="right" w:pos="9026" w:leader="dot"/>
            </w:tabs>
            <w:rPr/>
          </w:pPr>
          <w:hyperlink w:anchor="__RefHeading___Toc2104882_2749589250">
            <w:r>
              <w:rPr>
                <w:webHidden/>
                <w:rStyle w:val="IndexLink"/>
                <w:rtl w:val="true"/>
              </w:rPr>
              <w:t>راهنمای نویسندگان</w:t>
            </w:r>
            <w:r>
              <w:rPr>
                <w:rStyle w:val="IndexLink"/>
                <w:rtl w:val="true"/>
              </w:rPr>
              <w:tab/>
            </w:r>
            <w:r>
              <w:rPr>
                <w:rStyle w:val="IndexLink"/>
              </w:rPr>
              <w:t>12</w:t>
            </w:r>
          </w:hyperlink>
        </w:p>
        <w:p>
          <w:pPr>
            <w:pStyle w:val="Contents2"/>
            <w:tabs>
              <w:tab w:val="clear" w:pos="8743"/>
              <w:tab w:val="right" w:pos="9026" w:leader="dot"/>
            </w:tabs>
            <w:rPr/>
          </w:pPr>
          <w:hyperlink w:anchor="__RefHeading___Toc2104884_274958925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2104886_2749589250">
            <w:r>
              <w:rPr>
                <w:webHidden/>
                <w:rStyle w:val="IndexLink"/>
                <w:rtl w:val="true"/>
              </w:rPr>
              <w:t>جایگاه مکاتبات رضوی در حل معضلات کلامی امامیه</w:t>
            </w:r>
            <w:r>
              <w:rPr>
                <w:rStyle w:val="IndexLink"/>
                <w:rtl w:val="true"/>
              </w:rPr>
              <w:t xml:space="preserve">/ </w:t>
            </w:r>
            <w:r>
              <w:rPr>
                <w:rStyle w:val="IndexLink"/>
                <w:rtl w:val="true"/>
              </w:rPr>
              <w:t>مهدی غلامعلی</w:t>
            </w:r>
            <w:r>
              <w:rPr>
                <w:rStyle w:val="IndexLink"/>
                <w:rtl w:val="true"/>
              </w:rPr>
              <w:tab/>
            </w:r>
            <w:r>
              <w:rPr>
                <w:rStyle w:val="IndexLink"/>
              </w:rPr>
              <w:t>15</w:t>
            </w:r>
          </w:hyperlink>
        </w:p>
        <w:p>
          <w:pPr>
            <w:pStyle w:val="Contents3"/>
            <w:tabs>
              <w:tab w:val="clear" w:pos="8459"/>
              <w:tab w:val="right" w:pos="9026" w:leader="dot"/>
            </w:tabs>
            <w:rPr/>
          </w:pPr>
          <w:hyperlink w:anchor="__RefHeading___Toc2104888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104890_2749589250">
            <w:r>
              <w:rPr>
                <w:webHidden/>
                <w:rStyle w:val="IndexLink"/>
                <w:rtl w:val="true"/>
              </w:rPr>
              <w:t>چکیده</w:t>
            </w:r>
            <w:r>
              <w:rPr>
                <w:rStyle w:val="IndexLink"/>
                <w:rtl w:val="true"/>
              </w:rPr>
              <w:tab/>
            </w:r>
            <w:r>
              <w:rPr>
                <w:rStyle w:val="IndexLink"/>
              </w:rPr>
              <w:t>15</w:t>
            </w:r>
          </w:hyperlink>
        </w:p>
        <w:p>
          <w:pPr>
            <w:pStyle w:val="Contents3"/>
            <w:tabs>
              <w:tab w:val="clear" w:pos="8459"/>
              <w:tab w:val="right" w:pos="9026" w:leader="dot"/>
            </w:tabs>
            <w:rPr/>
          </w:pPr>
          <w:hyperlink w:anchor="__RefHeading___Toc2104892_2749589250">
            <w:r>
              <w:rPr>
                <w:webHidden/>
                <w:rStyle w:val="IndexLink"/>
                <w:rtl w:val="true"/>
              </w:rPr>
              <w:t>واژگان کلیدی</w:t>
            </w:r>
            <w:r>
              <w:rPr>
                <w:rStyle w:val="IndexLink"/>
                <w:rtl w:val="true"/>
              </w:rPr>
              <w:tab/>
            </w:r>
            <w:r>
              <w:rPr>
                <w:rStyle w:val="IndexLink"/>
              </w:rPr>
              <w:t>15</w:t>
            </w:r>
          </w:hyperlink>
        </w:p>
        <w:p>
          <w:pPr>
            <w:pStyle w:val="Contents3"/>
            <w:tabs>
              <w:tab w:val="clear" w:pos="8459"/>
              <w:tab w:val="right" w:pos="9026" w:leader="dot"/>
            </w:tabs>
            <w:rPr/>
          </w:pPr>
          <w:hyperlink w:anchor="__RefHeading___Toc2104894_2749589250">
            <w:r>
              <w:rPr>
                <w:webHidden/>
                <w:rStyle w:val="IndexLink"/>
                <w:rtl w:val="true"/>
              </w:rPr>
              <w:t>درآمد</w:t>
            </w:r>
            <w:r>
              <w:rPr>
                <w:rStyle w:val="IndexLink"/>
                <w:rtl w:val="true"/>
              </w:rPr>
              <w:tab/>
            </w:r>
            <w:r>
              <w:rPr>
                <w:rStyle w:val="IndexLink"/>
              </w:rPr>
              <w:t>16</w:t>
            </w:r>
          </w:hyperlink>
        </w:p>
        <w:p>
          <w:pPr>
            <w:pStyle w:val="Contents4"/>
            <w:tabs>
              <w:tab w:val="clear" w:pos="8176"/>
              <w:tab w:val="right" w:pos="9026" w:leader="dot"/>
            </w:tabs>
            <w:rPr/>
          </w:pPr>
          <w:hyperlink w:anchor="__RefHeading___Toc2104896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104898_2749589250">
            <w:r>
              <w:rPr>
                <w:webHidden/>
                <w:rStyle w:val="IndexLink"/>
              </w:rPr>
              <w:t>1</w:t>
            </w:r>
            <w:r>
              <w:rPr>
                <w:rStyle w:val="IndexLink"/>
                <w:rtl w:val="true"/>
              </w:rPr>
              <w:t>.</w:t>
            </w:r>
            <w:r>
              <w:rPr>
                <w:rStyle w:val="IndexLink"/>
                <w:rtl w:val="true"/>
              </w:rPr>
              <w:t>وضعیت مکاتبات رضوی</w:t>
            </w:r>
            <w:r>
              <w:rPr>
                <w:rStyle w:val="IndexLink"/>
                <w:rtl w:val="true"/>
              </w:rPr>
              <w:tab/>
            </w:r>
            <w:r>
              <w:rPr>
                <w:rStyle w:val="IndexLink"/>
              </w:rPr>
              <w:t>16</w:t>
            </w:r>
          </w:hyperlink>
        </w:p>
        <w:p>
          <w:pPr>
            <w:pStyle w:val="Contents5"/>
            <w:tabs>
              <w:tab w:val="clear" w:pos="7892"/>
              <w:tab w:val="right" w:pos="9026" w:leader="dot"/>
            </w:tabs>
            <w:rPr/>
          </w:pPr>
          <w:hyperlink w:anchor="__RefHeading___Toc2104900_2749589250">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104902_2749589250">
            <w:r>
              <w:rPr>
                <w:webHidden/>
                <w:rStyle w:val="IndexLink"/>
                <w:rtl w:val="true"/>
              </w:rPr>
              <w:t>نکته اول</w:t>
            </w:r>
            <w:r>
              <w:rPr>
                <w:rStyle w:val="IndexLink"/>
                <w:rtl w:val="true"/>
              </w:rPr>
              <w:t>:</w:t>
              <w:tab/>
            </w:r>
            <w:r>
              <w:rPr>
                <w:rStyle w:val="IndexLink"/>
              </w:rPr>
              <w:t>17</w:t>
            </w:r>
          </w:hyperlink>
        </w:p>
        <w:p>
          <w:pPr>
            <w:pStyle w:val="Contents5"/>
            <w:tabs>
              <w:tab w:val="clear" w:pos="7892"/>
              <w:tab w:val="right" w:pos="9026" w:leader="dot"/>
            </w:tabs>
            <w:rPr/>
          </w:pPr>
          <w:hyperlink w:anchor="__RefHeading___Toc2104904_2749589250">
            <w:r>
              <w:rPr>
                <w:webHidden/>
                <w:rStyle w:val="IndexLink"/>
                <w:rtl w:val="true"/>
              </w:rPr>
              <w:t>نکته دوم</w:t>
            </w:r>
            <w:r>
              <w:rPr>
                <w:rStyle w:val="IndexLink"/>
                <w:rtl w:val="true"/>
              </w:rPr>
              <w:t>:</w:t>
              <w:tab/>
            </w:r>
            <w:r>
              <w:rPr>
                <w:rStyle w:val="IndexLink"/>
              </w:rPr>
              <w:t>17</w:t>
            </w:r>
          </w:hyperlink>
        </w:p>
        <w:p>
          <w:pPr>
            <w:pStyle w:val="Contents5"/>
            <w:tabs>
              <w:tab w:val="clear" w:pos="7892"/>
              <w:tab w:val="right" w:pos="9026" w:leader="dot"/>
            </w:tabs>
            <w:rPr/>
          </w:pPr>
          <w:hyperlink w:anchor="__RefHeading___Toc2104906_2749589250">
            <w:r>
              <w:rPr>
                <w:webHidden/>
                <w:rStyle w:val="IndexLink"/>
                <w:rtl w:val="true"/>
              </w:rPr>
              <w:t>نکته سوم</w:t>
            </w:r>
            <w:r>
              <w:rPr>
                <w:rStyle w:val="IndexLink"/>
                <w:rtl w:val="true"/>
              </w:rPr>
              <w:t>:</w:t>
              <w:tab/>
            </w:r>
            <w:r>
              <w:rPr>
                <w:rStyle w:val="IndexLink"/>
              </w:rPr>
              <w:t>17</w:t>
            </w:r>
          </w:hyperlink>
        </w:p>
        <w:p>
          <w:pPr>
            <w:pStyle w:val="Contents5"/>
            <w:tabs>
              <w:tab w:val="clear" w:pos="7892"/>
              <w:tab w:val="right" w:pos="9026" w:leader="dot"/>
            </w:tabs>
            <w:rPr/>
          </w:pPr>
          <w:hyperlink w:anchor="__RefHeading___Toc2104908_2749589250">
            <w:r>
              <w:rPr>
                <w:webHidden/>
                <w:rStyle w:val="IndexLink"/>
                <w:rtl w:val="true"/>
              </w:rPr>
              <w:t>نکته چهارم</w:t>
            </w:r>
            <w:r>
              <w:rPr>
                <w:rStyle w:val="IndexLink"/>
                <w:rtl w:val="true"/>
              </w:rPr>
              <w:t>:</w:t>
              <w:tab/>
            </w:r>
            <w:r>
              <w:rPr>
                <w:rStyle w:val="IndexLink"/>
              </w:rPr>
              <w:t>17</w:t>
            </w:r>
          </w:hyperlink>
        </w:p>
        <w:p>
          <w:pPr>
            <w:pStyle w:val="Contents5"/>
            <w:tabs>
              <w:tab w:val="clear" w:pos="7892"/>
              <w:tab w:val="right" w:pos="9026" w:leader="dot"/>
            </w:tabs>
            <w:rPr/>
          </w:pPr>
          <w:hyperlink w:anchor="__RefHeading___Toc2104910_2749589250">
            <w:r>
              <w:rPr>
                <w:webHidden/>
                <w:rStyle w:val="IndexLink"/>
                <w:rtl w:val="true"/>
              </w:rPr>
              <w:t>نکته پنجم</w:t>
            </w:r>
            <w:r>
              <w:rPr>
                <w:rStyle w:val="IndexLink"/>
                <w:rtl w:val="true"/>
              </w:rPr>
              <w:t>:</w:t>
              <w:tab/>
            </w:r>
            <w:r>
              <w:rPr>
                <w:rStyle w:val="IndexLink"/>
              </w:rPr>
              <w:t>18</w:t>
            </w:r>
          </w:hyperlink>
        </w:p>
        <w:p>
          <w:pPr>
            <w:pStyle w:val="Contents4"/>
            <w:tabs>
              <w:tab w:val="clear" w:pos="8176"/>
              <w:tab w:val="right" w:pos="9026" w:leader="dot"/>
            </w:tabs>
            <w:rPr/>
          </w:pPr>
          <w:hyperlink w:anchor="__RefHeading___Toc2104912_2749589250">
            <w:r>
              <w:rPr>
                <w:webHidden/>
                <w:rStyle w:val="IndexLink"/>
              </w:rPr>
              <w:t>2</w:t>
            </w:r>
            <w:r>
              <w:rPr>
                <w:rStyle w:val="IndexLink"/>
                <w:rtl w:val="true"/>
              </w:rPr>
              <w:t>.</w:t>
            </w:r>
            <w:r>
              <w:rPr>
                <w:rStyle w:val="IndexLink"/>
                <w:rtl w:val="true"/>
              </w:rPr>
              <w:t>معضلات کلامی امامیه</w:t>
            </w:r>
            <w:r>
              <w:rPr>
                <w:rStyle w:val="IndexLink"/>
                <w:rtl w:val="true"/>
              </w:rPr>
              <w:tab/>
            </w:r>
            <w:r>
              <w:rPr>
                <w:rStyle w:val="IndexLink"/>
              </w:rPr>
              <w:t>18</w:t>
            </w:r>
          </w:hyperlink>
        </w:p>
        <w:p>
          <w:pPr>
            <w:pStyle w:val="Contents5"/>
            <w:tabs>
              <w:tab w:val="clear" w:pos="7892"/>
              <w:tab w:val="right" w:pos="9026" w:leader="dot"/>
            </w:tabs>
            <w:rPr/>
          </w:pPr>
          <w:hyperlink w:anchor="__RefHeading___Toc2104914_274958925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104916_2749589250">
            <w:r>
              <w:rPr>
                <w:webHidden/>
                <w:rStyle w:val="IndexLink"/>
              </w:rPr>
              <w:t>2</w:t>
            </w:r>
            <w:r>
              <w:rPr>
                <w:rStyle w:val="IndexLink"/>
                <w:rtl w:val="true"/>
              </w:rPr>
              <w:t>_</w:t>
            </w:r>
            <w:r>
              <w:rPr>
                <w:rStyle w:val="IndexLink"/>
              </w:rPr>
              <w:t>1</w:t>
            </w:r>
            <w:r>
              <w:rPr>
                <w:rStyle w:val="IndexLink"/>
                <w:rtl w:val="true"/>
              </w:rPr>
              <w:t>.</w:t>
            </w:r>
            <w:r>
              <w:rPr>
                <w:rStyle w:val="IndexLink"/>
                <w:rtl w:val="true"/>
              </w:rPr>
              <w:t>شبهات توحیدی</w:t>
            </w:r>
            <w:r>
              <w:rPr>
                <w:rStyle w:val="IndexLink"/>
                <w:rtl w:val="true"/>
              </w:rPr>
              <w:tab/>
            </w:r>
            <w:r>
              <w:rPr>
                <w:rStyle w:val="IndexLink"/>
              </w:rPr>
              <w:t>18</w:t>
            </w:r>
          </w:hyperlink>
        </w:p>
        <w:p>
          <w:pPr>
            <w:pStyle w:val="Contents6"/>
            <w:tabs>
              <w:tab w:val="clear" w:pos="7609"/>
              <w:tab w:val="right" w:pos="9026" w:leader="dot"/>
            </w:tabs>
            <w:rPr/>
          </w:pPr>
          <w:hyperlink w:anchor="__RefHeading___Toc2104918_2749589250">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2104920_2749589250">
            <w:r>
              <w:rPr>
                <w:webHidden/>
                <w:rStyle w:val="IndexLink"/>
              </w:rPr>
              <w:t>1</w:t>
            </w:r>
            <w:r>
              <w:rPr>
                <w:rStyle w:val="IndexLink"/>
                <w:rtl w:val="true"/>
              </w:rPr>
              <w:t>_</w:t>
            </w:r>
            <w:r>
              <w:rPr>
                <w:rStyle w:val="IndexLink"/>
              </w:rPr>
              <w:t>1</w:t>
            </w:r>
            <w:r>
              <w:rPr>
                <w:rStyle w:val="IndexLink"/>
                <w:rtl w:val="true"/>
              </w:rPr>
              <w:t>_</w:t>
            </w:r>
            <w:r>
              <w:rPr>
                <w:rStyle w:val="IndexLink"/>
              </w:rPr>
              <w:t>2</w:t>
            </w:r>
            <w:r>
              <w:rPr>
                <w:rStyle w:val="IndexLink"/>
                <w:rtl w:val="true"/>
              </w:rPr>
              <w:t>.</w:t>
            </w:r>
            <w:r>
              <w:rPr>
                <w:rStyle w:val="IndexLink"/>
                <w:rtl w:val="true"/>
              </w:rPr>
              <w:t>نفی رویت</w:t>
            </w:r>
            <w:r>
              <w:rPr>
                <w:rStyle w:val="IndexLink"/>
                <w:rtl w:val="true"/>
              </w:rPr>
              <w:tab/>
            </w:r>
            <w:r>
              <w:rPr>
                <w:rStyle w:val="IndexLink"/>
              </w:rPr>
              <w:t>19</w:t>
            </w:r>
          </w:hyperlink>
        </w:p>
        <w:p>
          <w:pPr>
            <w:pStyle w:val="Contents6"/>
            <w:tabs>
              <w:tab w:val="clear" w:pos="7609"/>
              <w:tab w:val="right" w:pos="9026" w:leader="dot"/>
            </w:tabs>
            <w:rPr/>
          </w:pPr>
          <w:hyperlink w:anchor="__RefHeading___Toc2104922_2749589250">
            <w:r>
              <w:rPr>
                <w:webHidden/>
                <w:rStyle w:val="IndexLink"/>
              </w:rPr>
              <w:t>2</w:t>
            </w:r>
            <w:r>
              <w:rPr>
                <w:rStyle w:val="IndexLink"/>
                <w:rtl w:val="true"/>
              </w:rPr>
              <w:t>_</w:t>
            </w:r>
            <w:r>
              <w:rPr>
                <w:rStyle w:val="IndexLink"/>
              </w:rPr>
              <w:t>1</w:t>
            </w:r>
            <w:r>
              <w:rPr>
                <w:rStyle w:val="IndexLink"/>
                <w:rtl w:val="true"/>
              </w:rPr>
              <w:t>_</w:t>
            </w:r>
            <w:r>
              <w:rPr>
                <w:rStyle w:val="IndexLink"/>
              </w:rPr>
              <w:t>2</w:t>
            </w:r>
            <w:r>
              <w:rPr>
                <w:rStyle w:val="IndexLink"/>
                <w:rtl w:val="true"/>
              </w:rPr>
              <w:t>.</w:t>
            </w:r>
            <w:r>
              <w:rPr>
                <w:rStyle w:val="IndexLink"/>
                <w:rtl w:val="true"/>
              </w:rPr>
              <w:t>نفی تشبیه</w:t>
            </w:r>
            <w:r>
              <w:rPr>
                <w:rStyle w:val="IndexLink"/>
                <w:rtl w:val="true"/>
              </w:rPr>
              <w:tab/>
            </w:r>
            <w:r>
              <w:rPr>
                <w:rStyle w:val="IndexLink"/>
              </w:rPr>
              <w:t>20</w:t>
            </w:r>
          </w:hyperlink>
        </w:p>
        <w:p>
          <w:pPr>
            <w:pStyle w:val="Contents6"/>
            <w:tabs>
              <w:tab w:val="clear" w:pos="7609"/>
              <w:tab w:val="right" w:pos="9026" w:leader="dot"/>
            </w:tabs>
            <w:rPr/>
          </w:pPr>
          <w:hyperlink w:anchor="__RefHeading___Toc2104924_2749589250">
            <w:r>
              <w:rPr>
                <w:webHidden/>
                <w:rStyle w:val="IndexLink"/>
              </w:rPr>
              <w:t>3</w:t>
            </w:r>
            <w:r>
              <w:rPr>
                <w:rStyle w:val="IndexLink"/>
                <w:rtl w:val="true"/>
              </w:rPr>
              <w:t>_</w:t>
            </w:r>
            <w:r>
              <w:rPr>
                <w:rStyle w:val="IndexLink"/>
              </w:rPr>
              <w:t>1</w:t>
            </w:r>
            <w:r>
              <w:rPr>
                <w:rStyle w:val="IndexLink"/>
                <w:rtl w:val="true"/>
              </w:rPr>
              <w:t>_</w:t>
            </w:r>
            <w:r>
              <w:rPr>
                <w:rStyle w:val="IndexLink"/>
              </w:rPr>
              <w:t>2</w:t>
            </w:r>
            <w:r>
              <w:rPr>
                <w:rStyle w:val="IndexLink"/>
                <w:rtl w:val="true"/>
              </w:rPr>
              <w:t>.</w:t>
            </w:r>
            <w:r>
              <w:rPr>
                <w:rStyle w:val="IndexLink"/>
                <w:rtl w:val="true"/>
              </w:rPr>
              <w:t>نفی جبر</w:t>
            </w:r>
            <w:r>
              <w:rPr>
                <w:rStyle w:val="IndexLink"/>
                <w:rtl w:val="true"/>
              </w:rPr>
              <w:tab/>
            </w:r>
            <w:r>
              <w:rPr>
                <w:rStyle w:val="IndexLink"/>
              </w:rPr>
              <w:t>21</w:t>
            </w:r>
          </w:hyperlink>
        </w:p>
        <w:p>
          <w:pPr>
            <w:pStyle w:val="Contents5"/>
            <w:tabs>
              <w:tab w:val="clear" w:pos="7892"/>
              <w:tab w:val="right" w:pos="9026" w:leader="dot"/>
            </w:tabs>
            <w:rPr/>
          </w:pPr>
          <w:hyperlink w:anchor="__RefHeading___Toc2104926_2749589250">
            <w:r>
              <w:rPr>
                <w:webHidden/>
                <w:rStyle w:val="IndexLink"/>
              </w:rPr>
              <w:t>2</w:t>
            </w:r>
            <w:r>
              <w:rPr>
                <w:rStyle w:val="IndexLink"/>
                <w:rtl w:val="true"/>
              </w:rPr>
              <w:t>_</w:t>
            </w:r>
            <w:r>
              <w:rPr>
                <w:rStyle w:val="IndexLink"/>
              </w:rPr>
              <w:t>2</w:t>
            </w:r>
            <w:r>
              <w:rPr>
                <w:rStyle w:val="IndexLink"/>
                <w:rtl w:val="true"/>
              </w:rPr>
              <w:t>.</w:t>
            </w:r>
            <w:r>
              <w:rPr>
                <w:rStyle w:val="IndexLink"/>
                <w:rtl w:val="true"/>
              </w:rPr>
              <w:t>شبهات در مسئله امامت</w:t>
            </w:r>
            <w:r>
              <w:rPr>
                <w:rStyle w:val="IndexLink"/>
                <w:rtl w:val="true"/>
              </w:rPr>
              <w:tab/>
            </w:r>
            <w:r>
              <w:rPr>
                <w:rStyle w:val="IndexLink"/>
              </w:rPr>
              <w:t>22</w:t>
            </w:r>
          </w:hyperlink>
        </w:p>
        <w:p>
          <w:pPr>
            <w:pStyle w:val="Contents6"/>
            <w:tabs>
              <w:tab w:val="clear" w:pos="7609"/>
              <w:tab w:val="right" w:pos="9026" w:leader="dot"/>
            </w:tabs>
            <w:rPr/>
          </w:pPr>
          <w:hyperlink w:anchor="__RefHeading___Toc2104928_2749589250">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2104930_2749589250">
            <w:r>
              <w:rPr>
                <w:webHidden/>
                <w:rStyle w:val="IndexLink"/>
              </w:rPr>
              <w:t>1</w:t>
            </w:r>
            <w:r>
              <w:rPr>
                <w:rStyle w:val="IndexLink"/>
                <w:rtl w:val="true"/>
              </w:rPr>
              <w:t>_</w:t>
            </w:r>
            <w:r>
              <w:rPr>
                <w:rStyle w:val="IndexLink"/>
              </w:rPr>
              <w:t>2</w:t>
            </w:r>
            <w:r>
              <w:rPr>
                <w:rStyle w:val="IndexLink"/>
                <w:rtl w:val="true"/>
              </w:rPr>
              <w:t>_</w:t>
            </w:r>
            <w:r>
              <w:rPr>
                <w:rStyle w:val="IndexLink"/>
              </w:rPr>
              <w:t>2</w:t>
            </w:r>
            <w:r>
              <w:rPr>
                <w:rStyle w:val="IndexLink"/>
                <w:rtl w:val="true"/>
              </w:rPr>
              <w:t>.</w:t>
            </w:r>
            <w:r>
              <w:rPr>
                <w:rStyle w:val="IndexLink"/>
                <w:rtl w:val="true"/>
              </w:rPr>
              <w:t>صفات امام</w:t>
            </w:r>
            <w:r>
              <w:rPr>
                <w:rStyle w:val="IndexLink"/>
                <w:rtl w:val="true"/>
              </w:rPr>
              <w:tab/>
            </w:r>
            <w:r>
              <w:rPr>
                <w:rStyle w:val="IndexLink"/>
              </w:rPr>
              <w:t>22</w:t>
            </w:r>
          </w:hyperlink>
        </w:p>
        <w:p>
          <w:pPr>
            <w:pStyle w:val="Contents6"/>
            <w:tabs>
              <w:tab w:val="clear" w:pos="7609"/>
              <w:tab w:val="right" w:pos="9026" w:leader="dot"/>
            </w:tabs>
            <w:rPr/>
          </w:pPr>
          <w:hyperlink w:anchor="__RefHeading___Toc2104932_2749589250">
            <w:r>
              <w:rPr>
                <w:webHidden/>
                <w:rStyle w:val="IndexLink"/>
              </w:rPr>
              <w:t>2</w:t>
            </w:r>
            <w:r>
              <w:rPr>
                <w:rStyle w:val="IndexLink"/>
                <w:rtl w:val="true"/>
              </w:rPr>
              <w:t>_</w:t>
            </w:r>
            <w:r>
              <w:rPr>
                <w:rStyle w:val="IndexLink"/>
              </w:rPr>
              <w:t>2</w:t>
            </w:r>
            <w:r>
              <w:rPr>
                <w:rStyle w:val="IndexLink"/>
                <w:rtl w:val="true"/>
              </w:rPr>
              <w:t>_</w:t>
            </w:r>
            <w:r>
              <w:rPr>
                <w:rStyle w:val="IndexLink"/>
              </w:rPr>
              <w:t>2</w:t>
            </w:r>
            <w:r>
              <w:rPr>
                <w:rStyle w:val="IndexLink"/>
                <w:rtl w:val="true"/>
              </w:rPr>
              <w:t>.</w:t>
            </w:r>
            <w:r>
              <w:rPr>
                <w:rStyle w:val="IndexLink"/>
                <w:rtl w:val="true"/>
              </w:rPr>
              <w:t>استفاده از علم غیب</w:t>
            </w:r>
            <w:r>
              <w:rPr>
                <w:rStyle w:val="IndexLink"/>
                <w:rtl w:val="true"/>
              </w:rPr>
              <w:tab/>
            </w:r>
            <w:r>
              <w:rPr>
                <w:rStyle w:val="IndexLink"/>
              </w:rPr>
              <w:t>23</w:t>
            </w:r>
          </w:hyperlink>
        </w:p>
        <w:p>
          <w:pPr>
            <w:pStyle w:val="Contents6"/>
            <w:tabs>
              <w:tab w:val="clear" w:pos="7609"/>
              <w:tab w:val="right" w:pos="9026" w:leader="dot"/>
            </w:tabs>
            <w:rPr/>
          </w:pPr>
          <w:hyperlink w:anchor="__RefHeading___Toc2104934_2749589250">
            <w:r>
              <w:rPr>
                <w:webHidden/>
                <w:rStyle w:val="IndexLink"/>
              </w:rPr>
              <w:t>3</w:t>
            </w:r>
            <w:r>
              <w:rPr>
                <w:rStyle w:val="IndexLink"/>
                <w:rtl w:val="true"/>
              </w:rPr>
              <w:t>_</w:t>
            </w:r>
            <w:r>
              <w:rPr>
                <w:rStyle w:val="IndexLink"/>
              </w:rPr>
              <w:t>2</w:t>
            </w:r>
            <w:r>
              <w:rPr>
                <w:rStyle w:val="IndexLink"/>
                <w:rtl w:val="true"/>
              </w:rPr>
              <w:t>_</w:t>
            </w:r>
            <w:r>
              <w:rPr>
                <w:rStyle w:val="IndexLink"/>
              </w:rPr>
              <w:t>2</w:t>
            </w:r>
            <w:r>
              <w:rPr>
                <w:rStyle w:val="IndexLink"/>
                <w:rtl w:val="true"/>
              </w:rPr>
              <w:t>.</w:t>
            </w:r>
            <w:r>
              <w:rPr>
                <w:rStyle w:val="IndexLink"/>
                <w:rtl w:val="true"/>
              </w:rPr>
              <w:t>واقفه</w:t>
            </w:r>
            <w:r>
              <w:rPr>
                <w:rStyle w:val="IndexLink"/>
                <w:rtl w:val="true"/>
              </w:rPr>
              <w:tab/>
            </w:r>
            <w:r>
              <w:rPr>
                <w:rStyle w:val="IndexLink"/>
              </w:rPr>
              <w:t>24</w:t>
            </w:r>
          </w:hyperlink>
        </w:p>
        <w:p>
          <w:pPr>
            <w:pStyle w:val="Contents4"/>
            <w:tabs>
              <w:tab w:val="clear" w:pos="8176"/>
              <w:tab w:val="right" w:pos="9026" w:leader="dot"/>
            </w:tabs>
            <w:rPr/>
          </w:pPr>
          <w:hyperlink w:anchor="__RefHeading___Toc2104936_2749589250">
            <w:r>
              <w:rPr>
                <w:webHidden/>
                <w:rStyle w:val="IndexLink"/>
              </w:rPr>
              <w:t>3</w:t>
            </w:r>
            <w:r>
              <w:rPr>
                <w:rStyle w:val="IndexLink"/>
                <w:rtl w:val="true"/>
              </w:rPr>
              <w:t>.</w:t>
            </w:r>
            <w:r>
              <w:rPr>
                <w:rStyle w:val="IndexLink"/>
                <w:rtl w:val="true"/>
              </w:rPr>
              <w:t>روش های حل معضلات کلامی در نگاشته های امام</w:t>
            </w:r>
            <w:r>
              <w:rPr>
                <w:rStyle w:val="IndexLink"/>
                <w:rtl w:val="true"/>
              </w:rPr>
              <w:tab/>
            </w:r>
            <w:r>
              <w:rPr>
                <w:rStyle w:val="IndexLink"/>
              </w:rPr>
              <w:t>24</w:t>
            </w:r>
          </w:hyperlink>
        </w:p>
        <w:p>
          <w:pPr>
            <w:pStyle w:val="Contents5"/>
            <w:tabs>
              <w:tab w:val="clear" w:pos="7892"/>
              <w:tab w:val="right" w:pos="9026" w:leader="dot"/>
            </w:tabs>
            <w:rPr/>
          </w:pPr>
          <w:hyperlink w:anchor="__RefHeading___Toc2104938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104940_2749589250">
            <w:r>
              <w:rPr>
                <w:webHidden/>
                <w:rStyle w:val="IndexLink"/>
              </w:rPr>
              <w:t>1</w:t>
            </w:r>
            <w:r>
              <w:rPr>
                <w:rStyle w:val="IndexLink"/>
                <w:rtl w:val="true"/>
              </w:rPr>
              <w:t>_</w:t>
            </w:r>
            <w:r>
              <w:rPr>
                <w:rStyle w:val="IndexLink"/>
              </w:rPr>
              <w:t>3</w:t>
            </w:r>
            <w:r>
              <w:rPr>
                <w:rStyle w:val="IndexLink"/>
                <w:rtl w:val="true"/>
              </w:rPr>
              <w:t>.</w:t>
            </w:r>
            <w:r>
              <w:rPr>
                <w:rStyle w:val="IndexLink"/>
                <w:rtl w:val="true"/>
              </w:rPr>
              <w:t>ارشاد</w:t>
            </w:r>
            <w:r>
              <w:rPr>
                <w:rStyle w:val="IndexLink"/>
                <w:rtl w:val="true"/>
              </w:rPr>
              <w:tab/>
            </w:r>
            <w:r>
              <w:rPr>
                <w:rStyle w:val="IndexLink"/>
              </w:rPr>
              <w:t>24</w:t>
            </w:r>
          </w:hyperlink>
        </w:p>
        <w:p>
          <w:pPr>
            <w:pStyle w:val="Contents5"/>
            <w:tabs>
              <w:tab w:val="clear" w:pos="7892"/>
              <w:tab w:val="right" w:pos="9026" w:leader="dot"/>
            </w:tabs>
            <w:rPr/>
          </w:pPr>
          <w:hyperlink w:anchor="__RefHeading___Toc2104942_2749589250">
            <w:r>
              <w:rPr>
                <w:webHidden/>
                <w:rStyle w:val="IndexLink"/>
              </w:rPr>
              <w:t>2</w:t>
            </w:r>
            <w:r>
              <w:rPr>
                <w:rStyle w:val="IndexLink"/>
                <w:rtl w:val="true"/>
              </w:rPr>
              <w:t>_</w:t>
            </w:r>
            <w:r>
              <w:rPr>
                <w:rStyle w:val="IndexLink"/>
              </w:rPr>
              <w:t>3</w:t>
            </w:r>
            <w:r>
              <w:rPr>
                <w:rStyle w:val="IndexLink"/>
                <w:rtl w:val="true"/>
              </w:rPr>
              <w:t>.</w:t>
            </w:r>
            <w:r>
              <w:rPr>
                <w:rStyle w:val="IndexLink"/>
                <w:rtl w:val="true"/>
              </w:rPr>
              <w:t>نکوهش</w:t>
            </w:r>
            <w:r>
              <w:rPr>
                <w:rStyle w:val="IndexLink"/>
                <w:rtl w:val="true"/>
              </w:rPr>
              <w:tab/>
            </w:r>
            <w:r>
              <w:rPr>
                <w:rStyle w:val="IndexLink"/>
              </w:rPr>
              <w:t>26</w:t>
            </w:r>
          </w:hyperlink>
        </w:p>
        <w:p>
          <w:pPr>
            <w:pStyle w:val="Contents5"/>
            <w:tabs>
              <w:tab w:val="clear" w:pos="7892"/>
              <w:tab w:val="right" w:pos="9026" w:leader="dot"/>
            </w:tabs>
            <w:rPr/>
          </w:pPr>
          <w:hyperlink w:anchor="__RefHeading___Toc2104944_2749589250">
            <w:r>
              <w:rPr>
                <w:webHidden/>
                <w:rStyle w:val="IndexLink"/>
              </w:rPr>
              <w:t>3</w:t>
            </w:r>
            <w:r>
              <w:rPr>
                <w:rStyle w:val="IndexLink"/>
                <w:rtl w:val="true"/>
              </w:rPr>
              <w:t>_</w:t>
            </w:r>
            <w:r>
              <w:rPr>
                <w:rStyle w:val="IndexLink"/>
              </w:rPr>
              <w:t>3</w:t>
            </w:r>
            <w:r>
              <w:rPr>
                <w:rStyle w:val="IndexLink"/>
                <w:rtl w:val="true"/>
              </w:rPr>
              <w:t>.</w:t>
            </w:r>
            <w:r>
              <w:rPr>
                <w:rStyle w:val="IndexLink"/>
                <w:rtl w:val="true"/>
              </w:rPr>
              <w:t>اعجاز</w:t>
            </w:r>
            <w:r>
              <w:rPr>
                <w:rStyle w:val="IndexLink"/>
                <w:rtl w:val="true"/>
              </w:rPr>
              <w:tab/>
            </w:r>
            <w:r>
              <w:rPr>
                <w:rStyle w:val="IndexLink"/>
              </w:rPr>
              <w:t>27</w:t>
            </w:r>
          </w:hyperlink>
        </w:p>
        <w:p>
          <w:pPr>
            <w:pStyle w:val="Contents5"/>
            <w:tabs>
              <w:tab w:val="clear" w:pos="7892"/>
              <w:tab w:val="right" w:pos="9026" w:leader="dot"/>
            </w:tabs>
            <w:rPr/>
          </w:pPr>
          <w:hyperlink w:anchor="__RefHeading___Toc2104946_2749589250">
            <w:r>
              <w:rPr>
                <w:webHidden/>
                <w:rStyle w:val="IndexLink"/>
              </w:rPr>
              <w:t>4</w:t>
            </w:r>
            <w:r>
              <w:rPr>
                <w:rStyle w:val="IndexLink"/>
                <w:rtl w:val="true"/>
              </w:rPr>
              <w:t>_</w:t>
            </w:r>
            <w:r>
              <w:rPr>
                <w:rStyle w:val="IndexLink"/>
              </w:rPr>
              <w:t>3</w:t>
            </w:r>
            <w:r>
              <w:rPr>
                <w:rStyle w:val="IndexLink"/>
                <w:rtl w:val="true"/>
              </w:rPr>
              <w:t>.</w:t>
            </w:r>
            <w:r>
              <w:rPr>
                <w:rStyle w:val="IndexLink"/>
                <w:rtl w:val="true"/>
              </w:rPr>
              <w:t>بحث</w:t>
            </w:r>
            <w:r>
              <w:rPr>
                <w:rStyle w:val="IndexLink"/>
                <w:rtl w:val="true"/>
              </w:rPr>
              <w:tab/>
            </w:r>
            <w:r>
              <w:rPr>
                <w:rStyle w:val="IndexLink"/>
              </w:rPr>
              <w:t>28</w:t>
            </w:r>
          </w:hyperlink>
        </w:p>
        <w:p>
          <w:pPr>
            <w:pStyle w:val="Contents4"/>
            <w:tabs>
              <w:tab w:val="clear" w:pos="8176"/>
              <w:tab w:val="right" w:pos="9026" w:leader="dot"/>
            </w:tabs>
            <w:rPr/>
          </w:pPr>
          <w:hyperlink w:anchor="__RefHeading___Toc2104948_2749589250">
            <w:r>
              <w:rPr>
                <w:webHidden/>
                <w:rStyle w:val="IndexLink"/>
              </w:rPr>
              <w:t>4</w:t>
            </w:r>
            <w:r>
              <w:rPr>
                <w:rStyle w:val="IndexLink"/>
                <w:rtl w:val="true"/>
              </w:rPr>
              <w:t>.</w:t>
            </w:r>
            <w:r>
              <w:rPr>
                <w:rStyle w:val="IndexLink"/>
                <w:rtl w:val="true"/>
              </w:rPr>
              <w:t>نمودار مکتوبات کلامی</w:t>
            </w:r>
            <w:r>
              <w:rPr>
                <w:rStyle w:val="IndexLink"/>
                <w:rtl w:val="true"/>
              </w:rPr>
              <w:tab/>
            </w:r>
            <w:r>
              <w:rPr>
                <w:rStyle w:val="IndexLink"/>
              </w:rPr>
              <w:t>29</w:t>
            </w:r>
          </w:hyperlink>
        </w:p>
        <w:p>
          <w:pPr>
            <w:pStyle w:val="Contents3"/>
            <w:tabs>
              <w:tab w:val="clear" w:pos="8459"/>
              <w:tab w:val="right" w:pos="9026" w:leader="dot"/>
            </w:tabs>
            <w:rPr/>
          </w:pPr>
          <w:hyperlink w:anchor="__RefHeading___Toc2104950_2749589250">
            <w:r>
              <w:rPr>
                <w:webHidden/>
                <w:rStyle w:val="IndexLink"/>
                <w:rtl w:val="true"/>
              </w:rPr>
              <w:t>نتیجه</w:t>
            </w:r>
            <w:r>
              <w:rPr>
                <w:rStyle w:val="IndexLink"/>
                <w:rtl w:val="true"/>
              </w:rPr>
              <w:tab/>
            </w:r>
            <w:r>
              <w:rPr>
                <w:rStyle w:val="IndexLink"/>
              </w:rPr>
              <w:t>31</w:t>
            </w:r>
          </w:hyperlink>
        </w:p>
        <w:p>
          <w:pPr>
            <w:pStyle w:val="Contents3"/>
            <w:tabs>
              <w:tab w:val="clear" w:pos="8459"/>
              <w:tab w:val="right" w:pos="9026" w:leader="dot"/>
            </w:tabs>
            <w:rPr/>
          </w:pPr>
          <w:hyperlink w:anchor="__RefHeading___Toc2104952_2749589250">
            <w:r>
              <w:rPr>
                <w:webHidden/>
                <w:rStyle w:val="IndexLink"/>
                <w:rtl w:val="true"/>
              </w:rPr>
              <w:t>منابع</w:t>
            </w:r>
            <w:r>
              <w:rPr>
                <w:rStyle w:val="IndexLink"/>
                <w:rtl w:val="true"/>
              </w:rPr>
              <w:tab/>
            </w:r>
            <w:r>
              <w:rPr>
                <w:rStyle w:val="IndexLink"/>
              </w:rPr>
              <w:t>31</w:t>
            </w:r>
          </w:hyperlink>
        </w:p>
        <w:p>
          <w:pPr>
            <w:pStyle w:val="Contents2"/>
            <w:tabs>
              <w:tab w:val="clear" w:pos="8743"/>
              <w:tab w:val="right" w:pos="9026" w:leader="dot"/>
            </w:tabs>
            <w:rPr/>
          </w:pPr>
          <w:hyperlink w:anchor="__RefHeading___Toc2104954_2749589250">
            <w:r>
              <w:rPr>
                <w:webHidden/>
                <w:rStyle w:val="IndexLink"/>
                <w:rtl w:val="true"/>
              </w:rPr>
              <w:t>آموزههای تعبدی در اندیشۀ کلامی شیخ مفید؛ ماهیت، مبانی و روش فهم</w:t>
            </w:r>
            <w:r>
              <w:rPr>
                <w:rStyle w:val="IndexLink"/>
                <w:rtl w:val="true"/>
              </w:rPr>
              <w:t xml:space="preserve">/ </w:t>
            </w:r>
            <w:r>
              <w:rPr>
                <w:rStyle w:val="IndexLink"/>
                <w:rtl w:val="true"/>
              </w:rPr>
              <w:t xml:space="preserve">علی راد </w:t>
            </w:r>
            <w:r>
              <w:rPr>
                <w:rStyle w:val="IndexLink"/>
                <w:rtl w:val="true"/>
              </w:rPr>
              <w:t xml:space="preserve">_ </w:t>
            </w:r>
            <w:r>
              <w:rPr>
                <w:rStyle w:val="IndexLink"/>
                <w:rtl w:val="true"/>
              </w:rPr>
              <w:t>معصومه رضوانی</w:t>
            </w:r>
            <w:r>
              <w:rPr>
                <w:rStyle w:val="IndexLink"/>
                <w:rtl w:val="true"/>
              </w:rPr>
              <w:tab/>
            </w:r>
            <w:r>
              <w:rPr>
                <w:rStyle w:val="IndexLink"/>
              </w:rPr>
              <w:t>33</w:t>
            </w:r>
          </w:hyperlink>
        </w:p>
        <w:p>
          <w:pPr>
            <w:pStyle w:val="Contents3"/>
            <w:tabs>
              <w:tab w:val="clear" w:pos="8459"/>
              <w:tab w:val="right" w:pos="9026" w:leader="dot"/>
            </w:tabs>
            <w:rPr/>
          </w:pPr>
          <w:hyperlink w:anchor="__RefHeading___Toc2104956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104958_2749589250">
            <w:r>
              <w:rPr>
                <w:webHidden/>
                <w:rStyle w:val="IndexLink"/>
                <w:rtl w:val="true"/>
              </w:rPr>
              <w:t>چکیده</w:t>
            </w:r>
            <w:r>
              <w:rPr>
                <w:rStyle w:val="IndexLink"/>
                <w:rtl w:val="true"/>
              </w:rPr>
              <w:tab/>
            </w:r>
            <w:r>
              <w:rPr>
                <w:rStyle w:val="IndexLink"/>
              </w:rPr>
              <w:t>33</w:t>
            </w:r>
          </w:hyperlink>
        </w:p>
        <w:p>
          <w:pPr>
            <w:pStyle w:val="Contents3"/>
            <w:tabs>
              <w:tab w:val="clear" w:pos="8459"/>
              <w:tab w:val="right" w:pos="9026" w:leader="dot"/>
            </w:tabs>
            <w:rPr/>
          </w:pPr>
          <w:hyperlink w:anchor="__RefHeading___Toc2104960_2749589250">
            <w:r>
              <w:rPr>
                <w:webHidden/>
                <w:rStyle w:val="IndexLink"/>
                <w:rtl w:val="true"/>
              </w:rPr>
              <w:t>واژگان کلیدی</w:t>
            </w:r>
            <w:r>
              <w:rPr>
                <w:rStyle w:val="IndexLink"/>
                <w:rtl w:val="true"/>
              </w:rPr>
              <w:tab/>
            </w:r>
            <w:r>
              <w:rPr>
                <w:rStyle w:val="IndexLink"/>
              </w:rPr>
              <w:t>33</w:t>
            </w:r>
          </w:hyperlink>
        </w:p>
        <w:p>
          <w:pPr>
            <w:pStyle w:val="Contents3"/>
            <w:tabs>
              <w:tab w:val="clear" w:pos="8459"/>
              <w:tab w:val="right" w:pos="9026" w:leader="dot"/>
            </w:tabs>
            <w:rPr/>
          </w:pPr>
          <w:hyperlink w:anchor="__RefHeading___Toc2104962_2749589250">
            <w:r>
              <w:rPr>
                <w:webHidden/>
                <w:rStyle w:val="IndexLink"/>
                <w:rtl w:val="true"/>
              </w:rPr>
              <w:t>طرح مسئله</w:t>
            </w:r>
            <w:r>
              <w:rPr>
                <w:rStyle w:val="IndexLink"/>
                <w:rtl w:val="true"/>
              </w:rPr>
              <w:tab/>
            </w:r>
            <w:r>
              <w:rPr>
                <w:rStyle w:val="IndexLink"/>
              </w:rPr>
              <w:t>34</w:t>
            </w:r>
          </w:hyperlink>
        </w:p>
        <w:p>
          <w:pPr>
            <w:pStyle w:val="Contents3"/>
            <w:tabs>
              <w:tab w:val="clear" w:pos="8459"/>
              <w:tab w:val="right" w:pos="9026" w:leader="dot"/>
            </w:tabs>
            <w:rPr/>
          </w:pPr>
          <w:hyperlink w:anchor="__RefHeading___Toc2104964_2749589250">
            <w:r>
              <w:rPr>
                <w:webHidden/>
                <w:rStyle w:val="IndexLink"/>
                <w:rtl w:val="true"/>
              </w:rPr>
              <w:t>تعریف مفاهیم</w:t>
            </w:r>
            <w:r>
              <w:rPr>
                <w:rStyle w:val="IndexLink"/>
                <w:rtl w:val="true"/>
              </w:rPr>
              <w:tab/>
            </w:r>
            <w:r>
              <w:rPr>
                <w:rStyle w:val="IndexLink"/>
              </w:rPr>
              <w:t>36</w:t>
            </w:r>
          </w:hyperlink>
        </w:p>
        <w:p>
          <w:pPr>
            <w:pStyle w:val="Contents4"/>
            <w:tabs>
              <w:tab w:val="clear" w:pos="8176"/>
              <w:tab w:val="right" w:pos="9026" w:leader="dot"/>
            </w:tabs>
            <w:rPr/>
          </w:pPr>
          <w:hyperlink w:anchor="__RefHeading___Toc2104966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104968_2749589250">
            <w:r>
              <w:rPr>
                <w:webHidden/>
                <w:rStyle w:val="IndexLink"/>
                <w:rtl w:val="true"/>
              </w:rPr>
              <w:t>مبانی</w:t>
            </w:r>
            <w:r>
              <w:rPr>
                <w:rStyle w:val="IndexLink"/>
                <w:rtl w:val="true"/>
              </w:rPr>
              <w:tab/>
            </w:r>
            <w:r>
              <w:rPr>
                <w:rStyle w:val="IndexLink"/>
              </w:rPr>
              <w:t>36</w:t>
            </w:r>
          </w:hyperlink>
        </w:p>
        <w:p>
          <w:pPr>
            <w:pStyle w:val="Contents4"/>
            <w:tabs>
              <w:tab w:val="clear" w:pos="8176"/>
              <w:tab w:val="right" w:pos="9026" w:leader="dot"/>
            </w:tabs>
            <w:rPr/>
          </w:pPr>
          <w:hyperlink w:anchor="__RefHeading___Toc2104970_2749589250">
            <w:r>
              <w:rPr>
                <w:webHidden/>
                <w:rStyle w:val="IndexLink"/>
                <w:rtl w:val="true"/>
              </w:rPr>
              <w:t>روش فهم</w:t>
            </w:r>
            <w:r>
              <w:rPr>
                <w:rStyle w:val="IndexLink"/>
                <w:rtl w:val="true"/>
              </w:rPr>
              <w:tab/>
            </w:r>
            <w:r>
              <w:rPr>
                <w:rStyle w:val="IndexLink"/>
              </w:rPr>
              <w:t>36</w:t>
            </w:r>
          </w:hyperlink>
        </w:p>
        <w:p>
          <w:pPr>
            <w:pStyle w:val="Contents4"/>
            <w:tabs>
              <w:tab w:val="clear" w:pos="8176"/>
              <w:tab w:val="right" w:pos="9026" w:leader="dot"/>
            </w:tabs>
            <w:rPr/>
          </w:pPr>
          <w:hyperlink w:anchor="__RefHeading___Toc2104972_2749589250">
            <w:r>
              <w:rPr>
                <w:webHidden/>
                <w:rStyle w:val="IndexLink"/>
              </w:rPr>
              <w:t>1</w:t>
            </w:r>
            <w:r>
              <w:rPr>
                <w:rStyle w:val="IndexLink"/>
                <w:rtl w:val="true"/>
              </w:rPr>
              <w:t xml:space="preserve">. </w:t>
            </w:r>
            <w:r>
              <w:rPr>
                <w:rStyle w:val="IndexLink"/>
                <w:rtl w:val="true"/>
              </w:rPr>
              <w:t>ماهیت آموزههای تعبدی در نگرۀ شیخ مفید</w:t>
            </w:r>
            <w:r>
              <w:rPr>
                <w:rStyle w:val="IndexLink"/>
                <w:rtl w:val="true"/>
              </w:rPr>
              <w:tab/>
            </w:r>
            <w:r>
              <w:rPr>
                <w:rStyle w:val="IndexLink"/>
              </w:rPr>
              <w:t>36</w:t>
            </w:r>
          </w:hyperlink>
        </w:p>
        <w:p>
          <w:pPr>
            <w:pStyle w:val="Contents4"/>
            <w:tabs>
              <w:tab w:val="clear" w:pos="8176"/>
              <w:tab w:val="right" w:pos="9026" w:leader="dot"/>
            </w:tabs>
            <w:rPr/>
          </w:pPr>
          <w:hyperlink w:anchor="__RefHeading___Toc2104974_2749589250">
            <w:r>
              <w:rPr>
                <w:webHidden/>
                <w:rStyle w:val="IndexLink"/>
              </w:rPr>
              <w:t>2</w:t>
            </w:r>
            <w:r>
              <w:rPr>
                <w:rStyle w:val="IndexLink"/>
                <w:rtl w:val="true"/>
              </w:rPr>
              <w:t xml:space="preserve">. </w:t>
            </w:r>
            <w:r>
              <w:rPr>
                <w:rStyle w:val="IndexLink"/>
                <w:rtl w:val="true"/>
              </w:rPr>
              <w:t>مبانی فهم</w:t>
            </w:r>
            <w:r>
              <w:rPr>
                <w:rStyle w:val="IndexLink"/>
                <w:rtl w:val="true"/>
              </w:rPr>
              <w:tab/>
            </w:r>
            <w:r>
              <w:rPr>
                <w:rStyle w:val="IndexLink"/>
              </w:rPr>
              <w:t>37</w:t>
            </w:r>
          </w:hyperlink>
        </w:p>
        <w:p>
          <w:pPr>
            <w:pStyle w:val="Contents5"/>
            <w:tabs>
              <w:tab w:val="clear" w:pos="7892"/>
              <w:tab w:val="right" w:pos="9026" w:leader="dot"/>
            </w:tabs>
            <w:rPr/>
          </w:pPr>
          <w:hyperlink w:anchor="__RefHeading___Toc2104976_274958925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104978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اکتسابی بودن معرفت دینی</w:t>
            </w:r>
            <w:r>
              <w:rPr>
                <w:rStyle w:val="IndexLink"/>
                <w:rtl w:val="true"/>
              </w:rPr>
              <w:tab/>
            </w:r>
            <w:r>
              <w:rPr>
                <w:rStyle w:val="IndexLink"/>
              </w:rPr>
              <w:t>38</w:t>
            </w:r>
          </w:hyperlink>
        </w:p>
        <w:p>
          <w:pPr>
            <w:pStyle w:val="Contents5"/>
            <w:tabs>
              <w:tab w:val="clear" w:pos="7892"/>
              <w:tab w:val="right" w:pos="9026" w:leader="dot"/>
            </w:tabs>
            <w:rPr/>
          </w:pPr>
          <w:hyperlink w:anchor="__RefHeading___Toc2104980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اعتبار و کارآمدی عقل در عرصۀ معرفت دینی</w:t>
            </w:r>
            <w:r>
              <w:rPr>
                <w:rStyle w:val="IndexLink"/>
                <w:rtl w:val="true"/>
              </w:rPr>
              <w:tab/>
            </w:r>
            <w:r>
              <w:rPr>
                <w:rStyle w:val="IndexLink"/>
              </w:rPr>
              <w:t>38</w:t>
            </w:r>
          </w:hyperlink>
        </w:p>
        <w:p>
          <w:pPr>
            <w:pStyle w:val="Contents5"/>
            <w:tabs>
              <w:tab w:val="clear" w:pos="7892"/>
              <w:tab w:val="right" w:pos="9026" w:leader="dot"/>
            </w:tabs>
            <w:rPr/>
          </w:pPr>
          <w:hyperlink w:anchor="__RefHeading___Toc2104982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اعتبار و کارآمدی نقل در عرصۀ معرفت دینی</w:t>
            </w:r>
            <w:r>
              <w:rPr>
                <w:rStyle w:val="IndexLink"/>
                <w:rtl w:val="true"/>
              </w:rPr>
              <w:tab/>
            </w:r>
            <w:r>
              <w:rPr>
                <w:rStyle w:val="IndexLink"/>
              </w:rPr>
              <w:t>39</w:t>
            </w:r>
          </w:hyperlink>
        </w:p>
        <w:p>
          <w:pPr>
            <w:pStyle w:val="Contents4"/>
            <w:tabs>
              <w:tab w:val="clear" w:pos="8176"/>
              <w:tab w:val="right" w:pos="9026" w:leader="dot"/>
            </w:tabs>
            <w:rPr/>
          </w:pPr>
          <w:hyperlink w:anchor="__RefHeading___Toc2104984_2749589250">
            <w:r>
              <w:rPr>
                <w:webHidden/>
                <w:rStyle w:val="IndexLink"/>
              </w:rPr>
              <w:t>3</w:t>
            </w:r>
            <w:r>
              <w:rPr>
                <w:rStyle w:val="IndexLink"/>
                <w:rtl w:val="true"/>
              </w:rPr>
              <w:t xml:space="preserve">. </w:t>
            </w:r>
            <w:r>
              <w:rPr>
                <w:rStyle w:val="IndexLink"/>
                <w:rtl w:val="true"/>
              </w:rPr>
              <w:t>منابع فهم</w:t>
            </w:r>
            <w:r>
              <w:rPr>
                <w:rStyle w:val="IndexLink"/>
                <w:rtl w:val="true"/>
              </w:rPr>
              <w:tab/>
            </w:r>
            <w:r>
              <w:rPr>
                <w:rStyle w:val="IndexLink"/>
              </w:rPr>
              <w:t>40</w:t>
            </w:r>
          </w:hyperlink>
        </w:p>
        <w:p>
          <w:pPr>
            <w:pStyle w:val="Contents4"/>
            <w:tabs>
              <w:tab w:val="clear" w:pos="8176"/>
              <w:tab w:val="right" w:pos="9026" w:leader="dot"/>
            </w:tabs>
            <w:rPr/>
          </w:pPr>
          <w:hyperlink w:anchor="__RefHeading___Toc2104986_2749589250">
            <w:r>
              <w:rPr>
                <w:webHidden/>
                <w:rStyle w:val="IndexLink"/>
              </w:rPr>
              <w:t>4</w:t>
            </w:r>
            <w:r>
              <w:rPr>
                <w:rStyle w:val="IndexLink"/>
                <w:rtl w:val="true"/>
              </w:rPr>
              <w:t xml:space="preserve">. </w:t>
            </w:r>
            <w:r>
              <w:rPr>
                <w:rStyle w:val="IndexLink"/>
                <w:rtl w:val="true"/>
              </w:rPr>
              <w:t>روش فهم</w:t>
            </w:r>
            <w:r>
              <w:rPr>
                <w:rStyle w:val="IndexLink"/>
                <w:rtl w:val="true"/>
              </w:rPr>
              <w:tab/>
            </w:r>
            <w:r>
              <w:rPr>
                <w:rStyle w:val="IndexLink"/>
              </w:rPr>
              <w:t>41</w:t>
            </w:r>
          </w:hyperlink>
        </w:p>
        <w:p>
          <w:pPr>
            <w:pStyle w:val="Contents5"/>
            <w:tabs>
              <w:tab w:val="clear" w:pos="7892"/>
              <w:tab w:val="right" w:pos="9026" w:leader="dot"/>
            </w:tabs>
            <w:rPr/>
          </w:pPr>
          <w:hyperlink w:anchor="__RefHeading___Toc2104988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104990_274958925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روش استفاده از منابع در فهم آموزههای خردگریز</w:t>
            </w:r>
            <w:r>
              <w:rPr>
                <w:rStyle w:val="IndexLink"/>
                <w:rtl w:val="true"/>
              </w:rPr>
              <w:tab/>
            </w:r>
            <w:r>
              <w:rPr>
                <w:rStyle w:val="IndexLink"/>
              </w:rPr>
              <w:t>41</w:t>
            </w:r>
          </w:hyperlink>
        </w:p>
        <w:p>
          <w:pPr>
            <w:pStyle w:val="Contents6"/>
            <w:tabs>
              <w:tab w:val="clear" w:pos="7609"/>
              <w:tab w:val="right" w:pos="9026" w:leader="dot"/>
            </w:tabs>
            <w:rPr/>
          </w:pPr>
          <w:hyperlink w:anchor="__RefHeading___Toc2104992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104994_2749589250">
            <w:r>
              <w:rPr>
                <w:webHidden/>
                <w:rStyle w:val="IndexLink"/>
              </w:rPr>
              <w:t>1</w:t>
            </w:r>
            <w:r>
              <w:rPr>
                <w:rStyle w:val="IndexLink"/>
                <w:rtl w:val="true"/>
              </w:rPr>
              <w:t>ـ</w:t>
            </w:r>
            <w:r>
              <w:rPr>
                <w:rStyle w:val="IndexLink"/>
              </w:rPr>
              <w:t>1</w:t>
            </w:r>
            <w:r>
              <w:rPr>
                <w:rStyle w:val="IndexLink"/>
                <w:rtl w:val="true"/>
              </w:rPr>
              <w:t>ـ</w:t>
            </w:r>
            <w:r>
              <w:rPr>
                <w:rStyle w:val="IndexLink"/>
              </w:rPr>
              <w:t>4</w:t>
            </w:r>
            <w:r>
              <w:rPr>
                <w:rStyle w:val="IndexLink"/>
                <w:rtl w:val="true"/>
              </w:rPr>
              <w:t xml:space="preserve">. </w:t>
            </w:r>
            <w:r>
              <w:rPr>
                <w:rStyle w:val="IndexLink"/>
                <w:rtl w:val="true"/>
              </w:rPr>
              <w:t>روش بهره‌گیری از نقل</w:t>
            </w:r>
            <w:r>
              <w:rPr>
                <w:rStyle w:val="IndexLink"/>
                <w:rtl w:val="true"/>
              </w:rPr>
              <w:tab/>
            </w:r>
            <w:r>
              <w:rPr>
                <w:rStyle w:val="IndexLink"/>
              </w:rPr>
              <w:t>41</w:t>
            </w:r>
          </w:hyperlink>
        </w:p>
        <w:p>
          <w:pPr>
            <w:pStyle w:val="Contents6"/>
            <w:tabs>
              <w:tab w:val="clear" w:pos="7609"/>
              <w:tab w:val="right" w:pos="9026" w:leader="dot"/>
            </w:tabs>
            <w:rPr/>
          </w:pPr>
          <w:hyperlink w:anchor="__RefHeading___Toc2104996_2749589250">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104998_2749589250">
            <w:r>
              <w:rPr>
                <w:webHidden/>
                <w:rStyle w:val="IndexLink"/>
                <w:rtl w:val="true"/>
              </w:rPr>
              <w:t>اکتشاف</w:t>
            </w:r>
            <w:r>
              <w:rPr>
                <w:rStyle w:val="IndexLink"/>
                <w:rtl w:val="true"/>
              </w:rPr>
              <w:t>:</w:t>
              <w:tab/>
            </w:r>
            <w:r>
              <w:rPr>
                <w:rStyle w:val="IndexLink"/>
              </w:rPr>
              <w:t>42</w:t>
            </w:r>
          </w:hyperlink>
        </w:p>
        <w:p>
          <w:pPr>
            <w:pStyle w:val="Contents6"/>
            <w:tabs>
              <w:tab w:val="clear" w:pos="7609"/>
              <w:tab w:val="right" w:pos="9026" w:leader="dot"/>
            </w:tabs>
            <w:rPr/>
          </w:pPr>
          <w:hyperlink w:anchor="__RefHeading___Toc2105000_2749589250">
            <w:r>
              <w:rPr>
                <w:webHidden/>
                <w:rStyle w:val="IndexLink"/>
                <w:rtl w:val="true"/>
              </w:rPr>
              <w:t>استنباط</w:t>
            </w:r>
            <w:r>
              <w:rPr>
                <w:rStyle w:val="IndexLink"/>
                <w:rtl w:val="true"/>
              </w:rPr>
              <w:t>:</w:t>
              <w:tab/>
            </w:r>
            <w:r>
              <w:rPr>
                <w:rStyle w:val="IndexLink"/>
              </w:rPr>
              <w:t>42</w:t>
            </w:r>
          </w:hyperlink>
        </w:p>
        <w:p>
          <w:pPr>
            <w:pStyle w:val="Contents6"/>
            <w:tabs>
              <w:tab w:val="clear" w:pos="7609"/>
              <w:tab w:val="right" w:pos="9026" w:leader="dot"/>
            </w:tabs>
            <w:rPr/>
          </w:pPr>
          <w:hyperlink w:anchor="__RefHeading___Toc2105002_2749589250">
            <w:r>
              <w:rPr>
                <w:webHidden/>
                <w:rStyle w:val="IndexLink"/>
              </w:rPr>
              <w:t>2</w:t>
            </w:r>
            <w:r>
              <w:rPr>
                <w:rStyle w:val="IndexLink"/>
                <w:rtl w:val="true"/>
              </w:rPr>
              <w:t>ـ</w:t>
            </w:r>
            <w:r>
              <w:rPr>
                <w:rStyle w:val="IndexLink"/>
              </w:rPr>
              <w:t>1</w:t>
            </w:r>
            <w:r>
              <w:rPr>
                <w:rStyle w:val="IndexLink"/>
                <w:rtl w:val="true"/>
              </w:rPr>
              <w:t>ـ</w:t>
            </w:r>
            <w:r>
              <w:rPr>
                <w:rStyle w:val="IndexLink"/>
              </w:rPr>
              <w:t>4</w:t>
            </w:r>
            <w:r>
              <w:rPr>
                <w:rStyle w:val="IndexLink"/>
                <w:rtl w:val="true"/>
              </w:rPr>
              <w:t xml:space="preserve">. </w:t>
            </w:r>
            <w:r>
              <w:rPr>
                <w:rStyle w:val="IndexLink"/>
                <w:rtl w:val="true"/>
              </w:rPr>
              <w:t>روش بهره‌گیری از عقل</w:t>
            </w:r>
            <w:r>
              <w:rPr>
                <w:rStyle w:val="IndexLink"/>
                <w:rtl w:val="true"/>
              </w:rPr>
              <w:tab/>
            </w:r>
            <w:r>
              <w:rPr>
                <w:rStyle w:val="IndexLink"/>
              </w:rPr>
              <w:t>43</w:t>
            </w:r>
          </w:hyperlink>
        </w:p>
        <w:p>
          <w:pPr>
            <w:pStyle w:val="Contents6"/>
            <w:tabs>
              <w:tab w:val="clear" w:pos="7609"/>
              <w:tab w:val="right" w:pos="9026" w:leader="dot"/>
            </w:tabs>
            <w:rPr/>
          </w:pPr>
          <w:hyperlink w:anchor="__RefHeading___Toc2105004_2749589250">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105006_2749589250">
            <w:r>
              <w:rPr>
                <w:webHidden/>
                <w:rStyle w:val="IndexLink"/>
                <w:rtl w:val="true"/>
              </w:rPr>
              <w:t>احراز سازگاری نقل با احکام عقل</w:t>
            </w:r>
            <w:r>
              <w:rPr>
                <w:rStyle w:val="IndexLink"/>
                <w:rtl w:val="true"/>
              </w:rPr>
              <w:t>:</w:t>
              <w:tab/>
            </w:r>
            <w:r>
              <w:rPr>
                <w:rStyle w:val="IndexLink"/>
              </w:rPr>
              <w:t>44</w:t>
            </w:r>
          </w:hyperlink>
        </w:p>
        <w:p>
          <w:pPr>
            <w:pStyle w:val="Contents6"/>
            <w:tabs>
              <w:tab w:val="clear" w:pos="7609"/>
              <w:tab w:val="right" w:pos="9026" w:leader="dot"/>
            </w:tabs>
            <w:rPr/>
          </w:pPr>
          <w:hyperlink w:anchor="__RefHeading___Toc2105008_2749589250">
            <w:r>
              <w:rPr>
                <w:webHidden/>
                <w:rStyle w:val="IndexLink"/>
                <w:rtl w:val="true"/>
              </w:rPr>
              <w:t>استنباط آموزۀ تعبدی</w:t>
            </w:r>
            <w:r>
              <w:rPr>
                <w:rStyle w:val="IndexLink"/>
                <w:rtl w:val="true"/>
              </w:rPr>
              <w:t>:</w:t>
              <w:tab/>
            </w:r>
            <w:r>
              <w:rPr>
                <w:rStyle w:val="IndexLink"/>
              </w:rPr>
              <w:t>44</w:t>
            </w:r>
          </w:hyperlink>
        </w:p>
        <w:p>
          <w:pPr>
            <w:pStyle w:val="Contents6"/>
            <w:tabs>
              <w:tab w:val="clear" w:pos="7609"/>
              <w:tab w:val="right" w:pos="9026" w:leader="dot"/>
            </w:tabs>
            <w:rPr/>
          </w:pPr>
          <w:hyperlink w:anchor="__RefHeading___Toc2105010_2749589250">
            <w:r>
              <w:rPr>
                <w:webHidden/>
                <w:rStyle w:val="IndexLink"/>
                <w:rtl w:val="true"/>
              </w:rPr>
              <w:t>شفاف‌سازی آموزۀ تعبدی</w:t>
            </w:r>
            <w:r>
              <w:rPr>
                <w:rStyle w:val="IndexLink"/>
                <w:rtl w:val="true"/>
              </w:rPr>
              <w:t>:</w:t>
              <w:tab/>
            </w:r>
            <w:r>
              <w:rPr>
                <w:rStyle w:val="IndexLink"/>
              </w:rPr>
              <w:t>44</w:t>
            </w:r>
          </w:hyperlink>
        </w:p>
        <w:p>
          <w:pPr>
            <w:pStyle w:val="Contents5"/>
            <w:tabs>
              <w:tab w:val="clear" w:pos="7892"/>
              <w:tab w:val="right" w:pos="9026" w:leader="dot"/>
            </w:tabs>
            <w:rPr/>
          </w:pPr>
          <w:hyperlink w:anchor="__RefHeading___Toc2105012_274958925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روش استفاده از منابع در فهم آموزه‌های خردستیز</w:t>
            </w:r>
            <w:r>
              <w:rPr>
                <w:rStyle w:val="IndexLink"/>
                <w:rtl w:val="true"/>
              </w:rPr>
              <w:tab/>
            </w:r>
            <w:r>
              <w:rPr>
                <w:rStyle w:val="IndexLink"/>
              </w:rPr>
              <w:t>45</w:t>
            </w:r>
          </w:hyperlink>
        </w:p>
        <w:p>
          <w:pPr>
            <w:pStyle w:val="Contents6"/>
            <w:tabs>
              <w:tab w:val="clear" w:pos="7609"/>
              <w:tab w:val="right" w:pos="9026" w:leader="dot"/>
            </w:tabs>
            <w:rPr/>
          </w:pPr>
          <w:hyperlink w:anchor="__RefHeading___Toc2105014_274958925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105016_2749589250">
            <w:r>
              <w:rPr>
                <w:webHidden/>
                <w:rStyle w:val="IndexLink"/>
              </w:rPr>
              <w:t>1</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روش بهره‌گیری از عقل</w:t>
            </w:r>
            <w:r>
              <w:rPr>
                <w:rStyle w:val="IndexLink"/>
                <w:rtl w:val="true"/>
              </w:rPr>
              <w:tab/>
            </w:r>
            <w:r>
              <w:rPr>
                <w:rStyle w:val="IndexLink"/>
              </w:rPr>
              <w:t>45</w:t>
            </w:r>
          </w:hyperlink>
        </w:p>
        <w:p>
          <w:pPr>
            <w:pStyle w:val="Contents6"/>
            <w:tabs>
              <w:tab w:val="clear" w:pos="7609"/>
              <w:tab w:val="right" w:pos="9026" w:leader="dot"/>
            </w:tabs>
            <w:rPr/>
          </w:pPr>
          <w:hyperlink w:anchor="__RefHeading___Toc2105018_274958925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105020_2749589250">
            <w:r>
              <w:rPr>
                <w:webHidden/>
                <w:rStyle w:val="IndexLink"/>
              </w:rPr>
              <w:t>1</w:t>
            </w:r>
            <w:r>
              <w:rPr>
                <w:rStyle w:val="IndexLink"/>
                <w:rtl w:val="true"/>
              </w:rPr>
              <w:t>.</w:t>
              <w:tab/>
            </w:r>
            <w:r>
              <w:rPr>
                <w:rStyle w:val="IndexLink"/>
              </w:rPr>
              <w:t>46</w:t>
            </w:r>
          </w:hyperlink>
        </w:p>
        <w:p>
          <w:pPr>
            <w:pStyle w:val="Contents6"/>
            <w:tabs>
              <w:tab w:val="clear" w:pos="7609"/>
              <w:tab w:val="right" w:pos="9026" w:leader="dot"/>
            </w:tabs>
            <w:rPr/>
          </w:pPr>
          <w:hyperlink w:anchor="__RefHeading___Toc2105022_2749589250">
            <w:r>
              <w:rPr>
                <w:webHidden/>
                <w:rStyle w:val="IndexLink"/>
              </w:rPr>
              <w:t>2</w:t>
            </w:r>
            <w:r>
              <w:rPr>
                <w:rStyle w:val="IndexLink"/>
                <w:rtl w:val="true"/>
              </w:rPr>
              <w:t>.</w:t>
              <w:tab/>
            </w:r>
            <w:r>
              <w:rPr>
                <w:rStyle w:val="IndexLink"/>
              </w:rPr>
              <w:t>46</w:t>
            </w:r>
          </w:hyperlink>
        </w:p>
        <w:p>
          <w:pPr>
            <w:pStyle w:val="Contents6"/>
            <w:tabs>
              <w:tab w:val="clear" w:pos="7609"/>
              <w:tab w:val="right" w:pos="9026" w:leader="dot"/>
            </w:tabs>
            <w:rPr/>
          </w:pPr>
          <w:hyperlink w:anchor="__RefHeading___Toc2105024_2749589250">
            <w:r>
              <w:rPr>
                <w:webHidden/>
                <w:rStyle w:val="IndexLink"/>
              </w:rPr>
              <w:t>3</w:t>
            </w:r>
            <w:r>
              <w:rPr>
                <w:rStyle w:val="IndexLink"/>
                <w:rtl w:val="true"/>
              </w:rPr>
              <w:t>.</w:t>
              <w:tab/>
            </w:r>
            <w:r>
              <w:rPr>
                <w:rStyle w:val="IndexLink"/>
              </w:rPr>
              <w:t>46</w:t>
            </w:r>
          </w:hyperlink>
        </w:p>
        <w:p>
          <w:pPr>
            <w:pStyle w:val="Contents6"/>
            <w:tabs>
              <w:tab w:val="clear" w:pos="7609"/>
              <w:tab w:val="right" w:pos="9026" w:leader="dot"/>
            </w:tabs>
            <w:rPr/>
          </w:pPr>
          <w:hyperlink w:anchor="__RefHeading___Toc2105026_2749589250">
            <w:r>
              <w:rPr>
                <w:webHidden/>
                <w:rStyle w:val="IndexLink"/>
              </w:rPr>
              <w:t>4</w:t>
            </w:r>
            <w:r>
              <w:rPr>
                <w:rStyle w:val="IndexLink"/>
                <w:rtl w:val="true"/>
              </w:rPr>
              <w:t>.</w:t>
              <w:tab/>
            </w:r>
            <w:r>
              <w:rPr>
                <w:rStyle w:val="IndexLink"/>
              </w:rPr>
              <w:t>47</w:t>
            </w:r>
          </w:hyperlink>
        </w:p>
        <w:p>
          <w:pPr>
            <w:pStyle w:val="Contents6"/>
            <w:tabs>
              <w:tab w:val="clear" w:pos="7609"/>
              <w:tab w:val="right" w:pos="9026" w:leader="dot"/>
            </w:tabs>
            <w:rPr/>
          </w:pPr>
          <w:hyperlink w:anchor="__RefHeading___Toc2105028_2749589250">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105030_2749589250">
            <w:r>
              <w:rPr>
                <w:webHidden/>
                <w:rStyle w:val="IndexLink"/>
                <w:rtl w:val="true"/>
              </w:rPr>
              <w:t>الف</w:t>
            </w:r>
            <w:r>
              <w:rPr>
                <w:rStyle w:val="IndexLink"/>
                <w:rtl w:val="true"/>
              </w:rPr>
              <w:t xml:space="preserve">. </w:t>
            </w:r>
            <w:r>
              <w:rPr>
                <w:rStyle w:val="IndexLink"/>
                <w:rtl w:val="true"/>
              </w:rPr>
              <w:t>تفسیر متن خردستیز بر اساس متن خردپذیر</w:t>
            </w:r>
            <w:r>
              <w:rPr>
                <w:rStyle w:val="IndexLink"/>
                <w:rtl w:val="true"/>
              </w:rPr>
              <w:t>:</w:t>
              <w:tab/>
            </w:r>
            <w:r>
              <w:rPr>
                <w:rStyle w:val="IndexLink"/>
              </w:rPr>
              <w:t>47</w:t>
            </w:r>
          </w:hyperlink>
        </w:p>
        <w:p>
          <w:pPr>
            <w:pStyle w:val="Contents6"/>
            <w:tabs>
              <w:tab w:val="clear" w:pos="7609"/>
              <w:tab w:val="right" w:pos="9026" w:leader="dot"/>
            </w:tabs>
            <w:rPr/>
          </w:pPr>
          <w:hyperlink w:anchor="__RefHeading___Toc2105032_2749589250">
            <w:r>
              <w:rPr>
                <w:webHidden/>
                <w:rStyle w:val="IndexLink"/>
                <w:rtl w:val="true"/>
              </w:rPr>
              <w:t>ب</w:t>
            </w:r>
            <w:r>
              <w:rPr>
                <w:rStyle w:val="IndexLink"/>
                <w:rtl w:val="true"/>
              </w:rPr>
              <w:t xml:space="preserve">. </w:t>
            </w:r>
            <w:r>
              <w:rPr>
                <w:rStyle w:val="IndexLink"/>
                <w:rtl w:val="true"/>
              </w:rPr>
              <w:t>جای‌گزینی متن خردستیز با متن غیر خردستیز</w:t>
            </w:r>
            <w:r>
              <w:rPr>
                <w:rStyle w:val="IndexLink"/>
                <w:rtl w:val="true"/>
              </w:rPr>
              <w:t>:</w:t>
              <w:tab/>
            </w:r>
            <w:r>
              <w:rPr>
                <w:rStyle w:val="IndexLink"/>
              </w:rPr>
              <w:t>48</w:t>
            </w:r>
          </w:hyperlink>
        </w:p>
        <w:p>
          <w:pPr>
            <w:pStyle w:val="Contents6"/>
            <w:tabs>
              <w:tab w:val="clear" w:pos="7609"/>
              <w:tab w:val="right" w:pos="9026" w:leader="dot"/>
            </w:tabs>
            <w:rPr/>
          </w:pPr>
          <w:hyperlink w:anchor="__RefHeading___Toc2105034_2749589250">
            <w:r>
              <w:rPr>
                <w:webHidden/>
                <w:rStyle w:val="IndexLink"/>
                <w:rtl w:val="true"/>
              </w:rPr>
              <w:t>تأویل متن خردستیز</w:t>
            </w:r>
            <w:r>
              <w:rPr>
                <w:rStyle w:val="IndexLink"/>
                <w:rtl w:val="true"/>
              </w:rPr>
              <w:t>:</w:t>
              <w:tab/>
            </w:r>
            <w:r>
              <w:rPr>
                <w:rStyle w:val="IndexLink"/>
              </w:rPr>
              <w:t>48</w:t>
            </w:r>
          </w:hyperlink>
        </w:p>
        <w:p>
          <w:pPr>
            <w:pStyle w:val="Contents6"/>
            <w:tabs>
              <w:tab w:val="clear" w:pos="7609"/>
              <w:tab w:val="right" w:pos="9026" w:leader="dot"/>
            </w:tabs>
            <w:rPr/>
          </w:pPr>
          <w:hyperlink w:anchor="__RefHeading___Toc2105036_2749589250">
            <w:r>
              <w:rPr>
                <w:webHidden/>
                <w:rStyle w:val="IndexLink"/>
              </w:rPr>
              <w:t>2</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روش بهره‌گیری از نقل</w:t>
            </w:r>
            <w:r>
              <w:rPr>
                <w:rStyle w:val="IndexLink"/>
                <w:rtl w:val="true"/>
              </w:rPr>
              <w:tab/>
            </w:r>
            <w:r>
              <w:rPr>
                <w:rStyle w:val="IndexLink"/>
              </w:rPr>
              <w:t>49</w:t>
            </w:r>
          </w:hyperlink>
        </w:p>
        <w:p>
          <w:pPr>
            <w:pStyle w:val="Contents6"/>
            <w:tabs>
              <w:tab w:val="clear" w:pos="7609"/>
              <w:tab w:val="right" w:pos="9026" w:leader="dot"/>
            </w:tabs>
            <w:rPr/>
          </w:pPr>
          <w:hyperlink w:anchor="__RefHeading___Toc2105038_2749589250">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105040_2749589250">
            <w:r>
              <w:rPr>
                <w:webHidden/>
                <w:rStyle w:val="IndexLink"/>
                <w:rtl w:val="true"/>
              </w:rPr>
              <w:t>کشف آموزۀ تعبدی</w:t>
            </w:r>
            <w:r>
              <w:rPr>
                <w:rStyle w:val="IndexLink"/>
                <w:rtl w:val="true"/>
              </w:rPr>
              <w:t>:</w:t>
              <w:tab/>
            </w:r>
            <w:r>
              <w:rPr>
                <w:rStyle w:val="IndexLink"/>
              </w:rPr>
              <w:t>49</w:t>
            </w:r>
          </w:hyperlink>
        </w:p>
        <w:p>
          <w:pPr>
            <w:pStyle w:val="Contents6"/>
            <w:tabs>
              <w:tab w:val="clear" w:pos="7609"/>
              <w:tab w:val="right" w:pos="9026" w:leader="dot"/>
            </w:tabs>
            <w:rPr/>
          </w:pPr>
          <w:hyperlink w:anchor="__RefHeading___Toc2105042_2749589250">
            <w:r>
              <w:rPr>
                <w:webHidden/>
                <w:rStyle w:val="IndexLink"/>
                <w:rtl w:val="true"/>
              </w:rPr>
              <w:t>رفع خردستیزی آموزۀ تعبدی</w:t>
            </w:r>
            <w:r>
              <w:rPr>
                <w:rStyle w:val="IndexLink"/>
                <w:rtl w:val="true"/>
              </w:rPr>
              <w:t>:</w:t>
              <w:tab/>
            </w:r>
            <w:r>
              <w:rPr>
                <w:rStyle w:val="IndexLink"/>
              </w:rPr>
              <w:t>49</w:t>
            </w:r>
          </w:hyperlink>
        </w:p>
        <w:p>
          <w:pPr>
            <w:pStyle w:val="Contents3"/>
            <w:tabs>
              <w:tab w:val="clear" w:pos="8459"/>
              <w:tab w:val="right" w:pos="9026" w:leader="dot"/>
            </w:tabs>
            <w:rPr/>
          </w:pPr>
          <w:hyperlink w:anchor="__RefHeading___Toc2105044_2749589250">
            <w:r>
              <w:rPr>
                <w:webHidden/>
                <w:rStyle w:val="IndexLink"/>
                <w:rtl w:val="true"/>
              </w:rPr>
              <w:t>نتیجه گیری</w:t>
            </w:r>
            <w:r>
              <w:rPr>
                <w:rStyle w:val="IndexLink"/>
                <w:rtl w:val="true"/>
              </w:rPr>
              <w:tab/>
            </w:r>
            <w:r>
              <w:rPr>
                <w:rStyle w:val="IndexLink"/>
              </w:rPr>
              <w:t>50</w:t>
            </w:r>
          </w:hyperlink>
        </w:p>
        <w:p>
          <w:pPr>
            <w:pStyle w:val="Contents3"/>
            <w:tabs>
              <w:tab w:val="clear" w:pos="8459"/>
              <w:tab w:val="right" w:pos="9026" w:leader="dot"/>
            </w:tabs>
            <w:rPr/>
          </w:pPr>
          <w:hyperlink w:anchor="__RefHeading___Toc2105046_2749589250">
            <w:r>
              <w:rPr>
                <w:webHidden/>
                <w:rStyle w:val="IndexLink"/>
                <w:rtl w:val="true"/>
              </w:rPr>
              <w:t>منابع</w:t>
            </w:r>
            <w:r>
              <w:rPr>
                <w:rStyle w:val="IndexLink"/>
                <w:rtl w:val="true"/>
              </w:rPr>
              <w:tab/>
            </w:r>
            <w:r>
              <w:rPr>
                <w:rStyle w:val="IndexLink"/>
              </w:rPr>
              <w:t>51</w:t>
            </w:r>
          </w:hyperlink>
        </w:p>
        <w:p>
          <w:pPr>
            <w:pStyle w:val="Contents2"/>
            <w:tabs>
              <w:tab w:val="clear" w:pos="8743"/>
              <w:tab w:val="right" w:pos="9026" w:leader="dot"/>
            </w:tabs>
            <w:rPr/>
          </w:pPr>
          <w:hyperlink w:anchor="__RefHeading___Toc2105048_2749589250">
            <w:r>
              <w:rPr>
                <w:webHidden/>
                <w:rStyle w:val="IndexLink"/>
                <w:rtl w:val="true"/>
              </w:rPr>
              <w:t>معنا و ماهیت روح در قرآن از منظر تفسیر مناهج البیان</w:t>
            </w:r>
            <w:r>
              <w:rPr>
                <w:rStyle w:val="IndexLink"/>
                <w:rtl w:val="true"/>
              </w:rPr>
              <w:t xml:space="preserve">/ </w:t>
            </w:r>
            <w:r>
              <w:rPr>
                <w:rStyle w:val="IndexLink"/>
                <w:rtl w:val="true"/>
              </w:rPr>
              <w:t xml:space="preserve">مهدی باغبان خطیبی </w:t>
            </w:r>
            <w:r>
              <w:rPr>
                <w:rStyle w:val="IndexLink"/>
                <w:rtl w:val="true"/>
              </w:rPr>
              <w:t xml:space="preserve">_ </w:t>
            </w:r>
            <w:r>
              <w:rPr>
                <w:rStyle w:val="IndexLink"/>
                <w:rtl w:val="true"/>
              </w:rPr>
              <w:t>محمدتقی سبحانی</w:t>
            </w:r>
            <w:r>
              <w:rPr>
                <w:rStyle w:val="IndexLink"/>
                <w:rtl w:val="true"/>
              </w:rPr>
              <w:tab/>
            </w:r>
            <w:r>
              <w:rPr>
                <w:rStyle w:val="IndexLink"/>
              </w:rPr>
              <w:t>53</w:t>
            </w:r>
          </w:hyperlink>
        </w:p>
        <w:p>
          <w:pPr>
            <w:pStyle w:val="Contents3"/>
            <w:tabs>
              <w:tab w:val="clear" w:pos="8459"/>
              <w:tab w:val="right" w:pos="9026" w:leader="dot"/>
            </w:tabs>
            <w:rPr/>
          </w:pPr>
          <w:hyperlink w:anchor="__RefHeading___Toc2105050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105052_2749589250">
            <w:r>
              <w:rPr>
                <w:webHidden/>
                <w:rStyle w:val="IndexLink"/>
                <w:rtl w:val="true"/>
              </w:rPr>
              <w:t>چکیده</w:t>
            </w:r>
            <w:r>
              <w:rPr>
                <w:rStyle w:val="IndexLink"/>
                <w:rtl w:val="true"/>
              </w:rPr>
              <w:tab/>
            </w:r>
            <w:r>
              <w:rPr>
                <w:rStyle w:val="IndexLink"/>
              </w:rPr>
              <w:t>53</w:t>
            </w:r>
          </w:hyperlink>
        </w:p>
        <w:p>
          <w:pPr>
            <w:pStyle w:val="Contents3"/>
            <w:tabs>
              <w:tab w:val="clear" w:pos="8459"/>
              <w:tab w:val="right" w:pos="9026" w:leader="dot"/>
            </w:tabs>
            <w:rPr/>
          </w:pPr>
          <w:hyperlink w:anchor="__RefHeading___Toc2105054_2749589250">
            <w:r>
              <w:rPr>
                <w:webHidden/>
                <w:rStyle w:val="IndexLink"/>
                <w:rtl w:val="true"/>
              </w:rPr>
              <w:t>واژگان کلیدی</w:t>
            </w:r>
            <w:r>
              <w:rPr>
                <w:rStyle w:val="IndexLink"/>
                <w:rtl w:val="true"/>
              </w:rPr>
              <w:tab/>
            </w:r>
            <w:r>
              <w:rPr>
                <w:rStyle w:val="IndexLink"/>
              </w:rPr>
              <w:t>53</w:t>
            </w:r>
          </w:hyperlink>
        </w:p>
        <w:p>
          <w:pPr>
            <w:pStyle w:val="Contents3"/>
            <w:tabs>
              <w:tab w:val="clear" w:pos="8459"/>
              <w:tab w:val="right" w:pos="9026" w:leader="dot"/>
            </w:tabs>
            <w:rPr/>
          </w:pPr>
          <w:hyperlink w:anchor="__RefHeading___Toc2105056_2749589250">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2105058_2749589250">
            <w:r>
              <w:rPr>
                <w:webHidden/>
                <w:rStyle w:val="IndexLink"/>
              </w:rPr>
              <w:t>1</w:t>
            </w:r>
            <w:r>
              <w:rPr>
                <w:rStyle w:val="IndexLink"/>
                <w:rtl w:val="true"/>
              </w:rPr>
              <w:t xml:space="preserve">. </w:t>
            </w:r>
            <w:r>
              <w:rPr>
                <w:rStyle w:val="IndexLink"/>
                <w:rtl w:val="true"/>
              </w:rPr>
              <w:t>ابعاد نظریۀ روح در قرآن</w:t>
            </w:r>
            <w:r>
              <w:rPr>
                <w:rStyle w:val="IndexLink"/>
                <w:rtl w:val="true"/>
              </w:rPr>
              <w:tab/>
            </w:r>
            <w:r>
              <w:rPr>
                <w:rStyle w:val="IndexLink"/>
              </w:rPr>
              <w:t>54</w:t>
            </w:r>
          </w:hyperlink>
        </w:p>
        <w:p>
          <w:pPr>
            <w:pStyle w:val="Contents3"/>
            <w:tabs>
              <w:tab w:val="clear" w:pos="8459"/>
              <w:tab w:val="right" w:pos="9026" w:leader="dot"/>
            </w:tabs>
            <w:rPr/>
          </w:pPr>
          <w:hyperlink w:anchor="__RefHeading___Toc2105060_2749589250">
            <w:r>
              <w:rPr>
                <w:webHidden/>
                <w:rStyle w:val="IndexLink"/>
              </w:rPr>
              <w:t>2</w:t>
            </w:r>
            <w:r>
              <w:rPr>
                <w:rStyle w:val="IndexLink"/>
                <w:rtl w:val="true"/>
              </w:rPr>
              <w:t xml:space="preserve">. </w:t>
            </w:r>
            <w:r>
              <w:rPr>
                <w:rStyle w:val="IndexLink"/>
                <w:rtl w:val="true"/>
              </w:rPr>
              <w:t>نظریۀ تفسیری روح در قرآن</w:t>
            </w:r>
            <w:r>
              <w:rPr>
                <w:rStyle w:val="IndexLink"/>
                <w:rtl w:val="true"/>
              </w:rPr>
              <w:tab/>
            </w:r>
            <w:r>
              <w:rPr>
                <w:rStyle w:val="IndexLink"/>
              </w:rPr>
              <w:t>55</w:t>
            </w:r>
          </w:hyperlink>
        </w:p>
        <w:p>
          <w:pPr>
            <w:pStyle w:val="Contents4"/>
            <w:tabs>
              <w:tab w:val="clear" w:pos="8176"/>
              <w:tab w:val="right" w:pos="9026" w:leader="dot"/>
            </w:tabs>
            <w:rPr/>
          </w:pPr>
          <w:hyperlink w:anchor="__RefHeading___Toc2105062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105064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چیستی روح</w:t>
            </w:r>
            <w:r>
              <w:rPr>
                <w:rStyle w:val="IndexLink"/>
                <w:rtl w:val="true"/>
              </w:rPr>
              <w:tab/>
            </w:r>
            <w:r>
              <w:rPr>
                <w:rStyle w:val="IndexLink"/>
              </w:rPr>
              <w:t>55</w:t>
            </w:r>
          </w:hyperlink>
        </w:p>
        <w:p>
          <w:pPr>
            <w:pStyle w:val="Contents5"/>
            <w:tabs>
              <w:tab w:val="clear" w:pos="7892"/>
              <w:tab w:val="right" w:pos="9026" w:leader="dot"/>
            </w:tabs>
            <w:rPr/>
          </w:pPr>
          <w:hyperlink w:anchor="__RefHeading___Toc2105066_274958925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105068_2749589250">
            <w:r>
              <w:rPr>
                <w:webHidden/>
                <w:rStyle w:val="IndexLink"/>
                <w:rtl w:val="true"/>
              </w:rPr>
              <w:t>الف</w:t>
            </w:r>
            <w:r>
              <w:rPr>
                <w:rStyle w:val="IndexLink"/>
                <w:rtl w:val="true"/>
              </w:rPr>
              <w:t>.</w:t>
              <w:tab/>
            </w:r>
            <w:r>
              <w:rPr>
                <w:rStyle w:val="IndexLink"/>
              </w:rPr>
              <w:t>55</w:t>
            </w:r>
          </w:hyperlink>
        </w:p>
        <w:p>
          <w:pPr>
            <w:pStyle w:val="Contents5"/>
            <w:tabs>
              <w:tab w:val="clear" w:pos="7892"/>
              <w:tab w:val="right" w:pos="9026" w:leader="dot"/>
            </w:tabs>
            <w:rPr/>
          </w:pPr>
          <w:hyperlink w:anchor="__RefHeading___Toc2105070_2749589250">
            <w:r>
              <w:rPr>
                <w:webHidden/>
                <w:rStyle w:val="IndexLink"/>
                <w:rtl w:val="true"/>
              </w:rPr>
              <w:t>ب</w:t>
            </w:r>
            <w:r>
              <w:rPr>
                <w:rStyle w:val="IndexLink"/>
                <w:rtl w:val="true"/>
              </w:rPr>
              <w:t>.</w:t>
              <w:tab/>
            </w:r>
            <w:r>
              <w:rPr>
                <w:rStyle w:val="IndexLink"/>
              </w:rPr>
              <w:t>55</w:t>
            </w:r>
          </w:hyperlink>
        </w:p>
        <w:p>
          <w:pPr>
            <w:pStyle w:val="Contents5"/>
            <w:tabs>
              <w:tab w:val="clear" w:pos="7892"/>
              <w:tab w:val="right" w:pos="9026" w:leader="dot"/>
            </w:tabs>
            <w:rPr/>
          </w:pPr>
          <w:hyperlink w:anchor="__RefHeading___Toc2105072_2749589250">
            <w:r>
              <w:rPr>
                <w:webHidden/>
                <w:rStyle w:val="IndexLink"/>
                <w:rtl w:val="true"/>
              </w:rPr>
              <w:t>ج</w:t>
            </w:r>
            <w:r>
              <w:rPr>
                <w:rStyle w:val="IndexLink"/>
                <w:rtl w:val="true"/>
              </w:rPr>
              <w:t>.</w:t>
              <w:tab/>
            </w:r>
            <w:r>
              <w:rPr>
                <w:rStyle w:val="IndexLink"/>
              </w:rPr>
              <w:t>55</w:t>
            </w:r>
          </w:hyperlink>
        </w:p>
        <w:p>
          <w:pPr>
            <w:pStyle w:val="Contents5"/>
            <w:tabs>
              <w:tab w:val="clear" w:pos="7892"/>
              <w:tab w:val="right" w:pos="9026" w:leader="dot"/>
            </w:tabs>
            <w:rPr/>
          </w:pPr>
          <w:hyperlink w:anchor="__RefHeading___Toc2105074_2749589250">
            <w:r>
              <w:rPr>
                <w:webHidden/>
                <w:rStyle w:val="IndexLink"/>
                <w:rtl w:val="true"/>
              </w:rPr>
              <w:t>...</w:t>
              <w:tab/>
            </w:r>
            <w:r>
              <w:rPr>
                <w:rStyle w:val="IndexLink"/>
              </w:rPr>
              <w:t>55</w:t>
            </w:r>
          </w:hyperlink>
        </w:p>
        <w:p>
          <w:pPr>
            <w:pStyle w:val="Contents4"/>
            <w:tabs>
              <w:tab w:val="clear" w:pos="8176"/>
              <w:tab w:val="right" w:pos="9026" w:leader="dot"/>
            </w:tabs>
            <w:rPr/>
          </w:pPr>
          <w:hyperlink w:anchor="__RefHeading___Toc2105076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نسبت وجودی روح القدس با پیامبران</w:t>
            </w:r>
            <w:r>
              <w:rPr>
                <w:rStyle w:val="IndexLink"/>
              </w:rPr>
              <w:t></w:t>
            </w:r>
            <w:r>
              <w:rPr>
                <w:rStyle w:val="IndexLink"/>
                <w:rtl w:val="true"/>
              </w:rPr>
              <w:tab/>
            </w:r>
            <w:r>
              <w:rPr>
                <w:rStyle w:val="IndexLink"/>
              </w:rPr>
              <w:t>56</w:t>
            </w:r>
          </w:hyperlink>
        </w:p>
        <w:p>
          <w:pPr>
            <w:pStyle w:val="Contents5"/>
            <w:tabs>
              <w:tab w:val="clear" w:pos="7892"/>
              <w:tab w:val="right" w:pos="9026" w:leader="dot"/>
            </w:tabs>
            <w:rPr/>
          </w:pPr>
          <w:hyperlink w:anchor="__RefHeading___Toc2105078_274958925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105080_2749589250">
            <w:r>
              <w:rPr>
                <w:webHidden/>
                <w:rStyle w:val="IndexLink"/>
              </w:rPr>
              <w:t>1</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روح القدس و پیامبر اکرم</w:t>
            </w:r>
            <w:r>
              <w:rPr>
                <w:rStyle w:val="IndexLink"/>
              </w:rPr>
              <w:t></w:t>
            </w:r>
            <w:r>
              <w:rPr>
                <w:rStyle w:val="IndexLink"/>
                <w:rtl w:val="true"/>
              </w:rPr>
              <w:tab/>
            </w:r>
            <w:r>
              <w:rPr>
                <w:rStyle w:val="IndexLink"/>
              </w:rPr>
              <w:t>56</w:t>
            </w:r>
          </w:hyperlink>
        </w:p>
        <w:p>
          <w:pPr>
            <w:pStyle w:val="Contents5"/>
            <w:tabs>
              <w:tab w:val="clear" w:pos="7892"/>
              <w:tab w:val="right" w:pos="9026" w:leader="dot"/>
            </w:tabs>
            <w:rPr/>
          </w:pPr>
          <w:hyperlink w:anchor="__RefHeading___Toc2105082_2749589250">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روح القدس و حضرت آدم</w:t>
            </w:r>
            <w:r>
              <w:rPr>
                <w:rStyle w:val="IndexLink"/>
                <w:rtl w:val="true"/>
              </w:rPr>
              <w:tab/>
            </w:r>
            <w:r>
              <w:rPr>
                <w:rStyle w:val="IndexLink"/>
              </w:rPr>
              <w:t>57</w:t>
            </w:r>
          </w:hyperlink>
        </w:p>
        <w:p>
          <w:pPr>
            <w:pStyle w:val="Contents5"/>
            <w:tabs>
              <w:tab w:val="clear" w:pos="7892"/>
              <w:tab w:val="right" w:pos="9026" w:leader="dot"/>
            </w:tabs>
            <w:rPr/>
          </w:pPr>
          <w:hyperlink w:anchor="__RefHeading___Toc2105084_2749589250">
            <w:r>
              <w:rPr>
                <w:webHidden/>
                <w:rStyle w:val="IndexLink"/>
              </w:rPr>
              <w:t>3</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روح القدس و حضرت عیسی</w:t>
            </w:r>
            <w:r>
              <w:rPr>
                <w:rStyle w:val="IndexLink"/>
              </w:rPr>
              <w:t></w:t>
            </w:r>
            <w:r>
              <w:rPr>
                <w:rStyle w:val="IndexLink"/>
                <w:rtl w:val="true"/>
              </w:rPr>
              <w:tab/>
            </w:r>
            <w:r>
              <w:rPr>
                <w:rStyle w:val="IndexLink"/>
              </w:rPr>
              <w:t>58</w:t>
            </w:r>
          </w:hyperlink>
        </w:p>
        <w:p>
          <w:pPr>
            <w:pStyle w:val="Contents5"/>
            <w:tabs>
              <w:tab w:val="clear" w:pos="7892"/>
              <w:tab w:val="right" w:pos="9026" w:leader="dot"/>
            </w:tabs>
            <w:rPr/>
          </w:pPr>
          <w:hyperlink w:anchor="__RefHeading___Toc2105086_2749589250">
            <w:r>
              <w:rPr>
                <w:webHidden/>
                <w:rStyle w:val="IndexLink"/>
              </w:rPr>
              <w:t>4</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روح القدس و سایر پیامبران</w:t>
            </w:r>
            <w:r>
              <w:rPr>
                <w:rStyle w:val="IndexLink"/>
                <w:rtl w:val="true"/>
              </w:rPr>
              <w:tab/>
            </w:r>
            <w:r>
              <w:rPr>
                <w:rStyle w:val="IndexLink"/>
              </w:rPr>
              <w:t>61</w:t>
            </w:r>
          </w:hyperlink>
        </w:p>
        <w:p>
          <w:pPr>
            <w:pStyle w:val="Contents4"/>
            <w:tabs>
              <w:tab w:val="clear" w:pos="8176"/>
              <w:tab w:val="right" w:pos="9026" w:leader="dot"/>
            </w:tabs>
            <w:rPr/>
          </w:pPr>
          <w:hyperlink w:anchor="__RefHeading___Toc2105088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نسبت وجودی روح القدس با فرشتگان</w:t>
            </w:r>
            <w:r>
              <w:rPr>
                <w:rStyle w:val="IndexLink"/>
                <w:rtl w:val="true"/>
              </w:rPr>
              <w:tab/>
            </w:r>
            <w:r>
              <w:rPr>
                <w:rStyle w:val="IndexLink"/>
              </w:rPr>
              <w:t>62</w:t>
            </w:r>
          </w:hyperlink>
        </w:p>
        <w:p>
          <w:pPr>
            <w:pStyle w:val="Contents5"/>
            <w:tabs>
              <w:tab w:val="clear" w:pos="7892"/>
              <w:tab w:val="right" w:pos="9026" w:leader="dot"/>
            </w:tabs>
            <w:rPr/>
          </w:pPr>
          <w:hyperlink w:anchor="__RefHeading___Toc2105090_2749589250">
            <w:r>
              <w:rPr>
                <w:webHidden/>
                <w:rStyle w:val="IndexLink"/>
              </w:rPr>
              <w:t>1</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روح القدس و جبرئیل</w:t>
            </w:r>
            <w:r>
              <w:rPr>
                <w:rStyle w:val="IndexLink"/>
                <w:rtl w:val="true"/>
              </w:rPr>
              <w:tab/>
            </w:r>
            <w:r>
              <w:rPr>
                <w:rStyle w:val="IndexLink"/>
              </w:rPr>
              <w:t>62</w:t>
            </w:r>
          </w:hyperlink>
        </w:p>
        <w:p>
          <w:pPr>
            <w:pStyle w:val="Contents5"/>
            <w:tabs>
              <w:tab w:val="clear" w:pos="7892"/>
              <w:tab w:val="right" w:pos="9026" w:leader="dot"/>
            </w:tabs>
            <w:rPr/>
          </w:pPr>
          <w:hyperlink w:anchor="__RefHeading___Toc2105092_2749589250">
            <w:r>
              <w:rPr>
                <w:webHidden/>
                <w:rStyle w:val="IndexLink"/>
              </w:rPr>
              <w:t>2</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روح القدس و سایر فرشتگان</w:t>
            </w:r>
            <w:r>
              <w:rPr>
                <w:rStyle w:val="IndexLink"/>
                <w:rtl w:val="true"/>
              </w:rPr>
              <w:tab/>
            </w:r>
            <w:r>
              <w:rPr>
                <w:rStyle w:val="IndexLink"/>
              </w:rPr>
              <w:t>63</w:t>
            </w:r>
          </w:hyperlink>
        </w:p>
        <w:p>
          <w:pPr>
            <w:pStyle w:val="Contents4"/>
            <w:tabs>
              <w:tab w:val="clear" w:pos="8176"/>
              <w:tab w:val="right" w:pos="9026" w:leader="dot"/>
            </w:tabs>
            <w:rPr/>
          </w:pPr>
          <w:hyperlink w:anchor="__RefHeading___Toc2105094_274958925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نسبت وجودی روح القدس با مؤمنان</w:t>
            </w:r>
            <w:r>
              <w:rPr>
                <w:rStyle w:val="IndexLink"/>
                <w:rtl w:val="true"/>
              </w:rPr>
              <w:tab/>
            </w:r>
            <w:r>
              <w:rPr>
                <w:rStyle w:val="IndexLink"/>
              </w:rPr>
              <w:t>65</w:t>
            </w:r>
          </w:hyperlink>
        </w:p>
        <w:p>
          <w:pPr>
            <w:pStyle w:val="Contents3"/>
            <w:tabs>
              <w:tab w:val="clear" w:pos="8459"/>
              <w:tab w:val="right" w:pos="9026" w:leader="dot"/>
            </w:tabs>
            <w:rPr/>
          </w:pPr>
          <w:hyperlink w:anchor="__RefHeading___Toc2105096_2749589250">
            <w:r>
              <w:rPr>
                <w:webHidden/>
                <w:rStyle w:val="IndexLink"/>
              </w:rPr>
              <w:t>3</w:t>
            </w:r>
            <w:r>
              <w:rPr>
                <w:rStyle w:val="IndexLink"/>
                <w:rtl w:val="true"/>
              </w:rPr>
              <w:t xml:space="preserve">. </w:t>
            </w:r>
            <w:r>
              <w:rPr>
                <w:rStyle w:val="IndexLink"/>
                <w:rtl w:val="true"/>
              </w:rPr>
              <w:t>کارکردهای کلامی معنای روح در قرآن</w:t>
            </w:r>
            <w:r>
              <w:rPr>
                <w:rStyle w:val="IndexLink"/>
                <w:rtl w:val="true"/>
              </w:rPr>
              <w:tab/>
            </w:r>
            <w:r>
              <w:rPr>
                <w:rStyle w:val="IndexLink"/>
              </w:rPr>
              <w:t>66</w:t>
            </w:r>
          </w:hyperlink>
        </w:p>
        <w:p>
          <w:pPr>
            <w:pStyle w:val="Contents4"/>
            <w:tabs>
              <w:tab w:val="clear" w:pos="8176"/>
              <w:tab w:val="right" w:pos="9026" w:leader="dot"/>
            </w:tabs>
            <w:rPr/>
          </w:pPr>
          <w:hyperlink w:anchor="__RefHeading___Toc2105098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105100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تبیین جدید از روح موجود در حضرت آدم</w:t>
            </w:r>
            <w:r>
              <w:rPr>
                <w:rStyle w:val="IndexLink"/>
              </w:rPr>
              <w:t></w:t>
            </w:r>
            <w:r>
              <w:rPr>
                <w:rStyle w:val="IndexLink"/>
                <w:rtl w:val="true"/>
              </w:rPr>
              <w:t xml:space="preserve"> و حکمت سجود فرشتگان بر او</w:t>
            </w:r>
            <w:r>
              <w:rPr>
                <w:rStyle w:val="IndexLink"/>
                <w:rtl w:val="true"/>
              </w:rPr>
              <w:tab/>
            </w:r>
            <w:r>
              <w:rPr>
                <w:rStyle w:val="IndexLink"/>
              </w:rPr>
              <w:t>67</w:t>
            </w:r>
          </w:hyperlink>
        </w:p>
        <w:p>
          <w:pPr>
            <w:pStyle w:val="Contents4"/>
            <w:tabs>
              <w:tab w:val="clear" w:pos="8176"/>
              <w:tab w:val="right" w:pos="9026" w:leader="dot"/>
            </w:tabs>
            <w:rPr/>
          </w:pPr>
          <w:hyperlink w:anchor="__RefHeading___Toc2105102_274958925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چگونگی علم پیامبر به صدق وحی</w:t>
            </w:r>
            <w:r>
              <w:rPr>
                <w:rStyle w:val="IndexLink"/>
                <w:rtl w:val="true"/>
              </w:rPr>
              <w:tab/>
            </w:r>
            <w:r>
              <w:rPr>
                <w:rStyle w:val="IndexLink"/>
              </w:rPr>
              <w:t>67</w:t>
            </w:r>
          </w:hyperlink>
        </w:p>
        <w:p>
          <w:pPr>
            <w:pStyle w:val="Contents4"/>
            <w:tabs>
              <w:tab w:val="clear" w:pos="8176"/>
              <w:tab w:val="right" w:pos="9026" w:leader="dot"/>
            </w:tabs>
            <w:rPr/>
          </w:pPr>
          <w:hyperlink w:anchor="__RefHeading___Toc2105104_2749589250">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اثبات عصمت پیامبر در طول حیات</w:t>
            </w:r>
            <w:r>
              <w:rPr>
                <w:rStyle w:val="IndexLink"/>
                <w:rtl w:val="true"/>
              </w:rPr>
              <w:tab/>
            </w:r>
            <w:r>
              <w:rPr>
                <w:rStyle w:val="IndexLink"/>
              </w:rPr>
              <w:t>68</w:t>
            </w:r>
          </w:hyperlink>
        </w:p>
        <w:p>
          <w:pPr>
            <w:pStyle w:val="Contents4"/>
            <w:tabs>
              <w:tab w:val="clear" w:pos="8176"/>
              <w:tab w:val="right" w:pos="9026" w:leader="dot"/>
            </w:tabs>
            <w:rPr/>
          </w:pPr>
          <w:hyperlink w:anchor="__RefHeading___Toc2105106_2749589250">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 xml:space="preserve">مدد به شبهۀ عدم علم پیامبر ذیل آیه </w:t>
            </w:r>
            <w:r>
              <w:rPr>
                <w:rStyle w:val="IndexLink"/>
                <w:rtl w:val="true"/>
              </w:rPr>
              <w:t>«</w:t>
            </w:r>
            <w:r>
              <w:rPr>
                <w:rStyle w:val="IndexLink"/>
                <w:rtl w:val="true"/>
              </w:rPr>
              <w:t>ما کنت تدری ما الکتاب و لا الایمان</w:t>
            </w:r>
            <w:r>
              <w:rPr>
                <w:rStyle w:val="IndexLink"/>
                <w:rtl w:val="true"/>
              </w:rPr>
              <w:t>»</w:t>
              <w:tab/>
            </w:r>
            <w:r>
              <w:rPr>
                <w:rStyle w:val="IndexLink"/>
              </w:rPr>
              <w:t>69</w:t>
            </w:r>
          </w:hyperlink>
        </w:p>
        <w:p>
          <w:pPr>
            <w:pStyle w:val="Contents3"/>
            <w:tabs>
              <w:tab w:val="clear" w:pos="8459"/>
              <w:tab w:val="right" w:pos="9026" w:leader="dot"/>
            </w:tabs>
            <w:rPr/>
          </w:pPr>
          <w:hyperlink w:anchor="__RefHeading___Toc2105108_2749589250">
            <w:r>
              <w:rPr>
                <w:webHidden/>
                <w:rStyle w:val="IndexLink"/>
                <w:rtl w:val="true"/>
              </w:rPr>
              <w:t>جمع‌بندی</w:t>
            </w:r>
            <w:r>
              <w:rPr>
                <w:rStyle w:val="IndexLink"/>
                <w:rtl w:val="true"/>
              </w:rPr>
              <w:tab/>
            </w:r>
            <w:r>
              <w:rPr>
                <w:rStyle w:val="IndexLink"/>
              </w:rPr>
              <w:t>69</w:t>
            </w:r>
          </w:hyperlink>
        </w:p>
        <w:p>
          <w:pPr>
            <w:pStyle w:val="Contents3"/>
            <w:tabs>
              <w:tab w:val="clear" w:pos="8459"/>
              <w:tab w:val="right" w:pos="9026" w:leader="dot"/>
            </w:tabs>
            <w:rPr/>
          </w:pPr>
          <w:hyperlink w:anchor="__RefHeading___Toc2105110_2749589250">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2105112_2749589250">
            <w:r>
              <w:rPr>
                <w:webHidden/>
                <w:rStyle w:val="IndexLink"/>
                <w:rtl w:val="true"/>
              </w:rPr>
              <w:t xml:space="preserve">زمینه‌های تاریخی و علمی گرایش شریف مرتضی به نظریۀ </w:t>
            </w:r>
            <w:r>
              <w:rPr>
                <w:rStyle w:val="IndexLink"/>
                <w:rtl w:val="true"/>
              </w:rPr>
              <w:t>«</w:t>
            </w:r>
            <w:r>
              <w:rPr>
                <w:rStyle w:val="IndexLink"/>
                <w:rtl w:val="true"/>
              </w:rPr>
              <w:t>صرفه</w:t>
            </w:r>
            <w:r>
              <w:rPr>
                <w:rStyle w:val="IndexLink"/>
                <w:rtl w:val="true"/>
              </w:rPr>
              <w:t xml:space="preserve">»/ </w:t>
            </w:r>
            <w:r>
              <w:rPr>
                <w:rStyle w:val="IndexLink"/>
                <w:rtl w:val="true"/>
              </w:rPr>
              <w:t xml:space="preserve">امیر احمدنژاد </w:t>
            </w:r>
            <w:r>
              <w:rPr>
                <w:rStyle w:val="IndexLink"/>
                <w:rtl w:val="true"/>
              </w:rPr>
              <w:t>_</w:t>
            </w:r>
            <w:r>
              <w:rPr>
                <w:rStyle w:val="IndexLink"/>
                <w:rtl w:val="true"/>
              </w:rPr>
              <w:t>عاطفه محمدزاده</w:t>
            </w:r>
            <w:r>
              <w:rPr>
                <w:rStyle w:val="IndexLink"/>
                <w:rtl w:val="true"/>
              </w:rPr>
              <w:tab/>
            </w:r>
            <w:r>
              <w:rPr>
                <w:rStyle w:val="IndexLink"/>
              </w:rPr>
              <w:t>72</w:t>
            </w:r>
          </w:hyperlink>
        </w:p>
        <w:p>
          <w:pPr>
            <w:pStyle w:val="Contents3"/>
            <w:tabs>
              <w:tab w:val="clear" w:pos="8459"/>
              <w:tab w:val="right" w:pos="9026" w:leader="dot"/>
            </w:tabs>
            <w:rPr/>
          </w:pPr>
          <w:hyperlink w:anchor="__RefHeading___Toc2105114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105116_2749589250">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2105118_2749589250">
            <w:r>
              <w:rPr>
                <w:webHidden/>
                <w:rStyle w:val="IndexLink"/>
                <w:rtl w:val="true"/>
              </w:rPr>
              <w:t>واژگان کلیدی</w:t>
            </w:r>
            <w:r>
              <w:rPr>
                <w:rStyle w:val="IndexLink"/>
                <w:rtl w:val="true"/>
              </w:rPr>
              <w:tab/>
            </w:r>
            <w:r>
              <w:rPr>
                <w:rStyle w:val="IndexLink"/>
              </w:rPr>
              <w:t>72</w:t>
            </w:r>
          </w:hyperlink>
        </w:p>
        <w:p>
          <w:pPr>
            <w:pStyle w:val="Contents3"/>
            <w:tabs>
              <w:tab w:val="clear" w:pos="8459"/>
              <w:tab w:val="right" w:pos="9026" w:leader="dot"/>
            </w:tabs>
            <w:rPr/>
          </w:pPr>
          <w:hyperlink w:anchor="__RefHeading___Toc2105120_2749589250">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2105122_2749589250">
            <w:r>
              <w:rPr>
                <w:webHidden/>
                <w:rStyle w:val="IndexLink"/>
                <w:rtl w:val="true"/>
              </w:rPr>
              <w:t>پیشینۀ نظریۀ صرفه</w:t>
            </w:r>
            <w:r>
              <w:rPr>
                <w:rStyle w:val="IndexLink"/>
                <w:rtl w:val="true"/>
              </w:rPr>
              <w:tab/>
            </w:r>
            <w:r>
              <w:rPr>
                <w:rStyle w:val="IndexLink"/>
              </w:rPr>
              <w:t>74</w:t>
            </w:r>
          </w:hyperlink>
        </w:p>
        <w:p>
          <w:pPr>
            <w:pStyle w:val="Contents4"/>
            <w:tabs>
              <w:tab w:val="clear" w:pos="8176"/>
              <w:tab w:val="right" w:pos="9026" w:leader="dot"/>
            </w:tabs>
            <w:rPr/>
          </w:pPr>
          <w:hyperlink w:anchor="__RefHeading___Toc2105124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105126_2749589250">
            <w:r>
              <w:rPr>
                <w:webHidden/>
                <w:rStyle w:val="IndexLink"/>
                <w:rtl w:val="true"/>
              </w:rPr>
              <w:t>الف</w:t>
            </w:r>
            <w:r>
              <w:rPr>
                <w:rStyle w:val="IndexLink"/>
                <w:rtl w:val="true"/>
              </w:rPr>
              <w:t xml:space="preserve">. </w:t>
            </w:r>
            <w:r>
              <w:rPr>
                <w:rStyle w:val="IndexLink"/>
                <w:rtl w:val="true"/>
              </w:rPr>
              <w:t>معتزله</w:t>
            </w:r>
            <w:r>
              <w:rPr>
                <w:rStyle w:val="IndexLink"/>
                <w:rtl w:val="true"/>
              </w:rPr>
              <w:tab/>
            </w:r>
            <w:r>
              <w:rPr>
                <w:rStyle w:val="IndexLink"/>
              </w:rPr>
              <w:t>75</w:t>
            </w:r>
          </w:hyperlink>
        </w:p>
        <w:p>
          <w:pPr>
            <w:pStyle w:val="Contents5"/>
            <w:tabs>
              <w:tab w:val="clear" w:pos="7892"/>
              <w:tab w:val="right" w:pos="9026" w:leader="dot"/>
            </w:tabs>
            <w:rPr/>
          </w:pPr>
          <w:hyperlink w:anchor="__RefHeading___Toc2105128_2749589250">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105130_2749589250">
            <w:r>
              <w:rPr>
                <w:webHidden/>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2105132_2749589250">
            <w:r>
              <w:rPr>
                <w:webHidden/>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2105134_2749589250">
            <w:r>
              <w:rPr>
                <w:webHidden/>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2105136_2749589250">
            <w:r>
              <w:rPr>
                <w:webHidden/>
                <w:rStyle w:val="IndexLink"/>
              </w:rPr>
              <w:t>4</w:t>
            </w:r>
            <w:r>
              <w:rPr>
                <w:rStyle w:val="IndexLink"/>
                <w:rtl w:val="true"/>
              </w:rPr>
              <w:t>.</w:t>
              <w:tab/>
            </w:r>
            <w:r>
              <w:rPr>
                <w:rStyle w:val="IndexLink"/>
              </w:rPr>
              <w:t>76</w:t>
            </w:r>
          </w:hyperlink>
        </w:p>
        <w:p>
          <w:pPr>
            <w:pStyle w:val="Contents4"/>
            <w:tabs>
              <w:tab w:val="clear" w:pos="8176"/>
              <w:tab w:val="right" w:pos="9026" w:leader="dot"/>
            </w:tabs>
            <w:rPr/>
          </w:pPr>
          <w:hyperlink w:anchor="__RefHeading___Toc2105138_2749589250">
            <w:r>
              <w:rPr>
                <w:webHidden/>
                <w:rStyle w:val="IndexLink"/>
                <w:rtl w:val="true"/>
              </w:rPr>
              <w:t>ب</w:t>
            </w:r>
            <w:r>
              <w:rPr>
                <w:rStyle w:val="IndexLink"/>
                <w:rtl w:val="true"/>
              </w:rPr>
              <w:t xml:space="preserve">. </w:t>
            </w:r>
            <w:r>
              <w:rPr>
                <w:rStyle w:val="IndexLink"/>
                <w:rtl w:val="true"/>
              </w:rPr>
              <w:t>اشاعره و اهل سنت</w:t>
            </w:r>
            <w:r>
              <w:rPr>
                <w:rStyle w:val="IndexLink"/>
                <w:rtl w:val="true"/>
              </w:rPr>
              <w:tab/>
            </w:r>
            <w:r>
              <w:rPr>
                <w:rStyle w:val="IndexLink"/>
              </w:rPr>
              <w:t>76</w:t>
            </w:r>
          </w:hyperlink>
        </w:p>
        <w:p>
          <w:pPr>
            <w:pStyle w:val="Contents5"/>
            <w:tabs>
              <w:tab w:val="clear" w:pos="7892"/>
              <w:tab w:val="right" w:pos="9026" w:leader="dot"/>
            </w:tabs>
            <w:rPr/>
          </w:pPr>
          <w:hyperlink w:anchor="__RefHeading___Toc2105140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105142_2749589250">
            <w:r>
              <w:rPr>
                <w:webHidden/>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2105144_2749589250">
            <w:r>
              <w:rPr>
                <w:webHidden/>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2105146_2749589250">
            <w:r>
              <w:rPr>
                <w:webHidden/>
                <w:rStyle w:val="IndexLink"/>
                <w:rtl w:val="true"/>
              </w:rPr>
              <w:t>ج</w:t>
            </w:r>
            <w:r>
              <w:rPr>
                <w:rStyle w:val="IndexLink"/>
                <w:rtl w:val="true"/>
              </w:rPr>
              <w:t xml:space="preserve">. </w:t>
            </w:r>
            <w:r>
              <w:rPr>
                <w:rStyle w:val="IndexLink"/>
                <w:rtl w:val="true"/>
              </w:rPr>
              <w:t>شیعه</w:t>
            </w:r>
            <w:r>
              <w:rPr>
                <w:rStyle w:val="IndexLink"/>
                <w:rtl w:val="true"/>
              </w:rPr>
              <w:tab/>
            </w:r>
            <w:r>
              <w:rPr>
                <w:rStyle w:val="IndexLink"/>
              </w:rPr>
              <w:t>76</w:t>
            </w:r>
          </w:hyperlink>
        </w:p>
        <w:p>
          <w:pPr>
            <w:pStyle w:val="Contents5"/>
            <w:tabs>
              <w:tab w:val="clear" w:pos="7892"/>
              <w:tab w:val="right" w:pos="9026" w:leader="dot"/>
            </w:tabs>
            <w:rPr/>
          </w:pPr>
          <w:hyperlink w:anchor="__RefHeading___Toc2105148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105150_2749589250">
            <w:r>
              <w:rPr>
                <w:webHidden/>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2105152_2749589250">
            <w:r>
              <w:rPr>
                <w:webHidden/>
                <w:rStyle w:val="IndexLink"/>
              </w:rPr>
              <w:t>2</w:t>
            </w:r>
            <w:r>
              <w:rPr>
                <w:rStyle w:val="IndexLink"/>
                <w:rtl w:val="true"/>
              </w:rPr>
              <w:t>.</w:t>
              <w:tab/>
            </w:r>
            <w:r>
              <w:rPr>
                <w:rStyle w:val="IndexLink"/>
              </w:rPr>
              <w:t>76</w:t>
            </w:r>
          </w:hyperlink>
        </w:p>
        <w:p>
          <w:pPr>
            <w:pStyle w:val="Contents5"/>
            <w:tabs>
              <w:tab w:val="clear" w:pos="7892"/>
              <w:tab w:val="right" w:pos="9026" w:leader="dot"/>
            </w:tabs>
            <w:rPr/>
          </w:pPr>
          <w:hyperlink w:anchor="__RefHeading___Toc2105154_2749589250">
            <w:r>
              <w:rPr>
                <w:webHidden/>
                <w:rStyle w:val="IndexLink"/>
              </w:rPr>
              <w:t>3</w:t>
            </w:r>
            <w:r>
              <w:rPr>
                <w:rStyle w:val="IndexLink"/>
                <w:rtl w:val="true"/>
              </w:rPr>
              <w:t>.</w:t>
              <w:tab/>
            </w:r>
            <w:r>
              <w:rPr>
                <w:rStyle w:val="IndexLink"/>
              </w:rPr>
              <w:t>76</w:t>
            </w:r>
          </w:hyperlink>
        </w:p>
        <w:p>
          <w:pPr>
            <w:pStyle w:val="Contents5"/>
            <w:tabs>
              <w:tab w:val="clear" w:pos="7892"/>
              <w:tab w:val="right" w:pos="9026" w:leader="dot"/>
            </w:tabs>
            <w:rPr/>
          </w:pPr>
          <w:hyperlink w:anchor="__RefHeading___Toc2105156_2749589250">
            <w:r>
              <w:rPr>
                <w:webHidden/>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2105158_2749589250">
            <w:r>
              <w:rPr>
                <w:webHidden/>
                <w:rStyle w:val="IndexLink"/>
              </w:rPr>
              <w:t>5</w:t>
            </w:r>
            <w:r>
              <w:rPr>
                <w:rStyle w:val="IndexLink"/>
                <w:rtl w:val="true"/>
              </w:rPr>
              <w:t>.</w:t>
              <w:tab/>
            </w:r>
            <w:r>
              <w:rPr>
                <w:rStyle w:val="IndexLink"/>
              </w:rPr>
              <w:t>76</w:t>
            </w:r>
          </w:hyperlink>
        </w:p>
        <w:p>
          <w:pPr>
            <w:pStyle w:val="Contents3"/>
            <w:tabs>
              <w:tab w:val="clear" w:pos="8459"/>
              <w:tab w:val="right" w:pos="9026" w:leader="dot"/>
            </w:tabs>
            <w:rPr/>
          </w:pPr>
          <w:hyperlink w:anchor="__RefHeading___Toc2105160_2749589250">
            <w:r>
              <w:rPr>
                <w:webHidden/>
                <w:rStyle w:val="IndexLink"/>
                <w:rtl w:val="true"/>
              </w:rPr>
              <w:t>سید مرتضی و نظریۀ صرفه</w:t>
            </w:r>
            <w:r>
              <w:rPr>
                <w:rStyle w:val="IndexLink"/>
                <w:rtl w:val="true"/>
              </w:rPr>
              <w:tab/>
            </w:r>
            <w:r>
              <w:rPr>
                <w:rStyle w:val="IndexLink"/>
              </w:rPr>
              <w:t>77</w:t>
            </w:r>
          </w:hyperlink>
        </w:p>
        <w:p>
          <w:pPr>
            <w:pStyle w:val="Contents4"/>
            <w:tabs>
              <w:tab w:val="clear" w:pos="8176"/>
              <w:tab w:val="right" w:pos="9026" w:leader="dot"/>
            </w:tabs>
            <w:rPr/>
          </w:pPr>
          <w:hyperlink w:anchor="__RefHeading___Toc2105162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105164_2749589250">
            <w:r>
              <w:rPr>
                <w:webHidden/>
                <w:rStyle w:val="IndexLink"/>
              </w:rPr>
              <w:t>1</w:t>
            </w:r>
            <w:r>
              <w:rPr>
                <w:rStyle w:val="IndexLink"/>
                <w:rtl w:val="true"/>
              </w:rPr>
              <w:t xml:space="preserve">. </w:t>
            </w:r>
            <w:r>
              <w:rPr>
                <w:rStyle w:val="IndexLink"/>
                <w:rtl w:val="true"/>
              </w:rPr>
              <w:t>زمینۀ تاریخی</w:t>
            </w:r>
            <w:r>
              <w:rPr>
                <w:rStyle w:val="IndexLink"/>
                <w:rtl w:val="true"/>
              </w:rPr>
              <w:tab/>
            </w:r>
            <w:r>
              <w:rPr>
                <w:rStyle w:val="IndexLink"/>
              </w:rPr>
              <w:t>78</w:t>
            </w:r>
          </w:hyperlink>
        </w:p>
        <w:p>
          <w:pPr>
            <w:pStyle w:val="Contents5"/>
            <w:tabs>
              <w:tab w:val="clear" w:pos="7892"/>
              <w:tab w:val="right" w:pos="9026" w:leader="dot"/>
            </w:tabs>
            <w:rPr/>
          </w:pPr>
          <w:hyperlink w:anchor="__RefHeading___Toc2105166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105168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مجادلات کلامی بین ادیانی</w:t>
            </w:r>
            <w:r>
              <w:rPr>
                <w:rStyle w:val="IndexLink"/>
                <w:rtl w:val="true"/>
              </w:rPr>
              <w:tab/>
            </w:r>
            <w:r>
              <w:rPr>
                <w:rStyle w:val="IndexLink"/>
              </w:rPr>
              <w:t>79</w:t>
            </w:r>
          </w:hyperlink>
        </w:p>
        <w:p>
          <w:pPr>
            <w:pStyle w:val="Contents5"/>
            <w:tabs>
              <w:tab w:val="clear" w:pos="7892"/>
              <w:tab w:val="right" w:pos="9026" w:leader="dot"/>
            </w:tabs>
            <w:rPr/>
          </w:pPr>
          <w:hyperlink w:anchor="__RefHeading___Toc2105170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مباحثات کلامی مکاتب اسلامی</w:t>
            </w:r>
            <w:r>
              <w:rPr>
                <w:rStyle w:val="IndexLink"/>
                <w:rtl w:val="true"/>
              </w:rPr>
              <w:tab/>
            </w:r>
            <w:r>
              <w:rPr>
                <w:rStyle w:val="IndexLink"/>
              </w:rPr>
              <w:t>80</w:t>
            </w:r>
          </w:hyperlink>
        </w:p>
        <w:p>
          <w:pPr>
            <w:pStyle w:val="Contents4"/>
            <w:tabs>
              <w:tab w:val="clear" w:pos="8176"/>
              <w:tab w:val="right" w:pos="9026" w:leader="dot"/>
            </w:tabs>
            <w:rPr/>
          </w:pPr>
          <w:hyperlink w:anchor="__RefHeading___Toc2105172_2749589250">
            <w:r>
              <w:rPr>
                <w:webHidden/>
                <w:rStyle w:val="IndexLink"/>
              </w:rPr>
              <w:t>2</w:t>
            </w:r>
            <w:r>
              <w:rPr>
                <w:rStyle w:val="IndexLink"/>
                <w:rtl w:val="true"/>
              </w:rPr>
              <w:t xml:space="preserve">. </w:t>
            </w:r>
            <w:r>
              <w:rPr>
                <w:rStyle w:val="IndexLink"/>
                <w:rtl w:val="true"/>
              </w:rPr>
              <w:t>زمینۀ علمی</w:t>
            </w:r>
            <w:r>
              <w:rPr>
                <w:rStyle w:val="IndexLink"/>
                <w:rtl w:val="true"/>
              </w:rPr>
              <w:tab/>
            </w:r>
            <w:r>
              <w:rPr>
                <w:rStyle w:val="IndexLink"/>
              </w:rPr>
              <w:t>82</w:t>
            </w:r>
          </w:hyperlink>
        </w:p>
        <w:p>
          <w:pPr>
            <w:pStyle w:val="Contents5"/>
            <w:tabs>
              <w:tab w:val="clear" w:pos="7892"/>
              <w:tab w:val="right" w:pos="9026" w:leader="dot"/>
            </w:tabs>
            <w:rPr/>
          </w:pPr>
          <w:hyperlink w:anchor="__RefHeading___Toc2105174_274958925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105176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جدلی بودن نظریۀ صرفه</w:t>
            </w:r>
            <w:r>
              <w:rPr>
                <w:rStyle w:val="IndexLink"/>
                <w:rtl w:val="true"/>
              </w:rPr>
              <w:tab/>
            </w:r>
            <w:r>
              <w:rPr>
                <w:rStyle w:val="IndexLink"/>
              </w:rPr>
              <w:t>83</w:t>
            </w:r>
          </w:hyperlink>
        </w:p>
        <w:p>
          <w:pPr>
            <w:pStyle w:val="Contents5"/>
            <w:tabs>
              <w:tab w:val="clear" w:pos="7892"/>
              <w:tab w:val="right" w:pos="9026" w:leader="dot"/>
            </w:tabs>
            <w:rPr/>
          </w:pPr>
          <w:hyperlink w:anchor="__RefHeading___Toc2105178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نبود معیارهای غیرذوقی برای سنجش میزان بلاغت متن</w:t>
            </w:r>
            <w:r>
              <w:rPr>
                <w:rStyle w:val="IndexLink"/>
                <w:rtl w:val="true"/>
              </w:rPr>
              <w:tab/>
            </w:r>
            <w:r>
              <w:rPr>
                <w:rStyle w:val="IndexLink"/>
              </w:rPr>
              <w:t>85</w:t>
            </w:r>
          </w:hyperlink>
        </w:p>
        <w:p>
          <w:pPr>
            <w:pStyle w:val="Contents5"/>
            <w:tabs>
              <w:tab w:val="clear" w:pos="7892"/>
              <w:tab w:val="right" w:pos="9026" w:leader="dot"/>
            </w:tabs>
            <w:rPr/>
          </w:pPr>
          <w:hyperlink w:anchor="__RefHeading___Toc2105180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مشکل تفهیم امتناع هماوردی با قرآن</w:t>
            </w:r>
            <w:r>
              <w:rPr>
                <w:rStyle w:val="IndexLink"/>
                <w:rtl w:val="true"/>
              </w:rPr>
              <w:tab/>
            </w:r>
            <w:r>
              <w:rPr>
                <w:rStyle w:val="IndexLink"/>
              </w:rPr>
              <w:t>86</w:t>
            </w:r>
          </w:hyperlink>
        </w:p>
        <w:p>
          <w:pPr>
            <w:pStyle w:val="Contents6"/>
            <w:tabs>
              <w:tab w:val="clear" w:pos="7609"/>
              <w:tab w:val="right" w:pos="9026" w:leader="dot"/>
            </w:tabs>
            <w:rPr/>
          </w:pPr>
          <w:hyperlink w:anchor="__RefHeading___Toc2105182_274958925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105184_2749589250">
            <w:r>
              <w:rPr>
                <w:webHidden/>
                <w:rStyle w:val="IndexLink"/>
              </w:rPr>
              <w:t>1</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سهل و ممتنع بودن زبان قرآن</w:t>
            </w:r>
            <w:r>
              <w:rPr>
                <w:rStyle w:val="IndexLink"/>
                <w:rtl w:val="true"/>
              </w:rPr>
              <w:tab/>
            </w:r>
            <w:r>
              <w:rPr>
                <w:rStyle w:val="IndexLink"/>
              </w:rPr>
              <w:t>86</w:t>
            </w:r>
          </w:hyperlink>
        </w:p>
        <w:p>
          <w:pPr>
            <w:pStyle w:val="Contents6"/>
            <w:tabs>
              <w:tab w:val="clear" w:pos="7609"/>
              <w:tab w:val="right" w:pos="9026" w:leader="dot"/>
            </w:tabs>
            <w:rPr/>
          </w:pPr>
          <w:hyperlink w:anchor="__RefHeading___Toc2105186_2749589250">
            <w:r>
              <w:rPr>
                <w:webHidden/>
                <w:rStyle w:val="IndexLink"/>
              </w:rPr>
              <w:t>2</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حضور مخالفان غیرعرب در مجادلات</w:t>
            </w:r>
            <w:r>
              <w:rPr>
                <w:rStyle w:val="IndexLink"/>
                <w:rtl w:val="true"/>
              </w:rPr>
              <w:t>¬</w:t>
              <w:tab/>
            </w:r>
            <w:r>
              <w:rPr>
                <w:rStyle w:val="IndexLink"/>
              </w:rPr>
              <w:t>88</w:t>
            </w:r>
          </w:hyperlink>
        </w:p>
        <w:p>
          <w:pPr>
            <w:pStyle w:val="Contents3"/>
            <w:tabs>
              <w:tab w:val="clear" w:pos="8459"/>
              <w:tab w:val="right" w:pos="9026" w:leader="dot"/>
            </w:tabs>
            <w:rPr/>
          </w:pPr>
          <w:hyperlink w:anchor="__RefHeading___Toc2105188_2749589250">
            <w:r>
              <w:rPr>
                <w:webHidden/>
                <w:rStyle w:val="IndexLink"/>
                <w:rtl w:val="true"/>
              </w:rPr>
              <w:t>نتیجه گیری</w:t>
            </w:r>
            <w:r>
              <w:rPr>
                <w:rStyle w:val="IndexLink"/>
                <w:rtl w:val="true"/>
              </w:rPr>
              <w:tab/>
            </w:r>
            <w:r>
              <w:rPr>
                <w:rStyle w:val="IndexLink"/>
              </w:rPr>
              <w:t>89</w:t>
            </w:r>
          </w:hyperlink>
        </w:p>
        <w:p>
          <w:pPr>
            <w:pStyle w:val="Contents3"/>
            <w:tabs>
              <w:tab w:val="clear" w:pos="8459"/>
              <w:tab w:val="right" w:pos="9026" w:leader="dot"/>
            </w:tabs>
            <w:rPr/>
          </w:pPr>
          <w:hyperlink w:anchor="__RefHeading___Toc2105190_2749589250">
            <w:r>
              <w:rPr>
                <w:webHidden/>
                <w:rStyle w:val="IndexLink"/>
                <w:rtl w:val="true"/>
              </w:rPr>
              <w:t>منابع</w:t>
            </w:r>
            <w:r>
              <w:rPr>
                <w:rStyle w:val="IndexLink"/>
                <w:rtl w:val="true"/>
              </w:rPr>
              <w:tab/>
            </w:r>
            <w:r>
              <w:rPr>
                <w:rStyle w:val="IndexLink"/>
              </w:rPr>
              <w:t>90</w:t>
            </w:r>
          </w:hyperlink>
        </w:p>
        <w:p>
          <w:pPr>
            <w:pStyle w:val="Contents2"/>
            <w:tabs>
              <w:tab w:val="clear" w:pos="8743"/>
              <w:tab w:val="right" w:pos="9026" w:leader="dot"/>
            </w:tabs>
            <w:rPr/>
          </w:pPr>
          <w:hyperlink w:anchor="__RefHeading___Toc2105192_2749589250">
            <w:r>
              <w:rPr>
                <w:webHidden/>
                <w:rStyle w:val="IndexLink"/>
                <w:rtl w:val="true"/>
              </w:rPr>
              <w:t xml:space="preserve">بررسی تاریخی بازتاب مبانی کلامی مفسران در تفسیر </w:t>
            </w:r>
            <w:r>
              <w:rPr>
                <w:rStyle w:val="IndexLink"/>
                <w:rtl w:val="true"/>
              </w:rPr>
              <w:t>«</w:t>
            </w:r>
            <w:r>
              <w:rPr>
                <w:rStyle w:val="IndexLink"/>
                <w:rtl w:val="true"/>
              </w:rPr>
              <w:t>آیۀ خلود</w:t>
            </w:r>
            <w:r>
              <w:rPr>
                <w:rStyle w:val="IndexLink"/>
                <w:rtl w:val="true"/>
              </w:rPr>
              <w:t xml:space="preserve">»/ </w:t>
            </w:r>
            <w:r>
              <w:rPr>
                <w:rStyle w:val="IndexLink"/>
                <w:rtl w:val="true"/>
              </w:rPr>
              <w:t xml:space="preserve">شهربانو حاجیامیری </w:t>
            </w:r>
            <w:r>
              <w:rPr>
                <w:rStyle w:val="IndexLink"/>
                <w:rtl w:val="true"/>
              </w:rPr>
              <w:t xml:space="preserve">_ </w:t>
            </w:r>
            <w:r>
              <w:rPr>
                <w:rStyle w:val="IndexLink"/>
                <w:rtl w:val="true"/>
              </w:rPr>
              <w:t>ابراهیم نصرالله پور علمداری</w:t>
            </w:r>
            <w:r>
              <w:rPr>
                <w:rStyle w:val="IndexLink"/>
                <w:rtl w:val="true"/>
              </w:rPr>
              <w:tab/>
            </w:r>
            <w:r>
              <w:rPr>
                <w:rStyle w:val="IndexLink"/>
              </w:rPr>
              <w:t>92</w:t>
            </w:r>
          </w:hyperlink>
        </w:p>
        <w:p>
          <w:pPr>
            <w:pStyle w:val="Contents3"/>
            <w:tabs>
              <w:tab w:val="clear" w:pos="8459"/>
              <w:tab w:val="right" w:pos="9026" w:leader="dot"/>
            </w:tabs>
            <w:rPr/>
          </w:pPr>
          <w:hyperlink w:anchor="__RefHeading___Toc2105194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105196_2749589250">
            <w:r>
              <w:rPr>
                <w:webHidden/>
                <w:rStyle w:val="IndexLink"/>
                <w:rtl w:val="true"/>
              </w:rPr>
              <w:t>چکیده</w:t>
            </w:r>
            <w:r>
              <w:rPr>
                <w:rStyle w:val="IndexLink"/>
                <w:rtl w:val="true"/>
              </w:rPr>
              <w:tab/>
            </w:r>
            <w:r>
              <w:rPr>
                <w:rStyle w:val="IndexLink"/>
              </w:rPr>
              <w:t>92</w:t>
            </w:r>
          </w:hyperlink>
        </w:p>
        <w:p>
          <w:pPr>
            <w:pStyle w:val="Contents3"/>
            <w:tabs>
              <w:tab w:val="clear" w:pos="8459"/>
              <w:tab w:val="right" w:pos="9026" w:leader="dot"/>
            </w:tabs>
            <w:rPr/>
          </w:pPr>
          <w:hyperlink w:anchor="__RefHeading___Toc2105198_2749589250">
            <w:r>
              <w:rPr>
                <w:webHidden/>
                <w:rStyle w:val="IndexLink"/>
                <w:rtl w:val="true"/>
              </w:rPr>
              <w:t>واژگان کلیدی</w:t>
            </w:r>
            <w:r>
              <w:rPr>
                <w:rStyle w:val="IndexLink"/>
                <w:rtl w:val="true"/>
              </w:rPr>
              <w:tab/>
            </w:r>
            <w:r>
              <w:rPr>
                <w:rStyle w:val="IndexLink"/>
              </w:rPr>
              <w:t>92</w:t>
            </w:r>
          </w:hyperlink>
        </w:p>
        <w:p>
          <w:pPr>
            <w:pStyle w:val="Contents3"/>
            <w:tabs>
              <w:tab w:val="clear" w:pos="8459"/>
              <w:tab w:val="right" w:pos="9026" w:leader="dot"/>
            </w:tabs>
            <w:rPr/>
          </w:pPr>
          <w:hyperlink w:anchor="__RefHeading___Toc2105200_2749589250">
            <w:r>
              <w:rPr>
                <w:webHidden/>
                <w:rStyle w:val="IndexLink"/>
                <w:rtl w:val="true"/>
              </w:rPr>
              <w:t>درآمد</w:t>
            </w:r>
            <w:r>
              <w:rPr>
                <w:rStyle w:val="IndexLink"/>
                <w:rtl w:val="true"/>
              </w:rPr>
              <w:tab/>
            </w:r>
            <w:r>
              <w:rPr>
                <w:rStyle w:val="IndexLink"/>
              </w:rPr>
              <w:t>93</w:t>
            </w:r>
          </w:hyperlink>
        </w:p>
        <w:p>
          <w:pPr>
            <w:pStyle w:val="Contents3"/>
            <w:tabs>
              <w:tab w:val="clear" w:pos="8459"/>
              <w:tab w:val="right" w:pos="9026" w:leader="dot"/>
            </w:tabs>
            <w:rPr/>
          </w:pPr>
          <w:hyperlink w:anchor="__RefHeading___Toc2105202_2749589250">
            <w:r>
              <w:rPr>
                <w:webHidden/>
                <w:rStyle w:val="IndexLink"/>
                <w:rtl w:val="true"/>
              </w:rPr>
              <w:t xml:space="preserve">بسامد قرآنی اصل </w:t>
            </w:r>
            <w:r>
              <w:rPr>
                <w:rStyle w:val="IndexLink"/>
                <w:rtl w:val="true"/>
              </w:rPr>
              <w:t>«</w:t>
            </w:r>
            <w:r>
              <w:rPr>
                <w:rStyle w:val="IndexLink"/>
                <w:rtl w:val="true"/>
              </w:rPr>
              <w:t>خلود</w:t>
            </w:r>
            <w:r>
              <w:rPr>
                <w:rStyle w:val="IndexLink"/>
                <w:rtl w:val="true"/>
              </w:rPr>
              <w:t>»</w:t>
              <w:tab/>
            </w:r>
            <w:r>
              <w:rPr>
                <w:rStyle w:val="IndexLink"/>
              </w:rPr>
              <w:t>94</w:t>
            </w:r>
          </w:hyperlink>
        </w:p>
        <w:p>
          <w:pPr>
            <w:pStyle w:val="Contents3"/>
            <w:tabs>
              <w:tab w:val="clear" w:pos="8459"/>
              <w:tab w:val="right" w:pos="9026" w:leader="dot"/>
            </w:tabs>
            <w:rPr/>
          </w:pPr>
          <w:hyperlink w:anchor="__RefHeading___Toc2105204_2749589250">
            <w:r>
              <w:rPr>
                <w:webHidden/>
                <w:rStyle w:val="IndexLink"/>
                <w:rtl w:val="true"/>
              </w:rPr>
              <w:t>ریشه های تاریخی طرح مسئله خلود در دوزخ</w:t>
            </w:r>
            <w:r>
              <w:rPr>
                <w:rStyle w:val="IndexLink"/>
                <w:rtl w:val="true"/>
              </w:rPr>
              <w:tab/>
            </w:r>
            <w:r>
              <w:rPr>
                <w:rStyle w:val="IndexLink"/>
              </w:rPr>
              <w:t>94</w:t>
            </w:r>
          </w:hyperlink>
        </w:p>
        <w:p>
          <w:pPr>
            <w:pStyle w:val="Contents3"/>
            <w:tabs>
              <w:tab w:val="clear" w:pos="8459"/>
              <w:tab w:val="right" w:pos="9026" w:leader="dot"/>
            </w:tabs>
            <w:rPr/>
          </w:pPr>
          <w:hyperlink w:anchor="__RefHeading___Toc2105206_2749589250">
            <w:r>
              <w:rPr>
                <w:webHidden/>
                <w:rStyle w:val="IndexLink"/>
                <w:rtl w:val="true"/>
              </w:rPr>
              <w:t>نظرگاه متکلمان اشعری به مسئله خلود</w:t>
            </w:r>
            <w:r>
              <w:rPr>
                <w:rStyle w:val="IndexLink"/>
                <w:rtl w:val="true"/>
              </w:rPr>
              <w:tab/>
            </w:r>
            <w:r>
              <w:rPr>
                <w:rStyle w:val="IndexLink"/>
              </w:rPr>
              <w:t>96</w:t>
            </w:r>
          </w:hyperlink>
        </w:p>
        <w:p>
          <w:pPr>
            <w:pStyle w:val="Contents3"/>
            <w:tabs>
              <w:tab w:val="clear" w:pos="8459"/>
              <w:tab w:val="right" w:pos="9026" w:leader="dot"/>
            </w:tabs>
            <w:rPr/>
          </w:pPr>
          <w:hyperlink w:anchor="__RefHeading___Toc2105208_2749589250">
            <w:r>
              <w:rPr>
                <w:webHidden/>
                <w:rStyle w:val="IndexLink"/>
                <w:rtl w:val="true"/>
              </w:rPr>
              <w:t>خلود نزد مفسران اشعری مسلک</w:t>
            </w:r>
            <w:r>
              <w:rPr>
                <w:rStyle w:val="IndexLink"/>
                <w:rtl w:val="true"/>
              </w:rPr>
              <w:tab/>
            </w:r>
            <w:r>
              <w:rPr>
                <w:rStyle w:val="IndexLink"/>
              </w:rPr>
              <w:t>97</w:t>
            </w:r>
          </w:hyperlink>
        </w:p>
        <w:p>
          <w:pPr>
            <w:pStyle w:val="Contents4"/>
            <w:tabs>
              <w:tab w:val="clear" w:pos="8176"/>
              <w:tab w:val="right" w:pos="9026" w:leader="dot"/>
            </w:tabs>
            <w:rPr/>
          </w:pPr>
          <w:hyperlink w:anchor="__RefHeading___Toc2105210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105212_2749589250">
            <w:r>
              <w:rPr>
                <w:webHidden/>
                <w:rStyle w:val="IndexLink"/>
                <w:rtl w:val="true"/>
              </w:rPr>
              <w:t>دستۀ اول</w:t>
            </w:r>
            <w:r>
              <w:rPr>
                <w:rStyle w:val="IndexLink"/>
                <w:rtl w:val="true"/>
              </w:rPr>
              <w:t>:</w:t>
              <w:tab/>
            </w:r>
            <w:r>
              <w:rPr>
                <w:rStyle w:val="IndexLink"/>
              </w:rPr>
              <w:t>98</w:t>
            </w:r>
          </w:hyperlink>
        </w:p>
        <w:p>
          <w:pPr>
            <w:pStyle w:val="Contents4"/>
            <w:tabs>
              <w:tab w:val="clear" w:pos="8176"/>
              <w:tab w:val="right" w:pos="9026" w:leader="dot"/>
            </w:tabs>
            <w:rPr/>
          </w:pPr>
          <w:hyperlink w:anchor="__RefHeading___Toc2105214_2749589250">
            <w:r>
              <w:rPr>
                <w:webHidden/>
                <w:rStyle w:val="IndexLink"/>
                <w:rtl w:val="true"/>
              </w:rPr>
              <w:t>دستۀ دوم</w:t>
            </w:r>
            <w:r>
              <w:rPr>
                <w:rStyle w:val="IndexLink"/>
                <w:rtl w:val="true"/>
              </w:rPr>
              <w:t>:</w:t>
              <w:tab/>
            </w:r>
            <w:r>
              <w:rPr>
                <w:rStyle w:val="IndexLink"/>
              </w:rPr>
              <w:t>98</w:t>
            </w:r>
          </w:hyperlink>
        </w:p>
        <w:p>
          <w:pPr>
            <w:pStyle w:val="Contents4"/>
            <w:tabs>
              <w:tab w:val="clear" w:pos="8176"/>
              <w:tab w:val="right" w:pos="9026" w:leader="dot"/>
            </w:tabs>
            <w:rPr/>
          </w:pPr>
          <w:hyperlink w:anchor="__RefHeading___Toc2105216_2749589250">
            <w:r>
              <w:rPr>
                <w:webHidden/>
                <w:rStyle w:val="IndexLink"/>
                <w:rtl w:val="true"/>
              </w:rPr>
              <w:t>دستۀ سوم</w:t>
            </w:r>
            <w:r>
              <w:rPr>
                <w:rStyle w:val="IndexLink"/>
                <w:rtl w:val="true"/>
              </w:rPr>
              <w:t>:</w:t>
              <w:tab/>
            </w:r>
            <w:r>
              <w:rPr>
                <w:rStyle w:val="IndexLink"/>
              </w:rPr>
              <w:t>98</w:t>
            </w:r>
          </w:hyperlink>
        </w:p>
        <w:p>
          <w:pPr>
            <w:pStyle w:val="Contents4"/>
            <w:tabs>
              <w:tab w:val="clear" w:pos="8176"/>
              <w:tab w:val="right" w:pos="9026" w:leader="dot"/>
            </w:tabs>
            <w:rPr/>
          </w:pPr>
          <w:hyperlink w:anchor="__RefHeading___Toc2105218_2749589250">
            <w:r>
              <w:rPr>
                <w:webHidden/>
                <w:rStyle w:val="IndexLink"/>
                <w:rtl w:val="true"/>
              </w:rPr>
              <w:t>دستۀ چهارم</w:t>
            </w:r>
            <w:r>
              <w:rPr>
                <w:rStyle w:val="IndexLink"/>
                <w:rtl w:val="true"/>
              </w:rPr>
              <w:t>:</w:t>
              <w:tab/>
            </w:r>
            <w:r>
              <w:rPr>
                <w:rStyle w:val="IndexLink"/>
              </w:rPr>
              <w:t>98</w:t>
            </w:r>
          </w:hyperlink>
        </w:p>
        <w:p>
          <w:pPr>
            <w:pStyle w:val="Contents3"/>
            <w:tabs>
              <w:tab w:val="clear" w:pos="8459"/>
              <w:tab w:val="right" w:pos="9026" w:leader="dot"/>
            </w:tabs>
            <w:rPr/>
          </w:pPr>
          <w:hyperlink w:anchor="__RefHeading___Toc2105220_2749589250">
            <w:r>
              <w:rPr>
                <w:webHidden/>
                <w:rStyle w:val="IndexLink"/>
                <w:rtl w:val="true"/>
              </w:rPr>
              <w:t>نظرگاه متکلمان معتزلی به مسئله خلود</w:t>
            </w:r>
            <w:r>
              <w:rPr>
                <w:rStyle w:val="IndexLink"/>
                <w:rtl w:val="true"/>
              </w:rPr>
              <w:tab/>
            </w:r>
            <w:r>
              <w:rPr>
                <w:rStyle w:val="IndexLink"/>
              </w:rPr>
              <w:t>99</w:t>
            </w:r>
          </w:hyperlink>
        </w:p>
        <w:p>
          <w:pPr>
            <w:pStyle w:val="Contents3"/>
            <w:tabs>
              <w:tab w:val="clear" w:pos="8459"/>
              <w:tab w:val="right" w:pos="9026" w:leader="dot"/>
            </w:tabs>
            <w:rPr/>
          </w:pPr>
          <w:hyperlink w:anchor="__RefHeading___Toc2105222_2749589250">
            <w:r>
              <w:rPr>
                <w:webHidden/>
                <w:rStyle w:val="IndexLink"/>
                <w:rtl w:val="true"/>
              </w:rPr>
              <w:t>خلود نزد مفسران معتزلی</w:t>
            </w:r>
            <w:r>
              <w:rPr>
                <w:rStyle w:val="IndexLink"/>
                <w:rtl w:val="true"/>
              </w:rPr>
              <w:tab/>
            </w:r>
            <w:r>
              <w:rPr>
                <w:rStyle w:val="IndexLink"/>
              </w:rPr>
              <w:t>100</w:t>
            </w:r>
          </w:hyperlink>
        </w:p>
        <w:p>
          <w:pPr>
            <w:pStyle w:val="Contents3"/>
            <w:tabs>
              <w:tab w:val="clear" w:pos="8459"/>
              <w:tab w:val="right" w:pos="9026" w:leader="dot"/>
            </w:tabs>
            <w:rPr/>
          </w:pPr>
          <w:hyperlink w:anchor="__RefHeading___Toc2105224_2749589250">
            <w:r>
              <w:rPr>
                <w:webHidden/>
                <w:rStyle w:val="IndexLink"/>
                <w:rtl w:val="true"/>
              </w:rPr>
              <w:t>خلود نزد متکلمان امامیه</w:t>
            </w:r>
            <w:r>
              <w:rPr>
                <w:rStyle w:val="IndexLink"/>
                <w:rtl w:val="true"/>
              </w:rPr>
              <w:tab/>
            </w:r>
            <w:r>
              <w:rPr>
                <w:rStyle w:val="IndexLink"/>
              </w:rPr>
              <w:t>101</w:t>
            </w:r>
          </w:hyperlink>
        </w:p>
        <w:p>
          <w:pPr>
            <w:pStyle w:val="Contents4"/>
            <w:tabs>
              <w:tab w:val="clear" w:pos="8176"/>
              <w:tab w:val="right" w:pos="9026" w:leader="dot"/>
            </w:tabs>
            <w:rPr/>
          </w:pPr>
          <w:hyperlink w:anchor="__RefHeading___Toc2105226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105228_2749589250">
            <w:r>
              <w:rPr>
                <w:webHidden/>
                <w:rStyle w:val="IndexLink"/>
                <w:rtl w:val="true"/>
              </w:rPr>
              <w:t>اول</w:t>
            </w:r>
            <w:r>
              <w:rPr>
                <w:rStyle w:val="IndexLink"/>
                <w:rtl w:val="true"/>
              </w:rPr>
              <w:t>:</w:t>
              <w:tab/>
            </w:r>
            <w:r>
              <w:rPr>
                <w:rStyle w:val="IndexLink"/>
              </w:rPr>
              <w:t>102</w:t>
            </w:r>
          </w:hyperlink>
        </w:p>
        <w:p>
          <w:pPr>
            <w:pStyle w:val="Contents4"/>
            <w:tabs>
              <w:tab w:val="clear" w:pos="8176"/>
              <w:tab w:val="right" w:pos="9026" w:leader="dot"/>
            </w:tabs>
            <w:rPr/>
          </w:pPr>
          <w:hyperlink w:anchor="__RefHeading___Toc2105230_2749589250">
            <w:r>
              <w:rPr>
                <w:webHidden/>
                <w:rStyle w:val="IndexLink"/>
                <w:rtl w:val="true"/>
              </w:rPr>
              <w:t>دوم</w:t>
            </w:r>
            <w:r>
              <w:rPr>
                <w:rStyle w:val="IndexLink"/>
                <w:rtl w:val="true"/>
              </w:rPr>
              <w:t>:</w:t>
              <w:tab/>
            </w:r>
            <w:r>
              <w:rPr>
                <w:rStyle w:val="IndexLink"/>
              </w:rPr>
              <w:t>102</w:t>
            </w:r>
          </w:hyperlink>
        </w:p>
        <w:p>
          <w:pPr>
            <w:pStyle w:val="Contents5"/>
            <w:tabs>
              <w:tab w:val="clear" w:pos="7892"/>
              <w:tab w:val="right" w:pos="9026" w:leader="dot"/>
            </w:tabs>
            <w:rPr/>
          </w:pPr>
          <w:hyperlink w:anchor="__RefHeading___Toc2105232_274958925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105234_2749589250">
            <w:r>
              <w:rPr>
                <w:webHidden/>
                <w:rStyle w:val="IndexLink"/>
                <w:rtl w:val="true"/>
              </w:rPr>
              <w:t>دستۀ اول</w:t>
            </w:r>
            <w:r>
              <w:rPr>
                <w:rStyle w:val="IndexLink"/>
                <w:rtl w:val="true"/>
              </w:rPr>
              <w:t xml:space="preserve">: </w:t>
            </w:r>
            <w:r>
              <w:rPr>
                <w:rStyle w:val="IndexLink"/>
                <w:rtl w:val="true"/>
              </w:rPr>
              <w:t>تفاسیر متقدم شیعه</w:t>
            </w:r>
            <w:r>
              <w:rPr>
                <w:rStyle w:val="IndexLink"/>
                <w:rtl w:val="true"/>
              </w:rPr>
              <w:tab/>
            </w:r>
            <w:r>
              <w:rPr>
                <w:rStyle w:val="IndexLink"/>
              </w:rPr>
              <w:t>102</w:t>
            </w:r>
          </w:hyperlink>
        </w:p>
        <w:p>
          <w:pPr>
            <w:pStyle w:val="Contents5"/>
            <w:tabs>
              <w:tab w:val="clear" w:pos="7892"/>
              <w:tab w:val="right" w:pos="9026" w:leader="dot"/>
            </w:tabs>
            <w:rPr/>
          </w:pPr>
          <w:hyperlink w:anchor="__RefHeading___Toc2105236_2749589250">
            <w:r>
              <w:rPr>
                <w:webHidden/>
                <w:rStyle w:val="IndexLink"/>
                <w:rtl w:val="true"/>
              </w:rPr>
              <w:t>دستۀ دوم</w:t>
            </w:r>
            <w:r>
              <w:rPr>
                <w:rStyle w:val="IndexLink"/>
                <w:rtl w:val="true"/>
              </w:rPr>
              <w:t xml:space="preserve">: </w:t>
            </w:r>
            <w:r>
              <w:rPr>
                <w:rStyle w:val="IndexLink"/>
                <w:rtl w:val="true"/>
              </w:rPr>
              <w:t>تفاسیر روایی امامیه</w:t>
            </w:r>
            <w:r>
              <w:rPr>
                <w:rStyle w:val="IndexLink"/>
                <w:rtl w:val="true"/>
              </w:rPr>
              <w:tab/>
            </w:r>
            <w:r>
              <w:rPr>
                <w:rStyle w:val="IndexLink"/>
              </w:rPr>
              <w:t>103</w:t>
            </w:r>
          </w:hyperlink>
        </w:p>
        <w:p>
          <w:pPr>
            <w:pStyle w:val="Contents5"/>
            <w:tabs>
              <w:tab w:val="clear" w:pos="7892"/>
              <w:tab w:val="right" w:pos="9026" w:leader="dot"/>
            </w:tabs>
            <w:rPr/>
          </w:pPr>
          <w:hyperlink w:anchor="__RefHeading___Toc2105238_2749589250">
            <w:r>
              <w:rPr>
                <w:webHidden/>
                <w:rStyle w:val="IndexLink"/>
                <w:rtl w:val="true"/>
              </w:rPr>
              <w:t>دستۀ سوم</w:t>
            </w:r>
            <w:r>
              <w:rPr>
                <w:rStyle w:val="IndexLink"/>
                <w:rtl w:val="true"/>
              </w:rPr>
              <w:t xml:space="preserve">: </w:t>
            </w:r>
            <w:r>
              <w:rPr>
                <w:rStyle w:val="IndexLink"/>
                <w:rtl w:val="true"/>
              </w:rPr>
              <w:t>تفاسیر متأخر امامیه</w:t>
            </w:r>
            <w:r>
              <w:rPr>
                <w:rStyle w:val="IndexLink"/>
                <w:rtl w:val="true"/>
              </w:rPr>
              <w:tab/>
            </w:r>
            <w:r>
              <w:rPr>
                <w:rStyle w:val="IndexLink"/>
              </w:rPr>
              <w:t>103</w:t>
            </w:r>
          </w:hyperlink>
        </w:p>
        <w:p>
          <w:pPr>
            <w:pStyle w:val="Contents3"/>
            <w:tabs>
              <w:tab w:val="clear" w:pos="8459"/>
              <w:tab w:val="right" w:pos="9026" w:leader="dot"/>
            </w:tabs>
            <w:rPr/>
          </w:pPr>
          <w:hyperlink w:anchor="__RefHeading___Toc2105240_2749589250">
            <w:r>
              <w:rPr>
                <w:webHidden/>
                <w:rStyle w:val="IndexLink"/>
                <w:rtl w:val="true"/>
              </w:rPr>
              <w:t>جمع‌بندی</w:t>
            </w:r>
            <w:r>
              <w:rPr>
                <w:rStyle w:val="IndexLink"/>
                <w:rtl w:val="true"/>
              </w:rPr>
              <w:tab/>
            </w:r>
            <w:r>
              <w:rPr>
                <w:rStyle w:val="IndexLink"/>
              </w:rPr>
              <w:t>104</w:t>
            </w:r>
          </w:hyperlink>
        </w:p>
        <w:p>
          <w:pPr>
            <w:pStyle w:val="Contents4"/>
            <w:tabs>
              <w:tab w:val="clear" w:pos="8176"/>
              <w:tab w:val="right" w:pos="9026" w:leader="dot"/>
            </w:tabs>
            <w:rPr/>
          </w:pPr>
          <w:hyperlink w:anchor="__RefHeading___Toc2105242_274958925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105244_2749589250">
            <w:r>
              <w:rPr>
                <w:webHidden/>
                <w:rStyle w:val="IndexLink"/>
              </w:rPr>
              <w:t>1</w:t>
            </w:r>
            <w:r>
              <w:rPr>
                <w:rStyle w:val="IndexLink"/>
                <w:rtl w:val="true"/>
              </w:rPr>
              <w:t>.</w:t>
              <w:tab/>
            </w:r>
            <w:r>
              <w:rPr>
                <w:rStyle w:val="IndexLink"/>
              </w:rPr>
              <w:t>104</w:t>
            </w:r>
          </w:hyperlink>
        </w:p>
        <w:p>
          <w:pPr>
            <w:pStyle w:val="Contents4"/>
            <w:tabs>
              <w:tab w:val="clear" w:pos="8176"/>
              <w:tab w:val="right" w:pos="9026" w:leader="dot"/>
            </w:tabs>
            <w:rPr/>
          </w:pPr>
          <w:hyperlink w:anchor="__RefHeading___Toc2105246_2749589250">
            <w:r>
              <w:rPr>
                <w:webHidden/>
                <w:rStyle w:val="IndexLink"/>
              </w:rPr>
              <w:t>2</w:t>
            </w:r>
            <w:r>
              <w:rPr>
                <w:rStyle w:val="IndexLink"/>
                <w:rtl w:val="true"/>
              </w:rPr>
              <w:t>.</w:t>
              <w:tab/>
            </w:r>
            <w:r>
              <w:rPr>
                <w:rStyle w:val="IndexLink"/>
              </w:rPr>
              <w:t>105</w:t>
            </w:r>
          </w:hyperlink>
        </w:p>
        <w:p>
          <w:pPr>
            <w:pStyle w:val="Contents4"/>
            <w:tabs>
              <w:tab w:val="clear" w:pos="8176"/>
              <w:tab w:val="right" w:pos="9026" w:leader="dot"/>
            </w:tabs>
            <w:rPr/>
          </w:pPr>
          <w:hyperlink w:anchor="__RefHeading___Toc2105248_2749589250">
            <w:r>
              <w:rPr>
                <w:webHidden/>
                <w:rStyle w:val="IndexLink"/>
              </w:rPr>
              <w:t>3</w:t>
            </w:r>
            <w:r>
              <w:rPr>
                <w:rStyle w:val="IndexLink"/>
                <w:rtl w:val="true"/>
              </w:rPr>
              <w:t>.</w:t>
              <w:tab/>
            </w:r>
            <w:r>
              <w:rPr>
                <w:rStyle w:val="IndexLink"/>
              </w:rPr>
              <w:t>105</w:t>
            </w:r>
          </w:hyperlink>
        </w:p>
        <w:p>
          <w:pPr>
            <w:pStyle w:val="Contents4"/>
            <w:tabs>
              <w:tab w:val="clear" w:pos="8176"/>
              <w:tab w:val="right" w:pos="9026" w:leader="dot"/>
            </w:tabs>
            <w:rPr/>
          </w:pPr>
          <w:hyperlink w:anchor="__RefHeading___Toc2105250_2749589250">
            <w:r>
              <w:rPr>
                <w:webHidden/>
                <w:rStyle w:val="IndexLink"/>
              </w:rPr>
              <w:t>4</w:t>
            </w:r>
            <w:r>
              <w:rPr>
                <w:rStyle w:val="IndexLink"/>
                <w:rtl w:val="true"/>
              </w:rPr>
              <w:t>.</w:t>
              <w:tab/>
            </w:r>
            <w:r>
              <w:rPr>
                <w:rStyle w:val="IndexLink"/>
              </w:rPr>
              <w:t>105</w:t>
            </w:r>
          </w:hyperlink>
        </w:p>
        <w:p>
          <w:pPr>
            <w:pStyle w:val="Contents4"/>
            <w:tabs>
              <w:tab w:val="clear" w:pos="8176"/>
              <w:tab w:val="right" w:pos="9026" w:leader="dot"/>
            </w:tabs>
            <w:rPr/>
          </w:pPr>
          <w:hyperlink w:anchor="__RefHeading___Toc2105252_2749589250">
            <w:r>
              <w:rPr>
                <w:webHidden/>
                <w:rStyle w:val="IndexLink"/>
              </w:rPr>
              <w:t>5</w:t>
            </w:r>
            <w:r>
              <w:rPr>
                <w:rStyle w:val="IndexLink"/>
                <w:rtl w:val="true"/>
              </w:rPr>
              <w:t>.</w:t>
              <w:tab/>
            </w:r>
            <w:r>
              <w:rPr>
                <w:rStyle w:val="IndexLink"/>
              </w:rPr>
              <w:t>105</w:t>
            </w:r>
          </w:hyperlink>
        </w:p>
        <w:p>
          <w:pPr>
            <w:pStyle w:val="Contents3"/>
            <w:tabs>
              <w:tab w:val="clear" w:pos="8459"/>
              <w:tab w:val="right" w:pos="9026" w:leader="dot"/>
            </w:tabs>
            <w:rPr/>
          </w:pPr>
          <w:hyperlink w:anchor="__RefHeading___Toc2105254_2749589250">
            <w:r>
              <w:rPr>
                <w:webHidden/>
                <w:rStyle w:val="IndexLink"/>
                <w:rtl w:val="true"/>
              </w:rPr>
              <w:t>منابع</w:t>
            </w:r>
            <w:r>
              <w:rPr>
                <w:rStyle w:val="IndexLink"/>
                <w:rtl w:val="true"/>
              </w:rPr>
              <w:tab/>
            </w:r>
            <w:r>
              <w:rPr>
                <w:rStyle w:val="IndexLink"/>
              </w:rPr>
              <w:t>106</w:t>
            </w:r>
          </w:hyperlink>
        </w:p>
        <w:p>
          <w:pPr>
            <w:pStyle w:val="Contents2"/>
            <w:tabs>
              <w:tab w:val="clear" w:pos="8743"/>
              <w:tab w:val="right" w:pos="9026" w:leader="dot"/>
            </w:tabs>
            <w:rPr/>
          </w:pPr>
          <w:hyperlink w:anchor="__RefHeading___Toc2105256_2749589250">
            <w:r>
              <w:rPr>
                <w:webHidden/>
                <w:rStyle w:val="IndexLink"/>
                <w:rtl w:val="true"/>
              </w:rPr>
              <w:t xml:space="preserve">منابع معرفت از دیدگاه قاضی عبدالجبار معتزلی </w:t>
            </w:r>
            <w:r>
              <w:rPr>
                <w:rStyle w:val="IndexLink"/>
                <w:rtl w:val="true"/>
              </w:rPr>
              <w:t xml:space="preserve">/ </w:t>
            </w:r>
            <w:r>
              <w:rPr>
                <w:rStyle w:val="IndexLink"/>
                <w:rtl w:val="true"/>
              </w:rPr>
              <w:t>حسین سلطانی</w:t>
            </w:r>
            <w:r>
              <w:rPr>
                <w:rStyle w:val="IndexLink"/>
                <w:rtl w:val="true"/>
              </w:rPr>
              <w:tab/>
            </w:r>
            <w:r>
              <w:rPr>
                <w:rStyle w:val="IndexLink"/>
              </w:rPr>
              <w:t>108</w:t>
            </w:r>
          </w:hyperlink>
        </w:p>
        <w:p>
          <w:pPr>
            <w:pStyle w:val="Contents3"/>
            <w:tabs>
              <w:tab w:val="clear" w:pos="8459"/>
              <w:tab w:val="right" w:pos="9026" w:leader="dot"/>
            </w:tabs>
            <w:rPr/>
          </w:pPr>
          <w:hyperlink w:anchor="__RefHeading___Toc2105258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105260_2749589250">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2105262_2749589250">
            <w:r>
              <w:rPr>
                <w:webHidden/>
                <w:rStyle w:val="IndexLink"/>
                <w:rtl w:val="true"/>
              </w:rPr>
              <w:t>واژگان کلیدی</w:t>
            </w:r>
            <w:r>
              <w:rPr>
                <w:rStyle w:val="IndexLink"/>
                <w:rtl w:val="true"/>
              </w:rPr>
              <w:tab/>
            </w:r>
            <w:r>
              <w:rPr>
                <w:rStyle w:val="IndexLink"/>
              </w:rPr>
              <w:t>108</w:t>
            </w:r>
          </w:hyperlink>
        </w:p>
        <w:p>
          <w:pPr>
            <w:pStyle w:val="Contents3"/>
            <w:tabs>
              <w:tab w:val="clear" w:pos="8459"/>
              <w:tab w:val="right" w:pos="9026" w:leader="dot"/>
            </w:tabs>
            <w:rPr/>
          </w:pPr>
          <w:hyperlink w:anchor="__RefHeading___Toc2105264_2749589250">
            <w:r>
              <w:rPr>
                <w:webHidden/>
                <w:rStyle w:val="IndexLink"/>
                <w:rtl w:val="true"/>
              </w:rPr>
              <w:t>مقدمه</w:t>
            </w:r>
            <w:r>
              <w:rPr>
                <w:rStyle w:val="IndexLink"/>
                <w:rtl w:val="true"/>
              </w:rPr>
              <w:tab/>
            </w:r>
            <w:r>
              <w:rPr>
                <w:rStyle w:val="IndexLink"/>
              </w:rPr>
              <w:t>109</w:t>
            </w:r>
          </w:hyperlink>
        </w:p>
        <w:p>
          <w:pPr>
            <w:pStyle w:val="Contents3"/>
            <w:tabs>
              <w:tab w:val="clear" w:pos="8459"/>
              <w:tab w:val="right" w:pos="9026" w:leader="dot"/>
            </w:tabs>
            <w:rPr/>
          </w:pPr>
          <w:hyperlink w:anchor="__RefHeading___Toc2105266_2749589250">
            <w:r>
              <w:rPr>
                <w:webHidden/>
                <w:rStyle w:val="IndexLink"/>
              </w:rPr>
              <w:t>1</w:t>
            </w:r>
            <w:r>
              <w:rPr>
                <w:rStyle w:val="IndexLink"/>
                <w:rtl w:val="true"/>
              </w:rPr>
              <w:t xml:space="preserve">. </w:t>
            </w:r>
            <w:r>
              <w:rPr>
                <w:rStyle w:val="IndexLink"/>
                <w:rtl w:val="true"/>
              </w:rPr>
              <w:t>حواس ظاهری</w:t>
            </w:r>
            <w:r>
              <w:rPr>
                <w:rStyle w:val="IndexLink"/>
                <w:rtl w:val="true"/>
              </w:rPr>
              <w:tab/>
            </w:r>
            <w:r>
              <w:rPr>
                <w:rStyle w:val="IndexLink"/>
              </w:rPr>
              <w:t>110</w:t>
            </w:r>
          </w:hyperlink>
        </w:p>
        <w:p>
          <w:pPr>
            <w:pStyle w:val="Contents3"/>
            <w:tabs>
              <w:tab w:val="clear" w:pos="8459"/>
              <w:tab w:val="right" w:pos="9026" w:leader="dot"/>
            </w:tabs>
            <w:rPr/>
          </w:pPr>
          <w:hyperlink w:anchor="__RefHeading___Toc2105268_2749589250">
            <w:r>
              <w:rPr>
                <w:webHidden/>
                <w:rStyle w:val="IndexLink"/>
              </w:rPr>
              <w:t>2</w:t>
            </w:r>
            <w:r>
              <w:rPr>
                <w:rStyle w:val="IndexLink"/>
                <w:rtl w:val="true"/>
              </w:rPr>
              <w:t xml:space="preserve">. </w:t>
            </w:r>
            <w:r>
              <w:rPr>
                <w:rStyle w:val="IndexLink"/>
                <w:rtl w:val="true"/>
              </w:rPr>
              <w:t>عقل</w:t>
            </w:r>
            <w:r>
              <w:rPr>
                <w:rStyle w:val="IndexLink"/>
                <w:rtl w:val="true"/>
              </w:rPr>
              <w:tab/>
            </w:r>
            <w:r>
              <w:rPr>
                <w:rStyle w:val="IndexLink"/>
              </w:rPr>
              <w:t>111</w:t>
            </w:r>
          </w:hyperlink>
        </w:p>
        <w:p>
          <w:pPr>
            <w:pStyle w:val="Contents4"/>
            <w:tabs>
              <w:tab w:val="clear" w:pos="8176"/>
              <w:tab w:val="right" w:pos="9026" w:leader="dot"/>
            </w:tabs>
            <w:rPr/>
          </w:pPr>
          <w:hyperlink w:anchor="__RefHeading___Toc2105270_274958925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105272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تعریف عقل از دیدگاه عبدالجبار</w:t>
            </w:r>
            <w:r>
              <w:rPr>
                <w:rStyle w:val="IndexLink"/>
                <w:rtl w:val="true"/>
              </w:rPr>
              <w:tab/>
            </w:r>
            <w:r>
              <w:rPr>
                <w:rStyle w:val="IndexLink"/>
              </w:rPr>
              <w:t>111</w:t>
            </w:r>
          </w:hyperlink>
        </w:p>
        <w:p>
          <w:pPr>
            <w:pStyle w:val="Contents4"/>
            <w:tabs>
              <w:tab w:val="clear" w:pos="8176"/>
              <w:tab w:val="right" w:pos="9026" w:leader="dot"/>
            </w:tabs>
            <w:rPr/>
          </w:pPr>
          <w:hyperlink w:anchor="__RefHeading___Toc2105274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جایگاه عقل نزد قاضی عبدالجبار</w:t>
            </w:r>
            <w:r>
              <w:rPr>
                <w:rStyle w:val="IndexLink"/>
                <w:rtl w:val="true"/>
              </w:rPr>
              <w:tab/>
            </w:r>
            <w:r>
              <w:rPr>
                <w:rStyle w:val="IndexLink"/>
              </w:rPr>
              <w:t>113</w:t>
            </w:r>
          </w:hyperlink>
        </w:p>
        <w:p>
          <w:pPr>
            <w:pStyle w:val="Contents4"/>
            <w:tabs>
              <w:tab w:val="clear" w:pos="8176"/>
              <w:tab w:val="right" w:pos="9026" w:leader="dot"/>
            </w:tabs>
            <w:rPr/>
          </w:pPr>
          <w:hyperlink w:anchor="__RefHeading___Toc2105276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نسبتِ عقل و دین</w:t>
            </w:r>
            <w:r>
              <w:rPr>
                <w:rStyle w:val="IndexLink"/>
                <w:rtl w:val="true"/>
              </w:rPr>
              <w:tab/>
            </w:r>
            <w:r>
              <w:rPr>
                <w:rStyle w:val="IndexLink"/>
              </w:rPr>
              <w:t>113</w:t>
            </w:r>
          </w:hyperlink>
        </w:p>
        <w:p>
          <w:pPr>
            <w:pStyle w:val="Contents4"/>
            <w:tabs>
              <w:tab w:val="clear" w:pos="8176"/>
              <w:tab w:val="right" w:pos="9026" w:leader="dot"/>
            </w:tabs>
            <w:rPr/>
          </w:pPr>
          <w:hyperlink w:anchor="__RefHeading___Toc2105278_2749589250">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رابطۀ حس و عقل یا علوم حسی و علوم عقلی</w:t>
            </w:r>
            <w:r>
              <w:rPr>
                <w:rStyle w:val="IndexLink"/>
                <w:rtl w:val="true"/>
              </w:rPr>
              <w:tab/>
            </w:r>
            <w:r>
              <w:rPr>
                <w:rStyle w:val="IndexLink"/>
              </w:rPr>
              <w:t>115</w:t>
            </w:r>
          </w:hyperlink>
        </w:p>
        <w:p>
          <w:pPr>
            <w:pStyle w:val="Contents3"/>
            <w:tabs>
              <w:tab w:val="clear" w:pos="8459"/>
              <w:tab w:val="right" w:pos="9026" w:leader="dot"/>
            </w:tabs>
            <w:rPr/>
          </w:pPr>
          <w:hyperlink w:anchor="__RefHeading___Toc2105280_2749589250">
            <w:r>
              <w:rPr>
                <w:webHidden/>
                <w:rStyle w:val="IndexLink"/>
              </w:rPr>
              <w:t>3</w:t>
            </w:r>
            <w:r>
              <w:rPr>
                <w:rStyle w:val="IndexLink"/>
                <w:rtl w:val="true"/>
              </w:rPr>
              <w:t xml:space="preserve">. </w:t>
            </w:r>
            <w:r>
              <w:rPr>
                <w:rStyle w:val="IndexLink"/>
                <w:rtl w:val="true"/>
              </w:rPr>
              <w:t>علوم ضروری و حضوری</w:t>
            </w:r>
            <w:r>
              <w:rPr>
                <w:rStyle w:val="IndexLink"/>
                <w:rtl w:val="true"/>
              </w:rPr>
              <w:tab/>
            </w:r>
            <w:r>
              <w:rPr>
                <w:rStyle w:val="IndexLink"/>
              </w:rPr>
              <w:t>116</w:t>
            </w:r>
          </w:hyperlink>
        </w:p>
        <w:p>
          <w:pPr>
            <w:pStyle w:val="Contents3"/>
            <w:tabs>
              <w:tab w:val="clear" w:pos="8459"/>
              <w:tab w:val="right" w:pos="9026" w:leader="dot"/>
            </w:tabs>
            <w:rPr/>
          </w:pPr>
          <w:hyperlink w:anchor="__RefHeading___Toc2105282_2749589250">
            <w:r>
              <w:rPr>
                <w:webHidden/>
                <w:rStyle w:val="IndexLink"/>
              </w:rPr>
              <w:t>4</w:t>
            </w:r>
            <w:r>
              <w:rPr>
                <w:rStyle w:val="IndexLink"/>
                <w:rtl w:val="true"/>
              </w:rPr>
              <w:t xml:space="preserve">. </w:t>
            </w:r>
            <w:r>
              <w:rPr>
                <w:rStyle w:val="IndexLink"/>
                <w:rtl w:val="true"/>
              </w:rPr>
              <w:t>دلیل وحیانی</w:t>
            </w:r>
            <w:r>
              <w:rPr>
                <w:rStyle w:val="IndexLink"/>
                <w:rtl w:val="true"/>
              </w:rPr>
              <w:tab/>
            </w:r>
            <w:r>
              <w:rPr>
                <w:rStyle w:val="IndexLink"/>
              </w:rPr>
              <w:t>116</w:t>
            </w:r>
          </w:hyperlink>
        </w:p>
        <w:p>
          <w:pPr>
            <w:pStyle w:val="Contents3"/>
            <w:tabs>
              <w:tab w:val="clear" w:pos="8459"/>
              <w:tab w:val="right" w:pos="9026" w:leader="dot"/>
            </w:tabs>
            <w:rPr/>
          </w:pPr>
          <w:hyperlink w:anchor="__RefHeading___Toc2105284_2749589250">
            <w:r>
              <w:rPr>
                <w:webHidden/>
                <w:rStyle w:val="IndexLink"/>
              </w:rPr>
              <w:t>5</w:t>
            </w:r>
            <w:r>
              <w:rPr>
                <w:rStyle w:val="IndexLink"/>
                <w:rtl w:val="true"/>
              </w:rPr>
              <w:t xml:space="preserve">. </w:t>
            </w:r>
            <w:r>
              <w:rPr>
                <w:rStyle w:val="IndexLink"/>
                <w:rtl w:val="true"/>
              </w:rPr>
              <w:t>تقلید</w:t>
            </w:r>
            <w:r>
              <w:rPr>
                <w:rStyle w:val="IndexLink"/>
                <w:rtl w:val="true"/>
              </w:rPr>
              <w:tab/>
            </w:r>
            <w:r>
              <w:rPr>
                <w:rStyle w:val="IndexLink"/>
              </w:rPr>
              <w:t>118</w:t>
            </w:r>
          </w:hyperlink>
        </w:p>
        <w:p>
          <w:pPr>
            <w:pStyle w:val="Contents3"/>
            <w:tabs>
              <w:tab w:val="clear" w:pos="8459"/>
              <w:tab w:val="right" w:pos="9026" w:leader="dot"/>
            </w:tabs>
            <w:rPr/>
          </w:pPr>
          <w:hyperlink w:anchor="__RefHeading___Toc2105286_2749589250">
            <w:r>
              <w:rPr>
                <w:webHidden/>
                <w:rStyle w:val="IndexLink"/>
                <w:rtl w:val="true"/>
              </w:rPr>
              <w:t>نتیجه</w:t>
            </w:r>
            <w:r>
              <w:rPr>
                <w:rStyle w:val="IndexLink"/>
                <w:rtl w:val="true"/>
              </w:rPr>
              <w:tab/>
            </w:r>
            <w:r>
              <w:rPr>
                <w:rStyle w:val="IndexLink"/>
              </w:rPr>
              <w:t>119</w:t>
            </w:r>
          </w:hyperlink>
        </w:p>
        <w:p>
          <w:pPr>
            <w:pStyle w:val="Contents3"/>
            <w:tabs>
              <w:tab w:val="clear" w:pos="8459"/>
              <w:tab w:val="right" w:pos="9026" w:leader="dot"/>
            </w:tabs>
            <w:rPr/>
          </w:pPr>
          <w:hyperlink w:anchor="__RefHeading___Toc2105288_2749589250">
            <w:r>
              <w:rPr>
                <w:webHidden/>
                <w:rStyle w:val="IndexLink"/>
                <w:rtl w:val="true"/>
              </w:rPr>
              <w:t>منابع</w:t>
            </w:r>
            <w:r>
              <w:rPr>
                <w:rStyle w:val="IndexLink"/>
                <w:rtl w:val="true"/>
              </w:rPr>
              <w:tab/>
            </w:r>
            <w:r>
              <w:rPr>
                <w:rStyle w:val="IndexLink"/>
              </w:rPr>
              <w:t>120</w:t>
            </w:r>
          </w:hyperlink>
        </w:p>
        <w:p>
          <w:pPr>
            <w:pStyle w:val="Contents2"/>
            <w:tabs>
              <w:tab w:val="clear" w:pos="8743"/>
              <w:tab w:val="right" w:pos="9026" w:leader="dot"/>
            </w:tabs>
            <w:rPr/>
          </w:pPr>
          <w:hyperlink w:anchor="__RefHeading___Toc2105290_2749589250">
            <w:r>
              <w:rPr>
                <w:webHidden/>
                <w:rStyle w:val="IndexLink"/>
                <w:rtl w:val="true"/>
              </w:rPr>
              <w:t>بررسی تطبیقی مبانی کلامی سید قطب و سلفیه در مباحث توحید و تکفیر</w:t>
            </w:r>
            <w:r>
              <w:rPr>
                <w:rStyle w:val="IndexLink"/>
                <w:rtl w:val="true"/>
              </w:rPr>
              <w:t>/</w:t>
            </w:r>
            <w:r>
              <w:rPr>
                <w:rStyle w:val="IndexLink"/>
                <w:rtl w:val="true"/>
              </w:rPr>
              <w:t>رضا ملازاده یامچی</w:t>
            </w:r>
            <w:r>
              <w:rPr>
                <w:rStyle w:val="IndexLink"/>
                <w:rtl w:val="true"/>
              </w:rPr>
              <w:t>_</w:t>
            </w:r>
            <w:r>
              <w:rPr>
                <w:rStyle w:val="IndexLink"/>
                <w:rtl w:val="true"/>
              </w:rPr>
              <w:t>حمید ایماندار</w:t>
            </w:r>
            <w:r>
              <w:rPr>
                <w:rStyle w:val="IndexLink"/>
                <w:rtl w:val="true"/>
              </w:rPr>
              <w:tab/>
            </w:r>
            <w:r>
              <w:rPr>
                <w:rStyle w:val="IndexLink"/>
              </w:rPr>
              <w:t>121</w:t>
            </w:r>
          </w:hyperlink>
        </w:p>
        <w:p>
          <w:pPr>
            <w:pStyle w:val="Contents3"/>
            <w:tabs>
              <w:tab w:val="clear" w:pos="8459"/>
              <w:tab w:val="right" w:pos="9026" w:leader="dot"/>
            </w:tabs>
            <w:rPr/>
          </w:pPr>
          <w:hyperlink w:anchor="__RefHeading___Toc2105292_274958925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105294_2749589250">
            <w:r>
              <w:rPr>
                <w:webHidden/>
                <w:rStyle w:val="IndexLink"/>
                <w:rtl w:val="true"/>
              </w:rPr>
              <w:t>چکیده</w:t>
            </w:r>
            <w:r>
              <w:rPr>
                <w:rStyle w:val="IndexLink"/>
                <w:rtl w:val="true"/>
              </w:rPr>
              <w:tab/>
            </w:r>
            <w:r>
              <w:rPr>
                <w:rStyle w:val="IndexLink"/>
              </w:rPr>
              <w:t>121</w:t>
            </w:r>
          </w:hyperlink>
        </w:p>
        <w:p>
          <w:pPr>
            <w:pStyle w:val="Contents3"/>
            <w:tabs>
              <w:tab w:val="clear" w:pos="8459"/>
              <w:tab w:val="right" w:pos="9026" w:leader="dot"/>
            </w:tabs>
            <w:rPr/>
          </w:pPr>
          <w:hyperlink w:anchor="__RefHeading___Toc2105296_2749589250">
            <w:r>
              <w:rPr>
                <w:webHidden/>
                <w:rStyle w:val="IndexLink"/>
                <w:rtl w:val="true"/>
              </w:rPr>
              <w:t>واژگان کلیدی</w:t>
            </w:r>
            <w:r>
              <w:rPr>
                <w:rStyle w:val="IndexLink"/>
                <w:rtl w:val="true"/>
              </w:rPr>
              <w:tab/>
            </w:r>
            <w:r>
              <w:rPr>
                <w:rStyle w:val="IndexLink"/>
              </w:rPr>
              <w:t>121</w:t>
            </w:r>
          </w:hyperlink>
        </w:p>
        <w:p>
          <w:pPr>
            <w:pStyle w:val="Contents3"/>
            <w:tabs>
              <w:tab w:val="clear" w:pos="8459"/>
              <w:tab w:val="right" w:pos="9026" w:leader="dot"/>
            </w:tabs>
            <w:rPr/>
          </w:pPr>
          <w:hyperlink w:anchor="__RefHeading___Toc2105298_2749589250">
            <w:r>
              <w:rPr>
                <w:webHidden/>
                <w:rStyle w:val="IndexLink"/>
                <w:rtl w:val="true"/>
              </w:rPr>
              <w:t>مقدمه</w:t>
            </w:r>
            <w:r>
              <w:rPr>
                <w:rStyle w:val="IndexLink"/>
                <w:rtl w:val="true"/>
              </w:rPr>
              <w:tab/>
            </w:r>
            <w:r>
              <w:rPr>
                <w:rStyle w:val="IndexLink"/>
              </w:rPr>
              <w:t>122</w:t>
            </w:r>
          </w:hyperlink>
        </w:p>
        <w:p>
          <w:pPr>
            <w:pStyle w:val="Contents3"/>
            <w:tabs>
              <w:tab w:val="clear" w:pos="8459"/>
              <w:tab w:val="right" w:pos="9026" w:leader="dot"/>
            </w:tabs>
            <w:rPr/>
          </w:pPr>
          <w:hyperlink w:anchor="__RefHeading___Toc2105300_2749589250">
            <w:r>
              <w:rPr>
                <w:webHidden/>
                <w:rStyle w:val="IndexLink"/>
              </w:rPr>
              <w:t>1</w:t>
            </w:r>
            <w:r>
              <w:rPr>
                <w:rStyle w:val="IndexLink"/>
                <w:rtl w:val="true"/>
              </w:rPr>
              <w:t xml:space="preserve">. </w:t>
            </w:r>
            <w:r>
              <w:rPr>
                <w:rStyle w:val="IndexLink"/>
                <w:rtl w:val="true"/>
              </w:rPr>
              <w:t>بررسی تطبیقی آرای سید قطب و سلفیه در مسئله توحید</w:t>
            </w:r>
            <w:r>
              <w:rPr>
                <w:rStyle w:val="IndexLink"/>
                <w:rtl w:val="true"/>
              </w:rPr>
              <w:tab/>
            </w:r>
            <w:r>
              <w:rPr>
                <w:rStyle w:val="IndexLink"/>
              </w:rPr>
              <w:t>122</w:t>
            </w:r>
          </w:hyperlink>
        </w:p>
        <w:p>
          <w:pPr>
            <w:pStyle w:val="Contents4"/>
            <w:tabs>
              <w:tab w:val="clear" w:pos="8176"/>
              <w:tab w:val="right" w:pos="9026" w:leader="dot"/>
            </w:tabs>
            <w:rPr/>
          </w:pPr>
          <w:hyperlink w:anchor="__RefHeading___Toc2105302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تفسیر سلفیه از صفات خبریۀ الهی</w:t>
            </w:r>
            <w:r>
              <w:rPr>
                <w:rStyle w:val="IndexLink"/>
                <w:rtl w:val="true"/>
              </w:rPr>
              <w:tab/>
            </w:r>
            <w:r>
              <w:rPr>
                <w:rStyle w:val="IndexLink"/>
              </w:rPr>
              <w:t>122</w:t>
            </w:r>
          </w:hyperlink>
        </w:p>
        <w:p>
          <w:pPr>
            <w:pStyle w:val="Contents5"/>
            <w:tabs>
              <w:tab w:val="clear" w:pos="7892"/>
              <w:tab w:val="right" w:pos="9026" w:leader="dot"/>
            </w:tabs>
            <w:rPr/>
          </w:pPr>
          <w:hyperlink w:anchor="__RefHeading___Toc2105304_2749589250">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105306_2749589250">
            <w:r>
              <w:rPr>
                <w:webHidden/>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2105308_2749589250">
            <w:r>
              <w:rPr>
                <w:webHidden/>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2105310_2749589250">
            <w:r>
              <w:rPr>
                <w:webHidden/>
                <w:rStyle w:val="IndexLink"/>
              </w:rPr>
              <w:t>3</w:t>
            </w:r>
            <w:r>
              <w:rPr>
                <w:rStyle w:val="IndexLink"/>
                <w:rtl w:val="true"/>
              </w:rPr>
              <w:t>.</w:t>
              <w:tab/>
            </w:r>
            <w:r>
              <w:rPr>
                <w:rStyle w:val="IndexLink"/>
              </w:rPr>
              <w:t>123</w:t>
            </w:r>
          </w:hyperlink>
        </w:p>
        <w:p>
          <w:pPr>
            <w:pStyle w:val="Contents4"/>
            <w:tabs>
              <w:tab w:val="clear" w:pos="8176"/>
              <w:tab w:val="right" w:pos="9026" w:leader="dot"/>
            </w:tabs>
            <w:rPr/>
          </w:pPr>
          <w:hyperlink w:anchor="__RefHeading___Toc2105312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تفسیر ذات و صفات الهی در رویکرد کلامی سید قطب</w:t>
            </w:r>
            <w:r>
              <w:rPr>
                <w:rStyle w:val="IndexLink"/>
                <w:rtl w:val="true"/>
              </w:rPr>
              <w:tab/>
            </w:r>
            <w:r>
              <w:rPr>
                <w:rStyle w:val="IndexLink"/>
              </w:rPr>
              <w:t>123</w:t>
            </w:r>
          </w:hyperlink>
        </w:p>
        <w:p>
          <w:pPr>
            <w:pStyle w:val="Contents3"/>
            <w:tabs>
              <w:tab w:val="clear" w:pos="8459"/>
              <w:tab w:val="right" w:pos="9026" w:leader="dot"/>
            </w:tabs>
            <w:rPr/>
          </w:pPr>
          <w:hyperlink w:anchor="__RefHeading___Toc2105314_2749589250">
            <w:r>
              <w:rPr>
                <w:webHidden/>
                <w:rStyle w:val="IndexLink"/>
              </w:rPr>
              <w:t>2</w:t>
            </w:r>
            <w:r>
              <w:rPr>
                <w:rStyle w:val="IndexLink"/>
                <w:rtl w:val="true"/>
              </w:rPr>
              <w:t xml:space="preserve">. </w:t>
            </w:r>
            <w:r>
              <w:rPr>
                <w:rStyle w:val="IndexLink"/>
                <w:rtl w:val="true"/>
              </w:rPr>
              <w:t>بررسی تطبیقی تکفیر حاکم بغیر ما انزل الله از منظر سید قطب و سلفیه</w:t>
            </w:r>
            <w:r>
              <w:rPr>
                <w:rStyle w:val="IndexLink"/>
                <w:rtl w:val="true"/>
              </w:rPr>
              <w:tab/>
            </w:r>
            <w:r>
              <w:rPr>
                <w:rStyle w:val="IndexLink"/>
              </w:rPr>
              <w:t>124</w:t>
            </w:r>
          </w:hyperlink>
        </w:p>
        <w:p>
          <w:pPr>
            <w:pStyle w:val="Contents4"/>
            <w:tabs>
              <w:tab w:val="clear" w:pos="8176"/>
              <w:tab w:val="right" w:pos="9026" w:leader="dot"/>
            </w:tabs>
            <w:rPr/>
          </w:pPr>
          <w:hyperlink w:anchor="__RefHeading___Toc2105316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تکفیر حاکم بغیر ما انزل الله از منظر سلفیه</w:t>
            </w:r>
            <w:r>
              <w:rPr>
                <w:rStyle w:val="IndexLink"/>
                <w:rtl w:val="true"/>
              </w:rPr>
              <w:tab/>
            </w:r>
            <w:r>
              <w:rPr>
                <w:rStyle w:val="IndexLink"/>
              </w:rPr>
              <w:t>124</w:t>
            </w:r>
          </w:hyperlink>
        </w:p>
        <w:p>
          <w:pPr>
            <w:pStyle w:val="Contents4"/>
            <w:tabs>
              <w:tab w:val="clear" w:pos="8176"/>
              <w:tab w:val="right" w:pos="9026" w:leader="dot"/>
            </w:tabs>
            <w:rPr/>
          </w:pPr>
          <w:hyperlink w:anchor="__RefHeading___Toc2105318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تکفیر حاکم بغیر ما انزل الله از منظر سید قطب</w:t>
            </w:r>
            <w:r>
              <w:rPr>
                <w:rStyle w:val="IndexLink"/>
                <w:rtl w:val="true"/>
              </w:rPr>
              <w:tab/>
            </w:r>
            <w:r>
              <w:rPr>
                <w:rStyle w:val="IndexLink"/>
              </w:rPr>
              <w:t>125</w:t>
            </w:r>
          </w:hyperlink>
        </w:p>
        <w:p>
          <w:pPr>
            <w:pStyle w:val="Contents5"/>
            <w:tabs>
              <w:tab w:val="clear" w:pos="7892"/>
              <w:tab w:val="right" w:pos="9026" w:leader="dot"/>
            </w:tabs>
            <w:rPr/>
          </w:pPr>
          <w:hyperlink w:anchor="__RefHeading___Toc2105320_274958925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2105322_2749589250">
            <w:r>
              <w:rPr>
                <w:webHidden/>
                <w:rStyle w:val="IndexLink"/>
              </w:rPr>
              <w:t>1</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اصالتبخشی به توحید تشریع و حاکمیت در شکل‌گیری توحید</w:t>
            </w:r>
            <w:r>
              <w:rPr>
                <w:rStyle w:val="IndexLink"/>
                <w:rtl w:val="true"/>
              </w:rPr>
              <w:tab/>
            </w:r>
            <w:r>
              <w:rPr>
                <w:rStyle w:val="IndexLink"/>
              </w:rPr>
              <w:t>125</w:t>
            </w:r>
          </w:hyperlink>
        </w:p>
        <w:p>
          <w:pPr>
            <w:pStyle w:val="Contents5"/>
            <w:tabs>
              <w:tab w:val="clear" w:pos="7892"/>
              <w:tab w:val="right" w:pos="9026" w:leader="dot"/>
            </w:tabs>
            <w:rPr/>
          </w:pPr>
          <w:hyperlink w:anchor="__RefHeading___Toc2105324_2749589250">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توسعۀ مفهومی و مصداقی توحید حاکمیت به تطبیق شریعت و قوانین وضعی بشری</w:t>
            </w:r>
            <w:r>
              <w:rPr>
                <w:rStyle w:val="IndexLink"/>
                <w:rtl w:val="true"/>
              </w:rPr>
              <w:tab/>
            </w:r>
            <w:r>
              <w:rPr>
                <w:rStyle w:val="IndexLink"/>
              </w:rPr>
              <w:t>126</w:t>
            </w:r>
          </w:hyperlink>
        </w:p>
        <w:p>
          <w:pPr>
            <w:pStyle w:val="Contents5"/>
            <w:tabs>
              <w:tab w:val="clear" w:pos="7892"/>
              <w:tab w:val="right" w:pos="9026" w:leader="dot"/>
            </w:tabs>
            <w:rPr/>
          </w:pPr>
          <w:hyperlink w:anchor="__RefHeading___Toc2105326_2749589250">
            <w:r>
              <w:rPr>
                <w:webHidden/>
                <w:rStyle w:val="IndexLink"/>
              </w:rPr>
              <w:t>3</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تأکید بر مدخلیت عمل به قوانین بشری در تکفیر حاکم بغیر ما انزل الله و محکومین وی</w:t>
            </w:r>
            <w:r>
              <w:rPr>
                <w:rStyle w:val="IndexLink"/>
                <w:rtl w:val="true"/>
              </w:rPr>
              <w:tab/>
            </w:r>
            <w:r>
              <w:rPr>
                <w:rStyle w:val="IndexLink"/>
              </w:rPr>
              <w:t>126</w:t>
            </w:r>
          </w:hyperlink>
        </w:p>
        <w:p>
          <w:pPr>
            <w:pStyle w:val="Contents5"/>
            <w:tabs>
              <w:tab w:val="clear" w:pos="7892"/>
              <w:tab w:val="right" w:pos="9026" w:leader="dot"/>
            </w:tabs>
            <w:rPr/>
          </w:pPr>
          <w:hyperlink w:anchor="__RefHeading___Toc2105328_2749589250">
            <w:r>
              <w:rPr>
                <w:webHidden/>
                <w:rStyle w:val="IndexLink"/>
              </w:rPr>
              <w:t>4</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بررسی تطبیقی تکفیر حاکم بغیر ما انزل الله از منظر سید قطب و سلفیه</w:t>
            </w:r>
            <w:r>
              <w:rPr>
                <w:rStyle w:val="IndexLink"/>
                <w:rtl w:val="true"/>
              </w:rPr>
              <w:tab/>
            </w:r>
            <w:r>
              <w:rPr>
                <w:rStyle w:val="IndexLink"/>
              </w:rPr>
              <w:t>129</w:t>
            </w:r>
          </w:hyperlink>
        </w:p>
        <w:p>
          <w:pPr>
            <w:pStyle w:val="Contents3"/>
            <w:tabs>
              <w:tab w:val="clear" w:pos="8459"/>
              <w:tab w:val="right" w:pos="9026" w:leader="dot"/>
            </w:tabs>
            <w:rPr/>
          </w:pPr>
          <w:hyperlink w:anchor="__RefHeading___Toc2105330_2749589250">
            <w:r>
              <w:rPr>
                <w:webHidden/>
                <w:rStyle w:val="IndexLink"/>
              </w:rPr>
              <w:t>3</w:t>
            </w:r>
            <w:r>
              <w:rPr>
                <w:rStyle w:val="IndexLink"/>
                <w:rtl w:val="true"/>
              </w:rPr>
              <w:t xml:space="preserve">. </w:t>
            </w:r>
            <w:r>
              <w:rPr>
                <w:rStyle w:val="IndexLink"/>
                <w:rtl w:val="true"/>
              </w:rPr>
              <w:t>رمزگشایی از بیانات تکفیری سید قطب</w:t>
            </w:r>
            <w:r>
              <w:rPr>
                <w:rStyle w:val="IndexLink"/>
                <w:rtl w:val="true"/>
              </w:rPr>
              <w:tab/>
            </w:r>
            <w:r>
              <w:rPr>
                <w:rStyle w:val="IndexLink"/>
              </w:rPr>
              <w:t>129</w:t>
            </w:r>
          </w:hyperlink>
        </w:p>
        <w:p>
          <w:pPr>
            <w:pStyle w:val="Contents4"/>
            <w:tabs>
              <w:tab w:val="clear" w:pos="8176"/>
              <w:tab w:val="right" w:pos="9026" w:leader="dot"/>
            </w:tabs>
            <w:rPr/>
          </w:pPr>
          <w:hyperlink w:anchor="__RefHeading___Toc2105332_274958925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105334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کلید معمای رویکرد تکفیری سید قطب؛ تمایز بین کفر ظاهری و باطنی</w:t>
            </w:r>
            <w:r>
              <w:rPr>
                <w:rStyle w:val="IndexLink"/>
                <w:rtl w:val="true"/>
              </w:rPr>
              <w:tab/>
            </w:r>
            <w:r>
              <w:rPr>
                <w:rStyle w:val="IndexLink"/>
              </w:rPr>
              <w:t>130</w:t>
            </w:r>
          </w:hyperlink>
        </w:p>
        <w:p>
          <w:pPr>
            <w:pStyle w:val="Contents4"/>
            <w:tabs>
              <w:tab w:val="clear" w:pos="8176"/>
              <w:tab w:val="right" w:pos="9026" w:leader="dot"/>
            </w:tabs>
            <w:rPr/>
          </w:pPr>
          <w:hyperlink w:anchor="__RefHeading___Toc2105336_274958925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تحلیل برخی بیانات سید قطب دربارۀ ارتداد فرد ناقض توحید حاکمیت</w:t>
            </w:r>
            <w:r>
              <w:rPr>
                <w:rStyle w:val="IndexLink"/>
                <w:rtl w:val="true"/>
              </w:rPr>
              <w:tab/>
            </w:r>
            <w:r>
              <w:rPr>
                <w:rStyle w:val="IndexLink"/>
              </w:rPr>
              <w:t>132</w:t>
            </w:r>
          </w:hyperlink>
        </w:p>
        <w:p>
          <w:pPr>
            <w:pStyle w:val="Contents3"/>
            <w:tabs>
              <w:tab w:val="clear" w:pos="8459"/>
              <w:tab w:val="right" w:pos="9026" w:leader="dot"/>
            </w:tabs>
            <w:rPr/>
          </w:pPr>
          <w:hyperlink w:anchor="__RefHeading___Toc2105338_2749589250">
            <w:r>
              <w:rPr>
                <w:webHidden/>
                <w:rStyle w:val="IndexLink"/>
              </w:rPr>
              <w:t>4</w:t>
            </w:r>
            <w:r>
              <w:rPr>
                <w:rStyle w:val="IndexLink"/>
                <w:rtl w:val="true"/>
              </w:rPr>
              <w:t xml:space="preserve">. </w:t>
            </w:r>
            <w:r>
              <w:rPr>
                <w:rStyle w:val="IndexLink"/>
                <w:rtl w:val="true"/>
              </w:rPr>
              <w:t>بررسی تطبیقی مفهوم‌شناسی ایمان از منظر سید قطب و سلفیه</w:t>
            </w:r>
            <w:r>
              <w:rPr>
                <w:rStyle w:val="IndexLink"/>
                <w:rtl w:val="true"/>
              </w:rPr>
              <w:tab/>
            </w:r>
            <w:r>
              <w:rPr>
                <w:rStyle w:val="IndexLink"/>
              </w:rPr>
              <w:t>135</w:t>
            </w:r>
          </w:hyperlink>
        </w:p>
        <w:p>
          <w:pPr>
            <w:pStyle w:val="Contents4"/>
            <w:tabs>
              <w:tab w:val="clear" w:pos="8176"/>
              <w:tab w:val="right" w:pos="9026" w:leader="dot"/>
            </w:tabs>
            <w:rPr/>
          </w:pPr>
          <w:hyperlink w:anchor="__RefHeading___Toc2105340_274958925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 xml:space="preserve">سلفیه و مفهوم‌شناسی </w:t>
            </w:r>
            <w:r>
              <w:rPr>
                <w:rStyle w:val="IndexLink"/>
                <w:rtl w:val="true"/>
              </w:rPr>
              <w:t>«</w:t>
            </w:r>
            <w:r>
              <w:rPr>
                <w:rStyle w:val="IndexLink"/>
                <w:rtl w:val="true"/>
              </w:rPr>
              <w:t>ایمان</w:t>
            </w:r>
            <w:r>
              <w:rPr>
                <w:rStyle w:val="IndexLink"/>
                <w:rtl w:val="true"/>
              </w:rPr>
              <w:t>»</w:t>
              <w:tab/>
            </w:r>
            <w:r>
              <w:rPr>
                <w:rStyle w:val="IndexLink"/>
              </w:rPr>
              <w:t>135</w:t>
            </w:r>
          </w:hyperlink>
        </w:p>
        <w:p>
          <w:pPr>
            <w:pStyle w:val="Contents4"/>
            <w:tabs>
              <w:tab w:val="clear" w:pos="8176"/>
              <w:tab w:val="right" w:pos="9026" w:leader="dot"/>
            </w:tabs>
            <w:rPr/>
          </w:pPr>
          <w:hyperlink w:anchor="__RefHeading___Toc2105342_2749589250">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مفهوم‌شناسی ایمان از منظر سید قطب</w:t>
            </w:r>
            <w:r>
              <w:rPr>
                <w:rStyle w:val="IndexLink"/>
                <w:rtl w:val="true"/>
              </w:rPr>
              <w:tab/>
            </w:r>
            <w:r>
              <w:rPr>
                <w:rStyle w:val="IndexLink"/>
              </w:rPr>
              <w:t>135</w:t>
            </w:r>
          </w:hyperlink>
        </w:p>
        <w:p>
          <w:pPr>
            <w:pStyle w:val="Contents4"/>
            <w:tabs>
              <w:tab w:val="clear" w:pos="8176"/>
              <w:tab w:val="right" w:pos="9026" w:leader="dot"/>
            </w:tabs>
            <w:rPr/>
          </w:pPr>
          <w:hyperlink w:anchor="__RefHeading___Toc2105344_2749589250">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بررسی تطبیقی مفهوم‌شناسی ایمان از منظر سید قطب و سلفیه</w:t>
            </w:r>
            <w:r>
              <w:rPr>
                <w:rStyle w:val="IndexLink"/>
                <w:rtl w:val="true"/>
              </w:rPr>
              <w:tab/>
            </w:r>
            <w:r>
              <w:rPr>
                <w:rStyle w:val="IndexLink"/>
              </w:rPr>
              <w:t>136</w:t>
            </w:r>
          </w:hyperlink>
        </w:p>
        <w:p>
          <w:pPr>
            <w:pStyle w:val="Contents3"/>
            <w:tabs>
              <w:tab w:val="clear" w:pos="8459"/>
              <w:tab w:val="right" w:pos="9026" w:leader="dot"/>
            </w:tabs>
            <w:rPr/>
          </w:pPr>
          <w:hyperlink w:anchor="__RefHeading___Toc2105346_2749589250">
            <w:r>
              <w:rPr>
                <w:webHidden/>
                <w:rStyle w:val="IndexLink"/>
                <w:rtl w:val="true"/>
              </w:rPr>
              <w:t>نتیجه</w:t>
            </w:r>
            <w:r>
              <w:rPr>
                <w:rStyle w:val="IndexLink"/>
                <w:rtl w:val="true"/>
              </w:rPr>
              <w:tab/>
            </w:r>
            <w:r>
              <w:rPr>
                <w:rStyle w:val="IndexLink"/>
              </w:rPr>
              <w:t>136</w:t>
            </w:r>
          </w:hyperlink>
        </w:p>
        <w:p>
          <w:pPr>
            <w:pStyle w:val="Contents3"/>
            <w:tabs>
              <w:tab w:val="clear" w:pos="8459"/>
              <w:tab w:val="right" w:pos="9026" w:leader="dot"/>
            </w:tabs>
            <w:rPr/>
          </w:pPr>
          <w:hyperlink w:anchor="__RefHeading___Toc2105348_2749589250">
            <w:r>
              <w:rPr>
                <w:webHidden/>
                <w:rStyle w:val="IndexLink"/>
                <w:rtl w:val="true"/>
              </w:rPr>
              <w:t>منابع</w:t>
            </w:r>
            <w:r>
              <w:rPr>
                <w:rStyle w:val="IndexLink"/>
                <w:rtl w:val="true"/>
              </w:rPr>
              <w:tab/>
            </w:r>
            <w:r>
              <w:rPr>
                <w:rStyle w:val="IndexLink"/>
              </w:rPr>
              <w:t>137</w:t>
            </w:r>
          </w:hyperlink>
        </w:p>
        <w:p>
          <w:pPr>
            <w:pStyle w:val="Contents2"/>
            <w:tabs>
              <w:tab w:val="clear" w:pos="8743"/>
              <w:tab w:val="right" w:pos="9026" w:leader="dot"/>
            </w:tabs>
            <w:rPr/>
          </w:pPr>
          <w:hyperlink w:anchor="__RefHeading___Toc2105350_2749589250">
            <w:r>
              <w:rPr>
                <w:webHidden/>
                <w:rStyle w:val="IndexLink"/>
                <w:rtl w:val="true"/>
              </w:rPr>
              <w:t>خلاصة المقالات باللغة العربیة</w:t>
            </w:r>
            <w:r>
              <w:rPr>
                <w:rStyle w:val="IndexLink"/>
                <w:rtl w:val="true"/>
              </w:rPr>
              <w:tab/>
            </w:r>
            <w:r>
              <w:rPr>
                <w:rStyle w:val="IndexLink"/>
              </w:rPr>
              <w:t>139</w:t>
            </w:r>
          </w:hyperlink>
        </w:p>
        <w:p>
          <w:pPr>
            <w:pStyle w:val="Contents3"/>
            <w:tabs>
              <w:tab w:val="clear" w:pos="8459"/>
              <w:tab w:val="right" w:pos="9026" w:leader="dot"/>
            </w:tabs>
            <w:rPr/>
          </w:pPr>
          <w:hyperlink w:anchor="__RefHeading___Toc2105352_2749589250">
            <w:r>
              <w:rPr>
                <w:webHidden/>
                <w:rStyle w:val="IndexLink"/>
                <w:rtl w:val="true"/>
              </w:rPr>
              <w:t>منزلة المکاتبات الرضویة فی حل المعضلات الکلامیة للإمامیة</w:t>
            </w:r>
            <w:r>
              <w:rPr>
                <w:rStyle w:val="IndexLink"/>
                <w:rtl w:val="true"/>
              </w:rPr>
              <w:t>/</w:t>
            </w:r>
            <w:r>
              <w:rPr>
                <w:rStyle w:val="IndexLink"/>
                <w:rtl w:val="true"/>
              </w:rPr>
              <w:t>مهدی غلامعلی</w:t>
            </w:r>
            <w:r>
              <w:rPr>
                <w:rStyle w:val="IndexLink"/>
                <w:rtl w:val="true"/>
              </w:rPr>
              <w:tab/>
            </w:r>
            <w:r>
              <w:rPr>
                <w:rStyle w:val="IndexLink"/>
              </w:rPr>
              <w:t>139</w:t>
            </w:r>
          </w:hyperlink>
        </w:p>
        <w:p>
          <w:pPr>
            <w:pStyle w:val="Contents4"/>
            <w:tabs>
              <w:tab w:val="clear" w:pos="8176"/>
              <w:tab w:val="right" w:pos="9026" w:leader="dot"/>
            </w:tabs>
            <w:rPr/>
          </w:pPr>
          <w:hyperlink w:anchor="__RefHeading___Toc2105354_274958925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105356_2749589250">
            <w:r>
              <w:rPr>
                <w:webHidden/>
                <w:rStyle w:val="IndexLink"/>
                <w:rtl w:val="true"/>
              </w:rPr>
              <w:t>الألفاظ المحوریة</w:t>
            </w:r>
            <w:r>
              <w:rPr>
                <w:rStyle w:val="IndexLink"/>
                <w:rtl w:val="true"/>
              </w:rPr>
              <w:tab/>
            </w:r>
            <w:r>
              <w:rPr>
                <w:rStyle w:val="IndexLink"/>
              </w:rPr>
              <w:t>139</w:t>
            </w:r>
          </w:hyperlink>
        </w:p>
        <w:p>
          <w:pPr>
            <w:pStyle w:val="Contents3"/>
            <w:tabs>
              <w:tab w:val="clear" w:pos="8459"/>
              <w:tab w:val="right" w:pos="9026" w:leader="dot"/>
            </w:tabs>
            <w:rPr/>
          </w:pPr>
          <w:hyperlink w:anchor="__RefHeading___Toc2105358_2749589250">
            <w:r>
              <w:rPr>
                <w:webHidden/>
                <w:rStyle w:val="IndexLink"/>
                <w:rtl w:val="true"/>
              </w:rPr>
              <w:t>التعالیم التعبدیة فی فکر الشیخ المفید، ماهیة، مبانی، و منهج الفهم</w:t>
            </w:r>
            <w:r>
              <w:rPr>
                <w:rStyle w:val="IndexLink"/>
                <w:rtl w:val="true"/>
              </w:rPr>
              <w:t>/</w:t>
            </w:r>
            <w:r>
              <w:rPr>
                <w:rStyle w:val="IndexLink"/>
                <w:rtl w:val="true"/>
              </w:rPr>
              <w:t>علی راد</w:t>
            </w:r>
            <w:r>
              <w:rPr>
                <w:rStyle w:val="IndexLink"/>
                <w:rtl w:val="true"/>
              </w:rPr>
              <w:t>_</w:t>
            </w:r>
            <w:r>
              <w:rPr>
                <w:rStyle w:val="IndexLink"/>
                <w:rtl w:val="true"/>
              </w:rPr>
              <w:t>معصومة الرضوانی</w:t>
            </w:r>
            <w:r>
              <w:rPr>
                <w:rStyle w:val="IndexLink"/>
                <w:rtl w:val="true"/>
              </w:rPr>
              <w:tab/>
            </w:r>
            <w:r>
              <w:rPr>
                <w:rStyle w:val="IndexLink"/>
              </w:rPr>
              <w:t>140</w:t>
            </w:r>
          </w:hyperlink>
        </w:p>
        <w:p>
          <w:pPr>
            <w:pStyle w:val="Contents4"/>
            <w:tabs>
              <w:tab w:val="clear" w:pos="8176"/>
              <w:tab w:val="right" w:pos="9026" w:leader="dot"/>
            </w:tabs>
            <w:rPr/>
          </w:pPr>
          <w:hyperlink w:anchor="__RefHeading___Toc2105360_274958925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2105362_2749589250">
            <w:r>
              <w:rPr>
                <w:webHidden/>
                <w:rStyle w:val="IndexLink"/>
                <w:rtl w:val="true"/>
              </w:rPr>
              <w:t>الألفاظ المحوریة</w:t>
            </w:r>
            <w:r>
              <w:rPr>
                <w:rStyle w:val="IndexLink"/>
                <w:rtl w:val="true"/>
              </w:rPr>
              <w:tab/>
            </w:r>
            <w:r>
              <w:rPr>
                <w:rStyle w:val="IndexLink"/>
              </w:rPr>
              <w:t>140</w:t>
            </w:r>
          </w:hyperlink>
        </w:p>
        <w:p>
          <w:pPr>
            <w:pStyle w:val="Contents3"/>
            <w:tabs>
              <w:tab w:val="clear" w:pos="8459"/>
              <w:tab w:val="right" w:pos="9026" w:leader="dot"/>
            </w:tabs>
            <w:rPr/>
          </w:pPr>
          <w:hyperlink w:anchor="__RefHeading___Toc2105364_2749589250">
            <w:r>
              <w:rPr>
                <w:webHidden/>
                <w:rStyle w:val="IndexLink"/>
                <w:rtl w:val="true"/>
              </w:rPr>
              <w:t>معنی و ماهیة الروح فی القرآن من منظار تفسیر مناهج البیان</w:t>
            </w:r>
            <w:r>
              <w:rPr>
                <w:rStyle w:val="IndexLink"/>
                <w:rtl w:val="true"/>
              </w:rPr>
              <w:t>/</w:t>
            </w:r>
            <w:r>
              <w:rPr>
                <w:rStyle w:val="IndexLink"/>
                <w:rtl w:val="true"/>
              </w:rPr>
              <w:t>مهدی باغبان الخطیبی</w:t>
            </w:r>
            <w:r>
              <w:rPr>
                <w:rStyle w:val="IndexLink"/>
                <w:rtl w:val="true"/>
              </w:rPr>
              <w:t>_</w:t>
            </w:r>
            <w:r>
              <w:rPr>
                <w:rStyle w:val="IndexLink"/>
                <w:rtl w:val="true"/>
              </w:rPr>
              <w:t>محمدتقی السبحانی</w:t>
            </w:r>
            <w:r>
              <w:rPr>
                <w:rStyle w:val="IndexLink"/>
                <w:rtl w:val="true"/>
              </w:rPr>
              <w:tab/>
            </w:r>
            <w:r>
              <w:rPr>
                <w:rStyle w:val="IndexLink"/>
              </w:rPr>
              <w:t>141</w:t>
            </w:r>
          </w:hyperlink>
        </w:p>
        <w:p>
          <w:pPr>
            <w:pStyle w:val="Contents4"/>
            <w:tabs>
              <w:tab w:val="clear" w:pos="8176"/>
              <w:tab w:val="right" w:pos="9026" w:leader="dot"/>
            </w:tabs>
            <w:rPr/>
          </w:pPr>
          <w:hyperlink w:anchor="__RefHeading___Toc2105366_274958925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105368_2749589250">
            <w:r>
              <w:rPr>
                <w:webHidden/>
                <w:rStyle w:val="IndexLink"/>
                <w:rtl w:val="true"/>
              </w:rPr>
              <w:t>الألفاظ المحوریة</w:t>
            </w:r>
            <w:r>
              <w:rPr>
                <w:rStyle w:val="IndexLink"/>
                <w:rtl w:val="true"/>
              </w:rPr>
              <w:tab/>
            </w:r>
            <w:r>
              <w:rPr>
                <w:rStyle w:val="IndexLink"/>
              </w:rPr>
              <w:t>141</w:t>
            </w:r>
          </w:hyperlink>
        </w:p>
        <w:p>
          <w:pPr>
            <w:pStyle w:val="Contents3"/>
            <w:tabs>
              <w:tab w:val="clear" w:pos="8459"/>
              <w:tab w:val="right" w:pos="9026" w:leader="dot"/>
            </w:tabs>
            <w:rPr/>
          </w:pPr>
          <w:hyperlink w:anchor="__RefHeading___Toc2105370_2749589250">
            <w:r>
              <w:rPr>
                <w:webHidden/>
                <w:rStyle w:val="IndexLink"/>
                <w:rtl w:val="true"/>
              </w:rPr>
              <w:t xml:space="preserve">الأرضیة التاریخیة و العلمیة لنزعة الشریف المرتضی لنظریة </w:t>
            </w:r>
            <w:r>
              <w:rPr>
                <w:rStyle w:val="IndexLink"/>
                <w:rtl w:val="true"/>
              </w:rPr>
              <w:t>«</w:t>
            </w:r>
            <w:r>
              <w:rPr>
                <w:rStyle w:val="IndexLink"/>
                <w:rtl w:val="true"/>
              </w:rPr>
              <w:t>الصرفة</w:t>
            </w:r>
            <w:r>
              <w:rPr>
                <w:rStyle w:val="IndexLink"/>
                <w:rtl w:val="true"/>
              </w:rPr>
              <w:t>»/</w:t>
            </w:r>
            <w:r>
              <w:rPr>
                <w:rStyle w:val="IndexLink"/>
                <w:rtl w:val="true"/>
              </w:rPr>
              <w:t>امیر احمد نجاد</w:t>
            </w:r>
            <w:r>
              <w:rPr>
                <w:rStyle w:val="IndexLink"/>
                <w:rtl w:val="true"/>
              </w:rPr>
              <w:t>_</w:t>
            </w:r>
            <w:r>
              <w:rPr>
                <w:rStyle w:val="IndexLink"/>
                <w:rtl w:val="true"/>
              </w:rPr>
              <w:t>عاطفة محمدزادة</w:t>
            </w:r>
            <w:r>
              <w:rPr>
                <w:rStyle w:val="IndexLink"/>
                <w:rtl w:val="true"/>
              </w:rPr>
              <w:tab/>
            </w:r>
            <w:r>
              <w:rPr>
                <w:rStyle w:val="IndexLink"/>
              </w:rPr>
              <w:t>142</w:t>
            </w:r>
          </w:hyperlink>
        </w:p>
        <w:p>
          <w:pPr>
            <w:pStyle w:val="Contents4"/>
            <w:tabs>
              <w:tab w:val="clear" w:pos="8176"/>
              <w:tab w:val="right" w:pos="9026" w:leader="dot"/>
            </w:tabs>
            <w:rPr/>
          </w:pPr>
          <w:hyperlink w:anchor="__RefHeading___Toc2105372_274958925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105374_2749589250">
            <w:r>
              <w:rPr>
                <w:webHidden/>
                <w:rStyle w:val="IndexLink"/>
                <w:rtl w:val="true"/>
              </w:rPr>
              <w:t>الألفاظ المحوریة</w:t>
            </w:r>
            <w:r>
              <w:rPr>
                <w:rStyle w:val="IndexLink"/>
                <w:rtl w:val="true"/>
              </w:rPr>
              <w:tab/>
            </w:r>
            <w:r>
              <w:rPr>
                <w:rStyle w:val="IndexLink"/>
              </w:rPr>
              <w:t>142</w:t>
            </w:r>
          </w:hyperlink>
        </w:p>
        <w:p>
          <w:pPr>
            <w:pStyle w:val="Contents3"/>
            <w:tabs>
              <w:tab w:val="clear" w:pos="8459"/>
              <w:tab w:val="right" w:pos="9026" w:leader="dot"/>
            </w:tabs>
            <w:rPr/>
          </w:pPr>
          <w:hyperlink w:anchor="__RefHeading___Toc2105376_2749589250">
            <w:r>
              <w:rPr>
                <w:webHidden/>
                <w:rStyle w:val="IndexLink"/>
                <w:rtl w:val="true"/>
              </w:rPr>
              <w:t>دراسة تاریخیة لانعکاس المبانی الکلامیة للمفسرین فی تفسیر آیة الخلود</w:t>
            </w:r>
            <w:r>
              <w:rPr>
                <w:rStyle w:val="IndexLink"/>
                <w:rtl w:val="true"/>
              </w:rPr>
              <w:t>/</w:t>
            </w:r>
            <w:r>
              <w:rPr>
                <w:rStyle w:val="IndexLink"/>
                <w:rtl w:val="true"/>
              </w:rPr>
              <w:t>شهربانو حاجی امیری</w:t>
            </w:r>
            <w:r>
              <w:rPr>
                <w:rStyle w:val="IndexLink"/>
                <w:rtl w:val="true"/>
              </w:rPr>
              <w:t>_</w:t>
            </w:r>
            <w:r>
              <w:rPr>
                <w:rStyle w:val="IndexLink"/>
                <w:rtl w:val="true"/>
              </w:rPr>
              <w:t>ابراهیم نصرالله بور علمداری</w:t>
            </w:r>
            <w:r>
              <w:rPr>
                <w:rStyle w:val="IndexLink"/>
                <w:rtl w:val="true"/>
              </w:rPr>
              <w:tab/>
            </w:r>
            <w:r>
              <w:rPr>
                <w:rStyle w:val="IndexLink"/>
              </w:rPr>
              <w:t>143</w:t>
            </w:r>
          </w:hyperlink>
        </w:p>
        <w:p>
          <w:pPr>
            <w:pStyle w:val="Contents4"/>
            <w:tabs>
              <w:tab w:val="clear" w:pos="8176"/>
              <w:tab w:val="right" w:pos="9026" w:leader="dot"/>
            </w:tabs>
            <w:rPr/>
          </w:pPr>
          <w:hyperlink w:anchor="__RefHeading___Toc2105378_274958925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105380_2749589250">
            <w:r>
              <w:rPr>
                <w:webHidden/>
                <w:rStyle w:val="IndexLink"/>
                <w:rtl w:val="true"/>
              </w:rPr>
              <w:t>الألفاظ المحوریة</w:t>
            </w:r>
            <w:r>
              <w:rPr>
                <w:rStyle w:val="IndexLink"/>
                <w:rtl w:val="true"/>
              </w:rPr>
              <w:tab/>
            </w:r>
            <w:r>
              <w:rPr>
                <w:rStyle w:val="IndexLink"/>
              </w:rPr>
              <w:t>143</w:t>
            </w:r>
          </w:hyperlink>
        </w:p>
        <w:p>
          <w:pPr>
            <w:pStyle w:val="Contents3"/>
            <w:tabs>
              <w:tab w:val="clear" w:pos="8459"/>
              <w:tab w:val="right" w:pos="9026" w:leader="dot"/>
            </w:tabs>
            <w:rPr/>
          </w:pPr>
          <w:hyperlink w:anchor="__RefHeading___Toc2105382_2749589250">
            <w:r>
              <w:rPr>
                <w:webHidden/>
                <w:rStyle w:val="IndexLink"/>
                <w:rtl w:val="true"/>
              </w:rPr>
              <w:t>مصادر المعرفة من منظار القاضی عبد الجبار المعتزلی</w:t>
            </w:r>
            <w:r>
              <w:rPr>
                <w:rStyle w:val="IndexLink"/>
                <w:rtl w:val="true"/>
              </w:rPr>
              <w:t>/</w:t>
            </w:r>
            <w:r>
              <w:rPr>
                <w:rStyle w:val="IndexLink"/>
                <w:rtl w:val="true"/>
              </w:rPr>
              <w:t>حسین السلطانی</w:t>
            </w:r>
            <w:r>
              <w:rPr>
                <w:rStyle w:val="IndexLink"/>
                <w:rtl w:val="true"/>
              </w:rPr>
              <w:tab/>
            </w:r>
            <w:r>
              <w:rPr>
                <w:rStyle w:val="IndexLink"/>
              </w:rPr>
              <w:t>144</w:t>
            </w:r>
          </w:hyperlink>
        </w:p>
        <w:p>
          <w:pPr>
            <w:pStyle w:val="Contents4"/>
            <w:tabs>
              <w:tab w:val="clear" w:pos="8176"/>
              <w:tab w:val="right" w:pos="9026" w:leader="dot"/>
            </w:tabs>
            <w:rPr/>
          </w:pPr>
          <w:hyperlink w:anchor="__RefHeading___Toc2105384_274958925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105386_2749589250">
            <w:r>
              <w:rPr>
                <w:webHidden/>
                <w:rStyle w:val="IndexLink"/>
                <w:rtl w:val="true"/>
              </w:rPr>
              <w:t>الألفاظ المحوریة</w:t>
            </w:r>
            <w:r>
              <w:rPr>
                <w:rStyle w:val="IndexLink"/>
                <w:rtl w:val="true"/>
              </w:rPr>
              <w:tab/>
            </w:r>
            <w:r>
              <w:rPr>
                <w:rStyle w:val="IndexLink"/>
              </w:rPr>
              <w:t>144</w:t>
            </w:r>
          </w:hyperlink>
        </w:p>
        <w:p>
          <w:pPr>
            <w:pStyle w:val="Contents3"/>
            <w:tabs>
              <w:tab w:val="clear" w:pos="8459"/>
              <w:tab w:val="right" w:pos="9026" w:leader="dot"/>
            </w:tabs>
            <w:rPr/>
          </w:pPr>
          <w:hyperlink w:anchor="__RefHeading___Toc2105388_2749589250">
            <w:r>
              <w:rPr>
                <w:webHidden/>
                <w:rStyle w:val="IndexLink"/>
                <w:rtl w:val="true"/>
              </w:rPr>
              <w:t>دراسة مقارنة لمبانی السید قطب و السلفیة فی أبحاث الوحید و التکفیر</w:t>
            </w:r>
            <w:r>
              <w:rPr>
                <w:rStyle w:val="IndexLink"/>
                <w:rtl w:val="true"/>
              </w:rPr>
              <w:t>/</w:t>
            </w:r>
            <w:r>
              <w:rPr>
                <w:rStyle w:val="IndexLink"/>
                <w:rtl w:val="true"/>
              </w:rPr>
              <w:t>رضا ملازاده الیامجی</w:t>
            </w:r>
            <w:r>
              <w:rPr>
                <w:rStyle w:val="IndexLink"/>
                <w:rtl w:val="true"/>
              </w:rPr>
              <w:t>_</w:t>
            </w:r>
            <w:r>
              <w:rPr>
                <w:rStyle w:val="IndexLink"/>
                <w:rtl w:val="true"/>
              </w:rPr>
              <w:t>حمید ایمان دار</w:t>
            </w:r>
            <w:r>
              <w:rPr>
                <w:rStyle w:val="IndexLink"/>
                <w:rtl w:val="true"/>
              </w:rPr>
              <w:tab/>
            </w:r>
            <w:r>
              <w:rPr>
                <w:rStyle w:val="IndexLink"/>
              </w:rPr>
              <w:t>145</w:t>
            </w:r>
          </w:hyperlink>
        </w:p>
        <w:p>
          <w:pPr>
            <w:pStyle w:val="Contents4"/>
            <w:tabs>
              <w:tab w:val="clear" w:pos="8176"/>
              <w:tab w:val="right" w:pos="9026" w:leader="dot"/>
            </w:tabs>
            <w:rPr/>
          </w:pPr>
          <w:hyperlink w:anchor="__RefHeading___Toc2105390_2749589250">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105392_2749589250">
            <w:r>
              <w:rPr>
                <w:webHidden/>
                <w:rStyle w:val="IndexLink"/>
                <w:rtl w:val="true"/>
              </w:rPr>
              <w:t>الألفاظ المحوریة</w:t>
            </w:r>
            <w:r>
              <w:rPr>
                <w:rStyle w:val="IndexLink"/>
                <w:rtl w:val="true"/>
              </w:rPr>
              <w:tab/>
            </w:r>
            <w:r>
              <w:rPr>
                <w:rStyle w:val="IndexLink"/>
              </w:rPr>
              <w:t>145</w:t>
            </w:r>
          </w:hyperlink>
        </w:p>
        <w:p>
          <w:pPr>
            <w:pStyle w:val="Contents2"/>
            <w:tabs>
              <w:tab w:val="clear" w:pos="8743"/>
              <w:tab w:val="right" w:pos="9026" w:leader="dot"/>
            </w:tabs>
            <w:rPr/>
          </w:pPr>
          <w:hyperlink w:anchor="__RefHeading___Toc2105394_2749589250">
            <w:r>
              <w:rPr>
                <w:webHidden/>
                <w:rStyle w:val="IndexLink"/>
              </w:rPr>
              <w:t>Abstracts</w:t>
            </w:r>
            <w:r>
              <w:rPr>
                <w:rStyle w:val="IndexLink"/>
                <w:rtl w:val="true"/>
              </w:rPr>
              <w:tab/>
            </w:r>
            <w:r>
              <w:rPr>
                <w:rStyle w:val="IndexLink"/>
              </w:rPr>
              <w:t>146</w:t>
            </w:r>
          </w:hyperlink>
        </w:p>
        <w:p>
          <w:pPr>
            <w:pStyle w:val="Contents3"/>
            <w:tabs>
              <w:tab w:val="clear" w:pos="8459"/>
              <w:tab w:val="right" w:pos="9026" w:leader="dot"/>
            </w:tabs>
            <w:rPr/>
          </w:pPr>
          <w:hyperlink w:anchor="__RefHeading___Toc2105396_2749589250">
            <w:r>
              <w:rPr>
                <w:webHidden/>
                <w:rStyle w:val="IndexLink"/>
              </w:rPr>
              <w:t>A Comparative Study of the Theological Bases of Sayyed Qutb and the Salafiyyah in the Discussions of Monotheism and Excommunication</w:t>
            </w:r>
            <w:r>
              <w:rPr>
                <w:rStyle w:val="IndexLink"/>
                <w:rtl w:val="true"/>
              </w:rPr>
              <w:tab/>
            </w:r>
            <w:r>
              <w:rPr>
                <w:rStyle w:val="IndexLink"/>
              </w:rPr>
              <w:t>146</w:t>
            </w:r>
          </w:hyperlink>
        </w:p>
        <w:p>
          <w:pPr>
            <w:pStyle w:val="Contents4"/>
            <w:tabs>
              <w:tab w:val="clear" w:pos="8176"/>
              <w:tab w:val="right" w:pos="9026" w:leader="dot"/>
            </w:tabs>
            <w:rPr/>
          </w:pPr>
          <w:hyperlink w:anchor="__RefHeading___Toc2105398_2749589250">
            <w:r>
              <w:rPr>
                <w:webHidden/>
                <w:rStyle w:val="IndexLink"/>
              </w:rPr>
              <w:t>Point</w:t>
            </w:r>
            <w:r>
              <w:rPr>
                <w:rStyle w:val="IndexLink"/>
                <w:rtl w:val="true"/>
              </w:rPr>
              <w:tab/>
            </w:r>
            <w:r>
              <w:rPr>
                <w:rStyle w:val="IndexLink"/>
              </w:rPr>
              <w:t>146</w:t>
            </w:r>
          </w:hyperlink>
        </w:p>
        <w:p>
          <w:pPr>
            <w:pStyle w:val="Contents4"/>
            <w:tabs>
              <w:tab w:val="clear" w:pos="8176"/>
              <w:tab w:val="right" w:pos="9026" w:leader="dot"/>
            </w:tabs>
            <w:rPr/>
          </w:pPr>
          <w:hyperlink w:anchor="__RefHeading___Toc2105400_2749589250">
            <w:r>
              <w:rPr>
                <w:webHidden/>
                <w:rStyle w:val="IndexLink"/>
              </w:rPr>
              <w:t>Keywords</w:t>
            </w:r>
            <w:r>
              <w:rPr>
                <w:rStyle w:val="IndexLink"/>
                <w:rtl w:val="true"/>
              </w:rPr>
              <w:tab/>
            </w:r>
            <w:r>
              <w:rPr>
                <w:rStyle w:val="IndexLink"/>
              </w:rPr>
              <w:t>146</w:t>
            </w:r>
          </w:hyperlink>
        </w:p>
        <w:p>
          <w:pPr>
            <w:pStyle w:val="Contents3"/>
            <w:tabs>
              <w:tab w:val="clear" w:pos="8459"/>
              <w:tab w:val="right" w:pos="9026" w:leader="dot"/>
            </w:tabs>
            <w:rPr/>
          </w:pPr>
          <w:hyperlink w:anchor="__RefHeading___Toc2105402_2749589250">
            <w:r>
              <w:rPr>
                <w:webHidden/>
                <w:rStyle w:val="IndexLink"/>
              </w:rPr>
              <w:t>The Sources of Knowledge According Qazi Abd ul-Jabbar al-Mu'tazili</w:t>
            </w:r>
            <w:r>
              <w:rPr>
                <w:rStyle w:val="IndexLink"/>
                <w:rtl w:val="true"/>
              </w:rPr>
              <w:tab/>
            </w:r>
            <w:r>
              <w:rPr>
                <w:rStyle w:val="IndexLink"/>
              </w:rPr>
              <w:t>147</w:t>
            </w:r>
          </w:hyperlink>
        </w:p>
        <w:p>
          <w:pPr>
            <w:pStyle w:val="Contents4"/>
            <w:tabs>
              <w:tab w:val="clear" w:pos="8176"/>
              <w:tab w:val="right" w:pos="9026" w:leader="dot"/>
            </w:tabs>
            <w:rPr/>
          </w:pPr>
          <w:hyperlink w:anchor="__RefHeading___Toc2105404_2749589250">
            <w:r>
              <w:rPr>
                <w:webHidden/>
                <w:rStyle w:val="IndexLink"/>
              </w:rPr>
              <w:t>Point</w:t>
            </w:r>
            <w:r>
              <w:rPr>
                <w:rStyle w:val="IndexLink"/>
                <w:rtl w:val="true"/>
              </w:rPr>
              <w:tab/>
            </w:r>
            <w:r>
              <w:rPr>
                <w:rStyle w:val="IndexLink"/>
              </w:rPr>
              <w:t>147</w:t>
            </w:r>
          </w:hyperlink>
        </w:p>
        <w:p>
          <w:pPr>
            <w:pStyle w:val="Contents4"/>
            <w:tabs>
              <w:tab w:val="clear" w:pos="8176"/>
              <w:tab w:val="right" w:pos="9026" w:leader="dot"/>
            </w:tabs>
            <w:rPr/>
          </w:pPr>
          <w:hyperlink w:anchor="__RefHeading___Toc2105406_2749589250">
            <w:r>
              <w:rPr>
                <w:webHidden/>
                <w:rStyle w:val="IndexLink"/>
              </w:rPr>
              <w:t>Keywords</w:t>
            </w:r>
            <w:r>
              <w:rPr>
                <w:rStyle w:val="IndexLink"/>
                <w:rtl w:val="true"/>
              </w:rPr>
              <w:tab/>
            </w:r>
            <w:r>
              <w:rPr>
                <w:rStyle w:val="IndexLink"/>
              </w:rPr>
              <w:t>147</w:t>
            </w:r>
          </w:hyperlink>
        </w:p>
        <w:p>
          <w:pPr>
            <w:pStyle w:val="Contents3"/>
            <w:tabs>
              <w:tab w:val="clear" w:pos="8459"/>
              <w:tab w:val="right" w:pos="9026" w:leader="dot"/>
            </w:tabs>
            <w:rPr/>
          </w:pPr>
          <w:hyperlink w:anchor="__RefHeading___Toc2105408_2749589250">
            <w:r>
              <w:rPr>
                <w:webHidden/>
                <w:rStyle w:val="IndexLink"/>
              </w:rPr>
              <w:t>Historical Examination of the Reflection of the Exegetes' Theological Bases in Interpretation of the "Verse of Immortality"</w:t>
            </w:r>
            <w:r>
              <w:rPr>
                <w:rStyle w:val="IndexLink"/>
                <w:rtl w:val="true"/>
              </w:rPr>
              <w:tab/>
            </w:r>
            <w:r>
              <w:rPr>
                <w:rStyle w:val="IndexLink"/>
              </w:rPr>
              <w:t>148</w:t>
            </w:r>
          </w:hyperlink>
        </w:p>
        <w:p>
          <w:pPr>
            <w:pStyle w:val="Contents4"/>
            <w:tabs>
              <w:tab w:val="clear" w:pos="8176"/>
              <w:tab w:val="right" w:pos="9026" w:leader="dot"/>
            </w:tabs>
            <w:rPr/>
          </w:pPr>
          <w:hyperlink w:anchor="__RefHeading___Toc2105410_2749589250">
            <w:r>
              <w:rPr>
                <w:webHidden/>
                <w:rStyle w:val="IndexLink"/>
              </w:rPr>
              <w:t>Point</w:t>
            </w:r>
            <w:r>
              <w:rPr>
                <w:rStyle w:val="IndexLink"/>
                <w:rtl w:val="true"/>
              </w:rPr>
              <w:tab/>
            </w:r>
            <w:r>
              <w:rPr>
                <w:rStyle w:val="IndexLink"/>
              </w:rPr>
              <w:t>148</w:t>
            </w:r>
          </w:hyperlink>
        </w:p>
        <w:p>
          <w:pPr>
            <w:pStyle w:val="Contents4"/>
            <w:tabs>
              <w:tab w:val="clear" w:pos="8176"/>
              <w:tab w:val="right" w:pos="9026" w:leader="dot"/>
            </w:tabs>
            <w:rPr/>
          </w:pPr>
          <w:hyperlink w:anchor="__RefHeading___Toc2105412_2749589250">
            <w:r>
              <w:rPr>
                <w:webHidden/>
                <w:rStyle w:val="IndexLink"/>
              </w:rPr>
              <w:t>Keywords</w:t>
            </w:r>
            <w:r>
              <w:rPr>
                <w:rStyle w:val="IndexLink"/>
                <w:rtl w:val="true"/>
              </w:rPr>
              <w:tab/>
            </w:r>
            <w:r>
              <w:rPr>
                <w:rStyle w:val="IndexLink"/>
              </w:rPr>
              <w:t>148</w:t>
            </w:r>
          </w:hyperlink>
        </w:p>
        <w:p>
          <w:pPr>
            <w:pStyle w:val="Contents3"/>
            <w:tabs>
              <w:tab w:val="clear" w:pos="8459"/>
              <w:tab w:val="right" w:pos="9026" w:leader="dot"/>
            </w:tabs>
            <w:rPr/>
          </w:pPr>
          <w:hyperlink w:anchor="__RefHeading___Toc2105414_2749589250">
            <w:r>
              <w:rPr>
                <w:webHidden/>
                <w:rStyle w:val="IndexLink"/>
              </w:rPr>
              <w:t>The Historical and Scientific Backgrounds of al-Sharif al-Murtaza Inclination to the Theory of "Sarfah"</w:t>
            </w:r>
            <w:r>
              <w:rPr>
                <w:rStyle w:val="IndexLink"/>
                <w:rtl w:val="true"/>
              </w:rPr>
              <w:tab/>
            </w:r>
            <w:r>
              <w:rPr>
                <w:rStyle w:val="IndexLink"/>
              </w:rPr>
              <w:t>149</w:t>
            </w:r>
          </w:hyperlink>
        </w:p>
        <w:p>
          <w:pPr>
            <w:pStyle w:val="Contents4"/>
            <w:tabs>
              <w:tab w:val="clear" w:pos="8176"/>
              <w:tab w:val="right" w:pos="9026" w:leader="dot"/>
            </w:tabs>
            <w:rPr/>
          </w:pPr>
          <w:hyperlink w:anchor="__RefHeading___Toc2105416_2749589250">
            <w:r>
              <w:rPr>
                <w:webHidden/>
                <w:rStyle w:val="IndexLink"/>
              </w:rPr>
              <w:t>Point</w:t>
            </w:r>
            <w:r>
              <w:rPr>
                <w:rStyle w:val="IndexLink"/>
                <w:rtl w:val="true"/>
              </w:rPr>
              <w:tab/>
            </w:r>
            <w:r>
              <w:rPr>
                <w:rStyle w:val="IndexLink"/>
              </w:rPr>
              <w:t>149</w:t>
            </w:r>
          </w:hyperlink>
        </w:p>
        <w:p>
          <w:pPr>
            <w:pStyle w:val="Contents4"/>
            <w:tabs>
              <w:tab w:val="clear" w:pos="8176"/>
              <w:tab w:val="right" w:pos="9026" w:leader="dot"/>
            </w:tabs>
            <w:rPr/>
          </w:pPr>
          <w:hyperlink w:anchor="__RefHeading___Toc2105418_2749589250">
            <w:r>
              <w:rPr>
                <w:webHidden/>
                <w:rStyle w:val="IndexLink"/>
              </w:rPr>
              <w:t>Keywords</w:t>
            </w:r>
            <w:r>
              <w:rPr>
                <w:rStyle w:val="IndexLink"/>
                <w:rtl w:val="true"/>
              </w:rPr>
              <w:tab/>
            </w:r>
            <w:r>
              <w:rPr>
                <w:rStyle w:val="IndexLink"/>
              </w:rPr>
              <w:t>149</w:t>
            </w:r>
          </w:hyperlink>
        </w:p>
        <w:p>
          <w:pPr>
            <w:pStyle w:val="Contents3"/>
            <w:tabs>
              <w:tab w:val="clear" w:pos="8459"/>
              <w:tab w:val="right" w:pos="9026" w:leader="dot"/>
            </w:tabs>
            <w:rPr/>
          </w:pPr>
          <w:hyperlink w:anchor="__RefHeading___Toc2105420_2749589250">
            <w:r>
              <w:rPr>
                <w:webHidden/>
                <w:rStyle w:val="IndexLink"/>
              </w:rPr>
              <w:t>The Meaning and Nature of Spirit in the Qur'an According to Tafsīr Manāhej al-Bayān</w:t>
            </w:r>
            <w:r>
              <w:rPr>
                <w:rStyle w:val="IndexLink"/>
                <w:rtl w:val="true"/>
              </w:rPr>
              <w:tab/>
            </w:r>
            <w:r>
              <w:rPr>
                <w:rStyle w:val="IndexLink"/>
              </w:rPr>
              <w:t>150</w:t>
            </w:r>
          </w:hyperlink>
        </w:p>
        <w:p>
          <w:pPr>
            <w:pStyle w:val="Contents4"/>
            <w:tabs>
              <w:tab w:val="clear" w:pos="8176"/>
              <w:tab w:val="right" w:pos="9026" w:leader="dot"/>
            </w:tabs>
            <w:rPr/>
          </w:pPr>
          <w:hyperlink w:anchor="__RefHeading___Toc2105422_2749589250">
            <w:r>
              <w:rPr>
                <w:webHidden/>
                <w:rStyle w:val="IndexLink"/>
              </w:rPr>
              <w:t>Point</w:t>
            </w:r>
            <w:r>
              <w:rPr>
                <w:rStyle w:val="IndexLink"/>
                <w:rtl w:val="true"/>
              </w:rPr>
              <w:tab/>
            </w:r>
            <w:r>
              <w:rPr>
                <w:rStyle w:val="IndexLink"/>
              </w:rPr>
              <w:t>150</w:t>
            </w:r>
          </w:hyperlink>
        </w:p>
        <w:p>
          <w:pPr>
            <w:pStyle w:val="Contents4"/>
            <w:tabs>
              <w:tab w:val="clear" w:pos="8176"/>
              <w:tab w:val="right" w:pos="9026" w:leader="dot"/>
            </w:tabs>
            <w:rPr/>
          </w:pPr>
          <w:hyperlink w:anchor="__RefHeading___Toc2105424_2749589250">
            <w:r>
              <w:rPr>
                <w:webHidden/>
                <w:rStyle w:val="IndexLink"/>
              </w:rPr>
              <w:t>Keywords</w:t>
            </w:r>
            <w:r>
              <w:rPr>
                <w:rStyle w:val="IndexLink"/>
                <w:rtl w:val="true"/>
              </w:rPr>
              <w:tab/>
            </w:r>
            <w:r>
              <w:rPr>
                <w:rStyle w:val="IndexLink"/>
              </w:rPr>
              <w:t>150</w:t>
            </w:r>
          </w:hyperlink>
        </w:p>
        <w:p>
          <w:pPr>
            <w:pStyle w:val="Contents3"/>
            <w:tabs>
              <w:tab w:val="clear" w:pos="8459"/>
              <w:tab w:val="right" w:pos="9026" w:leader="dot"/>
            </w:tabs>
            <w:rPr/>
          </w:pPr>
          <w:hyperlink w:anchor="__RefHeading___Toc2105426_2749589250">
            <w:r>
              <w:rPr>
                <w:webHidden/>
                <w:rStyle w:val="IndexLink"/>
              </w:rPr>
              <w:t>Dogmatic Teachings in the Theological Thoughts of al-Sheikh al-Mufīd; Nature, Bases and Understanding Method</w:t>
            </w:r>
            <w:r>
              <w:rPr>
                <w:rStyle w:val="IndexLink"/>
                <w:rtl w:val="true"/>
              </w:rPr>
              <w:tab/>
            </w:r>
            <w:r>
              <w:rPr>
                <w:rStyle w:val="IndexLink"/>
              </w:rPr>
              <w:t>151</w:t>
            </w:r>
          </w:hyperlink>
        </w:p>
        <w:p>
          <w:pPr>
            <w:pStyle w:val="Contents4"/>
            <w:tabs>
              <w:tab w:val="clear" w:pos="8176"/>
              <w:tab w:val="right" w:pos="9026" w:leader="dot"/>
            </w:tabs>
            <w:rPr/>
          </w:pPr>
          <w:hyperlink w:anchor="__RefHeading___Toc2105428_2749589250">
            <w:r>
              <w:rPr>
                <w:webHidden/>
                <w:rStyle w:val="IndexLink"/>
              </w:rPr>
              <w:t>Point</w:t>
            </w:r>
            <w:r>
              <w:rPr>
                <w:rStyle w:val="IndexLink"/>
                <w:rtl w:val="true"/>
              </w:rPr>
              <w:tab/>
            </w:r>
            <w:r>
              <w:rPr>
                <w:rStyle w:val="IndexLink"/>
              </w:rPr>
              <w:t>151</w:t>
            </w:r>
          </w:hyperlink>
        </w:p>
        <w:p>
          <w:pPr>
            <w:pStyle w:val="Contents4"/>
            <w:tabs>
              <w:tab w:val="clear" w:pos="8176"/>
              <w:tab w:val="right" w:pos="9026" w:leader="dot"/>
            </w:tabs>
            <w:rPr/>
          </w:pPr>
          <w:hyperlink w:anchor="__RefHeading___Toc2105430_2749589250">
            <w:r>
              <w:rPr>
                <w:webHidden/>
                <w:rStyle w:val="IndexLink"/>
              </w:rPr>
              <w:t>Keywords</w:t>
            </w:r>
            <w:r>
              <w:rPr>
                <w:rStyle w:val="IndexLink"/>
                <w:rtl w:val="true"/>
              </w:rPr>
              <w:tab/>
            </w:r>
            <w:r>
              <w:rPr>
                <w:rStyle w:val="IndexLink"/>
              </w:rPr>
              <w:t>151</w:t>
            </w:r>
          </w:hyperlink>
        </w:p>
        <w:p>
          <w:pPr>
            <w:pStyle w:val="Contents3"/>
            <w:tabs>
              <w:tab w:val="clear" w:pos="8459"/>
              <w:tab w:val="right" w:pos="9026" w:leader="dot"/>
            </w:tabs>
            <w:rPr/>
          </w:pPr>
          <w:hyperlink w:anchor="__RefHeading___Toc2105432_2749589250">
            <w:r>
              <w:rPr>
                <w:webHidden/>
                <w:rStyle w:val="IndexLink"/>
              </w:rPr>
              <w:t>The Place of Imam al-Reza's Letters in Solving the Imāmīyyah Kalāmī Dilemmas</w:t>
            </w:r>
            <w:r>
              <w:rPr>
                <w:rStyle w:val="IndexLink"/>
                <w:rtl w:val="true"/>
              </w:rPr>
              <w:tab/>
            </w:r>
            <w:r>
              <w:rPr>
                <w:rStyle w:val="IndexLink"/>
              </w:rPr>
              <w:t>152</w:t>
            </w:r>
          </w:hyperlink>
        </w:p>
        <w:p>
          <w:pPr>
            <w:pStyle w:val="Contents4"/>
            <w:tabs>
              <w:tab w:val="clear" w:pos="8176"/>
              <w:tab w:val="right" w:pos="9026" w:leader="dot"/>
            </w:tabs>
            <w:rPr/>
          </w:pPr>
          <w:hyperlink w:anchor="__RefHeading___Toc2105434_2749589250">
            <w:r>
              <w:rPr>
                <w:webHidden/>
                <w:rStyle w:val="IndexLink"/>
              </w:rPr>
              <w:t>Point</w:t>
            </w:r>
            <w:r>
              <w:rPr>
                <w:rStyle w:val="IndexLink"/>
                <w:rtl w:val="true"/>
              </w:rPr>
              <w:tab/>
            </w:r>
            <w:r>
              <w:rPr>
                <w:rStyle w:val="IndexLink"/>
              </w:rPr>
              <w:t>152</w:t>
            </w:r>
          </w:hyperlink>
        </w:p>
        <w:p>
          <w:pPr>
            <w:pStyle w:val="Contents4"/>
            <w:tabs>
              <w:tab w:val="clear" w:pos="8176"/>
              <w:tab w:val="right" w:pos="9026" w:leader="dot"/>
            </w:tabs>
            <w:rPr/>
          </w:pPr>
          <w:hyperlink w:anchor="__RefHeading___Toc2105436_2749589250">
            <w:r>
              <w:rPr>
                <w:webHidden/>
                <w:rStyle w:val="IndexLink"/>
              </w:rPr>
              <w:t>Keywords</w:t>
            </w:r>
            <w:r>
              <w:rPr>
                <w:rStyle w:val="IndexLink"/>
                <w:rtl w:val="true"/>
              </w:rPr>
              <w:tab/>
            </w:r>
            <w:r>
              <w:rPr>
                <w:rStyle w:val="IndexLink"/>
              </w:rPr>
              <w:t>152</w:t>
            </w:r>
          </w:hyperlink>
        </w:p>
        <w:p>
          <w:pPr>
            <w:pStyle w:val="Contents3"/>
            <w:tabs>
              <w:tab w:val="clear" w:pos="8459"/>
              <w:tab w:val="right" w:pos="9026" w:leader="dot"/>
            </w:tabs>
            <w:rPr/>
          </w:pPr>
          <w:hyperlink w:anchor="__RefHeading___Toc2105438_2749589250">
            <w:r>
              <w:rPr>
                <w:webHidden/>
                <w:rStyle w:val="IndexLink"/>
              </w:rPr>
              <w:t>Tahqīqāt-e Kalāmi</w:t>
            </w:r>
            <w:r>
              <w:rPr>
                <w:rStyle w:val="IndexLink"/>
                <w:rtl w:val="true"/>
              </w:rPr>
              <w:tab/>
            </w:r>
            <w:r>
              <w:rPr>
                <w:rStyle w:val="IndexLink"/>
              </w:rPr>
              <w:t>154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9_31696"/>
      <w:bookmarkStart w:id="1" w:name="pg3269_31696"/>
      <w:bookmarkEnd w:id="1"/>
    </w:p>
    <w:p>
      <w:pPr>
        <w:pStyle w:val="Heading2"/>
        <w:numPr>
          <w:ilvl w:val="1"/>
          <w:numId w:val="1"/>
        </w:numPr>
        <w:rPr/>
      </w:pPr>
      <w:bookmarkStart w:id="2" w:name="pg3269_31696"/>
      <w:bookmarkStart w:id="3" w:name="__RefHeading___Toc2104878_2749589250"/>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پنجم، شماره شانزدهم، 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www.tkalam.ir /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4880_2749589250"/>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پژوهشـی بـهنشریه تحقیقاتکلامیاعطا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امتیازاتقانونی در دانشگاه ها و حوزه های علمیه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تحقیقات کلامی از شماره اول در پایگاه استنادی علوم جهان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آدرس </w:t>
      </w:r>
      <w:r>
        <w:rPr>
          <w:rFonts w:eastAsia="Times New Roman" w:cs="Times New Roman" w:ascii="Times New Roman" w:hAnsi="Times New Roman"/>
          <w:color w:val="111111"/>
          <w:sz w:val="28"/>
          <w:szCs w:val="28"/>
          <w:lang w:val="en-US" w:bidi="en-US"/>
        </w:rPr>
        <w:t>www.isc.gov.ir</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www.ricest.ac.ir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پایگاه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مجلات تخصصی نور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www.noormags.ir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اطلاعات علمی جهاد دانشگاهی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http://fa.journals.sid.ir</w:t>
      </w:r>
      <w:r>
        <w:rPr>
          <w:rFonts w:eastAsia="Times New Roman" w:cs="Times New Roman" w:ascii="Times New Roman" w:hAnsi="Times New Roman"/>
          <w:color w:val="111111"/>
          <w:sz w:val="28"/>
          <w:szCs w:val="28"/>
          <w:rtl w:val="true"/>
          <w:lang w:val="en-US" w:bidi="en-US"/>
        </w:rPr>
        <w:t>/</w:t>
      </w:r>
      <w:bookmarkStart w:id="7" w:name="pg3269_31699"/>
    </w:p>
    <w:p>
      <w:pPr>
        <w:pStyle w:val="Heading2"/>
        <w:numPr>
          <w:ilvl w:val="1"/>
          <w:numId w:val="1"/>
        </w:numPr>
        <w:rPr/>
      </w:pPr>
      <w:bookmarkStart w:id="8" w:name="__RefHeading___Toc2104882_2749589250"/>
      <w:bookmarkStart w:id="9" w:name="_Toc3"/>
      <w:bookmarkEnd w:id="7"/>
      <w:bookmarkEnd w:id="8"/>
      <w:r>
        <w:rPr>
          <w:rtl w:val="true"/>
        </w:rPr>
        <w:t>راهنمای نویسندگان</w:t>
      </w:r>
      <w:bookmarkEnd w:id="9"/>
    </w:p>
    <w:p>
      <w:pPr>
        <w:pStyle w:val="BookText"/>
        <w:rPr/>
      </w:pPr>
      <w:r>
        <w:rPr>
          <w:rFonts w:ascii="IRNazanin" w:hAnsi="IRNazanin" w:eastAsia="IRNazanin"/>
          <w:color w:val="111111"/>
          <w:sz w:val="28"/>
          <w:sz w:val="28"/>
          <w:szCs w:val="28"/>
          <w:rtl w:val="true"/>
          <w:lang w:bidi="fa-IR"/>
        </w:rPr>
        <w:t>راهنمای نویسندگان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اطناب و ایجاز بی مورد؛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3269_31700"/>
    </w:p>
    <w:p>
      <w:pPr>
        <w:pStyle w:val="Heading2"/>
        <w:numPr>
          <w:ilvl w:val="1"/>
          <w:numId w:val="1"/>
        </w:numPr>
        <w:rPr/>
      </w:pPr>
      <w:bookmarkStart w:id="11" w:name="__RefHeading___Toc2104884_274958925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جایگاه مکاتبات رضوی در حل معضلات کلامی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آموزههای تعبدی در اندیشۀ کلامی شیخ مفید؛ ماهیت، مبانی و روش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راد، معصومه رضوانی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معنا و ماهیت روح در قرآن از منظر تفسیر مناهج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باغبان خطیبی، محمدتقی سبحانی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زمینه‌های تاریخی و علمی گرایش شریف مرتضی به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احمدنژاد، عاطفهمحمدزاده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بررسی تاریخی بازتاب مبانی کلامی 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حاجیامیری، ابراهیم نصراللهپور علمداری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منابع معرفت از دیدگاه قاضی عبدالجبار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سلطانی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بررسی تطبیقی مبانی کلامی سید قطب و سلفیه در مباحث توحید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ملازاده یامچی، حمید ایماندار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ترجمه چکیده مقالات به زبان عربی</w:t>
      </w:r>
      <w:r>
        <w:rPr>
          <w:rFonts w:eastAsia="IRNazanin" w:cs="IRNazanin"/>
          <w:color w:val="111111"/>
          <w:sz w:val="28"/>
          <w:szCs w:val="28"/>
          <w:lang w:bidi="fa-IR"/>
        </w:rPr>
        <w:t>133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چکیده مقالات به زبان انگلیسی</w:t>
      </w:r>
      <w:r>
        <w:rPr>
          <w:rFonts w:eastAsia="IRNazanin" w:cs="IRNazanin"/>
          <w:color w:val="111111"/>
          <w:sz w:val="28"/>
          <w:szCs w:val="28"/>
          <w:lang w:bidi="fa-IR"/>
        </w:rPr>
        <w:t>140</w:t>
      </w:r>
      <w:bookmarkStart w:id="13" w:name="pg3269_31702"/>
    </w:p>
    <w:p>
      <w:pPr>
        <w:pStyle w:val="Heading2"/>
        <w:numPr>
          <w:ilvl w:val="1"/>
          <w:numId w:val="1"/>
        </w:numPr>
        <w:rPr/>
      </w:pPr>
      <w:bookmarkStart w:id="14" w:name="__RefHeading___Toc2104886_2749589250"/>
      <w:bookmarkStart w:id="15" w:name="_Toc5"/>
      <w:bookmarkEnd w:id="13"/>
      <w:bookmarkEnd w:id="14"/>
      <w:r>
        <w:rPr>
          <w:rtl w:val="true"/>
        </w:rPr>
        <w:t>جایگاه مکاتبات رضوی در حل معضلات کلامی امامیه</w:t>
      </w:r>
      <w:r>
        <w:rPr>
          <w:rtl w:val="true"/>
        </w:rPr>
        <w:t xml:space="preserve">/ </w:t>
      </w:r>
      <w:r>
        <w:rPr>
          <w:rtl w:val="true"/>
        </w:rPr>
        <w:t>مهدی غلامعلی</w:t>
      </w:r>
      <w:bookmarkEnd w:id="15"/>
    </w:p>
    <w:p>
      <w:pPr>
        <w:pStyle w:val="Heading3"/>
        <w:numPr>
          <w:ilvl w:val="2"/>
          <w:numId w:val="1"/>
        </w:numPr>
        <w:rPr/>
      </w:pPr>
      <w:bookmarkStart w:id="16" w:name="__RefHeading___Toc2104888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مهدی غلامعلی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1395/10/15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1396/03/18</w:t>
      </w:r>
    </w:p>
    <w:p>
      <w:pPr>
        <w:pStyle w:val="Heading3"/>
        <w:numPr>
          <w:ilvl w:val="2"/>
          <w:numId w:val="1"/>
        </w:numPr>
        <w:rPr/>
      </w:pPr>
      <w:bookmarkStart w:id="18" w:name="__RefHeading___Toc2104890_2749589250"/>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از امام رضا علیه السلام مکتوبات بسیاری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پاسخ به این پرسش سامان یافته است که مکاتبات کلامی امام رضا علیه السلام در میان نگاشته‌های آن حضرت از چه جایگاهی برخوردار بوده و کدام معضلات کلامی بیشتر در این نگاشته‌ها مورد توجه بوده است؟ پس از بررسی موردی و تحلیلی مجموعۀ مکتوبات امام هشتم، مشخص شد که نزدیک به یک‌چهارم کل مکتوبات ایشان به موضوعات کلامی رایج در آن دوران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بررسی نامه‌های کلامی رضوی، به این نتیجه دست یافته که مهم‌ترین معضلات اعتقادی امامیه در نیمۀ دوم سده دوم هجری در دو کلان‌موضوع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تجسیم و رؤیت خدا مهم‌ترین شبهات توحیدی، و صفات و علامات امام معصوم و شبهات واقفه نیز مهم‌ترین معضلات شیعه در مسئله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هشتم علیه السلام در نامه های ارسالی به عالمان شیعه با چهار شیوۀ ارشاد، اعجاز، نکوهش و بحث به مصاف حل معضلات امامیه رفته‌اند</w:t>
      </w:r>
      <w:r>
        <w:rPr>
          <w:rFonts w:eastAsia="IRNazanin" w:cs="IRNazanin"/>
          <w:color w:val="111111"/>
          <w:sz w:val="28"/>
          <w:szCs w:val="28"/>
          <w:rtl w:val="true"/>
          <w:lang w:bidi="fa-IR"/>
        </w:rPr>
        <w:t>.</w:t>
      </w:r>
    </w:p>
    <w:p>
      <w:pPr>
        <w:pStyle w:val="Heading3"/>
        <w:numPr>
          <w:ilvl w:val="2"/>
          <w:numId w:val="1"/>
        </w:numPr>
        <w:rPr/>
      </w:pPr>
      <w:bookmarkStart w:id="20" w:name="__RefHeading___Toc2104892_2749589250"/>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 مکتوبات، احادیث کلامی، شبهات کلامی، معضلات اعتقادی شیعه</w:t>
      </w:r>
      <w:r>
        <w:rPr>
          <w:rFonts w:eastAsia="IRNazanin" w:cs="IRNazanin"/>
          <w:color w:val="111111"/>
          <w:sz w:val="28"/>
          <w:szCs w:val="28"/>
          <w:rtl w:val="true"/>
          <w:lang w:bidi="fa-IR"/>
        </w:rPr>
        <w:t>.</w:t>
      </w:r>
      <w:bookmarkStart w:id="22" w:name="pg3269_31703"/>
    </w:p>
    <w:p>
      <w:pPr>
        <w:pStyle w:val="Heading3"/>
        <w:numPr>
          <w:ilvl w:val="2"/>
          <w:numId w:val="1"/>
        </w:numPr>
        <w:rPr/>
      </w:pPr>
      <w:bookmarkStart w:id="23" w:name="__RefHeading___Toc2104894_2749589250"/>
      <w:bookmarkStart w:id="24" w:name="_Toc9"/>
      <w:bookmarkEnd w:id="22"/>
      <w:bookmarkEnd w:id="23"/>
      <w:r>
        <w:rPr>
          <w:rtl w:val="true"/>
        </w:rPr>
        <w:t>درآمد</w:t>
      </w:r>
      <w:bookmarkEnd w:id="24"/>
    </w:p>
    <w:p>
      <w:pPr>
        <w:pStyle w:val="Heading4"/>
        <w:numPr>
          <w:ilvl w:val="3"/>
          <w:numId w:val="1"/>
        </w:numPr>
        <w:rPr/>
      </w:pPr>
      <w:bookmarkStart w:id="25" w:name="__RefHeading___Toc2104896_274958925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تدوین آثار مکتوب در قرن دوم هجری در میان جامعۀ علمی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جوامع اولیۀ حدیثی شیعه که به همت مصنفان بزرگ امامیه چون یونس بن عبدالرحمان، محمد بن ابی‌عمیر، صفوان بن یحیی، حسین بن سعید، علی بن مهزیار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بود، ره‌آورد همین نهضت نگارشی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از این ظرفیت استفاده شایانی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بخشی از نامه‌ها و دست‌نوشته‌های منسوب به ایشان در موضوعات گوناگون و سبک‌های مختلف نگارشی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تأسی به روش اجداد بزرگوارشان و با عنایت به فضای موجود در مراکز علمی سدۀ دوم، از این شیوه جهت نشر حدیث بسیار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چهار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وضعیت مکتوبات در عصر رضوی پرداخته و در بخش دوم معضلات کلامی آن دوران شمارش شده است و در بخش بعد به تلاش‌های رضوی در حل این معضلات از راه مکتوبات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نیز نموداری از نامه‌های کلامی امام را ترسیم کرده است</w:t>
      </w:r>
      <w:r>
        <w:rPr>
          <w:rFonts w:eastAsia="IRNazanin" w:cs="IRNazanin"/>
          <w:color w:val="111111"/>
          <w:sz w:val="28"/>
          <w:szCs w:val="28"/>
          <w:rtl w:val="true"/>
          <w:lang w:bidi="fa-IR"/>
        </w:rPr>
        <w:t>.</w:t>
      </w:r>
    </w:p>
    <w:p>
      <w:pPr>
        <w:pStyle w:val="Heading4"/>
        <w:numPr>
          <w:ilvl w:val="3"/>
          <w:numId w:val="1"/>
        </w:numPr>
        <w:rPr/>
      </w:pPr>
      <w:bookmarkStart w:id="27" w:name="__RefHeading___Toc2104898_2749589250"/>
      <w:bookmarkStart w:id="28" w:name="_Toc11"/>
      <w:bookmarkEnd w:id="27"/>
      <w:r>
        <w:rPr/>
        <w:t>1</w:t>
      </w:r>
      <w:r>
        <w:rPr>
          <w:rtl w:val="true"/>
        </w:rPr>
        <w:t>.</w:t>
      </w:r>
      <w:r>
        <w:rPr>
          <w:rtl w:val="true"/>
        </w:rPr>
        <w:t>وضعیت مکاتبات رضوی</w:t>
      </w:r>
      <w:bookmarkEnd w:id="28"/>
    </w:p>
    <w:p>
      <w:pPr>
        <w:pStyle w:val="Heading5"/>
        <w:numPr>
          <w:ilvl w:val="4"/>
          <w:numId w:val="1"/>
        </w:numPr>
        <w:rPr/>
      </w:pPr>
      <w:bookmarkStart w:id="29" w:name="__RefHeading___Toc2104900_2749589250"/>
      <w:bookmarkStart w:id="30" w:name="_Toc12"/>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اطلاع دقیقی از تعداد نگارش‌های امام رضا علیه السلام در آن زمان موجود نیست، اما شمار نگاشته‌هایی که تا به امروز باقی مانده حدود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بیشتر آن‌ها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مکتوبات منسوب به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دعای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ادعیه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الذهبیه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احمدی میانجی که مجموعه نگاشته‌های ائمه علیهم السلام را در مکاتیب الائمه گرد آورده است، نگاشته‌های آن حضرت را این‌گونه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امامت و 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فقه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طب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دعا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نامه به واقفه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مسائل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امام بیشتر در قالب نامه‌هایی بوده که در پاسخ به سؤالات شیعیان ارسال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از نامه‌ها نیز به صورت ابتدایی از ناحیۀ امام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نامه‌ها چند اثر به صورت کتابچه‌های کوچک نگاشته شده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است</w:t>
      </w:r>
      <w:r>
        <w:rPr>
          <w:rFonts w:eastAsia="IRNazanin" w:cs="IRNazanin"/>
          <w:color w:val="111111"/>
          <w:sz w:val="28"/>
          <w:szCs w:val="28"/>
          <w:rtl w:val="true"/>
          <w:lang w:bidi="fa-IR"/>
        </w:rPr>
        <w:t>.</w:t>
      </w:r>
      <w:bookmarkStart w:id="31" w:name="pg3269_31704"/>
    </w:p>
    <w:p>
      <w:pPr>
        <w:pStyle w:val="BookText"/>
        <w:rPr/>
      </w:pPr>
      <w:bookmarkEnd w:id="31"/>
      <w:r>
        <w:rPr>
          <w:rFonts w:ascii="IRNazanin" w:hAnsi="IRNazanin" w:eastAsia="IRNazanin"/>
          <w:color w:val="111111"/>
          <w:sz w:val="28"/>
          <w:sz w:val="28"/>
          <w:szCs w:val="28"/>
          <w:rtl w:val="true"/>
          <w:lang w:bidi="fa-IR"/>
        </w:rPr>
        <w:t>از نکات جالب در روایات رضوی، املاهای گوناگونی است که آن حضرت برای شاگردان و یا پرسش‌کنندگان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بزنطی وقتی در بحث جبر و استطاعت و اختلاف شیعیان سخن به میان می آورد و منتظر قول صحیح است، امام پاسخ را به وی دیکته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أمالی‌های متعدد امام رضا علیه السلام در منابع روایی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پنج نکته در عالم مکتوبات از سوی معصومان علیهم السلام و به‌ویژه نامه‌های رضوی قابل توجه است</w:t>
      </w:r>
      <w:r>
        <w:rPr>
          <w:rFonts w:eastAsia="IRNazanin" w:cs="IRNazanin"/>
          <w:color w:val="111111"/>
          <w:sz w:val="28"/>
          <w:szCs w:val="28"/>
          <w:rtl w:val="true"/>
          <w:lang w:bidi="fa-IR"/>
        </w:rPr>
        <w:t>:</w:t>
      </w:r>
    </w:p>
    <w:p>
      <w:pPr>
        <w:pStyle w:val="Heading5"/>
        <w:numPr>
          <w:ilvl w:val="4"/>
          <w:numId w:val="1"/>
        </w:numPr>
        <w:rPr/>
      </w:pPr>
      <w:bookmarkStart w:id="32" w:name="__RefHeading___Toc2104902_2749589250"/>
      <w:bookmarkStart w:id="33" w:name="_Toc13"/>
      <w:bookmarkEnd w:id="32"/>
      <w:r>
        <w:rPr>
          <w:rtl w:val="true"/>
        </w:rPr>
        <w:t>نکته اول</w:t>
      </w:r>
      <w:r>
        <w:rPr>
          <w:rtl w:val="true"/>
        </w:rPr>
        <w:t>:</w:t>
      </w:r>
      <w:bookmarkEnd w:id="33"/>
    </w:p>
    <w:p>
      <w:pPr>
        <w:pStyle w:val="BookText"/>
        <w:rPr/>
      </w:pPr>
      <w:r>
        <w:rPr>
          <w:rFonts w:ascii="IRNazanin" w:hAnsi="IRNazanin" w:eastAsia="IRNazanin"/>
          <w:color w:val="111111"/>
          <w:sz w:val="28"/>
          <w:sz w:val="28"/>
          <w:szCs w:val="28"/>
          <w:rtl w:val="true"/>
          <w:lang w:bidi="fa-IR"/>
        </w:rPr>
        <w:t xml:space="preserve">پیدا شدن برخی نامه‌ها در منابع غیرمشهور و یا دریافته‌های میراث‌بانان بعید نیست، چه این‌که اخیراً دست‌نوشته‌ای از امام رضا علیه السلام به عامر بن زَروامهر، مرزبان طَبَسَین، یافت شده است </w:t>
      </w:r>
      <w:r>
        <w:rPr>
          <w:rStyle w:val="FootnoteAnchor"/>
          <w:rtl w:val="true"/>
        </w:rPr>
        <w:footnoteReference w:id="3"/>
      </w:r>
      <w:r>
        <w:rPr>
          <w:rFonts w:ascii="IRNazanin" w:hAnsi="IRNazanin" w:eastAsia="IRNazanin"/>
          <w:color w:val="111111"/>
          <w:sz w:val="28"/>
          <w:sz w:val="28"/>
          <w:szCs w:val="28"/>
          <w:rtl w:val="true"/>
          <w:lang w:bidi="fa-IR"/>
        </w:rPr>
        <w:t>که در کتاب‌ها و منابع روایی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نامه‌ای که در یکی از تراث غیرروایی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 سلسلة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34" w:name="__RefHeading___Toc2104904_2749589250"/>
      <w:bookmarkStart w:id="35" w:name="_Toc14"/>
      <w:bookmarkEnd w:id="34"/>
      <w:r>
        <w:rPr>
          <w:rtl w:val="true"/>
        </w:rPr>
        <w:t>نکته دوم</w:t>
      </w:r>
      <w:r>
        <w:rPr>
          <w:rtl w:val="true"/>
        </w:rPr>
        <w:t>:</w:t>
      </w:r>
      <w:bookmarkEnd w:id="35"/>
    </w:p>
    <w:p>
      <w:pPr>
        <w:pStyle w:val="BookText"/>
        <w:rPr/>
      </w:pPr>
      <w:r>
        <w:rPr>
          <w:rFonts w:ascii="IRNazanin" w:hAnsi="IRNazanin" w:eastAsia="IRNazanin"/>
          <w:color w:val="111111"/>
          <w:sz w:val="28"/>
          <w:sz w:val="28"/>
          <w:szCs w:val="28"/>
          <w:rtl w:val="true"/>
          <w:lang w:bidi="fa-IR"/>
        </w:rPr>
        <w:t>ساحت نامه، امکان برملا شدن را داراست؛ از این رو، نگارش هر نکته‌ای ـ که ضرر و خطر را برای شیعه در بر داشت ـ چندان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نامه‌های رضوی، گاه از امام با عناوین تقیه‌ای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کوتاهی غالب نامه‌ها نیز بیان‌گر نوعی احتیاط بوده است</w:t>
      </w:r>
      <w:r>
        <w:rPr>
          <w:rFonts w:eastAsia="IRNazanin" w:cs="IRNazanin"/>
          <w:color w:val="111111"/>
          <w:sz w:val="28"/>
          <w:szCs w:val="28"/>
          <w:rtl w:val="true"/>
          <w:lang w:bidi="fa-IR"/>
        </w:rPr>
        <w:t>.</w:t>
      </w:r>
    </w:p>
    <w:p>
      <w:pPr>
        <w:pStyle w:val="Heading5"/>
        <w:numPr>
          <w:ilvl w:val="4"/>
          <w:numId w:val="1"/>
        </w:numPr>
        <w:rPr/>
      </w:pPr>
      <w:bookmarkStart w:id="36" w:name="__RefHeading___Toc2104906_2749589250"/>
      <w:bookmarkStart w:id="37" w:name="_Toc15"/>
      <w:bookmarkEnd w:id="36"/>
      <w:r>
        <w:rPr>
          <w:rtl w:val="true"/>
        </w:rPr>
        <w:t>نکته سوم</w:t>
      </w:r>
      <w:r>
        <w:rPr>
          <w:rtl w:val="true"/>
        </w:rPr>
        <w:t>:</w:t>
      </w:r>
      <w:bookmarkEnd w:id="37"/>
    </w:p>
    <w:p>
      <w:pPr>
        <w:pStyle w:val="BookText"/>
        <w:rPr/>
      </w:pPr>
      <w:r>
        <w:rPr>
          <w:rFonts w:ascii="IRNazanin" w:hAnsi="IRNazanin" w:eastAsia="IRNazanin"/>
          <w:color w:val="111111"/>
          <w:sz w:val="28"/>
          <w:sz w:val="28"/>
          <w:szCs w:val="28"/>
          <w:rtl w:val="true"/>
          <w:lang w:bidi="fa-IR"/>
        </w:rPr>
        <w:t>اگرچه امکان داشت نامه ها به دست حکومت افتاده و سبب آزار و اذیت شیعیان شود، ولی باید توجه داشت در دوره ائمه متأخر ارتباط با معصومان بسیار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مکتوب از بهترین شیوه‌های ارتباطی شیعه و امام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که برای رفع شک در برخی مسائل بنیادی اعتقادی می خواهد به مدینه سفر کند، امام در نامه‌ای وی را برحذر داشته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الدخول الیَّ صعب و هولاء قد ضیقوا علیّ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خوبی دشواری ارتباط حضوری و ضرورت مکاتبات تقیه‌ای را آشکار می سازد</w:t>
      </w:r>
      <w:r>
        <w:rPr>
          <w:rFonts w:eastAsia="IRNazanin" w:cs="IRNazanin"/>
          <w:color w:val="111111"/>
          <w:sz w:val="28"/>
          <w:szCs w:val="28"/>
          <w:rtl w:val="true"/>
          <w:lang w:bidi="fa-IR"/>
        </w:rPr>
        <w:t>.</w:t>
      </w:r>
    </w:p>
    <w:p>
      <w:pPr>
        <w:pStyle w:val="Heading5"/>
        <w:numPr>
          <w:ilvl w:val="4"/>
          <w:numId w:val="1"/>
        </w:numPr>
        <w:rPr/>
      </w:pPr>
      <w:bookmarkStart w:id="38" w:name="__RefHeading___Toc2104908_2749589250"/>
      <w:bookmarkStart w:id="39" w:name="_Toc16"/>
      <w:bookmarkEnd w:id="38"/>
      <w:r>
        <w:rPr>
          <w:rtl w:val="true"/>
        </w:rPr>
        <w:t>نکته چهارم</w:t>
      </w:r>
      <w:r>
        <w:rPr>
          <w:rtl w:val="true"/>
        </w:rPr>
        <w:t>:</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برخی گزارش‌ها به نکات ریزی همچون چگونگی خط امام نیز</w:t>
      </w:r>
      <w:bookmarkStart w:id="40" w:name="pg3269_31705"/>
    </w:p>
    <w:p>
      <w:pPr>
        <w:pStyle w:val="BookText"/>
        <w:rPr/>
      </w:pPr>
      <w:bookmarkEnd w:id="40"/>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امام به صورت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583:1348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بزرگان شیعه همیشه خط امام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گزارش‌ها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الیّ بخط الذی اعرفه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41" w:name="__RefHeading___Toc2104910_2749589250"/>
      <w:bookmarkStart w:id="42" w:name="_Toc17"/>
      <w:bookmarkEnd w:id="41"/>
      <w:r>
        <w:rPr>
          <w:rtl w:val="true"/>
        </w:rPr>
        <w:t>نکته پنجم</w:t>
      </w:r>
      <w:r>
        <w:rPr>
          <w:rtl w:val="true"/>
        </w:rPr>
        <w:t>:</w:t>
      </w:r>
      <w:bookmarkEnd w:id="42"/>
    </w:p>
    <w:p>
      <w:pPr>
        <w:pStyle w:val="BookText"/>
        <w:rPr/>
      </w:pPr>
      <w:r>
        <w:rPr>
          <w:rFonts w:ascii="IRNazanin" w:hAnsi="IRNazanin" w:eastAsia="IRNazanin"/>
          <w:color w:val="111111"/>
          <w:sz w:val="28"/>
          <w:sz w:val="28"/>
          <w:szCs w:val="28"/>
          <w:rtl w:val="true"/>
          <w:lang w:bidi="fa-IR"/>
        </w:rPr>
        <w:t>فرهنگ قرائت و استنساخ نامۀ امام در میان شیعه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عصر رضوی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نیز گاه به قرائت نامۀ خویش برای مخاطب مبادرت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أبی‌نجران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حدیثی را از امام سجاد علیه السلام برای من نگاشت و سپس همان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أَبُوالْحَسَنِ الرِّضَا رِسَالَةً وَ أَقْرَأَنِیهَا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نیز آموخته بودند که نگاشته‌های امام را برای یکدیگر نقل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جمله کسانی است</w:t>
      </w:r>
    </w:p>
    <w:p>
      <w:pPr>
        <w:pStyle w:val="BookText"/>
        <w:rPr/>
      </w:pPr>
      <w:r>
        <w:rPr>
          <w:rFonts w:ascii="IRNazanin" w:hAnsi="IRNazanin" w:eastAsia="IRNazanin"/>
          <w:color w:val="111111"/>
          <w:sz w:val="28"/>
          <w:sz w:val="28"/>
          <w:szCs w:val="28"/>
          <w:rtl w:val="true"/>
          <w:lang w:bidi="fa-IR"/>
        </w:rPr>
        <w:t>که نامه‌های ارسالی امام علیه السلام را به محمد بن ابراهیم، دریافت میکرد و آن را برای شاگردانش</w:t>
      </w:r>
    </w:p>
    <w:p>
      <w:pPr>
        <w:pStyle w:val="BookText"/>
        <w:rPr/>
      </w:pPr>
      <w:r>
        <w:rPr>
          <w:rFonts w:ascii="IRNazanin" w:hAnsi="IRNazanin" w:eastAsia="IRNazanin"/>
          <w:color w:val="111111"/>
          <w:sz w:val="28"/>
          <w:sz w:val="28"/>
          <w:szCs w:val="28"/>
          <w:rtl w:val="true"/>
          <w:lang w:bidi="fa-IR"/>
        </w:rPr>
        <w:t xml:space="preserve">باز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استنساخ خط و استفتائات امام نیز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احمد بن محمد بن أبی‌نصر بزنطی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نَسَخْتُ مِنْ کِتَابٍ بِخَطِّ أَبِی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باید یادآور شد که مکتوبات به تنهایی نمی‌توانند ترسیم‌کنندۀ تلاش‌های رضوی در حل معضلات کلامی شیعیان بوده باشند، بلکه آن حضرت از نگارش به عنوان یکی از شیوه‌های انتقال مفاهیم بهرۀ وافری برده‌اند</w:t>
      </w:r>
      <w:r>
        <w:rPr>
          <w:rFonts w:eastAsia="IRNazanin" w:cs="IRNazanin"/>
          <w:color w:val="111111"/>
          <w:sz w:val="28"/>
          <w:szCs w:val="28"/>
          <w:rtl w:val="true"/>
          <w:lang w:bidi="fa-IR"/>
        </w:rPr>
        <w:t>.</w:t>
      </w:r>
    </w:p>
    <w:p>
      <w:pPr>
        <w:pStyle w:val="Heading4"/>
        <w:numPr>
          <w:ilvl w:val="3"/>
          <w:numId w:val="1"/>
        </w:numPr>
        <w:rPr/>
      </w:pPr>
      <w:bookmarkStart w:id="43" w:name="__RefHeading___Toc2104912_2749589250"/>
      <w:bookmarkStart w:id="44" w:name="_Toc18"/>
      <w:bookmarkEnd w:id="43"/>
      <w:r>
        <w:rPr/>
        <w:t>2</w:t>
      </w:r>
      <w:r>
        <w:rPr>
          <w:rtl w:val="true"/>
        </w:rPr>
        <w:t>.</w:t>
      </w:r>
      <w:r>
        <w:rPr>
          <w:rtl w:val="true"/>
        </w:rPr>
        <w:t>معضلات کلامی امامیه</w:t>
      </w:r>
      <w:bookmarkEnd w:id="44"/>
    </w:p>
    <w:p>
      <w:pPr>
        <w:pStyle w:val="Heading5"/>
        <w:numPr>
          <w:ilvl w:val="4"/>
          <w:numId w:val="1"/>
        </w:numPr>
        <w:rPr/>
      </w:pPr>
      <w:bookmarkStart w:id="45" w:name="__RefHeading___Toc2104914_2749589250"/>
      <w:bookmarkStart w:id="46" w:name="_Toc19"/>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هر امر پیچیده و دشواری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رضوی و بسامدِ پرسش‌های شیعیان، نمودِ معضلات موجود در اعتقادات امامیه سدۀ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بازخوانی کتاب مسند الامام الرضا علیه السلام ـ که دربردارندۀ مجموعه احادیث رضوی است ـ روشن می‌شود که بیشتر روایات اعتقادی امام هشتم در سه موضوع اصلی توحید، نبوت و امامت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مکتوبات آن حضرت، پرسش و پاسخی در موضوع نبوت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مکتوبات امام در مسائل اعتقادی در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Heading5"/>
        <w:numPr>
          <w:ilvl w:val="4"/>
          <w:numId w:val="1"/>
        </w:numPr>
        <w:rPr/>
      </w:pPr>
      <w:bookmarkStart w:id="47" w:name="__RefHeading___Toc2104916_2749589250"/>
      <w:bookmarkStart w:id="48" w:name="_Toc20"/>
      <w:bookmarkEnd w:id="47"/>
      <w:r>
        <w:rPr/>
        <w:t>2</w:t>
      </w:r>
      <w:r>
        <w:rPr>
          <w:rtl w:val="true"/>
        </w:rPr>
        <w:t>_</w:t>
      </w:r>
      <w:r>
        <w:rPr/>
        <w:t>1</w:t>
      </w:r>
      <w:r>
        <w:rPr>
          <w:rtl w:val="true"/>
        </w:rPr>
        <w:t>.</w:t>
      </w:r>
      <w:r>
        <w:rPr>
          <w:rtl w:val="true"/>
        </w:rPr>
        <w:t>شبهات توحیدی</w:t>
      </w:r>
      <w:bookmarkEnd w:id="48"/>
    </w:p>
    <w:p>
      <w:pPr>
        <w:pStyle w:val="Heading6"/>
        <w:numPr>
          <w:ilvl w:val="5"/>
          <w:numId w:val="1"/>
        </w:numPr>
        <w:rPr/>
      </w:pPr>
      <w:bookmarkStart w:id="49" w:name="__RefHeading___Toc2104918_2749589250"/>
      <w:bookmarkStart w:id="50" w:name="_Toc21"/>
      <w:bookmarkEnd w:id="49"/>
      <w:r>
        <w:rPr>
          <w:rtl w:val="true"/>
        </w:rPr>
        <w:t>اشاره</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 و حتی نگاشته‌هـای انگشت‌شماری در معنـای توحید الهی از امام رضـا علیه السلام</w:t>
      </w:r>
      <w:bookmarkStart w:id="51" w:name="pg3269_31706"/>
    </w:p>
    <w:p>
      <w:pPr>
        <w:pStyle w:val="BookText"/>
        <w:rPr/>
      </w:pPr>
      <w:bookmarkEnd w:id="51"/>
      <w:r>
        <w:rPr>
          <w:rFonts w:ascii="IRNazanin" w:hAnsi="IRNazanin" w:eastAsia="IRNazanin"/>
          <w:color w:val="111111"/>
          <w:sz w:val="28"/>
          <w:sz w:val="28"/>
          <w:szCs w:val="28"/>
          <w:rtl w:val="true"/>
          <w:lang w:bidi="fa-IR"/>
        </w:rPr>
        <w:t>دراختیار است، اما گویی غالب معضلات کلامی موجود در جامعه که به اندیشۀ امامیه نیز ورود پیدا کرده بود، بحث‌هایی در رؤیت و تشبیه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بخشی از شبهات توحیدی، وارداتی بوده که از ادیان یا مذاهب دیگر به شیعه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نهضت ترجمه و حتی بیت الحکمه در این دوران، در ورود این‌گونه شبهات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از شبهات توحیدی را که از بسامد بیشتری در دهه‌های پایانی سدۀ دوم برخوردار هستند، یاد می‌کنیم</w:t>
      </w:r>
      <w:r>
        <w:rPr>
          <w:rFonts w:eastAsia="IRNazanin" w:cs="IRNazanin"/>
          <w:color w:val="111111"/>
          <w:sz w:val="28"/>
          <w:szCs w:val="28"/>
          <w:rtl w:val="true"/>
          <w:lang w:bidi="fa-IR"/>
        </w:rPr>
        <w:t>:</w:t>
      </w:r>
    </w:p>
    <w:p>
      <w:pPr>
        <w:pStyle w:val="Heading6"/>
        <w:numPr>
          <w:ilvl w:val="5"/>
          <w:numId w:val="1"/>
        </w:numPr>
        <w:rPr/>
      </w:pPr>
      <w:bookmarkStart w:id="52" w:name="__RefHeading___Toc2104920_2749589250"/>
      <w:bookmarkStart w:id="53" w:name="_Toc22"/>
      <w:bookmarkEnd w:id="52"/>
      <w:r>
        <w:rPr/>
        <w:t>1</w:t>
      </w:r>
      <w:r>
        <w:rPr>
          <w:rtl w:val="true"/>
        </w:rPr>
        <w:t>_</w:t>
      </w:r>
      <w:r>
        <w:rPr/>
        <w:t>1</w:t>
      </w:r>
      <w:r>
        <w:rPr>
          <w:rtl w:val="true"/>
        </w:rPr>
        <w:t>_</w:t>
      </w:r>
      <w:r>
        <w:rPr/>
        <w:t>2</w:t>
      </w:r>
      <w:r>
        <w:rPr>
          <w:rtl w:val="true"/>
        </w:rPr>
        <w:t>.</w:t>
      </w:r>
      <w:r>
        <w:rPr>
          <w:rtl w:val="true"/>
        </w:rPr>
        <w:t>نفی رویت</w:t>
      </w:r>
      <w:bookmarkEnd w:id="53"/>
    </w:p>
    <w:p>
      <w:pPr>
        <w:pStyle w:val="BookText"/>
        <w:rPr/>
      </w:pPr>
      <w:r>
        <w:rPr>
          <w:rFonts w:ascii="IRNazanin" w:hAnsi="IRNazanin" w:eastAsia="IRNazanin"/>
          <w:color w:val="111111"/>
          <w:sz w:val="28"/>
          <w:sz w:val="28"/>
          <w:szCs w:val="28"/>
          <w:rtl w:val="true"/>
          <w:lang w:bidi="fa-IR"/>
        </w:rPr>
        <w:t>در میان مردم آن زمان شایع شده بود که پیامبر خدا صلی الله علیه و اله و سلم پروردگارش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این‌گونه مطالب واهی در جامعه سبب شده بود تا برخی از مردم با پرسش های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ابراهیم بن محمد خزاز و محمد بن حسین از امام هشتم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کتبی خویش از امام رضا علیه السلام به عنوان عالم آل محمد رفع شبهه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گزارش‌ها نشان از فضای شبهه‌پراکنی آن روزگار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نیز در نامه‌ای به امام می‌نویسد که مسئله رؤیت خدا را با توجه به روایات عامه و خاصه برایم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نیز در متنی نسبتاً کوتاه ـ حدوداً شش سطر ـ رابطۀ معرفت، رؤیت و ایمان را به نیکی بیان و با عباراتی مختصر عدم امکان رؤیت خدا را اثبات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احادیث مشکل در متون روایی است که شارحانی چون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شرح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امام رضا علیه السلام خواستم ـ با توجه به روایات اهل سنت و شیعه ـ مسئله رؤیت و دیدن خدا را برایم شرح کند، امام به خط خودش این‌گونه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الجَمیعُ لا تَمانُعَ بَینَهُم، أَنَّ المَعرِفَةَ مِن جِهَةِ الرُّؤیَةِ ضَرورَةٌ، فإِذا جازَ أَن یُرَی اللَّهُ بِالعَینِ، وَقَعتِ المَعرِفَةُ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دارند و اختلافی در میان نیست که شناخت از راه دیدن ضروری و قطعی است؛ پس اگر درست باشد که خداوند با چشم دیده می شود، قطعاً شناخت او 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شناخت تنها دو حالت دارد؛ یا عین ایمان است و یا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شناخت از راه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باشد، پس شناختی که در دنیا از راه کسب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نمی توان ایمان دانست، زیرا این شناخت ضد آن شناختِ دیدنی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دیگر در دنیا نباید مؤمنی وجود داشته باشد، زیرا این مومنان خداوند بلند مرتبه را به چشم خویش در دنیا ندیده‌اند</w:t>
      </w:r>
      <w:r>
        <w:rPr>
          <w:rFonts w:eastAsia="IRNazanin" w:cs="IRNazanin"/>
          <w:color w:val="111111"/>
          <w:sz w:val="28"/>
          <w:szCs w:val="28"/>
          <w:rtl w:val="true"/>
          <w:lang w:bidi="fa-IR"/>
        </w:rPr>
        <w:t>.</w:t>
      </w:r>
      <w:bookmarkStart w:id="54" w:name="pg3269_31707"/>
    </w:p>
    <w:p>
      <w:pPr>
        <w:pStyle w:val="BookText"/>
        <w:rPr/>
      </w:pPr>
      <w:bookmarkEnd w:id="54"/>
      <w:r>
        <w:rPr>
          <w:rFonts w:ascii="IRNazanin" w:hAnsi="IRNazanin" w:eastAsia="IRNazanin"/>
          <w:color w:val="111111"/>
          <w:sz w:val="28"/>
          <w:sz w:val="28"/>
          <w:szCs w:val="28"/>
          <w:rtl w:val="true"/>
          <w:lang w:bidi="fa-IR"/>
        </w:rPr>
        <w:t xml:space="preserve">و حال اگر شناختی که از راه دیدن است را نتوانیم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پس این شناختی که از راه کسب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باید در معاد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و ادله می دانیم که معرفتی که از برهان و دلیل حاصل می شود در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آشکار است بر این‌که خداوند بلند مرتبه به چشم دیده نمی شود، زیرا دیدن با چشم با همان چالش و مشکلاتی که گفتیم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تبیین این روایت نسبتا دشوار، ضمن بیان سه نظر از نظریات شارحان، بهترین نظر را که مطابق با آموزه‌های آسمانی است این‌گونه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شناسایی خدا از راه اکتساب دلیل و راهنمایی قرآن و حدیث به این نتیجه می رسد که خدا جسم نیست و مانند ندارد، پس دیدنش به چشم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کسی او را به چشم ببیند، قطعاً او را شناخته است، ولی این شناسایی مخالف و ضد شناسایی از راه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دیدن به چشم، ایمان باشد، شناسایی از راه دلیل ایمان نیست، در صورتی که قرآن ایشان را مؤمن خوانده و اگر ایمان نباشد، ایمان اکتسابی در قیامت یا از بین می رود و یا از بین نمی رود و هر دو باطل است، زیرا اگر از بین برود، مخالف اجماع است که ایمان ثابت از دلیل که در دنیا حاصل شده، در آخرت محال است از بین برود و اگر از بین نرود، با ایمان از راه دیدن به چشم، اجتماع نقیضین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6"/>
        <w:numPr>
          <w:ilvl w:val="5"/>
          <w:numId w:val="1"/>
        </w:numPr>
        <w:rPr/>
      </w:pPr>
      <w:bookmarkStart w:id="55" w:name="__RefHeading___Toc2104922_2749589250"/>
      <w:bookmarkStart w:id="56" w:name="_Toc23"/>
      <w:bookmarkEnd w:id="55"/>
      <w:r>
        <w:rPr/>
        <w:t>2</w:t>
      </w:r>
      <w:r>
        <w:rPr>
          <w:rtl w:val="true"/>
        </w:rPr>
        <w:t>_</w:t>
      </w:r>
      <w:r>
        <w:rPr/>
        <w:t>1</w:t>
      </w:r>
      <w:r>
        <w:rPr>
          <w:rtl w:val="true"/>
        </w:rPr>
        <w:t>_</w:t>
      </w:r>
      <w:r>
        <w:rPr/>
        <w:t>2</w:t>
      </w:r>
      <w:r>
        <w:rPr>
          <w:rtl w:val="true"/>
        </w:rPr>
        <w:t>.</w:t>
      </w:r>
      <w:r>
        <w:rPr>
          <w:rtl w:val="true"/>
        </w:rPr>
        <w:t>نفی تشبیه</w:t>
      </w:r>
      <w:bookmarkEnd w:id="56"/>
    </w:p>
    <w:p>
      <w:pPr>
        <w:pStyle w:val="BookText"/>
        <w:rPr/>
      </w:pPr>
      <w:r>
        <w:rPr>
          <w:rFonts w:ascii="IRNazanin" w:hAnsi="IRNazanin" w:eastAsia="IRNazanin"/>
          <w:color w:val="111111"/>
          <w:sz w:val="28"/>
          <w:sz w:val="28"/>
          <w:szCs w:val="28"/>
          <w:rtl w:val="true"/>
          <w:lang w:bidi="fa-IR"/>
        </w:rPr>
        <w:t>در سدۀ دوم هجری یکی از نسبت‌های ناروا به شیعه که در میان برخی از جامعه اسلامی شیوع داشت، اعتقاد به تشبیه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گفتارهای متعدد همۀ رنگ‌های شبه و صور را از خدای متعال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آمده که آن حضرت با فتح بن یزید جرجانی از مکه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که عازم خراسان بود، در راه بازگشت گفت‌وگویی را با امام در این زمینه سامان می‌دهد که خوش‌بختانه گزارش آن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نامه‌های امام نیز نامه‌ای به فتح در همین زمینه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بعدها فتح برای شاگردش جعفر بن محمد اشعری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می گوید که من نامه را از استادم فتح گرفتم و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خط ابوالحسن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که مفصل‌ترین نامه در میان نگاشته‌های توحیدی حضرت است ـ در نفی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آن حضرت از خدا این‌گونه نفی تشبیه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الخالِقُ لا بِمَعنی حَرَکَةٍ، السَّمیعُ لا بِأَداةٍ، البَصیرُ لا بِتَفریقِ آلَةٍ، الشَّاهِدُ لا بِمُماسَّةٍ، البائِنُ لا بِبَراحِ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الدِّیانَةِ مَعرِفَتُهُ، وَ کَمَالُ المَعرِفَةِ تَوحیدُهُ، وَ کَمَالُ التَّوحیدِ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آفریننده است نه به معنی حرکت،</w:t>
      </w:r>
      <w:bookmarkStart w:id="57" w:name="pg3269_31708"/>
    </w:p>
    <w:p>
      <w:pPr>
        <w:pStyle w:val="BookText"/>
        <w:rPr/>
      </w:pPr>
      <w:bookmarkEnd w:id="57"/>
      <w:r>
        <w:rPr>
          <w:rFonts w:ascii="IRNazanin" w:hAnsi="IRNazanin" w:eastAsia="IRNazanin"/>
          <w:color w:val="111111"/>
          <w:sz w:val="28"/>
          <w:sz w:val="28"/>
          <w:szCs w:val="28"/>
          <w:rtl w:val="true"/>
          <w:lang w:bidi="fa-IR"/>
        </w:rPr>
        <w:t>شنواست نه با واسطه‌ای چون گوش، بیناست اما نه به وسیلۀ واسطه‌ای چون چشم، در همه‌جا حاضر است نه به طوری که مانند مردم مس و لمس کند، از هر چیزی جداست، اما نه این‌که نیازمند مسافت و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دین‌داری و انقیاد و فرمان‌برداری خدا معرفت اوست و کمال معرفتش توحید و اقرار بیگانگی اوست و کمال توحیدش نفی و دوری صفات زایده بر اصل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در پاسخ به هشام مشرقی، ضمن آن‌که اعتقادات مردم آن روزگار را در مسئله توحید، در سه گروه دسته‌بندی می کنند، یک گروه را مذهب اهل تشبیه دانسته و در نامه به هشام تصریح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مَذهَبُ التَّشبیهِ لا یَجوز و ذلِکَ أَنَّ اللَّهَ لا یُشبِهُهُ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حاتم بن ماهویه قزوینی ـ پیش از آن‌که در شمار غالیان درآید ـ با امام رضا علیه السلام نامه‌نگاری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کمترین حد معرفت خدا از امام پرسش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ضمن پاسخ کوتاهش به حدیث جدّش امام باقر علیه السلام به سؤالی در همین رابطه اشاره کرده و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مقداری که در خداشناسی نباید به کمتر از آن اکتفا شود، این است که چیزی مانند و شبیه او نیست، همیشه دانا،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8" w:name="__RefHeading___Toc2104924_2749589250"/>
      <w:bookmarkStart w:id="59" w:name="_Toc24"/>
      <w:bookmarkEnd w:id="58"/>
      <w:r>
        <w:rPr/>
        <w:t>3</w:t>
      </w:r>
      <w:r>
        <w:rPr>
          <w:rtl w:val="true"/>
        </w:rPr>
        <w:t>_</w:t>
      </w:r>
      <w:r>
        <w:rPr/>
        <w:t>1</w:t>
      </w:r>
      <w:r>
        <w:rPr>
          <w:rtl w:val="true"/>
        </w:rPr>
        <w:t>_</w:t>
      </w:r>
      <w:r>
        <w:rPr/>
        <w:t>2</w:t>
      </w:r>
      <w:r>
        <w:rPr>
          <w:rtl w:val="true"/>
        </w:rPr>
        <w:t>.</w:t>
      </w:r>
      <w:r>
        <w:rPr>
          <w:rtl w:val="true"/>
        </w:rPr>
        <w:t>نفی جبر</w:t>
      </w:r>
      <w:bookmarkEnd w:id="59"/>
    </w:p>
    <w:p>
      <w:pPr>
        <w:pStyle w:val="BookText"/>
        <w:rPr/>
      </w:pPr>
      <w:r>
        <w:rPr>
          <w:rFonts w:ascii="IRNazanin" w:hAnsi="IRNazanin" w:eastAsia="IRNazanin"/>
          <w:color w:val="111111"/>
          <w:sz w:val="28"/>
          <w:sz w:val="28"/>
          <w:szCs w:val="28"/>
          <w:rtl w:val="true"/>
          <w:lang w:bidi="fa-IR"/>
        </w:rPr>
        <w:t>احمد بن محمد بن أبی‌نصر بزنطی، از شاگردان اهل‌بیت علیهم السلام و دانشمندان آن دوران، در نامه‌ای به امام رضا علیه السلام می نویسد که برخی از شیعیان قائل به جبر و برخی قائل به استطاعت 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متون نیز برمی‌آید که اختلاف جدی در میان بعضی از عالمان شیعی در موضوع جبر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پاسخ به نامۀ حمدان بن سلیمان، از شیعیان سرشناس نیشابور، مرز بین علم خدا و جبر را تبیین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خاستگاه برداشت غلط و اتهام جبر، غالیانی بودند که با وضع حدیث، تأویل روایات و حتی آیات قرآن بر مسئله جبر پای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ناشایست ایشان سبب شده بود که جامعۀ علمی عامه گمان کند که مجموعه شیعه قائل به جبر و تشبیه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که گمان می‌کرد منشأ این باورهای غلط، روایات اهل‌بیت علیهم السلام است، با امام رضا علیه السلام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زیبایی دربارۀ شمار روایات نبوی و ولوی و تقابل این دو دسته روایت با او به بحث می نشیند و قائلان به تشبیه و جبر را کافر و مشرک خوانده و سپس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خَالِدٍ إِنَّمَا وَضَعَ الْأَخْبَارَ عَنَّا فِی التَّشْبِیهِ وَ الْجَبْرِ الْغُلَاةُ الَّذِینَ صَغَّرُوا 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غالیان ـ که بزرگی خدا را کوچک شمرده‌اند ـ اخباری را از ناحیۀ ما در موضوع تشبیه و جبر ساخته‌اند و به دروغ از ما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bookmarkStart w:id="60" w:name="pg3269_31709"/>
    </w:p>
    <w:p>
      <w:pPr>
        <w:pStyle w:val="BookText"/>
        <w:rPr/>
      </w:pPr>
      <w:bookmarkEnd w:id="60"/>
      <w:r>
        <w:rPr>
          <w:rFonts w:ascii="IRNazanin" w:hAnsi="IRNazanin" w:eastAsia="IRNazanin"/>
          <w:color w:val="111111"/>
          <w:sz w:val="28"/>
          <w:sz w:val="28"/>
          <w:szCs w:val="28"/>
          <w:rtl w:val="true"/>
          <w:lang w:bidi="fa-IR"/>
        </w:rPr>
        <w:t>امام به بزنطی حدیثی قدسی را املا می‌فرماید تا به گوش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طلیعۀ این نگاشته رضوی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به مشیّت و خواستۀ من می‌توانی اراده کنی و به نیرو و قدرت من واجباتت را انجام می‌دهی و با نعمت من بر معصیت و نافرمانی توانا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شنوا و بینا و قدرتمند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بابویه،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61" w:name="__RefHeading___Toc2104926_2749589250"/>
      <w:bookmarkStart w:id="62" w:name="_Toc25"/>
      <w:bookmarkEnd w:id="61"/>
      <w:r>
        <w:rPr/>
        <w:t>2</w:t>
      </w:r>
      <w:r>
        <w:rPr>
          <w:rtl w:val="true"/>
        </w:rPr>
        <w:t>_</w:t>
      </w:r>
      <w:r>
        <w:rPr/>
        <w:t>2</w:t>
      </w:r>
      <w:r>
        <w:rPr>
          <w:rtl w:val="true"/>
        </w:rPr>
        <w:t>.</w:t>
      </w:r>
      <w:r>
        <w:rPr>
          <w:rtl w:val="true"/>
        </w:rPr>
        <w:t>شبهات در مسئله امامت</w:t>
      </w:r>
      <w:bookmarkEnd w:id="62"/>
    </w:p>
    <w:p>
      <w:pPr>
        <w:pStyle w:val="Heading6"/>
        <w:numPr>
          <w:ilvl w:val="5"/>
          <w:numId w:val="1"/>
        </w:numPr>
        <w:rPr/>
      </w:pPr>
      <w:bookmarkStart w:id="63" w:name="__RefHeading___Toc2104928_2749589250"/>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در میان نامه‌های رضوی که در موضوعات کلامی جا گرفته است، بیشترین نگاشته 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نسبت این نگاشته‌ها به نگاشته‌های توحیدی نشان‌گر آن است که مسئله امامت در رأس پرسش‌ها و معضلات اعتقادی جا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کثیر عامه و حتی حاکمیت عباسی سبب شده بود تا پرسش‌ها در این زمینه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شبهات، ظهور پررنگ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شبهات درون‌مذهبی سبب انحراف و دوگانگی در حرکت منسجم و یک‌پارچۀ تشیع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سخنان رضوی به تنویر افکار عمومی شیعه در این زمینه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مکتوبات کلامی در موضوع امامت در سه بخش قابل پی گیری است</w:t>
      </w:r>
      <w:r>
        <w:rPr>
          <w:rFonts w:eastAsia="IRNazanin" w:cs="IRNazanin"/>
          <w:color w:val="111111"/>
          <w:sz w:val="28"/>
          <w:szCs w:val="28"/>
          <w:rtl w:val="true"/>
          <w:lang w:bidi="fa-IR"/>
        </w:rPr>
        <w:t>:</w:t>
      </w:r>
    </w:p>
    <w:p>
      <w:pPr>
        <w:pStyle w:val="Heading6"/>
        <w:numPr>
          <w:ilvl w:val="5"/>
          <w:numId w:val="1"/>
        </w:numPr>
        <w:rPr/>
      </w:pPr>
      <w:bookmarkStart w:id="65" w:name="__RefHeading___Toc2104930_2749589250"/>
      <w:bookmarkStart w:id="66" w:name="_Toc27"/>
      <w:bookmarkEnd w:id="65"/>
      <w:r>
        <w:rPr/>
        <w:t>1</w:t>
      </w:r>
      <w:r>
        <w:rPr>
          <w:rtl w:val="true"/>
        </w:rPr>
        <w:t>_</w:t>
      </w:r>
      <w:r>
        <w:rPr/>
        <w:t>2</w:t>
      </w:r>
      <w:r>
        <w:rPr>
          <w:rtl w:val="true"/>
        </w:rPr>
        <w:t>_</w:t>
      </w:r>
      <w:r>
        <w:rPr/>
        <w:t>2</w:t>
      </w:r>
      <w:r>
        <w:rPr>
          <w:rtl w:val="true"/>
        </w:rPr>
        <w:t>.</w:t>
      </w:r>
      <w:r>
        <w:rPr>
          <w:rtl w:val="true"/>
        </w:rPr>
        <w:t>صفات امام</w:t>
      </w:r>
      <w:bookmarkEnd w:id="66"/>
    </w:p>
    <w:p>
      <w:pPr>
        <w:pStyle w:val="BookText"/>
        <w:rPr/>
      </w:pPr>
      <w:r>
        <w:rPr>
          <w:rFonts w:ascii="IRNazanin" w:hAnsi="IRNazanin" w:eastAsia="IRNazanin"/>
          <w:color w:val="111111"/>
          <w:sz w:val="28"/>
          <w:sz w:val="28"/>
          <w:szCs w:val="28"/>
          <w:rtl w:val="true"/>
          <w:lang w:bidi="fa-IR"/>
        </w:rPr>
        <w:t>به نظر می‌رسد امام رضا علیه السلام نخستین امامی است که در جلسات متعدد و عمومی، مسئله امامت را برای عموم مردم بدون تقیه تبیین فرمود؛ از این رو، عالمان عامه و حاکمان عباسی به ایراد شبهات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شبهات، پرسش‌های گوناگونی در میان عموم شیعه نیز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راوی مشهور شیعی در سدۀ دوم که دوران کهولت خود را طی می کرد، در نامه‌ای به امام هشتم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إِنِّی قَدْ کَبِرْتُ وَ ضَعُفْتُ وَ عَجَزْتُ عَنْ کَثِیرٍ مِمَّا کُنْتُ أَقْوَی عَلَیْهِ فَأُحِبُّ جُعِلْتُ فِدَاکَ أَنْ تُعَلِّمَنِی کَلَاماً یُقَرِّبُنِی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یَزِیدُنِی فَهْماً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پاسخ به وی، جایگاه ائمه را برنموده و می‌نویسد که ائمه، وارثان علم رسول خدا و جمیع انبیا و اوصیا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نامه‌های امام علیه السلام فرق بین رسول، نبی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پرسش متداول در آن روز بوده، به صورت مختصر و گویا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برخی نیز به دنبال سؤالاتی همچون وجود سلاح پیامبر صلی الله علیه و اله و سلم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انحصار غسل امام توسط امام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تقاضای تفسیر و یا تأویل آیات قرآن که</w:t>
      </w:r>
      <w:bookmarkStart w:id="67" w:name="pg3269_31710"/>
    </w:p>
    <w:p>
      <w:pPr>
        <w:pStyle w:val="BookText"/>
        <w:rPr/>
      </w:pPr>
      <w:bookmarkEnd w:id="67"/>
      <w:r>
        <w:rPr>
          <w:rFonts w:ascii="IRNazanin" w:hAnsi="IRNazanin" w:eastAsia="IRNazanin"/>
          <w:color w:val="111111"/>
          <w:sz w:val="28"/>
          <w:sz w:val="28"/>
          <w:szCs w:val="28"/>
          <w:rtl w:val="true"/>
          <w:lang w:bidi="fa-IR"/>
        </w:rPr>
        <w:t xml:space="preserve">معصومان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فرات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با لحنی تند از حسین بن قیاما ـ واقفی منکر امامت امام رضا علیه السلام ـ نیز در میان نامه‌ها دیده می‌شود که در نیم خط به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امام هستی در حالی که پسری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یک جمله هم پاسخ وی را می‌دهد و هم از غیب خبر می‌دهد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نگاشته‌ای محبت‌آمیز در میان نامه‌هایی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خوش‌سلیقۀ اصفهانی که از اهل‌سنت است، در پایان سفر از امام علیه السلام تقاضای دست‌نوشته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شرّفنی من خطک أتبرک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کوتاه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محباً لآل محمد و ان کنت فاسقا و محباً لمحبیهم و ان کانوا 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یکی از سؤالات پربسامد شیعه از امام هشتم علیه السلام پرسش از وجود سلاح و لوازم پیامبر صلی الله علیه و اله و سلم نزد آن حضرت است، چه این‌که ائمه پیشین و حتی خود امام هشتم در علامات و صفات امام به این نکته تکیه کرده‌اند که سلاح نبوی در شیعه مانند تابوت عهد در بنی‌اسرائیل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الإِمامَةُ مَعَ السِّلاحِ حَیثُما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راویان متعددی همچون احمد بن عمر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محمد بن أبی‌نصر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فضیل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شیعه‌ای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نامه‌نگاری‌ها از وجود سلاح در نزد امام آگاه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گستردگی پرسش، نشان از وجود تردید در امامت و هم‌چنین مهم بودن این علامت در شناسایی امام دارد</w:t>
      </w:r>
      <w:r>
        <w:rPr>
          <w:rFonts w:eastAsia="IRNazanin" w:cs="IRNazanin"/>
          <w:color w:val="111111"/>
          <w:sz w:val="28"/>
          <w:szCs w:val="28"/>
          <w:rtl w:val="true"/>
          <w:lang w:bidi="fa-IR"/>
        </w:rPr>
        <w:t>.</w:t>
      </w:r>
    </w:p>
    <w:p>
      <w:pPr>
        <w:pStyle w:val="Heading6"/>
        <w:numPr>
          <w:ilvl w:val="5"/>
          <w:numId w:val="1"/>
        </w:numPr>
        <w:rPr/>
      </w:pPr>
      <w:bookmarkStart w:id="68" w:name="__RefHeading___Toc2104932_2749589250"/>
      <w:bookmarkStart w:id="69" w:name="_Toc28"/>
      <w:bookmarkEnd w:id="68"/>
      <w:r>
        <w:rPr/>
        <w:t>2</w:t>
      </w:r>
      <w:r>
        <w:rPr>
          <w:rtl w:val="true"/>
        </w:rPr>
        <w:t>_</w:t>
      </w:r>
      <w:r>
        <w:rPr/>
        <w:t>2</w:t>
      </w:r>
      <w:r>
        <w:rPr>
          <w:rtl w:val="true"/>
        </w:rPr>
        <w:t>_</w:t>
      </w:r>
      <w:r>
        <w:rPr/>
        <w:t>2</w:t>
      </w:r>
      <w:r>
        <w:rPr>
          <w:rtl w:val="true"/>
        </w:rPr>
        <w:t>.</w:t>
      </w:r>
      <w:r>
        <w:rPr>
          <w:rtl w:val="true"/>
        </w:rPr>
        <w:t>استفاده از علم غیب</w:t>
      </w:r>
      <w:bookmarkEnd w:id="69"/>
    </w:p>
    <w:p>
      <w:pPr>
        <w:pStyle w:val="BookText"/>
        <w:rPr/>
      </w:pPr>
      <w:r>
        <w:rPr>
          <w:rFonts w:ascii="IRNazanin" w:hAnsi="IRNazanin" w:eastAsia="IRNazanin"/>
          <w:color w:val="111111"/>
          <w:sz w:val="28"/>
          <w:sz w:val="28"/>
          <w:szCs w:val="28"/>
          <w:rtl w:val="true"/>
          <w:lang w:bidi="fa-IR"/>
        </w:rPr>
        <w:t>پاره‌ای از روایات امام رضا علیه السلام و هم‌چنین بخشی از مکتوبات آن حضرت، بیان اخبار غیبی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استفاده از علم غیب در روایات رضوی به نسبتِ روایات دیگر معصومان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روایات و یا نامه‌های حاوی خبر غیبی، به گونه‌ای در راستای رفع تردیدها دربارۀ شبهات واقفه رخ داده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نامه‌هـا گاه امام، نامِ فرستنده و بـرخی از اسرار وی را به درخواست فـرستنده ـ کـه</w:t>
      </w:r>
      <w:bookmarkStart w:id="70" w:name="pg3269_31711"/>
    </w:p>
    <w:p>
      <w:pPr>
        <w:pStyle w:val="BookText"/>
        <w:rPr/>
      </w:pPr>
      <w:bookmarkEnd w:id="70"/>
      <w:r>
        <w:rPr>
          <w:rFonts w:ascii="IRNazanin" w:hAnsi="IRNazanin" w:eastAsia="IRNazanin"/>
          <w:color w:val="111111"/>
          <w:sz w:val="28"/>
          <w:sz w:val="28"/>
          <w:szCs w:val="28"/>
          <w:rtl w:val="true"/>
          <w:lang w:bidi="fa-IR"/>
        </w:rPr>
        <w:t xml:space="preserve">واقفی بود ـ بیان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برخی ابهامات علمی و اختصاصی فرستندۀ نامه را رفع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نامه‌ها سبب تغییر اندیشۀ وقف در برخی همچون حسن بن علی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شک و تردید بزرگانی مانند احمد بن محمد بن أبی‌نصر بزنطی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حمیری قمی،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71" w:name="__RefHeading___Toc2104934_2749589250"/>
      <w:bookmarkStart w:id="72" w:name="_Toc29"/>
      <w:bookmarkEnd w:id="71"/>
      <w:r>
        <w:rPr/>
        <w:t>3</w:t>
      </w:r>
      <w:r>
        <w:rPr>
          <w:rtl w:val="true"/>
        </w:rPr>
        <w:t>_</w:t>
      </w:r>
      <w:r>
        <w:rPr/>
        <w:t>2</w:t>
      </w:r>
      <w:r>
        <w:rPr>
          <w:rtl w:val="true"/>
        </w:rPr>
        <w:t>_</w:t>
      </w:r>
      <w:r>
        <w:rPr/>
        <w:t>2</w:t>
      </w:r>
      <w:r>
        <w:rPr>
          <w:rtl w:val="true"/>
        </w:rPr>
        <w:t>.</w:t>
      </w:r>
      <w:r>
        <w:rPr>
          <w:rtl w:val="true"/>
        </w:rPr>
        <w:t>واقفه</w:t>
      </w:r>
      <w:bookmarkEnd w:id="72"/>
    </w:p>
    <w:p>
      <w:pPr>
        <w:pStyle w:val="BookText"/>
        <w:rPr/>
      </w:pPr>
      <w:r>
        <w:rPr>
          <w:rFonts w:ascii="IRNazanin" w:hAnsi="IRNazanin" w:eastAsia="IRNazanin"/>
          <w:color w:val="111111"/>
          <w:sz w:val="28"/>
          <w:sz w:val="28"/>
          <w:szCs w:val="28"/>
          <w:rtl w:val="true"/>
          <w:lang w:bidi="fa-IR"/>
        </w:rPr>
        <w:t>پنج نامه از مجموعه نامه‌های امام رضا علیه السلام دربارۀ واقفه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 نامه‌های حاوی اخبار غیبی امام علیه السلام ـ که معمولاً مرتبط با وقف است ـ را به این آمار بیفزاییم، حدود شانزده نامه از مجموعه نگاشته‌های آن حضرت مربوط به واقفه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مجموعۀ روایات امام علیه السلام</w:t>
      </w:r>
    </w:p>
    <w:p>
      <w:pPr>
        <w:pStyle w:val="BookText"/>
        <w:rPr/>
      </w:pPr>
      <w:r>
        <w:rPr>
          <w:rFonts w:ascii="IRNazanin" w:hAnsi="IRNazanin" w:eastAsia="IRNazanin"/>
          <w:color w:val="111111"/>
          <w:sz w:val="28"/>
          <w:sz w:val="28"/>
          <w:szCs w:val="28"/>
          <w:rtl w:val="true"/>
          <w:lang w:bidi="fa-IR"/>
        </w:rPr>
        <w:t>ـ اعم از کتبی و شفاهی ـ نیز روایات در موضوع واقفه حضور بسیار پررنگی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نشان‌گر آن است که مهم‌ترین معضل درون‌مذهبی امام در طول بیست سال امامت، انحراف مذهبی و پرقوّت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به نامۀ علی بن عبد‌الله زبیری که نظر امام را دربارۀ واقفه جویا شده بود، این‌گونه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 از حق بازمانده و بر گناه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بمیرد، جهنم جایگاه اوست و چه بد سرنوشتی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Heading4"/>
        <w:numPr>
          <w:ilvl w:val="3"/>
          <w:numId w:val="1"/>
        </w:numPr>
        <w:rPr/>
      </w:pPr>
      <w:bookmarkStart w:id="73" w:name="__RefHeading___Toc2104936_2749589250"/>
      <w:bookmarkStart w:id="74" w:name="_Toc30"/>
      <w:bookmarkEnd w:id="73"/>
      <w:r>
        <w:rPr/>
        <w:t>3</w:t>
      </w:r>
      <w:r>
        <w:rPr>
          <w:rtl w:val="true"/>
        </w:rPr>
        <w:t>.</w:t>
      </w:r>
      <w:r>
        <w:rPr>
          <w:rtl w:val="true"/>
        </w:rPr>
        <w:t>روش های حل معضلات کلامی در نگاشته های امام</w:t>
      </w:r>
      <w:bookmarkEnd w:id="74"/>
    </w:p>
    <w:p>
      <w:pPr>
        <w:pStyle w:val="Heading5"/>
        <w:numPr>
          <w:ilvl w:val="4"/>
          <w:numId w:val="1"/>
        </w:numPr>
        <w:rPr/>
      </w:pPr>
      <w:bookmarkStart w:id="75" w:name="__RefHeading___Toc2104938_2749589250"/>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چنانچه پیش‌تر گفته شد، مکتوبات کلامی امام علیه السلام به تنهایی نمی تواند معیار خوب و کاملی برای سنجش مجموعه عملکرد کلامی امام در حل معضلات باشد، اما به عنوان یکی از شیوه‌های مهم و تأثیرگذار، شایستۀ تأمل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مکتوبات کلامی امام می‌توان دریافت که آن حضرت در عرصه‌های مختلف کلامی از چه روش‌های بنیادی در حل معضلات کلامی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اصلی امام در ذیل به اختصار خواهد آمد</w:t>
      </w:r>
      <w:r>
        <w:rPr>
          <w:rFonts w:eastAsia="IRNazanin" w:cs="IRNazanin"/>
          <w:color w:val="111111"/>
          <w:sz w:val="28"/>
          <w:szCs w:val="28"/>
          <w:rtl w:val="true"/>
          <w:lang w:bidi="fa-IR"/>
        </w:rPr>
        <w:t>:</w:t>
      </w:r>
    </w:p>
    <w:p>
      <w:pPr>
        <w:pStyle w:val="Heading5"/>
        <w:numPr>
          <w:ilvl w:val="4"/>
          <w:numId w:val="1"/>
        </w:numPr>
        <w:rPr/>
      </w:pPr>
      <w:bookmarkStart w:id="77" w:name="__RefHeading___Toc2104940_2749589250"/>
      <w:bookmarkStart w:id="78" w:name="_Toc32"/>
      <w:bookmarkEnd w:id="77"/>
      <w:r>
        <w:rPr/>
        <w:t>1</w:t>
      </w:r>
      <w:r>
        <w:rPr>
          <w:rtl w:val="true"/>
        </w:rPr>
        <w:t>_</w:t>
      </w:r>
      <w:r>
        <w:rPr/>
        <w:t>3</w:t>
      </w:r>
      <w:r>
        <w:rPr>
          <w:rtl w:val="true"/>
        </w:rPr>
        <w:t>.</w:t>
      </w:r>
      <w:r>
        <w:rPr>
          <w:rtl w:val="true"/>
        </w:rPr>
        <w:t>ارشاد</w:t>
      </w:r>
      <w:bookmarkEnd w:id="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نامه‌های کلامی امام رضا علیه السلام در جهت تبیین و تنویر اندیشه‌های جامعۀ شیعی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سخنان را می‌توان ارشادات رضوی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ارشادات معمولاً به دنبال شیوع برخی شبهات مخالفان و منحرفان از ناحیۀ امام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شبهۀ جبر و اختیار، این مسئله به صورت مکتوب از امام پرسیده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عباد مخلوق است یا غیرمخلوق؟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پاسخ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و افعال بندگان خدا نزد دانش حضرت حق، دوهزار سال پیش از آفرینش بندگان مقدّر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نامه‌هایی که نافی تشبیه، تجسیم و رؤیت است نیز جهت ارشاد جامعۀ شیعی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فتح بن یزید جرجانی یکی از نامه‌های ارشادی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نامه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الدِّیَانَةِ مَعْرِفَتُهُ وَ کَمَالُ الْمَعْرِفَةِ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دین‌داری، انقیاد و فرمان‌برداری خدا معرفت اوست و کمال معرفتش توحید و اقرار به یگانگی اوست و کمال توحیدش نفی و دوری صفات زایده بر اصل ذات از اوست؛ به جهت آن‌که هر صفتی گواهی</w:t>
      </w:r>
    </w:p>
    <w:p>
      <w:pPr>
        <w:pStyle w:val="BookText"/>
        <w:rPr/>
      </w:pPr>
      <w:r>
        <w:rPr>
          <w:rFonts w:ascii="IRNazanin" w:hAnsi="IRNazanin" w:eastAsia="IRNazanin"/>
          <w:color w:val="111111"/>
          <w:sz w:val="28"/>
          <w:sz w:val="28"/>
          <w:szCs w:val="28"/>
          <w:rtl w:val="true"/>
          <w:lang w:bidi="fa-IR"/>
        </w:rPr>
        <w:t>می دهد که غیر موصوف است و موصوف که آن را به صفتی وصف نمودی، شهادت می دهد که غیر صفت است و هر دو بر خود شهادت می‌دهند به دوئیت و دوتا بودن که ازلیت به جهت آن ممتنع و محال است، چه هر گاه تعدد و کثرت در او باشد، اجزا بر او سبقت دارند و این مستلزم نفی قدم و اثبات حدوث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وصف کند بما به الاشتراک و ما به الامتیاز، حد و اندازه را برای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معبودیت داشت در زمانی که هیچ عبادت‌کننده‌ای نبود که عبادت کند و پروردگار ما را چنین وصف باید نمود و آن جناب بالاتر است از آنچه وصف‌کنندگان او را وصف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بدین سان و با زبانی ساده، نفی صفات بشری از خدا را برای مخاطب تبیین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امامت نیز، شاهد نامه‌هایی ارشادی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کاظم علیه السلام تردیدهایی را که واقفه در موضوع وفات امام هفتم و شخصیت امام رضا علیه السلام در جامعه ایجاد کردند، سبب شد شیعه به دنبال علامات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احمد بن عمر حلّال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نیکوترین عافیتش را نصیب ما و تو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امام پرسیده‌ای ـ هنگامی که امام وفات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امام بعدی چگونه شناخته می‌شود؟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علاماتی دارد که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 پدرش باشد، در حالی که فضیلت نیز در او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کاروانی به مدینه آیند و بپرسند که وصیّ امام کیست، مردم او را معرفی کنند؛ و سلاح پیامبر صلی الله علیه و اله و سلم در نزد ما مانند تابوت در بنی‌اسرائیل است و شما نیز با هرکه سلاح در اختیار او بود، همراه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bookmarkStart w:id="79" w:name="pg3269_31713"/>
    </w:p>
    <w:p>
      <w:pPr>
        <w:pStyle w:val="BookText"/>
        <w:rPr/>
      </w:pPr>
      <w:bookmarkEnd w:id="79"/>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مسئله ای جدی در میان شیعه ـ و به‌ویژه کسانی که تردید داشته‌اند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 نامه‌های گوناگونی در دست است که همین مسئله را از امام علیه السلام جویا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نامۀ پیشین، سلیمان بن جعفر نیز نقل می‌کند که من به امام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سلاح رسول خدا صلی الله علیه و اله و سلم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خطی که من می‌شناسم و می‌دانم که خط خود ایشان است،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بله، سلاح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نامه‌های دیگری نیز پرسش از سلاح مطرح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إربلی،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یکی از نامه‌های ارشادی امام،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عباس 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نامه، به تبیین سه مفهوم کلامی مورد اختلاف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در نامه‌ای فرق بین رسول، نبی و امام را از آن حضرت سؤال می‌کند و امام علیه السلام در متنی مختصر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رسول، نبی و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بر او فرود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و او جبرئیل را می بیند و سخنانش را می شنود، وحی بر او نازل می شود و چه بسا او را در خواب مشاهده می‌کند، مانند رؤیای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هم به کسی گفته می شود که گاه سخنانی را می شنود و چه بسا شخص را می بیند، ولی چیزی از وحی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کسی است که کلام جبرئیل را می شنود، ولی کسی 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مکتوبات رضوی می‌توان گفت که بیشتر نگاشته‌های کلامی امام رضا علیه السلام در جهت تبیین و ارشاد شیعیان صورت گرفته است</w:t>
      </w:r>
      <w:r>
        <w:rPr>
          <w:rFonts w:eastAsia="IRNazanin" w:cs="IRNazanin"/>
          <w:color w:val="111111"/>
          <w:sz w:val="28"/>
          <w:szCs w:val="28"/>
          <w:rtl w:val="true"/>
          <w:lang w:bidi="fa-IR"/>
        </w:rPr>
        <w:t>.</w:t>
      </w:r>
    </w:p>
    <w:p>
      <w:pPr>
        <w:pStyle w:val="Heading5"/>
        <w:numPr>
          <w:ilvl w:val="4"/>
          <w:numId w:val="1"/>
        </w:numPr>
        <w:rPr/>
      </w:pPr>
      <w:bookmarkStart w:id="80" w:name="__RefHeading___Toc2104942_2749589250"/>
      <w:bookmarkStart w:id="81" w:name="_Toc33"/>
      <w:bookmarkEnd w:id="80"/>
      <w:r>
        <w:rPr/>
        <w:t>2</w:t>
      </w:r>
      <w:r>
        <w:rPr>
          <w:rtl w:val="true"/>
        </w:rPr>
        <w:t>_</w:t>
      </w:r>
      <w:r>
        <w:rPr/>
        <w:t>3</w:t>
      </w:r>
      <w:r>
        <w:rPr>
          <w:rtl w:val="true"/>
        </w:rPr>
        <w:t>.</w:t>
      </w:r>
      <w:r>
        <w:rPr>
          <w:rtl w:val="true"/>
        </w:rPr>
        <w:t>نکوهش</w:t>
      </w:r>
      <w:bookmarkEnd w:id="8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مجموعه روایات رضوی نکوهش و انذارهای متعددی را دربارۀ واقفه شاهد هستیم، در نگاشته‌های آن حضرت تنها بخش اندکی به نکوهش این فرقۀ منحرف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بدین‌سان در صدد تبیین مواضع و ماهیت واقفه و تحذیر شیعۀ امامیه از چالش انحراف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 ایشان را به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مذبذبین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حمیر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کرده و از شیعیان خواسته‌اند که نه تنها به فقرای ایشان زکات نپردازند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از مجالست با ایشان نیز پرهیز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این‌که آنان بر امام کاظم علیه السلام دروغ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خداوند نازل کرده،</w:t>
      </w:r>
      <w:bookmarkStart w:id="82" w:name="pg3269_31714"/>
    </w:p>
    <w:p>
      <w:pPr>
        <w:pStyle w:val="BookText"/>
        <w:rPr/>
      </w:pPr>
      <w:bookmarkEnd w:id="82"/>
      <w:r>
        <w:rPr>
          <w:rFonts w:ascii="IRNazanin" w:hAnsi="IRNazanin" w:eastAsia="IRNazanin"/>
          <w:color w:val="111111"/>
          <w:sz w:val="28"/>
          <w:sz w:val="28"/>
          <w:szCs w:val="28"/>
          <w:rtl w:val="true"/>
          <w:lang w:bidi="fa-IR"/>
        </w:rPr>
        <w:t xml:space="preserve">کفر و قدرناشناسی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جریان واقفه، فتنه‌ای در شیعه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معصومان علیهم السلام ، 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جریان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سزاوار لعن امامان علیهم السلام و مؤمنان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نامه به عبدالله بن جندب در نکوهش واقفه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هؤلاء القوم سنح لهم شیطانٌ اغترهم بالشبهة و لبس علیهم أمر دینهم، و ذلک لما ظهرت فریتهم ـ و اتفقت کلمتهم و 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جدّشان امام باقر علیه السلام را شرح کرده و شیعیان آگاه ولی روی‌گردان از امامت را به واقفه تفسیر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نامه‌ای دیگر مصداق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 بَیْنَ ذلِکَ لا إِلی هؤُلاءِ وَ لا إِلی هؤُلاءِ وَ مَنْ یُضْلِلِ اللَّهُ فَلَنْ تَجِدَ لَهُ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واقفه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880</w:t>
      </w:r>
      <w:r>
        <w:rPr>
          <w:rFonts w:eastAsia="IRNazanin" w:cs="IRNazanin"/>
          <w:color w:val="111111"/>
          <w:sz w:val="28"/>
          <w:szCs w:val="28"/>
          <w:rtl w:val="true"/>
          <w:lang w:bidi="fa-IR"/>
        </w:rPr>
        <w:t>).</w:t>
      </w:r>
    </w:p>
    <w:p>
      <w:pPr>
        <w:pStyle w:val="Heading5"/>
        <w:numPr>
          <w:ilvl w:val="4"/>
          <w:numId w:val="1"/>
        </w:numPr>
        <w:rPr/>
      </w:pPr>
      <w:bookmarkStart w:id="83" w:name="__RefHeading___Toc2104944_2749589250"/>
      <w:bookmarkStart w:id="84" w:name="_Toc34"/>
      <w:bookmarkEnd w:id="83"/>
      <w:r>
        <w:rPr/>
        <w:t>3</w:t>
      </w:r>
      <w:r>
        <w:rPr>
          <w:rtl w:val="true"/>
        </w:rPr>
        <w:t>_</w:t>
      </w:r>
      <w:r>
        <w:rPr/>
        <w:t>3</w:t>
      </w:r>
      <w:r>
        <w:rPr>
          <w:rtl w:val="true"/>
        </w:rPr>
        <w:t>.</w:t>
      </w:r>
      <w:r>
        <w:rPr>
          <w:rtl w:val="true"/>
        </w:rPr>
        <w:t>اعجاز</w:t>
      </w:r>
      <w:bookmarkEnd w:id="84"/>
    </w:p>
    <w:p>
      <w:pPr>
        <w:pStyle w:val="BookText"/>
        <w:rPr/>
      </w:pPr>
      <w:r>
        <w:rPr>
          <w:rFonts w:ascii="IRNazanin" w:hAnsi="IRNazanin" w:eastAsia="IRNazanin"/>
          <w:color w:val="111111"/>
          <w:sz w:val="28"/>
          <w:sz w:val="28"/>
          <w:szCs w:val="28"/>
          <w:rtl w:val="true"/>
          <w:lang w:bidi="fa-IR"/>
        </w:rPr>
        <w:t xml:space="preserve">هفده نامه از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نگاشتۀ امام رضا علیه السلام به گونه‌ای بیان‌کنندۀ اعجاز و علم غیب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نامه‌ها پیش‌گویی آینده ـ امور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قمی،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شخصی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چهار ماه قبل از آن‌که کشتار بغداد رخ دهد، این جریان را با یادکرد زمان به ابن‌جهم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نامه‌ای دیگر، مأمون را از رفتن به حمامی که سبب قتل فضل بن سهل ذو الریاستین شد، برحذر داشته 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نه من به این حمام می‌روم و نه شایسته است که تو و فضل به آن‌جا قدم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این سخن را ناشنیده گرفت و در حمام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بیشتر نامه های اعجازی خطاب به واقفیان یا شیعیانی است که در امامتِ امام تردید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پربسامد بودن روایات مرتبط با واقفه، نشان از چالش بزرگی است که از ناحیۀ ایشان در میان شیعه انجام شده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شعیب که واقفی و از اصحاب امام کاظم علیه السلام در عراق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با فردی آشنا شدم که از موالیان امام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نامم را به وی بگویم، از او خواستم تا نامۀ مُهرشده‌ام را به علی بن موسی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ایشان نوشته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 تو به مطالبی خبر می‌دادند که آن اخبار، دلالت و برهانی بر امامت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نام من و نام پدرم و فرزندم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مهر کردم و بسته‌شده به غلام علی بن موسی</w:t>
      </w:r>
      <w:bookmarkStart w:id="85" w:name="pg3269_31715"/>
    </w:p>
    <w:p>
      <w:pPr>
        <w:pStyle w:val="BookText"/>
        <w:rPr/>
      </w:pPr>
      <w:bookmarkEnd w:id="85"/>
      <w:r>
        <w:rPr>
          <w:rFonts w:ascii="IRNazanin" w:hAnsi="IRNazanin" w:eastAsia="IRNazanin"/>
          <w:color w:val="111111"/>
          <w:sz w:val="28"/>
          <w:sz w:val="28"/>
          <w:szCs w:val="28"/>
          <w:rtl w:val="true"/>
          <w:lang w:bidi="fa-IR"/>
        </w:rPr>
        <w:t>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نامه‌ای را از ایشان مهرشده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زیر سؤال من این‌گونه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پدران تو شعیب و صالح است و نام فرزندانت محمد، علی و فلانة و فلانه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این نامه‌ها معمولاً مؤثر واقع می شد و فرد به راه راست هدایت می شد؛ چنانچه حسن بن علی الوشاء با دریافت چنین نامه‌ای، بخشی از تردیدش رفع شد و پس از مباحثاتی با امام علیه السلام از وقف دست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w:t>
      </w:r>
    </w:p>
    <w:p>
      <w:pPr>
        <w:pStyle w:val="BookText"/>
        <w:rPr/>
      </w:pPr>
      <w:r>
        <w:rPr>
          <w:rFonts w:ascii="IRNazanin" w:hAnsi="IRNazanin" w:eastAsia="IRNazanin"/>
          <w:color w:val="111111"/>
          <w:sz w:val="28"/>
          <w:sz w:val="28"/>
          <w:szCs w:val="28"/>
          <w:rtl w:val="true"/>
          <w:lang w:bidi="fa-IR"/>
        </w:rPr>
        <w:t xml:space="preserve">ـ همانند ابراهیم بن شعیب ـ فرد هم‌چنان در حالت شک و تردید وقف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6" w:name="__RefHeading___Toc2104946_2749589250"/>
      <w:bookmarkStart w:id="87" w:name="_Toc35"/>
      <w:bookmarkEnd w:id="86"/>
      <w:r>
        <w:rPr/>
        <w:t>4</w:t>
      </w:r>
      <w:r>
        <w:rPr>
          <w:rtl w:val="true"/>
        </w:rPr>
        <w:t>_</w:t>
      </w:r>
      <w:r>
        <w:rPr/>
        <w:t>3</w:t>
      </w:r>
      <w:r>
        <w:rPr>
          <w:rtl w:val="true"/>
        </w:rPr>
        <w:t>.</w:t>
      </w:r>
      <w:r>
        <w:rPr>
          <w:rtl w:val="true"/>
        </w:rPr>
        <w:t>بحث</w:t>
      </w:r>
      <w:bookmarkEnd w:id="87"/>
    </w:p>
    <w:p>
      <w:pPr>
        <w:pStyle w:val="BookText"/>
        <w:rPr/>
      </w:pPr>
      <w:r>
        <w:rPr>
          <w:rFonts w:ascii="IRNazanin" w:hAnsi="IRNazanin" w:eastAsia="IRNazanin"/>
          <w:color w:val="111111"/>
          <w:sz w:val="28"/>
          <w:sz w:val="28"/>
          <w:szCs w:val="28"/>
          <w:rtl w:val="true"/>
          <w:lang w:bidi="fa-IR"/>
        </w:rPr>
        <w:t>نامه هایی به صورت دوجانبه بین امام علیه السلام و برخی از شیعیان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که گاه رنگ و بوی سبک مسائل‌نگاری به خود گرفته است، بحث‌هایی را دربارۀ مواضع مختلف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نامه‌هایی که امام بحث‌های مختلفی را با راوی بیان داشته، نامه‌ای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نامه‌نگاری به درخواست راویِ نام‌آشنای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أبی‌نصر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شیعیان شما در کوفه هستم و توفیق اطاعت از شما اهل‌بیت را داشته و مشتاق زیارت شما هستم تا برخی از شبهات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شده این نامه را بنویسم این است که گروهی بر این باورند که پدر شما یقیناً در دار دنیا بوده 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سؤالاتی را از شما پرسیده‌اند و پاسخ‌هایی را شما داده‌اید که برخلاف پاسخ پدران بزرگوارتان است و شما برخلاف تقیه سخن گفته‌اید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ارسال این نامه، امام رضا علیه السلام پاسخ کاملی را ارسال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نامۀ خود با استناد به شش آیۀ قرآن و روایتی از امام باقر علیه السلام اثبات کردند که هدایت در اختیار خداست و اثبات کردند که امام نیز خلاف گفته های اجداد گرامی‌شان سخن نگفته‌اند، ولی گمراهی و ضلالت واقفه سبب شده که سخنان بی‌اساسی را بیان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در نامه‌ای دیگر مجدداً دربارۀ سخنان واقفه دربارۀ امام کاظم علیه السلام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برای بار دوم پاسخ دادند و این بار به دو روایت امام باقر علیه السلام در نامه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نامۀ سوم را در حالی ارسال می‌دارد که شک و شبهه‌اش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می‌پذیرد که امام کاظم علیه السلام از دنیا رفته است؛ از این رو، در این نامه به امام تسلیت می‌گوید و ضمن اقرار و بیان شهادتین به توصیف امام زمانش به بزرگی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این نامه ابتدا جایگاه امامت، سپس ضرورت معرفت به امام زمان و دست آخر به معرفی یکایک سران</w:t>
      </w:r>
      <w:bookmarkStart w:id="88" w:name="pg3269_31716"/>
    </w:p>
    <w:p>
      <w:pPr>
        <w:pStyle w:val="BookText"/>
        <w:rPr/>
      </w:pPr>
      <w:bookmarkEnd w:id="88"/>
      <w:r>
        <w:rPr>
          <w:rFonts w:ascii="IRNazanin" w:hAnsi="IRNazanin" w:eastAsia="IRNazanin"/>
          <w:color w:val="111111"/>
          <w:sz w:val="28"/>
          <w:sz w:val="28"/>
          <w:szCs w:val="28"/>
          <w:rtl w:val="true"/>
          <w:lang w:bidi="fa-IR"/>
        </w:rPr>
        <w:t>منحرفان واقفه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نامه نیز به آیات قرآن، احادیث نبوی و ولوی استناد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قمی،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مخالفان، ادب نگارش را رعایت نمی کردند و با بی‌ادبی و سخنان زشت و نابجا امام را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و عالمان برجستۀ واقفه بود و پیوسته با لحنی که حاکی از نفاق و عدم ایمانش بود، به امام رضا علیه السلام نامه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ابن‌مهران در نگاشته هایش به امام امر و نهی می‌کرد و در مکاتبه، مراعات مقام امام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نامه‌ای به او نوشت و به اصحابش دستور داد از آن نسخه‌برداری کنند، که مبادا ابن‌مهران بتواند آن را پنهان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نیز در شمار مناظرات کتبی و بحث‌های دوسویۀ امام قرار دارد</w:t>
      </w:r>
      <w:r>
        <w:rPr>
          <w:rFonts w:eastAsia="IRNazanin" w:cs="IRNazanin"/>
          <w:color w:val="111111"/>
          <w:sz w:val="28"/>
          <w:szCs w:val="28"/>
          <w:rtl w:val="true"/>
          <w:lang w:bidi="fa-IR"/>
        </w:rPr>
        <w:t>.</w:t>
      </w:r>
    </w:p>
    <w:p>
      <w:pPr>
        <w:pStyle w:val="Heading4"/>
        <w:numPr>
          <w:ilvl w:val="3"/>
          <w:numId w:val="1"/>
        </w:numPr>
        <w:rPr/>
      </w:pPr>
      <w:bookmarkStart w:id="89" w:name="__RefHeading___Toc2104948_2749589250"/>
      <w:bookmarkStart w:id="90" w:name="_Toc36"/>
      <w:bookmarkEnd w:id="89"/>
      <w:r>
        <w:rPr/>
        <w:t>4</w:t>
      </w:r>
      <w:r>
        <w:rPr>
          <w:rtl w:val="true"/>
        </w:rPr>
        <w:t>.</w:t>
      </w:r>
      <w:r>
        <w:rPr>
          <w:rtl w:val="true"/>
        </w:rPr>
        <w:t>نمودار مکتوبات کلامی</w:t>
      </w:r>
      <w:bookmarkEnd w:id="90"/>
    </w:p>
    <w:p>
      <w:pPr>
        <w:pStyle w:val="BookText"/>
        <w:rPr/>
      </w:pPr>
      <w:r>
        <w:rPr>
          <w:rFonts w:ascii="IRNazanin" w:hAnsi="IRNazanin" w:eastAsia="IRNazanin"/>
          <w:color w:val="111111"/>
          <w:sz w:val="28"/>
          <w:sz w:val="28"/>
          <w:szCs w:val="28"/>
          <w:rtl w:val="true"/>
          <w:lang w:bidi="fa-IR"/>
        </w:rPr>
        <w:t xml:space="preserve">مجموعه مکتوبات کلامی امام رضا علیه السلام بر اساس آنچه مکاتیب الائمه علیهم السلام گردآوری کرده است،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نگاشته‌ها کوتاه و معمولاً از یک یا دو سطر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از این مکتوبات افزون بر یک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زیر ضمن معرفی اجمالی این نگاشته‌ها، گونه‌شناسی روش حل معضل ـ چنانچه در فراز آمد ـ نیز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جدول درمی یابیم که امام علیه السلام بیشتر از روش ارشاد بهره جسته‌اند، چه این‌که در هجده مورد از شیوۀ ارشاد، هفده مورد از روش اعجاز، شش مورد از شیوۀ نکوهش و در چهار مورد نیز به بحث‌های کتبی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موضوع روش حل معضل منبع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هشام مشرقیتوحید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توحید ارشاد 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بن زیدتوحید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جسم و تشبیهارشادالکافی،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یونس بن بهمنتوحید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 اللهنکوهشرجال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949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محمد بن عبیدتوحید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رویتبحثالکافی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فتح بن یزید جرجانیتوحید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تشبیهبحث و ارشادالتوحید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احمد بن محمد بن أبی‌نصر بزنطیتوحید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ارادهارشادعیون اخبار الرضا 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حمدان بن سلیمانتوحید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افعالارشادالتوحید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طاهر بن حاتمتوحید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خداارشادالکافی،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حسن بن عباس معروفیامامت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امامارشادالکافی،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عبد الله بن جندبامامت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امامارشادتفسیر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احمد بن محمد بن ابی نصرامامت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امامارشادتفسیر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سلیمان بن جعفرامامت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امامارشادبصائر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محمد بن فضیلامامت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امامارشادالخرائج،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علمای نیشابورامامت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امامارشادعیون اخبار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ابراهیم بن ابی سماکامامت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امامارشادمختصر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احمد بن عمر حلّالامامت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امامارشادمختصر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حسین بن قیاماامامت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بر امامت امام جواد علیه السلام نکوهشالکافی،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عبدالله بن جندبامامت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وجوب اطاعتنکوهشتفسیر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احمد بن محمد بن أبی‌نصرامامت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ولایتبحثقرب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حسن بن محبوبامامت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شتربان اصفهانی امامامامت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آل محمدارشادالدعوات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ابراهیم بن شعیبامامت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896</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ابوجعفر علیه السلام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1093</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احمد بن محمد بن أبی‌نصرامامت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غیباعجازعیون اخبار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محمد مصریامامت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غیباعجازعیون اخبار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مأمونامامت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علی بن حسین بن یحییامامت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غیباعجازالخرائج،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ابن الجهمامامت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احمد بن محمد بن أبی‌نصرامامت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غیباعجازالغیبة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حسن بن علی وشاءامامت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غیباعجازعیون اخبار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محمد بن سنانامامت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1092</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احمد بن محمد بن أبی‌نصرامامت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ابوجعفر علیه السلام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غیباعجازالخرائج،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احمد بن عمر حلّالامامت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غیباعجازالخرائج،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حکیمه، خواهر امام رضا علیه السلام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موسی بن مهرانامامت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غیباعجازعیون اخبار الرضا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حسن بن علی وشاءامامت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غیباعجازالخرائج،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یحیی بن ابی‌عمران و اصحابشامامت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غیباعجازرجال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1043</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یحیی بن مبارکمذاهب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واقفهنکوهشرجال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762</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علی بن عبداللهمذاهب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واقفهنکوهشرجال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880</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عثمان بن عیسی رواسیمذاهب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واقفهارشادعیون اخبار الرضا علیه السلام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حمزه زیاتمذاهب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882</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حسین بن مهرانمذاهب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واقفهبحثرجال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1121</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مردی از واقفهمذاهب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واقفهارشادبحارالأنوار،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مرد ناشناسمذاهب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واقفهارشادرجال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801</w:t>
      </w:r>
      <w:bookmarkStart w:id="91" w:name="pg3269_31718"/>
    </w:p>
    <w:p>
      <w:pPr>
        <w:pStyle w:val="Heading3"/>
        <w:numPr>
          <w:ilvl w:val="2"/>
          <w:numId w:val="1"/>
        </w:numPr>
        <w:rPr/>
      </w:pPr>
      <w:bookmarkStart w:id="92" w:name="__RefHeading___Toc2104950_2749589250"/>
      <w:bookmarkStart w:id="93" w:name="_Toc37"/>
      <w:bookmarkEnd w:id="91"/>
      <w:bookmarkEnd w:id="92"/>
      <w:r>
        <w:rPr>
          <w:rtl w:val="true"/>
        </w:rPr>
        <w:t>نتیجه</w:t>
      </w:r>
      <w:bookmarkEnd w:id="93"/>
    </w:p>
    <w:p>
      <w:pPr>
        <w:pStyle w:val="BookText"/>
        <w:rPr/>
      </w:pPr>
      <w:r>
        <w:rPr>
          <w:rFonts w:ascii="IRNazanin" w:hAnsi="IRNazanin" w:eastAsia="IRNazanin"/>
          <w:color w:val="111111"/>
          <w:sz w:val="28"/>
          <w:sz w:val="28"/>
          <w:szCs w:val="28"/>
          <w:rtl w:val="true"/>
          <w:lang w:bidi="fa-IR"/>
        </w:rPr>
        <w:t>بنا بر آنچه گذشت، در نیمۀ دوم سدۀ دوم هجری نگارش‌های گوناگون و مکتوبات روایی در جامعۀ اسلامی فزونی یافته بود، به گونه‌ای که عالمان از این شیوه برای نشر معارف و پاسخ‌گویی به پرسش‌کنندگان، سود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به نیکی از ابزار نگارش برای نشر معارف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نزدیک 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از آن حضرت باقی مانده است که یک‌چهارم آن‌ها در موضوعات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شمار بیشترین نگارش‌ها ابتدا در موضوعات فقهی و سپس در موضوعات اعتقادی است، همین کثرت نسبی نشان‌گر وجود جدی شبهات کلامی در کل دورۀ امامتِ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شیوع باورهای نادرست گروه‌های کلامی منحرف عامه در مسئله توحید است که در جامعۀ شیعه نیز رخ برنموده بود؛ به‌ویژه آن‌که در میان اصحاب امامیه نیز برخی به بخشی از این باورها بی‌میل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بیشتر در همان اختلافات مشهور در مسئله تجسیم، رؤیت و تشبیه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رضا علیه السلام که برای نخستین بار به بیان بدون تقیه و عمومی مسئله امامت</w:t>
      </w:r>
    </w:p>
    <w:p>
      <w:pPr>
        <w:pStyle w:val="BookText"/>
        <w:rPr/>
      </w:pPr>
      <w:r>
        <w:rPr>
          <w:rFonts w:ascii="IRNazanin" w:hAnsi="IRNazanin" w:eastAsia="IRNazanin"/>
          <w:color w:val="111111"/>
          <w:sz w:val="28"/>
          <w:sz w:val="28"/>
          <w:szCs w:val="28"/>
          <w:rtl w:val="true"/>
          <w:lang w:bidi="fa-IR"/>
        </w:rPr>
        <w:t>می پرداخت نیز سبب شد پرسش‌هایی در حاکمیت، علمای عامه و خاصه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عصمت، علامات امام، تفاوت مفهومی رسول و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سؤالات بود که از ناحیۀ افراد متعدد پرسیده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فتنۀ واقفه و ایجاد شبهات متعدد از عدم وفات امام کاظم علیه السلام و غیبت ایشان گرفته تا نداشتن فرزند امام رضا علیه السلام از جمله شبهاتی بود که در هم‌بستگی و یک‌پارچگی شیعۀ امامیه ایجاد خلل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شبهات واقفه نیز سبب شد امام در طول بیست سال امامت خویش همواره پاسخ‌گوی شبهات واقفه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با شیوه‌های شفاهی و کتبی به پاسخ‌گویی شبهات اهتمام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پاسخ‌های حضرت به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پاره‌ای دیگر از پاسخ‌ها امام علیه السلام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شیوه‌ای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تفهیم مخاطب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در شیوۀ شفاهی بسیار کارآمد بود و امام از این شیوه بسیار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نامه‌ها نیز تا حدودی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اندکی نیز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دادن، نکوهش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جامعه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pStyle w:val="Heading3"/>
        <w:numPr>
          <w:ilvl w:val="2"/>
          <w:numId w:val="1"/>
        </w:numPr>
        <w:rPr/>
      </w:pPr>
      <w:bookmarkStart w:id="94" w:name="__RefHeading___Toc2104952_2749589250"/>
      <w:bookmarkStart w:id="95" w:name="_Toc38"/>
      <w:bookmarkEnd w:id="94"/>
      <w:r>
        <w:rPr>
          <w:rtl w:val="true"/>
        </w:rPr>
        <w:t>منابع</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ابوجعفر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تهران، منشورات جهان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حسینی تهرانی،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صلی الله علیه و آله وسلم ، تهران، دار 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قم، دفتر تبلیغات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و منهج العبادات، قم،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الفکر للطباعة و النشر و التوزیع ـ</w:t>
      </w:r>
    </w:p>
    <w:p>
      <w:pPr>
        <w:pStyle w:val="BookText"/>
        <w:rPr/>
      </w:pP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الأئمه علیهم السلام ،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إربلی، ابوالحسن علی بن عیسی بن أبی الفتح،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الأئمّة، بیروت،</w:t>
      </w:r>
    </w:p>
    <w:p>
      <w:pPr>
        <w:pStyle w:val="BookText"/>
        <w:rPr/>
      </w:pPr>
      <w:r>
        <w:rPr>
          <w:rFonts w:ascii="IRNazanin" w:hAnsi="IRNazanin" w:eastAsia="IRNazanin"/>
          <w:color w:val="111111"/>
          <w:sz w:val="28"/>
          <w:sz w:val="28"/>
          <w:szCs w:val="28"/>
          <w:rtl w:val="true"/>
          <w:lang w:bidi="fa-IR"/>
        </w:rPr>
        <w:t>دار الأضواء،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ابو نصر سهل بن عبد 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السلسلة العلویه، نجف ، مطبعة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 بن محمد،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بصائر الدرجات،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قمی،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قم، مؤسسه آل‌البیت علیهم السلام ،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الکافی، تهران، مؤسسه مطالعات و تحقیقات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فروخ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موسوی خرسان، 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نجف، 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 مؤسسه المعارف الإسلامیه،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الرضا علیه السلام ، مشهد، مرکز البحوث لآستان القدس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الأقوال فی معرفۀ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قم، مؤسسة نشر الفقاهه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 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ابوالحسین 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الدعوات، قم، مؤسّسة الإمام المهدی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 الجرائح، قم، مؤسسة الإمام المهدی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مشهد،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إبراهیم،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تهران، مؤسسه چاپ و نشر وابسته به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مولی محمد صالح،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بیروت، 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 الکتب الإسلامیة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دار إحیاء التراث العربی</w:t>
      </w:r>
      <w:r>
        <w:rPr>
          <w:rFonts w:eastAsia="IRNazanin" w:cs="IRNazanin"/>
          <w:color w:val="111111"/>
          <w:sz w:val="28"/>
          <w:szCs w:val="28"/>
          <w:rtl w:val="true"/>
          <w:lang w:bidi="fa-IR"/>
        </w:rPr>
        <w:t>.</w:t>
      </w:r>
      <w:bookmarkStart w:id="96" w:name="pg3269_31720"/>
    </w:p>
    <w:p>
      <w:pPr>
        <w:pStyle w:val="Heading2"/>
        <w:numPr>
          <w:ilvl w:val="1"/>
          <w:numId w:val="1"/>
        </w:numPr>
        <w:rPr/>
      </w:pPr>
      <w:bookmarkStart w:id="97" w:name="__RefHeading___Toc2104954_2749589250"/>
      <w:bookmarkStart w:id="98" w:name="_Toc39"/>
      <w:bookmarkEnd w:id="96"/>
      <w:bookmarkEnd w:id="97"/>
      <w:r>
        <w:rPr>
          <w:rtl w:val="true"/>
        </w:rPr>
        <w:t>آموزههای تعبدی در اندیشۀ کلامی شیخ مفید؛ ماهیت، مبانی و روش فهم</w:t>
      </w:r>
      <w:r>
        <w:rPr>
          <w:rtl w:val="true"/>
        </w:rPr>
        <w:t xml:space="preserve">/ </w:t>
      </w:r>
      <w:r>
        <w:rPr>
          <w:rtl w:val="true"/>
        </w:rPr>
        <w:t xml:space="preserve">علی راد </w:t>
      </w:r>
      <w:r>
        <w:rPr>
          <w:rtl w:val="true"/>
        </w:rPr>
        <w:t xml:space="preserve">_ </w:t>
      </w:r>
      <w:r>
        <w:rPr>
          <w:rtl w:val="true"/>
        </w:rPr>
        <w:t>معصومه رضوانی</w:t>
      </w:r>
      <w:bookmarkEnd w:id="98"/>
    </w:p>
    <w:p>
      <w:pPr>
        <w:pStyle w:val="Heading3"/>
        <w:numPr>
          <w:ilvl w:val="2"/>
          <w:numId w:val="1"/>
        </w:numPr>
        <w:rPr/>
      </w:pPr>
      <w:bookmarkStart w:id="99" w:name="__RefHeading___Toc2104956_2749589250"/>
      <w:bookmarkStart w:id="100" w:name="_Toc40"/>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علی راد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معصومه رضوانی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1396/01/19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1396/03/17</w:t>
      </w:r>
    </w:p>
    <w:p>
      <w:pPr>
        <w:pStyle w:val="Heading3"/>
        <w:numPr>
          <w:ilvl w:val="2"/>
          <w:numId w:val="1"/>
        </w:numPr>
        <w:rPr/>
      </w:pPr>
      <w:bookmarkStart w:id="101" w:name="__RefHeading___Toc2104958_2749589250"/>
      <w:bookmarkStart w:id="102" w:name="_Toc41"/>
      <w:bookmarkEnd w:id="101"/>
      <w:r>
        <w:rPr>
          <w:rtl w:val="true"/>
        </w:rPr>
        <w:t>چکیده</w:t>
      </w:r>
      <w:bookmarkEnd w:id="102"/>
    </w:p>
    <w:p>
      <w:pPr>
        <w:pStyle w:val="BookText"/>
        <w:rPr/>
      </w:pPr>
      <w:r>
        <w:rPr>
          <w:rFonts w:ascii="IRNazanin" w:hAnsi="IRNazanin" w:eastAsia="IRNazanin"/>
          <w:color w:val="111111"/>
          <w:sz w:val="28"/>
          <w:sz w:val="28"/>
          <w:szCs w:val="28"/>
          <w:rtl w:val="true"/>
          <w:lang w:bidi="fa-IR"/>
        </w:rPr>
        <w:t>آموزههای تعبدی در حوزۀ اعتقادات، باورهایی است که عقل انسان به تنهایی توان کشف و اثبات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منبع اصلی این اعتقادات، وحی و نقل معتبر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تعبدی حضور پررنگی در باورهای شیعی دارند و حجم گستردهای از جزئیات توحید، نبوت، امامت و معاد را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آموزههای تعبدی که شامل مرحلۀ اخذ و کشف و مرحلۀ تبیین و تفسیر است، میان متکلمان شیعی محل اختلاف بوده است؛ برخی روش تعبد و تسلیم را در قبال آنها در پیش گرفته و برخی روش تعقل و تدبر را پیشنهاد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شیخ مفید تلاش میکند با اتخاذ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عقل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بودن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میان نقلگرایی و عقلگرایی اتخاذ کند؛ به این صورت که در مرحلۀ کشف این آموزهها، تسلیم شدن وی نسبت به نقل، پس از سنجش و ارزیابی عقل است و در مرحلۀ فهم نیز از هر دو منبع عقل و نقل برای تفسیر آموزهها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این نتیجه را به دست می دهد که با توجه به نحوۀ استفادۀ شیخ از منابع، روش او به سمت روش تعقل و تدبر و استفادۀ حداکثری از عقل، تمایل بیشتری دارد</w:t>
      </w:r>
      <w:r>
        <w:rPr>
          <w:rFonts w:eastAsia="IRNazanin" w:cs="IRNazanin"/>
          <w:color w:val="111111"/>
          <w:sz w:val="28"/>
          <w:szCs w:val="28"/>
          <w:rtl w:val="true"/>
          <w:lang w:bidi="fa-IR"/>
        </w:rPr>
        <w:t>.</w:t>
      </w:r>
    </w:p>
    <w:p>
      <w:pPr>
        <w:pStyle w:val="Heading3"/>
        <w:numPr>
          <w:ilvl w:val="2"/>
          <w:numId w:val="1"/>
        </w:numPr>
        <w:rPr/>
      </w:pPr>
      <w:bookmarkStart w:id="103" w:name="__RefHeading___Toc2104960_2749589250"/>
      <w:bookmarkStart w:id="104" w:name="_Toc42"/>
      <w:bookmarkEnd w:id="103"/>
      <w:r>
        <w:rPr>
          <w:rtl w:val="true"/>
        </w:rPr>
        <w:t>واژگان کلیدی</w:t>
      </w:r>
      <w:bookmarkEnd w:id="1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تعبدی، روش متکلمان، خردگریز، خردستیز، شیخ مفید</w:t>
      </w:r>
      <w:r>
        <w:rPr>
          <w:rFonts w:eastAsia="IRNazanin" w:cs="IRNazanin"/>
          <w:color w:val="111111"/>
          <w:sz w:val="28"/>
          <w:szCs w:val="28"/>
          <w:rtl w:val="true"/>
          <w:lang w:bidi="fa-IR"/>
        </w:rPr>
        <w:t>.</w:t>
      </w:r>
      <w:bookmarkStart w:id="105" w:name="pg3269_31721"/>
    </w:p>
    <w:p>
      <w:pPr>
        <w:pStyle w:val="Heading3"/>
        <w:numPr>
          <w:ilvl w:val="2"/>
          <w:numId w:val="1"/>
        </w:numPr>
        <w:rPr/>
      </w:pPr>
      <w:bookmarkStart w:id="106" w:name="__RefHeading___Toc2104962_2749589250"/>
      <w:bookmarkStart w:id="107" w:name="_Toc43"/>
      <w:bookmarkEnd w:id="105"/>
      <w:bookmarkEnd w:id="106"/>
      <w:r>
        <w:rPr>
          <w:rtl w:val="true"/>
        </w:rPr>
        <w:t>طرح مسئله</w:t>
      </w:r>
      <w:bookmarkEnd w:id="107"/>
    </w:p>
    <w:p>
      <w:pPr>
        <w:pStyle w:val="BookText"/>
        <w:rPr/>
      </w:pPr>
      <w:r>
        <w:rPr>
          <w:rFonts w:ascii="IRNazanin" w:hAnsi="IRNazanin" w:eastAsia="IRNazanin"/>
          <w:color w:val="111111"/>
          <w:sz w:val="28"/>
          <w:sz w:val="28"/>
          <w:szCs w:val="28"/>
          <w:rtl w:val="true"/>
          <w:lang w:bidi="fa-IR"/>
        </w:rPr>
        <w:t xml:space="preserve">تفکیک آموزههای اعتقادی 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غیرتعبدی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متکلمان متقدم، آن‌گونه که در نگاه معاصران مشهود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به همان معنای لغوی، یعنی مطلق سرسپردگی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آموزهها و دستورات شرع در نظر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نگاه 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ملکیان،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اعتقادی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اعتقادی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برنجکار،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ارشادی، متونی است که نقش آنها ارشاد به حکم عقل و تأیید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 این تعریف آن است که موضوع و محتوای این متون، مسائلی است که عقل آدمی به صورت مستقل و پیش از آمدن وحی، قادر به ادراک و اثبات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حاکی از اثبات صانع در زمرۀ متون ارشادی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عقل انسان به صورت مستقل توان کشف و اثبات آموزههای موجود در آن را ندارد و تنها پس از آمدن وحی است که از آن آموزهها آگاه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جزئیات معاد و حوادث پس از مرگ وارد شده، نمونهای از متون تعبدی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آموزههای تعبدی در قالب متون دینی مطرح شدهاند، بر سر چگونگی فهم این متون و منابعی که برای فهم آنها باید به خدمت گرفته شود، میان اندیشمندان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 صحیح فهم این نصوص را روش تعبد و تسلیم در برابر سمع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 این اساس سامان یافته است که نمیتوان بر اساس ادراکات مستقل عقل، این نصوص را فهمید و قضاوت کرد، بلکه سخن وحی را باید از روی تعبد و تسلیم بدون دخالت دادن عقل، تصدیق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از اندیشمندان علی رغم اذعان به عدم توانایی انسان در کشف محتوای آنها، تصدیق آنها را امری میدانند که باید از روی تحقیق و تدبر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بر کاربست ادراکات مستقل عقل در فهم آموزههای تعبدی و سنجش و توضیح آنها در چارچوب ادراکات عقل،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فرایند فهم کلام و متن، رسیدن به مراد اصلی گوینده شرط اساسی صحت فهم است، اتخاذ روش فهم مناسب که ما را به این هدف برساند،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هر یک از روشهای مزبور در فهم نصوص تعبدی، به نتایج و برداشتهای مختلفی منجر میشود که باید از لحاظ کاشفیت از مراد متکلم، مورد ارزیابی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متکلمان امامیه با روشهای گوناگون به فهم آموزههای تعبدی اقدام کرده و به برداشتهای گوناگونی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یکی از برجستهترین متکلمان مدرسۀ بغداد است که آرای او، سایر متکلمان این مدرسه را تحت تأثیر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متکلمی است که هم به روش نصگرایانۀ متکلمان قم همچون شیخ صدوق توجه دارد و هم با رویکرد عقلگرایانۀ مکتب اعتزال، مواجه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بارانی،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عنوان متکلم امامیمذهب، از سویی با انبوهی از آموزههای اعتقادی تعبدی مواجه است که جز از طریق اخبار معصومان علیهم السلام راهی برای دست‌یابی به آن نیست و از سوی دیگر ناگزیر است از این آموزهها در مقابل عقل‌گرایی معتزله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کشمکش، خود را در چگونگی مواجهۀ شیخ با نصوص تعبدی به وضوح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دیدگاه وی به عنوان نمایندۀ مدرسۀ بغداد مهم است، زیرا اولاً، تا حدودی روش متکلمان این مدرسه را برای نزدیک شدن به مراد حقیقی نصوص تعبدی ارائه میدهد و ثانیاً، مدل و الگویی از جانب آنان برای برونرفت از تقابل عقل و نقل و ایجاد تعامل میان این دو منبع معرفت در جریان کسب معرفت دینی پیشنهاد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ما در این تحقیق به روش توصیفی ـ تحلیلی تلاش کردهایم ابتدا تصور و تعریف او را از آموزههای تعبدی جویا شویم و سپس به شناسایی روش فهم وی از این آموزهها، از طریق بررسی مبانی و روشهای بهرهبرداری از منابعی که برای فهم اختیار کرده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تحقیق بر اساس پاسخ به سؤالات زیر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شیخ مفید از نصوص تعبدی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تأثیرگذار بر روش فهم شیخ از نصوص تعبدی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تصوری که شیخ از نصوص تعبدی در ذهن دارد و با توجه به مبانی خود، چه روشی را برای فهم این آموزهها در پیش میگیرد؟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بیشترِ آثاری که دربارۀ شیخ مفید و متکلمان بغداد به رشتۀ تحریر درآمده، اغلب در تبیین اندیشههای کلامی آنها بوده و کمتر به روش فهم آنها از نصوص دینی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همچون اندیشههای کلامی شیخ مفید، نوشتۀ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مکدرموت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تحقیقاتی که دربارۀ روش شیخ انجام شده،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الشیخ المفید فی البحث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ابراهیم انصاری زنجانی است که به طور کلی به روش کلامی شیخ پرداخته و در خلال آن، به روش فهم شیخ مفید از نصوص تعبدی نیز، اشاراتی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نیز در زمینۀ مبانی شیخ مفید، بهویژه تبیین جایگاه عقل و نقل در منظر او، تألیف شده</w:t>
      </w:r>
      <w:bookmarkStart w:id="108" w:name="pg3269_31723"/>
    </w:p>
    <w:p>
      <w:pPr>
        <w:pStyle w:val="BookText"/>
        <w:rPr/>
      </w:pPr>
      <w:bookmarkEnd w:id="108"/>
      <w:r>
        <w:rPr>
          <w:rFonts w:ascii="IRNazanin" w:hAnsi="IRNazanin" w:eastAsia="IRNazanin"/>
          <w:color w:val="111111"/>
          <w:sz w:val="28"/>
          <w:sz w:val="28"/>
          <w:szCs w:val="28"/>
          <w:rtl w:val="true"/>
          <w:lang w:bidi="fa-IR"/>
        </w:rPr>
        <w:t>است که باز متعرض روش فهم شیخ از نصوص دینی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در اندیشۀ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نگاشتۀ محسن کدیور، از جملۀ این مقالات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تحقیق را از سایر پژوهشها در این عرصه متمایز میکند اولاً، تمرکز آن بر رویکرد شیخ مفید دربارۀ آموزههای تعبدی و جامعیت دامنۀ پژوهش در این حوزه است و ثانیاً، توصیف و تحلیل روش مواجهۀ وی با این آموزههاست که به استخراج دیدگاه او دربارۀ ماهیت این آموزه ها ، مبانی، منابع و روش فهم او از آنها منجر میشود و در نهایت، روش تعامل عقل و وحی را در این عرصه از منظر او به نمایش میگذارد</w:t>
      </w:r>
      <w:r>
        <w:rPr>
          <w:rFonts w:eastAsia="IRNazanin" w:cs="IRNazanin"/>
          <w:color w:val="111111"/>
          <w:sz w:val="28"/>
          <w:szCs w:val="28"/>
          <w:rtl w:val="true"/>
          <w:lang w:bidi="fa-IR"/>
        </w:rPr>
        <w:t>.</w:t>
      </w:r>
    </w:p>
    <w:p>
      <w:pPr>
        <w:pStyle w:val="Heading3"/>
        <w:numPr>
          <w:ilvl w:val="2"/>
          <w:numId w:val="1"/>
        </w:numPr>
        <w:rPr/>
      </w:pPr>
      <w:bookmarkStart w:id="109" w:name="__RefHeading___Toc2104964_2749589250"/>
      <w:bookmarkStart w:id="110" w:name="_Toc44"/>
      <w:bookmarkEnd w:id="109"/>
      <w:r>
        <w:rPr>
          <w:rtl w:val="true"/>
        </w:rPr>
        <w:t>تعریف مفاهیم</w:t>
      </w:r>
      <w:bookmarkEnd w:id="110"/>
    </w:p>
    <w:p>
      <w:pPr>
        <w:pStyle w:val="Heading4"/>
        <w:numPr>
          <w:ilvl w:val="3"/>
          <w:numId w:val="1"/>
        </w:numPr>
        <w:rPr/>
      </w:pPr>
      <w:bookmarkStart w:id="111" w:name="__RefHeading___Toc2104966_2749589250"/>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ابتدا لازم است، مفاهیم کلیدی بهکاررفته در این تحقیق تعریف شود</w:t>
      </w:r>
      <w:r>
        <w:rPr>
          <w:rFonts w:eastAsia="IRNazanin" w:cs="IRNazanin"/>
          <w:color w:val="111111"/>
          <w:sz w:val="28"/>
          <w:szCs w:val="28"/>
          <w:rtl w:val="true"/>
          <w:lang w:bidi="fa-IR"/>
        </w:rPr>
        <w:t>:</w:t>
      </w:r>
    </w:p>
    <w:p>
      <w:pPr>
        <w:pStyle w:val="Heading4"/>
        <w:numPr>
          <w:ilvl w:val="3"/>
          <w:numId w:val="1"/>
        </w:numPr>
        <w:rPr/>
      </w:pPr>
      <w:bookmarkStart w:id="113" w:name="__RefHeading___Toc2104968_2749589250"/>
      <w:bookmarkStart w:id="114" w:name="_Toc46"/>
      <w:bookmarkEnd w:id="113"/>
      <w:r>
        <w:rPr>
          <w:rtl w:val="true"/>
        </w:rPr>
        <w:t>مبانی</w:t>
      </w:r>
      <w:bookmarkEnd w:id="11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و پیشفرضهایی است که فهمنده آنها را در فهم متن، مسلّم فرض میکند و فهم خود را بر اساس آن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فهم به شدت از مبانی فهمنده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مبانی است که منابع، ابزارها و فرایندهایی را که برای فهم باید طی شود،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مبانی، به سان طرح اولیهای است که ساختار کلی روش فهمنده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مبانی، اولین مرحله از فرایند شناسایی روش است</w:t>
      </w:r>
      <w:r>
        <w:rPr>
          <w:rFonts w:eastAsia="IRNazanin" w:cs="IRNazanin"/>
          <w:color w:val="111111"/>
          <w:sz w:val="28"/>
          <w:szCs w:val="28"/>
          <w:rtl w:val="true"/>
          <w:lang w:bidi="fa-IR"/>
        </w:rPr>
        <w:t>.</w:t>
      </w:r>
    </w:p>
    <w:p>
      <w:pPr>
        <w:pStyle w:val="Heading4"/>
        <w:numPr>
          <w:ilvl w:val="3"/>
          <w:numId w:val="1"/>
        </w:numPr>
        <w:rPr/>
      </w:pPr>
      <w:bookmarkStart w:id="115" w:name="__RefHeading___Toc2104970_2749589250"/>
      <w:bookmarkStart w:id="116" w:name="_Toc47"/>
      <w:bookmarkEnd w:id="115"/>
      <w:r>
        <w:rPr>
          <w:rtl w:val="true"/>
        </w:rPr>
        <w:t>روش فهم</w:t>
      </w:r>
      <w:bookmarkEnd w:id="116"/>
    </w:p>
    <w:p>
      <w:pPr>
        <w:pStyle w:val="BookText"/>
        <w:rPr/>
      </w:pPr>
      <w:r>
        <w:rPr>
          <w:rFonts w:ascii="IRNazanin" w:hAnsi="IRNazanin" w:eastAsia="IRNazanin"/>
          <w:color w:val="111111"/>
          <w:sz w:val="28"/>
          <w:sz w:val="28"/>
          <w:szCs w:val="28"/>
          <w:rtl w:val="true"/>
          <w:lang w:bidi="fa-IR"/>
        </w:rPr>
        <w:t xml:space="preserve">غالباً روش فهم را چگونگی بهرهگیری از منابع و مستنداتی که برای کشف مراد و منظور متن مورد استفاده قرار میگیرد،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شاکر،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روش فهم به شدت تحت تأثیر مبانی است، به گونهای که منابع فهم و روشهای بهرهگیری از آنها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اتخاذ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و پیجویی روش فهم طی مراحل کشف مبانی، منابع فهم و روشهای بهرهگیری از منابع انجامپذیر است که تحقیق حاضر نیز بر همین اساس سامان یافته است؛ اما پیش از وارد شدن به این بحث، بررسی ماهیت و چیستی آموزههای تعبدی از منظر شیخ مفید ضروری است</w:t>
      </w:r>
      <w:r>
        <w:rPr>
          <w:rFonts w:eastAsia="IRNazanin" w:cs="IRNazanin"/>
          <w:color w:val="111111"/>
          <w:sz w:val="28"/>
          <w:szCs w:val="28"/>
          <w:rtl w:val="true"/>
          <w:lang w:bidi="fa-IR"/>
        </w:rPr>
        <w:t>.</w:t>
      </w:r>
    </w:p>
    <w:p>
      <w:pPr>
        <w:pStyle w:val="Heading4"/>
        <w:numPr>
          <w:ilvl w:val="3"/>
          <w:numId w:val="1"/>
        </w:numPr>
        <w:rPr/>
      </w:pPr>
      <w:bookmarkStart w:id="117" w:name="__RefHeading___Toc2104972_2749589250"/>
      <w:bookmarkStart w:id="118" w:name="_Toc48"/>
      <w:bookmarkEnd w:id="117"/>
      <w:r>
        <w:rPr/>
        <w:t>1</w:t>
      </w:r>
      <w:r>
        <w:rPr>
          <w:rtl w:val="true"/>
        </w:rPr>
        <w:t xml:space="preserve">. </w:t>
      </w:r>
      <w:r>
        <w:rPr>
          <w:rtl w:val="true"/>
        </w:rPr>
        <w:t>ماهیت آموزههای تعبدی در نگرۀ شیخ مفید</w:t>
      </w:r>
      <w:bookmarkEnd w:id="1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آموزۀ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آموزهای است که نقل، تنها منبع ارائهدهندۀ اصل موضوع آن است و عقل به صورت مستقل و جدای از نقل، توانایی کشف و تصدیق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کنکاش</w:t>
      </w:r>
      <w:bookmarkStart w:id="119" w:name="pg3269_31724"/>
    </w:p>
    <w:p>
      <w:pPr>
        <w:pStyle w:val="BookText"/>
        <w:rPr/>
      </w:pPr>
      <w:bookmarkEnd w:id="119"/>
      <w:r>
        <w:rPr>
          <w:rFonts w:ascii="IRNazanin" w:hAnsi="IRNazanin" w:eastAsia="IRNazanin"/>
          <w:color w:val="111111"/>
          <w:sz w:val="28"/>
          <w:sz w:val="28"/>
          <w:szCs w:val="28"/>
          <w:rtl w:val="true"/>
          <w:lang w:bidi="fa-IR"/>
        </w:rPr>
        <w:t xml:space="preserve">در آثار شیخ مفید میتوان به برخی عبارات از وی دست یافت که بر تعریف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آموزۀ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دربارۀ برخی آموزهها همچون عذاب قبر، اعراف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اثبات این آموزهها تنها از طریق سمع است 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آنها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هم‌چنین از یک سری آموزههای دیگر یاد میکند که راه اثبات آنها نیز تنها از طریق سمع است و عقل و قیاس نه تنها آن را اثبات نمیکند، بلکه به دلیل تعارض، حکم به سلب و نفی آن نیز میدهد و شیخ تصریح میکند اگر سمع وارد نشده بود، من به این امور معتقد نمیشدم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 آموزههایی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را به دلیل تعارض با ادراکات عقل، از طریق عقل و قیاس قابل اثبات نمیداند و آنها را تنها از جهت اتباع و تسلیم از سمع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از شیخ مفید بیان شد، شاید بتوان آموزههای خردگریز و خردستیز را از مصادیق تعریف شیخ مفید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آموزههای خردگریز آموزههایی است که عقل به تنهایی و پیش از آمدن وحی در تأیید یا ردّ آنها هیچ قضاوت و اظهار نظری ندارد؛ حتی</w:t>
      </w:r>
    </w:p>
    <w:p>
      <w:pPr>
        <w:pStyle w:val="BookText"/>
        <w:rPr/>
      </w:pPr>
      <w:r>
        <w:rPr>
          <w:rFonts w:ascii="IRNazanin" w:hAnsi="IRNazanin" w:eastAsia="IRNazanin"/>
          <w:color w:val="111111"/>
          <w:sz w:val="28"/>
          <w:sz w:val="28"/>
          <w:szCs w:val="28"/>
          <w:rtl w:val="true"/>
          <w:lang w:bidi="fa-IR"/>
        </w:rPr>
        <w:t xml:space="preserve">نمیتواند آنها را تصور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جزئیات مربوط 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تعریفی است که با آنچه شیخ در تعریف نصوص تعبدی دستۀ اول بیان میکند،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خردستیز نیز آموزههایی است که ظاهر آن‌ها مخالف یافتههای مستقل عقل است؛ مانند متون حاکی از دست و وجه داشتن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از آن جهت جزء نصوص تعبدی قرار میگیرد که عقل تنها پس از مواجهۀ با نقل از اموری مخالف و ناسازگار با یافتههای خود آگاه میشود و پس از این مواجهه است که برای رفع تعارض در پی چارهجویی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میتوان این تعریف را با تعریفی که شیخ از نصوص تعبدی دستۀ دوم ارائه میدهد، منطبق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کشف دیدگاه شیخ مفید دربارۀ ماهیت آموزههای تعبدی، باید دید وی متوی حاکی از این آموزهها را چگونه و به چه روشی فهمیده است؟ و همان‌گونه که پیش‌تر نیز اشاره شد، جست‌وجوی مبانی، نخستین مرحله از شناسایی این روش است</w:t>
      </w:r>
      <w:r>
        <w:rPr>
          <w:rFonts w:eastAsia="IRNazanin" w:cs="IRNazanin"/>
          <w:color w:val="111111"/>
          <w:sz w:val="28"/>
          <w:szCs w:val="28"/>
          <w:rtl w:val="true"/>
          <w:lang w:bidi="fa-IR"/>
        </w:rPr>
        <w:t>.</w:t>
      </w:r>
    </w:p>
    <w:p>
      <w:pPr>
        <w:pStyle w:val="Heading4"/>
        <w:numPr>
          <w:ilvl w:val="3"/>
          <w:numId w:val="1"/>
        </w:numPr>
        <w:rPr/>
      </w:pPr>
      <w:bookmarkStart w:id="120" w:name="__RefHeading___Toc2104974_2749589250"/>
      <w:bookmarkStart w:id="121" w:name="_Toc49"/>
      <w:bookmarkEnd w:id="120"/>
      <w:r>
        <w:rPr/>
        <w:t>2</w:t>
      </w:r>
      <w:r>
        <w:rPr>
          <w:rtl w:val="true"/>
        </w:rPr>
        <w:t xml:space="preserve">. </w:t>
      </w:r>
      <w:r>
        <w:rPr>
          <w:rtl w:val="true"/>
        </w:rPr>
        <w:t>مبانی فهم</w:t>
      </w:r>
      <w:bookmarkEnd w:id="121"/>
    </w:p>
    <w:p>
      <w:pPr>
        <w:pStyle w:val="Heading5"/>
        <w:numPr>
          <w:ilvl w:val="4"/>
          <w:numId w:val="1"/>
        </w:numPr>
        <w:rPr/>
      </w:pPr>
      <w:bookmarkStart w:id="122" w:name="__RefHeading___Toc2104976_2749589250"/>
      <w:bookmarkStart w:id="123" w:name="_Toc50"/>
      <w:bookmarkEnd w:id="122"/>
      <w:r>
        <w:rPr>
          <w:rtl w:val="true"/>
        </w:rPr>
        <w:t>اشاره</w:t>
      </w:r>
      <w:bookmarkEnd w:id="1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مبانی شیخ مفید که بر فهم او از نصوص دینی تأثیر داشته، به قرار زیر است</w:t>
      </w:r>
      <w:r>
        <w:rPr>
          <w:rFonts w:eastAsia="IRNazanin" w:cs="IRNazanin"/>
          <w:color w:val="111111"/>
          <w:sz w:val="28"/>
          <w:szCs w:val="28"/>
          <w:rtl w:val="true"/>
          <w:lang w:bidi="fa-IR"/>
        </w:rPr>
        <w:t>:</w:t>
      </w:r>
      <w:bookmarkStart w:id="124" w:name="pg3269_31725"/>
    </w:p>
    <w:p>
      <w:pPr>
        <w:pStyle w:val="Heading5"/>
        <w:numPr>
          <w:ilvl w:val="4"/>
          <w:numId w:val="1"/>
        </w:numPr>
        <w:rPr/>
      </w:pPr>
      <w:bookmarkStart w:id="125" w:name="__RefHeading___Toc2104978_2749589250"/>
      <w:bookmarkStart w:id="126" w:name="_Toc51"/>
      <w:bookmarkEnd w:id="124"/>
      <w:bookmarkEnd w:id="125"/>
      <w:r>
        <w:rPr/>
        <w:t>1</w:t>
      </w:r>
      <w:r>
        <w:rPr>
          <w:rtl w:val="true"/>
        </w:rPr>
        <w:t>ـ</w:t>
      </w:r>
      <w:r>
        <w:rPr/>
        <w:t>2</w:t>
      </w:r>
      <w:r>
        <w:rPr>
          <w:rtl w:val="true"/>
        </w:rPr>
        <w:t xml:space="preserve">. </w:t>
      </w:r>
      <w:r>
        <w:rPr>
          <w:rtl w:val="true"/>
        </w:rPr>
        <w:t>اکتسابی بودن معرفت دینی</w:t>
      </w:r>
      <w:bookmarkEnd w:id="126"/>
    </w:p>
    <w:p>
      <w:pPr>
        <w:pStyle w:val="BookText"/>
        <w:rPr/>
      </w:pPr>
      <w:r>
        <w:rPr>
          <w:rFonts w:ascii="IRNazanin" w:hAnsi="IRNazanin" w:eastAsia="IRNazanin"/>
          <w:color w:val="111111"/>
          <w:sz w:val="28"/>
          <w:sz w:val="28"/>
          <w:szCs w:val="28"/>
          <w:rtl w:val="true"/>
          <w:lang w:bidi="fa-IR"/>
        </w:rPr>
        <w:t xml:space="preserve">نظام معرفتشناسی شیخ مفید در حوزۀ دین، بر اساس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بودن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است که از طریق قیاس و استدلال حاصل میشود،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بیواسطه و بینیاز از استدلال و به صورت ابتدایی حاصل میشود و معارفی همچون معارف حسی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تأکید دارد معارف مربوط به دین، اعم از شناخت خدا، پیامبران و نیز قضاوت دربارۀ حقانیت ادیان باید بر اساس معرفت اکتسابی و از طریق قیاس و استدلال حاصل آید و تمسک به معرفت اضطراری و کنار گذاشتن تعقل در این عرصه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شیخ قائل به وجوب نظر شده و کسانی را که از روی تقلید، دین‌داری</w:t>
      </w:r>
    </w:p>
    <w:p>
      <w:pPr>
        <w:pStyle w:val="BookText"/>
        <w:rPr/>
      </w:pPr>
      <w:r>
        <w:rPr>
          <w:rFonts w:ascii="IRNazanin" w:hAnsi="IRNazanin" w:eastAsia="IRNazanin"/>
          <w:color w:val="111111"/>
          <w:sz w:val="28"/>
          <w:sz w:val="28"/>
          <w:szCs w:val="28"/>
          <w:rtl w:val="true"/>
          <w:lang w:bidi="fa-IR"/>
        </w:rPr>
        <w:t xml:space="preserve">میورزند مستحق خلود در جهنم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کاربرد عقل در دست‌یابی به مجهول به وسیلۀ اعتبار کردن معلومی که حاضر است و بر مجهول دلالت دارد، تعریف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وی معرفت فطری را که لازمهاش افاضۀ معرفت توحیدی از جانب خدا به انسان است، قبول ندارد و مراد حقیقی نصوص حاکی از فطرت توحیدی انسان را این میداند که بشر خلق شده تا معرفت خدا را با دلیل عقلی کسب کند، نه این‌که توحید در سرشت او خلق شده و او با این معرفت به دنیا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چنین مبنایی، خود به خود به اعتبار و نقش فزایندۀ عقل، به عنوان منبع معرفت، بهویژه در عرصۀ معرفت دینی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این مسئله را به عنوان دومین مبنای شیخ مفید، بررسی خواهیم کرد</w:t>
      </w:r>
      <w:r>
        <w:rPr>
          <w:rFonts w:eastAsia="IRNazanin" w:cs="IRNazanin"/>
          <w:color w:val="111111"/>
          <w:sz w:val="28"/>
          <w:szCs w:val="28"/>
          <w:rtl w:val="true"/>
          <w:lang w:bidi="fa-IR"/>
        </w:rPr>
        <w:t>.</w:t>
      </w:r>
    </w:p>
    <w:p>
      <w:pPr>
        <w:pStyle w:val="Heading5"/>
        <w:numPr>
          <w:ilvl w:val="4"/>
          <w:numId w:val="1"/>
        </w:numPr>
        <w:rPr/>
      </w:pPr>
      <w:bookmarkStart w:id="127" w:name="__RefHeading___Toc2104980_2749589250"/>
      <w:bookmarkStart w:id="128" w:name="_Toc52"/>
      <w:bookmarkEnd w:id="127"/>
      <w:r>
        <w:rPr/>
        <w:t>2</w:t>
      </w:r>
      <w:r>
        <w:rPr>
          <w:rtl w:val="true"/>
        </w:rPr>
        <w:t>ـ</w:t>
      </w:r>
      <w:r>
        <w:rPr/>
        <w:t>2</w:t>
      </w:r>
      <w:r>
        <w:rPr>
          <w:rtl w:val="true"/>
        </w:rPr>
        <w:t xml:space="preserve">. </w:t>
      </w:r>
      <w:r>
        <w:rPr>
          <w:rtl w:val="true"/>
        </w:rPr>
        <w:t>اعتبار و کارآمدی عقل در عرصۀ معرفت دینی</w:t>
      </w:r>
      <w:bookmarkEnd w:id="1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سخن شیخ در حوزۀ تعریف عقل، محدود به بیان کارکردهای آن است و او متعرض بحث وجودشناسی نشده؛ لذا پاسخ این پرسش که آیا عقل قوهای از قوای انسانی است یا مجموعهای از علوم و معارف، از بیانات او قابل برداشت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صراحت از بیانات شیخ برمیآید این است که وی عقل را هم دارای کارکرد نظری میداند و هم کارکرد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نظری آن همان تفکر و تدبر است که از طریق کشف و استنباط امور مجهول و غایب به وسیلۀ دلالت امور معلوم و حاضر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کارکرد عملی آن نیز بازداشتن فرد از قبایح و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29" w:name="pg3269_31726"/>
    </w:p>
    <w:p>
      <w:pPr>
        <w:pStyle w:val="BookText"/>
        <w:rPr/>
      </w:pPr>
      <w:bookmarkEnd w:id="129"/>
      <w:r>
        <w:rPr>
          <w:rFonts w:ascii="IRNazanin" w:hAnsi="IRNazanin" w:eastAsia="IRNazanin"/>
          <w:color w:val="111111"/>
          <w:sz w:val="28"/>
          <w:sz w:val="28"/>
          <w:szCs w:val="28"/>
          <w:rtl w:val="true"/>
          <w:lang w:bidi="fa-IR"/>
        </w:rPr>
        <w:t xml:space="preserve">شرط اساسی پذیرش نظریۀ معرفت اکتسابی، قائل بودن به اعتبار عقل به عنوان اولین منبع معرفت دینی است؛ امری که در نظام معرفتی شیخ و در عملکرد او جلوههای فراوان دارد، آن‌قدر که بهکارگیری عقل را به تنهایی برای شناخت خدا و نزدیکی به او کافی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با عقل را از شروط اساسی پذیرش اخبار صادرشده از ناحیۀ دین در نظر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استنباط و شرح و تبیین آموزههای اعتقادی، در موارد متعدد، دیدگاههای خود را به ادلۀ عقلی در کنار ادلۀ سمعی مستند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میکند در صورت شهادت عقل حتی اگر در موردی خبری هم وارد نشده بود، استنباط عقل به تنهایی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حتی برخی معارف مستقل عقل را در جهت تأیید و تأکید محتوای سمع میپذیرد و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دیدگاههای مخالف را با اقامۀ استدلال و براهین عقلی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جایگاه والا و کارکرد گستردۀ عقل و ادراکات آن را نزد شیخ مفید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عرصۀ معرفت دینی، هر چقدر هم که عقل حضور قدرتمندی داشته باشد، اما در نهایت نمیتوان از منبع نقل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پس از اثبات حقانیت وحی، خود به خود آنچه را که از ناحیۀ وحی و دین صادر شده است نیز اعتبار میبخشد و آن را به عنوان یکی دیگر از منابع معرفت دینی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باید دید، شیخ جایگاه نقل را در عرصۀ معرفت دینی چگونه ترسیم میکند</w:t>
      </w:r>
      <w:r>
        <w:rPr>
          <w:rFonts w:eastAsia="IRNazanin" w:cs="IRNazanin"/>
          <w:color w:val="111111"/>
          <w:sz w:val="28"/>
          <w:szCs w:val="28"/>
          <w:rtl w:val="true"/>
          <w:lang w:bidi="fa-IR"/>
        </w:rPr>
        <w:t>.</w:t>
      </w:r>
    </w:p>
    <w:p>
      <w:pPr>
        <w:pStyle w:val="Heading5"/>
        <w:numPr>
          <w:ilvl w:val="4"/>
          <w:numId w:val="1"/>
        </w:numPr>
        <w:rPr/>
      </w:pPr>
      <w:bookmarkStart w:id="130" w:name="__RefHeading___Toc2104982_2749589250"/>
      <w:bookmarkStart w:id="131" w:name="_Toc53"/>
      <w:bookmarkEnd w:id="130"/>
      <w:r>
        <w:rPr/>
        <w:t>3</w:t>
      </w:r>
      <w:r>
        <w:rPr>
          <w:rtl w:val="true"/>
        </w:rPr>
        <w:t>ـ</w:t>
      </w:r>
      <w:r>
        <w:rPr/>
        <w:t>2</w:t>
      </w:r>
      <w:r>
        <w:rPr>
          <w:rtl w:val="true"/>
        </w:rPr>
        <w:t xml:space="preserve">. </w:t>
      </w:r>
      <w:r>
        <w:rPr>
          <w:rtl w:val="true"/>
        </w:rPr>
        <w:t>اعتبار و کارآمدی نقل در عرصۀ معرفت دینی</w:t>
      </w:r>
      <w:bookmarkEnd w:id="1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منبع نقلی شیخ مفید قرآن، سنت پیامبر صلی الله علیه و اله و سلم و اقوال ائمه علیهم السلام است و خود شیخ مفید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شیخ، این منبع، اعتبار خود را از طریق عقل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اوائل المقالات سخنی دارد که به خوبی جایگاه نقل را در منظر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کردهاند بر این‌که عقل در علم و آگاهی و نتایجش به سمع نیازمند است و از سمع جداییپذیر نیست، زیرا این سمع است که به عقل آموزش میدهد چگونه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آغاز و ابتدای تکلیف ناگزیر باید رسول و نبی از جانب خدا ارسال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شیخ از پیوند استوار عقل و نقل و نیاز دائمی عقل به نقل در فرایندهای عقلانی اش حکایت</w:t>
      </w:r>
      <w:bookmarkStart w:id="132" w:name="pg3269_31727"/>
    </w:p>
    <w:p>
      <w:pPr>
        <w:pStyle w:val="BookText"/>
        <w:rPr/>
      </w:pPr>
      <w:bookmarkEnd w:id="13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شیخ برمیآید که در عرصۀ معرفت دینی، نقل، منبع اصیل معرفت و عقل منبع درجۀ دوم است که اعتبار خویش را به واسطۀ نقل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باید گفت این مبنا با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اعتبار و استفادۀ حداکثری از عقل استوار است،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گمانهزنیهای فراوانی برای رفع این تعارض از سوی اندیشمندان مختلف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کدیور،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برآیند این گمانهزنیها با توجه به دیگر مبانی و نیز عملکرد شیخ چنین است که در نظام معرفتی او، عقل و نقل هر دو منبع مستقل معرفت دینی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همواره کوشیده تا استفادۀ متعادل از این دو را در دستور کار خود قرار دهد، آنچنان که به دلیل اهتمام در حفظ و دفاع از دین، شیخ از سویی سعی کرده با بیان نیازمندی عقل به سمع اولاً، عقل را از مسیر خطا بازدارد و ثانیاً، او را از خواب غفلت و ناآگاهی بیدار سازد و از سوی دیگر با کاربست عقل در اثبات و تبیین مفاد سمع، تا آن‌جا که میتواند عقل را در چارچوب اندیشۀ سمع به خدمت بگیرد و استدلالپذیری و معقولیت آن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شیخ، به دفاع عقلانی از محتوای نصوص امامیه میپردازد؛ به گونهای که آموزههایی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رغم تصریح به این‌که از جهت عقل و قیاس قابل اثبات نیستند، تنها به این دلیل که از جانب سمع وارد شده میپذیرد و از آنها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با طرح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بودن علم به صحت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کاربست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ادراکات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سنجش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 حشویه و ظاهرگرایان را که بدون تفکر و تعقل و تنها از روی تقلید، تسلیم ظواهر الفاظ بودند، محکوم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مبانی، باید دید شیخ در عرصۀ فهم آموزههای تعبدی چه روشی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روش وی طی دو مرحلۀ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بهرهگیری از منابع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انجامپذیر است</w:t>
      </w:r>
      <w:r>
        <w:rPr>
          <w:rFonts w:eastAsia="IRNazanin" w:cs="IRNazanin"/>
          <w:color w:val="111111"/>
          <w:sz w:val="28"/>
          <w:szCs w:val="28"/>
          <w:rtl w:val="true"/>
          <w:lang w:bidi="fa-IR"/>
        </w:rPr>
        <w:t>.</w:t>
      </w:r>
    </w:p>
    <w:p>
      <w:pPr>
        <w:pStyle w:val="Heading4"/>
        <w:numPr>
          <w:ilvl w:val="3"/>
          <w:numId w:val="1"/>
        </w:numPr>
        <w:rPr/>
      </w:pPr>
      <w:bookmarkStart w:id="133" w:name="__RefHeading___Toc2104984_2749589250"/>
      <w:bookmarkStart w:id="134" w:name="_Toc54"/>
      <w:bookmarkEnd w:id="133"/>
      <w:r>
        <w:rPr/>
        <w:t>3</w:t>
      </w:r>
      <w:r>
        <w:rPr>
          <w:rtl w:val="true"/>
        </w:rPr>
        <w:t xml:space="preserve">. </w:t>
      </w:r>
      <w:r>
        <w:rPr>
          <w:rtl w:val="true"/>
        </w:rPr>
        <w:t>منابع فهم</w:t>
      </w:r>
      <w:bookmarkEnd w:id="1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حوزۀ آموزههای تعبدی، تنها حوزهای است که در آن مسئلۀ نیازمندی عقل به نقل، آن‌گونه که شیخ در مبانی معرفت‌شناختی خود مد نظر دارد، به صورت بسیار روشن و واضح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تعبدی، به وضوح بیان‌گر ناتوانی و عدم</w:t>
      </w:r>
      <w:bookmarkStart w:id="135" w:name="pg3269_31728"/>
    </w:p>
    <w:p>
      <w:pPr>
        <w:pStyle w:val="BookText"/>
        <w:rPr/>
      </w:pPr>
      <w:bookmarkEnd w:id="135"/>
      <w:r>
        <w:rPr>
          <w:rFonts w:ascii="IRNazanin" w:hAnsi="IRNazanin" w:eastAsia="IRNazanin"/>
          <w:color w:val="111111"/>
          <w:sz w:val="28"/>
          <w:sz w:val="28"/>
          <w:szCs w:val="28"/>
          <w:rtl w:val="true"/>
          <w:lang w:bidi="fa-IR"/>
        </w:rPr>
        <w:t>خودبسندگی عقل در کسب همۀ 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شیخ مفید به وضوح میتوان احترام والا و اذعان و تسلیم او را نسبت به این آموزهها و متون حاکی از آنها مشاهده کرد؛ احترام و تسلیمی که با اقرار به ناتوانی عقل،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مفید متکلمی است که به اکتسابی بودن معرفت دینی معتقد است و همین امر موجب میشود، نتواند عقل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اکتسابی بودن معرفت را به حوزۀ نقل نیز سرایت میدهد و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علم به صحت تمام اخبار، اکتساب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خود را به صورت عام و مطلق دربارۀ همۀ اخبار و در همۀ زمینهها بیان میکند و از سوی دیگر،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سنجش نقل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خوبی گویای این مطلب است که شیخ در هیچ حوزهای از معارف دین، حتی در حوزۀ سمعیات و تعبدیات نیز اعتقادی به تعطیلی عقل ندارد و هم‌چنان بر کاربست عقل به عنوان منبع معرفت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شیخ چگونه نظریۀ اکتسابی بودن معرفت و شأن منبعی عقل را در فهم آموزههای تعبدی که نقل، منبع و سکاندار اصلی است، در عمل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موضوع، هم روش شیخ مفید را در فهم متون تعبدی ارائه میدهد و هم مدل تعامل عقل و نقل را در این حوزه، از منظر وی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با جست‌وجوی روش فهم شیخ مفید پی‌گیری خواهیم کرد</w:t>
      </w:r>
      <w:r>
        <w:rPr>
          <w:rFonts w:eastAsia="IRNazanin" w:cs="IRNazanin"/>
          <w:color w:val="111111"/>
          <w:sz w:val="28"/>
          <w:szCs w:val="28"/>
          <w:rtl w:val="true"/>
          <w:lang w:bidi="fa-IR"/>
        </w:rPr>
        <w:t>.</w:t>
      </w:r>
    </w:p>
    <w:p>
      <w:pPr>
        <w:pStyle w:val="Heading4"/>
        <w:numPr>
          <w:ilvl w:val="3"/>
          <w:numId w:val="1"/>
        </w:numPr>
        <w:rPr/>
      </w:pPr>
      <w:bookmarkStart w:id="136" w:name="__RefHeading___Toc2104986_2749589250"/>
      <w:bookmarkStart w:id="137" w:name="_Toc55"/>
      <w:bookmarkEnd w:id="136"/>
      <w:r>
        <w:rPr/>
        <w:t>4</w:t>
      </w:r>
      <w:r>
        <w:rPr>
          <w:rtl w:val="true"/>
        </w:rPr>
        <w:t xml:space="preserve">. </w:t>
      </w:r>
      <w:r>
        <w:rPr>
          <w:rtl w:val="true"/>
        </w:rPr>
        <w:t>روش فهم</w:t>
      </w:r>
      <w:bookmarkEnd w:id="137"/>
    </w:p>
    <w:p>
      <w:pPr>
        <w:pStyle w:val="Heading5"/>
        <w:numPr>
          <w:ilvl w:val="4"/>
          <w:numId w:val="1"/>
        </w:numPr>
        <w:rPr/>
      </w:pPr>
      <w:bookmarkStart w:id="138" w:name="__RefHeading___Toc2104988_2749589250"/>
      <w:bookmarkStart w:id="139" w:name="_Toc5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روش فهم شیخ مفید از آموزههای تعبدی، در قالب چگونگی بهرهگیری او از منابع عقل و نقل در دو حوزۀ آموزههای خردگریز و خردستیز قابل تحقیق است</w:t>
      </w:r>
      <w:r>
        <w:rPr>
          <w:rFonts w:eastAsia="IRNazanin" w:cs="IRNazanin"/>
          <w:color w:val="111111"/>
          <w:sz w:val="28"/>
          <w:szCs w:val="28"/>
          <w:rtl w:val="true"/>
          <w:lang w:bidi="fa-IR"/>
        </w:rPr>
        <w:t>.</w:t>
      </w:r>
    </w:p>
    <w:p>
      <w:pPr>
        <w:pStyle w:val="Heading5"/>
        <w:numPr>
          <w:ilvl w:val="4"/>
          <w:numId w:val="1"/>
        </w:numPr>
        <w:rPr/>
      </w:pPr>
      <w:bookmarkStart w:id="140" w:name="__RefHeading___Toc2104990_2749589250"/>
      <w:bookmarkStart w:id="141" w:name="_Toc57"/>
      <w:bookmarkEnd w:id="140"/>
      <w:r>
        <w:rPr/>
        <w:t>1</w:t>
      </w:r>
      <w:r>
        <w:rPr>
          <w:rtl w:val="true"/>
        </w:rPr>
        <w:t>ـ</w:t>
      </w:r>
      <w:r>
        <w:rPr/>
        <w:t>4</w:t>
      </w:r>
      <w:r>
        <w:rPr>
          <w:rtl w:val="true"/>
        </w:rPr>
        <w:t xml:space="preserve">. </w:t>
      </w:r>
      <w:r>
        <w:rPr>
          <w:rtl w:val="true"/>
        </w:rPr>
        <w:t>روش استفاده از منابع در فهم آموزههای خردگریز</w:t>
      </w:r>
      <w:bookmarkEnd w:id="141"/>
    </w:p>
    <w:p>
      <w:pPr>
        <w:pStyle w:val="Heading6"/>
        <w:numPr>
          <w:ilvl w:val="5"/>
          <w:numId w:val="1"/>
        </w:numPr>
        <w:rPr/>
      </w:pPr>
      <w:bookmarkStart w:id="142" w:name="__RefHeading___Toc2104992_2749589250"/>
      <w:bookmarkStart w:id="143" w:name="_Toc58"/>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فهم آموزههای خردگریز پیشبینی این است که نقل، منبع اصلی فهم باشد، زیرا پیشفرض این است که عقل، پیش از آمدن وحی هیچ تصوری از این آموزهها ندارد و نمیتواند در تأیید یا ردّ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شیخ در این زمینه چگونه عمل میکند و آیا پیشبینی ما دربارۀ عملکرد او صحیح خواهد بود یا خیر</w:t>
      </w:r>
      <w:r>
        <w:rPr>
          <w:rFonts w:eastAsia="IRNazanin" w:cs="IRNazanin"/>
          <w:color w:val="111111"/>
          <w:sz w:val="28"/>
          <w:szCs w:val="28"/>
          <w:rtl w:val="true"/>
          <w:lang w:bidi="fa-IR"/>
        </w:rPr>
        <w:t>.</w:t>
      </w:r>
    </w:p>
    <w:p>
      <w:pPr>
        <w:pStyle w:val="Heading6"/>
        <w:numPr>
          <w:ilvl w:val="5"/>
          <w:numId w:val="1"/>
        </w:numPr>
        <w:rPr/>
      </w:pPr>
      <w:bookmarkStart w:id="144" w:name="__RefHeading___Toc2104994_2749589250"/>
      <w:bookmarkStart w:id="145" w:name="_Toc59"/>
      <w:bookmarkEnd w:id="144"/>
      <w:r>
        <w:rPr/>
        <w:t>1</w:t>
      </w:r>
      <w:r>
        <w:rPr>
          <w:rtl w:val="true"/>
        </w:rPr>
        <w:t>ـ</w:t>
      </w:r>
      <w:r>
        <w:rPr/>
        <w:t>1</w:t>
      </w:r>
      <w:r>
        <w:rPr>
          <w:rtl w:val="true"/>
        </w:rPr>
        <w:t>ـ</w:t>
      </w:r>
      <w:r>
        <w:rPr/>
        <w:t>4</w:t>
      </w:r>
      <w:r>
        <w:rPr>
          <w:rtl w:val="true"/>
        </w:rPr>
        <w:t xml:space="preserve">. </w:t>
      </w:r>
      <w:r>
        <w:rPr>
          <w:rtl w:val="true"/>
        </w:rPr>
        <w:t>روش بهره‌گیری از نقل</w:t>
      </w:r>
      <w:bookmarkEnd w:id="145"/>
    </w:p>
    <w:p>
      <w:pPr>
        <w:pStyle w:val="Heading6"/>
        <w:numPr>
          <w:ilvl w:val="5"/>
          <w:numId w:val="1"/>
        </w:numPr>
        <w:rPr/>
      </w:pPr>
      <w:bookmarkStart w:id="146" w:name="__RefHeading___Toc2104996_2749589250"/>
      <w:bookmarkStart w:id="147" w:name="_Toc60"/>
      <w:bookmarkEnd w:id="146"/>
      <w:r>
        <w:rPr>
          <w:rtl w:val="true"/>
        </w:rPr>
        <w:t>اشاره</w:t>
      </w:r>
      <w:bookmarkEnd w:id="1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مراجعه و استفادۀ شیخ از این منبع، در قالب مؤلفه‌ها و مراحل ذیل قابل توصیف است</w:t>
      </w:r>
      <w:r>
        <w:rPr>
          <w:rFonts w:eastAsia="IRNazanin" w:cs="IRNazanin"/>
          <w:color w:val="111111"/>
          <w:sz w:val="28"/>
          <w:szCs w:val="28"/>
          <w:rtl w:val="true"/>
          <w:lang w:bidi="fa-IR"/>
        </w:rPr>
        <w:t>:</w:t>
      </w:r>
      <w:bookmarkStart w:id="148" w:name="pg3269_31729"/>
    </w:p>
    <w:p>
      <w:pPr>
        <w:pStyle w:val="Heading6"/>
        <w:numPr>
          <w:ilvl w:val="5"/>
          <w:numId w:val="1"/>
        </w:numPr>
        <w:rPr/>
      </w:pPr>
      <w:bookmarkStart w:id="149" w:name="__RefHeading___Toc2104998_2749589250"/>
      <w:bookmarkStart w:id="150" w:name="_Toc61"/>
      <w:bookmarkEnd w:id="148"/>
      <w:bookmarkEnd w:id="149"/>
      <w:r>
        <w:rPr>
          <w:rtl w:val="true"/>
        </w:rPr>
        <w:t>اکتشاف</w:t>
      </w:r>
      <w:r>
        <w:rPr>
          <w:rtl w:val="true"/>
        </w:rPr>
        <w:t>:</w:t>
      </w:r>
      <w:bookmarkEnd w:id="150"/>
    </w:p>
    <w:p>
      <w:pPr>
        <w:pStyle w:val="BookText"/>
        <w:rPr/>
      </w:pPr>
      <w:r>
        <w:rPr>
          <w:rFonts w:ascii="IRNazanin" w:hAnsi="IRNazanin" w:eastAsia="IRNazanin"/>
          <w:color w:val="111111"/>
          <w:sz w:val="28"/>
          <w:sz w:val="28"/>
          <w:szCs w:val="28"/>
          <w:rtl w:val="true"/>
          <w:lang w:bidi="fa-IR"/>
        </w:rPr>
        <w:t xml:space="preserve">شیخ مفید بسیاری از آموزه‌های تعبدی را بر اساس دلالت ظاهری آیات و روایات، کشف کرده و معتقد شده است؛ برای مثال، وی طریق علم به عذاب و یا پاداش مردگان در قبر را تنها آیات و روایات می‌داند و با استناد به سخنان ائمه علیهم السلام ، تنها کافر محض و مؤمن محض را شامل این عذاب و پاداش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برخی آیات قرآن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استنباط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برخی آموزه‌ها از جمله علم ائمه علیهم السلام به ضمائر و بواطن برخی بندگان و اخبار کائنات،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برخورداری امام از این نوع علم، از نظر عقل واجب نیست، ولی از نظر سمع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نظر دربارۀ برتر بودن یا نبودن ائمه علیهم السلام بر انبیای گذشته را نیز امری می‌داند که عقل دربارۀ آن ساکت است و تنها راهی که موجب شده شیخ، قول برتری ائمه علیهم السلام نسبت به سایر انبیا غیر از پیامبر اسلام صلی الله علیه و اله و سلم را بپذیرد، اخبار رسیده از ائمه علیهم السلام و آیات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پیامبر صلی الله علیه و اله و سلم و ائمه علیهم السلام توسط محتضرین به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بودن بهشت و جهنم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اعتقاداتی است که شیخ دلیل باور و پذیرش آن‌ها را سمع دانسته است</w:t>
      </w:r>
      <w:r>
        <w:rPr>
          <w:rFonts w:eastAsia="IRNazanin" w:cs="IRNazanin"/>
          <w:color w:val="111111"/>
          <w:sz w:val="28"/>
          <w:szCs w:val="28"/>
          <w:rtl w:val="true"/>
          <w:lang w:bidi="fa-IR"/>
        </w:rPr>
        <w:t>.</w:t>
      </w:r>
    </w:p>
    <w:p>
      <w:pPr>
        <w:pStyle w:val="Heading6"/>
        <w:numPr>
          <w:ilvl w:val="5"/>
          <w:numId w:val="1"/>
        </w:numPr>
        <w:rPr/>
      </w:pPr>
      <w:bookmarkStart w:id="151" w:name="__RefHeading___Toc2105000_2749589250"/>
      <w:bookmarkStart w:id="152" w:name="_Toc62"/>
      <w:bookmarkEnd w:id="151"/>
      <w:r>
        <w:rPr>
          <w:rtl w:val="true"/>
        </w:rPr>
        <w:t>استنباط</w:t>
      </w:r>
      <w:r>
        <w:rPr>
          <w:rtl w:val="true"/>
        </w:rPr>
        <w:t>:</w:t>
      </w:r>
      <w:bookmarkEnd w:id="152"/>
    </w:p>
    <w:p>
      <w:pPr>
        <w:pStyle w:val="BookText"/>
        <w:rPr/>
      </w:pPr>
      <w:r>
        <w:rPr>
          <w:rFonts w:ascii="IRNazanin" w:hAnsi="IRNazanin" w:eastAsia="IRNazanin"/>
          <w:color w:val="111111"/>
          <w:sz w:val="28"/>
          <w:sz w:val="28"/>
          <w:szCs w:val="28"/>
          <w:rtl w:val="true"/>
          <w:lang w:bidi="fa-IR"/>
        </w:rPr>
        <w:t>در این مقام، شیخ طی فرایند قرینه‌یابی و جامع‌نگری، نصوص گوناگونِ مرتبط با یک آموزۀ تعبدی را گرد هم می‌آورد و سعی می‌کند از مفاد مجموع آن‌ها به فهمی واحد و سازگار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از نصوص به عنوان دلیل و مؤید فهم و یا به‌کارگیری آن‌ها در جهت شرح و بسط آموزه، مبیّن چنین فرایندی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شیخ موحد بودن پدران پیامبر صلی الله علیه و اله و سلم را از آیات قرآن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یَراکَ حِینَ تَقُومُ وَ تَقَلُّبَکَ فِی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پیامبر در اصلاب موحدین را نتیجه می‌گیرد و روایتی از پیامبر صلی الله علیه و اله و سلم را که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از اصلاب طاهر به ارحام مطهره در انتقال بودم تا این‌که خداوند مرا به این عالم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ضمیمۀ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دلیل برداشت خود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استفاده از روایات استنباط می‌کند و آن را چنین توضیح می‌دهد که خداوند قومی از امت اسلام را بعد از مرگشان، پیش از قیامت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تأیید فهم خود با استفاده از آیات قرآن، از دو حشر عام و خاص نام می‌برد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اکبر یا همان قیامت دلالت می‌کند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53" w:name="pg3269_31730"/>
    </w:p>
    <w:p>
      <w:pPr>
        <w:pStyle w:val="BookText"/>
        <w:rPr/>
      </w:pPr>
      <w:bookmarkEnd w:id="153"/>
      <w:r>
        <w:rPr>
          <w:rFonts w:ascii="Amiri" w:hAnsi="Amiri" w:eastAsia="Amiri" w:cs="Amiri"/>
          <w:color w:val="111111"/>
          <w:sz w:val="28"/>
          <w:sz w:val="28"/>
          <w:szCs w:val="28"/>
          <w:rtl w:val="true"/>
          <w:lang w:bidi="ar-SA"/>
        </w:rPr>
        <w:t>یَوْمَ نَحْشُرُ مِنْ کُلِّ أُمَّةٍ فَوْجاً مِمَّنْ یُکَذِّبُ بِآیاتِنا فَهُمْ یُوزَعُونَ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همان رجعت دلالت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شیخ از آیات و روایات برای کشف جزئیات آموزه‌های تعبدی فراوان بهره می‌گیرد و با استناد به نصوص، اطلاعات تفصیلی قابل توجهی دربارۀ آموزه‌ها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این امر را در مباحثی همچون توصیف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کیفیت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ائمه علیهم السلام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حایز اهمیت در عملکرد شیخ آن است که وی گرچه اکثر این آموزه‌ها را از سر تسلیم و تعبد نسبت به سمع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اساسی‌ترین شرط وی برای پذیرش،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ذیل آموزه‌هایی که پیش تر ذکر شد، شیخ تصریح می‌کند که این آموزه‌ها را به دلیل قطع به اخبار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برخی روایات را به دلیل آن‌که بدان‌ها قطع و یقین پیدا نکرده، کنار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نصوص تعبدی را منوط به دو شرط اساسی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اخبار به یکدیگر نزدیک باشد و به اختلاف و تشتت در محتوا دچار نباشند؛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استحالۀ عقلی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آموزه‌های تعبدی خردگریز، اتخاذ این دو ضابطه از سوی شیخ، امری کاملاً معقول به نظر می‌رسد، زیرا در شرایطی که منبعی غیر از نص موجود نیست و عقل توانایی قضاوت دربارۀ وجود یا عدم امری را ندارد، شیخ از طریق پای‌بندی به این دو معیار در صدد است نشان دهد هر آموزۀ تعبدی را به صرف این‌که از ناحیۀ سمع رسیده، نمی‌توان به دین نسبت داد و این مبیّن رویکرد انتقادی شیخ مفید به نصوصِ حاکی از آموزه‌های تعبدی است که خود برآمده از نگاه اکتسابی و عقلانی وی به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خلاف انتظار شاهدیم، شیخ، عقل را نیز به عنوان یکی از منابع اصلی فهم آموزه‌های خردگریز در نظر می‌گیرد</w:t>
      </w:r>
      <w:r>
        <w:rPr>
          <w:rFonts w:eastAsia="IRNazanin" w:cs="IRNazanin"/>
          <w:color w:val="111111"/>
          <w:sz w:val="28"/>
          <w:szCs w:val="28"/>
          <w:rtl w:val="true"/>
          <w:lang w:bidi="fa-IR"/>
        </w:rPr>
        <w:t>.</w:t>
      </w:r>
    </w:p>
    <w:p>
      <w:pPr>
        <w:pStyle w:val="Heading6"/>
        <w:numPr>
          <w:ilvl w:val="5"/>
          <w:numId w:val="1"/>
        </w:numPr>
        <w:rPr/>
      </w:pPr>
      <w:bookmarkStart w:id="154" w:name="__RefHeading___Toc2105002_2749589250"/>
      <w:bookmarkStart w:id="155" w:name="_Toc63"/>
      <w:bookmarkEnd w:id="154"/>
      <w:r>
        <w:rPr/>
        <w:t>2</w:t>
      </w:r>
      <w:r>
        <w:rPr>
          <w:rtl w:val="true"/>
        </w:rPr>
        <w:t>ـ</w:t>
      </w:r>
      <w:r>
        <w:rPr/>
        <w:t>1</w:t>
      </w:r>
      <w:r>
        <w:rPr>
          <w:rtl w:val="true"/>
        </w:rPr>
        <w:t>ـ</w:t>
      </w:r>
      <w:r>
        <w:rPr/>
        <w:t>4</w:t>
      </w:r>
      <w:r>
        <w:rPr>
          <w:rtl w:val="true"/>
        </w:rPr>
        <w:t xml:space="preserve">. </w:t>
      </w:r>
      <w:r>
        <w:rPr>
          <w:rtl w:val="true"/>
        </w:rPr>
        <w:t>روش بهره‌گیری از عقل</w:t>
      </w:r>
      <w:bookmarkEnd w:id="155"/>
    </w:p>
    <w:p>
      <w:pPr>
        <w:pStyle w:val="Heading6"/>
        <w:numPr>
          <w:ilvl w:val="5"/>
          <w:numId w:val="1"/>
        </w:numPr>
        <w:rPr/>
      </w:pPr>
      <w:bookmarkStart w:id="156" w:name="__RefHeading___Toc2105004_2749589250"/>
      <w:bookmarkStart w:id="157" w:name="_Toc64"/>
      <w:bookmarkEnd w:id="156"/>
      <w:r>
        <w:rPr>
          <w:rtl w:val="true"/>
        </w:rPr>
        <w:t>اشاره</w:t>
      </w:r>
      <w:bookmarkEnd w:id="1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بهره‌گیری شیخ از عقل را در فهم آموزه‌های خردگریز، بر اساس مراحل ذیل می‌توان توضیح داد</w:t>
      </w:r>
      <w:r>
        <w:rPr>
          <w:rFonts w:eastAsia="IRNazanin" w:cs="IRNazanin"/>
          <w:color w:val="111111"/>
          <w:sz w:val="28"/>
          <w:szCs w:val="28"/>
          <w:rtl w:val="true"/>
          <w:lang w:bidi="fa-IR"/>
        </w:rPr>
        <w:t>:</w:t>
      </w:r>
      <w:bookmarkStart w:id="158" w:name="pg3269_31731"/>
    </w:p>
    <w:p>
      <w:pPr>
        <w:pStyle w:val="Heading6"/>
        <w:numPr>
          <w:ilvl w:val="5"/>
          <w:numId w:val="1"/>
        </w:numPr>
        <w:rPr/>
      </w:pPr>
      <w:bookmarkStart w:id="159" w:name="__RefHeading___Toc2105006_2749589250"/>
      <w:bookmarkStart w:id="160" w:name="_Toc65"/>
      <w:bookmarkEnd w:id="158"/>
      <w:bookmarkEnd w:id="159"/>
      <w:r>
        <w:rPr>
          <w:rtl w:val="true"/>
        </w:rPr>
        <w:t>احراز سازگاری نقل با احکام عقل</w:t>
      </w:r>
      <w:r>
        <w:rPr>
          <w:rtl w:val="true"/>
        </w:rPr>
        <w:t>:</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اقدامات اساسی شیخ در فرایند فهم نصوص تعبدی، سنجش محتوای نقل با ادراکات مستقل عقل و احراز عدم تعارض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فهم برخی نصوص خردگریز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شاهدیم شیخ با وجود اذعان به این‌که خدا از حقیقت آن‌ها آگاه‌تر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هم که از این نصوص فهمیده می‌شود، نزد عقل جایز است؛ از این رو مانعی نیز برای پذیرش آن‌ها متصور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بحث از این‌که آیا ائمه علیهم السلام کلام ملائکه را می‌شنوند یا خیر، شیخ مفید با استناد به این‌که این مطلب نزد عقل جایز است، محتوای روایاتی را که در این باره آمده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6"/>
        <w:numPr>
          <w:ilvl w:val="5"/>
          <w:numId w:val="1"/>
        </w:numPr>
        <w:rPr/>
      </w:pPr>
      <w:bookmarkStart w:id="161" w:name="__RefHeading___Toc2105008_2749589250"/>
      <w:bookmarkStart w:id="162" w:name="_Toc66"/>
      <w:bookmarkEnd w:id="161"/>
      <w:r>
        <w:rPr>
          <w:rtl w:val="true"/>
        </w:rPr>
        <w:t>استنباط آموزۀ تعبدی</w:t>
      </w:r>
      <w:r>
        <w:rPr>
          <w:rtl w:val="true"/>
        </w:rPr>
        <w:t>:</w:t>
      </w:r>
      <w:bookmarkEnd w:id="162"/>
    </w:p>
    <w:p>
      <w:pPr>
        <w:pStyle w:val="BookText"/>
        <w:rPr/>
      </w:pPr>
      <w:r>
        <w:rPr>
          <w:rFonts w:ascii="IRNazanin" w:hAnsi="IRNazanin" w:eastAsia="IRNazanin"/>
          <w:color w:val="111111"/>
          <w:sz w:val="28"/>
          <w:sz w:val="28"/>
          <w:szCs w:val="28"/>
          <w:rtl w:val="true"/>
          <w:lang w:bidi="fa-IR"/>
        </w:rPr>
        <w:t>شیخ در موارد متعدد، مقدمات عقلی را به مقدمات نقلی ضمیمه کرده و به نتیجۀ جدیدی دست یافته یا لازمی از لوازم معنای متن را استنباط کرده است؛ برای مثال در بحث سؤال و جواب در قبر، شیخ با استناد به روایات، پرسش از مردگان را در قبر مسلّم می‌گیرد و سپس با ضمیمه کردن این مقدمۀ عقلی که سؤال از مرده و کسب خبر از جماد محال است، نتیجه می‌گیرد به هنگام سؤال و جواب در قبر، حیات به بدن مردگان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نیز اذعان می‌کند راه علم به سؤال و جواب در قبر، سمع و راه علم به بازگشت حیات به بدن مردگان،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نیست که این ناپاکی پیش‌تر در اهل‌بیت علیهم السلام محقق بوده و بعد خداوند ارادۀ از بین بردن آن را 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است که هنوز بر انسان وارد نشده؛ از این رو،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اهل‌بیت علیهم السلام آن است که خداوند مانع وقوع ناپاکی و گناهان در وجود آنان شده است، و عاملی که این بازدارندگی را ایجاد کرده،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شیخ با موشکافی‌ها و کنکاش‌های عقلی از محتوای آیه، عصمت را نتیجه گرفته و لوازم معنای آیه را استنباط کرده است</w:t>
      </w:r>
      <w:r>
        <w:rPr>
          <w:rFonts w:eastAsia="IRNazanin" w:cs="IRNazanin"/>
          <w:color w:val="111111"/>
          <w:sz w:val="28"/>
          <w:szCs w:val="28"/>
          <w:rtl w:val="true"/>
          <w:lang w:bidi="fa-IR"/>
        </w:rPr>
        <w:t>.</w:t>
      </w:r>
    </w:p>
    <w:p>
      <w:pPr>
        <w:pStyle w:val="Heading6"/>
        <w:numPr>
          <w:ilvl w:val="5"/>
          <w:numId w:val="1"/>
        </w:numPr>
        <w:rPr/>
      </w:pPr>
      <w:bookmarkStart w:id="163" w:name="__RefHeading___Toc2105010_2749589250"/>
      <w:bookmarkStart w:id="164" w:name="_Toc67"/>
      <w:bookmarkEnd w:id="163"/>
      <w:r>
        <w:rPr>
          <w:rtl w:val="true"/>
        </w:rPr>
        <w:t>شفاف‌سازی آموزۀ تعبدی</w:t>
      </w:r>
      <w:r>
        <w:rPr>
          <w:rtl w:val="true"/>
        </w:rPr>
        <w:t>:</w:t>
      </w:r>
      <w:bookmarkEnd w:id="1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شیخ دربارۀ نصوص تعبدی خردگریز اعتراف می‌کند تنها خداوند عالم به حقیقت محتوای این نصوص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کوشیده تا آن‌جا که می‌تواند با کمک عقل، زوایای پنهان مباحث تعبدی را که روایات بدان تصریح نکرده‌اند، روشن سازد؛ برای مثال، وی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دو ملک برای سؤال و جواب در قبر، آن است که بعد از مرگ، فرشتگان عذاب و نعمت بر انسان نازل می‌شوند و آن‌ها تنها از طریق ملائکۀ سؤال و جواب آگاه می‌شوند که کدام شخص</w:t>
      </w:r>
      <w:bookmarkStart w:id="165" w:name="pg3269_31732"/>
    </w:p>
    <w:p>
      <w:pPr>
        <w:pStyle w:val="BookText"/>
        <w:rPr/>
      </w:pPr>
      <w:bookmarkEnd w:id="165"/>
      <w:r>
        <w:rPr>
          <w:rFonts w:ascii="IRNazanin" w:hAnsi="IRNazanin" w:eastAsia="IRNazanin"/>
          <w:color w:val="111111"/>
          <w:sz w:val="28"/>
          <w:sz w:val="28"/>
          <w:szCs w:val="28"/>
          <w:rtl w:val="true"/>
          <w:lang w:bidi="fa-IR"/>
        </w:rPr>
        <w:t xml:space="preserve">به سؤالات، پاسخی درخور عقاب داده تا او را عذاب کنند و کدام شخص به سؤالات، پاسخی درخور نعمت و ثواب داده تا او را ثواب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همان‌طور که پیش‌تر هم بیان شد، شیخ به دلالت عقلی، نتیجه می‌گیرد لازمۀ پاسخ‌گو بودن در برابر سؤالات فرشتگان و تحمل عقاب و برخورداری از ثواب در قبر، زنده شدن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 امر را با کمک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توجیه کرده و بیان می‌کند خداوند در قبر جسمی غیر از جسم دنیوی، اما شبیه آن را برای انسان می‌آفریند که نعمت و عذاب جسمانی در قبر را می‌چشد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شیخ در این مبحث، با کمک عقل، هم غرض از آن را تبیین می‌کند و هم چگونگی وقوع آن را توصیف و جزئیات آن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بیان شد، حتی در فهم نصوص تعبدی خردگریز که به نظر می‌رسد نقل باید منبع اصلی و اولیۀ استنباط قرار گیرد و ادراکات مستقل عقل در این عرصه چندان مؤثر نباشد، میزان استفادۀ شیخ از عقل گسترده است و عقل هم به عنوان منبع و هم به عنوان داور در روش فهم او، حضوری پررنگ دارد</w:t>
      </w:r>
      <w:r>
        <w:rPr>
          <w:rFonts w:eastAsia="IRNazanin" w:cs="IRNazanin"/>
          <w:color w:val="111111"/>
          <w:sz w:val="28"/>
          <w:szCs w:val="28"/>
          <w:rtl w:val="true"/>
          <w:lang w:bidi="fa-IR"/>
        </w:rPr>
        <w:t>.</w:t>
      </w:r>
    </w:p>
    <w:p>
      <w:pPr>
        <w:pStyle w:val="Heading5"/>
        <w:numPr>
          <w:ilvl w:val="4"/>
          <w:numId w:val="1"/>
        </w:numPr>
        <w:rPr/>
      </w:pPr>
      <w:bookmarkStart w:id="166" w:name="__RefHeading___Toc2105012_2749589250"/>
      <w:bookmarkStart w:id="167" w:name="_Toc68"/>
      <w:bookmarkEnd w:id="166"/>
      <w:r>
        <w:rPr/>
        <w:t>2</w:t>
      </w:r>
      <w:r>
        <w:rPr>
          <w:rtl w:val="true"/>
        </w:rPr>
        <w:t>ـ</w:t>
      </w:r>
      <w:r>
        <w:rPr/>
        <w:t>4</w:t>
      </w:r>
      <w:r>
        <w:rPr>
          <w:rtl w:val="true"/>
        </w:rPr>
        <w:t xml:space="preserve">. </w:t>
      </w:r>
      <w:r>
        <w:rPr>
          <w:rtl w:val="true"/>
        </w:rPr>
        <w:t>روش استفاده از منابع در فهم آموزه‌های خردستیز</w:t>
      </w:r>
      <w:bookmarkEnd w:id="167"/>
    </w:p>
    <w:p>
      <w:pPr>
        <w:pStyle w:val="Heading6"/>
        <w:numPr>
          <w:ilvl w:val="5"/>
          <w:numId w:val="1"/>
        </w:numPr>
        <w:rPr/>
      </w:pPr>
      <w:bookmarkStart w:id="168" w:name="__RefHeading___Toc2105014_2749589250"/>
      <w:bookmarkStart w:id="169" w:name="_Toc69"/>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منظور از آموزه‌های خردستیز، آموزه‌هایی است که ظاهر آن ها با اصول بدیهی و نظری عقل ناسازگار می‌نماید و یا به عبارتی، با یک پیش‌فرض خاصّ عقلی، تعارض‌نمایی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مقدر است که ما باید پیش‌تر تا اندازه‌ای اعتبار و حجیت برای ادراکات عقل قائل شده باشیم تا به هنگام مشاهدۀ تعارض متون دینی با دریافت‌های عقل، بتوانیم حکم به خردستیز بودن آن‌ها بدهیم؛ به‌ویژه این‌که شیخ مفید تأکید می‌کند این دسته از آموزه‌های تعبدی را باید به گونه‌ای تفسیر کرد که منافاتی با ادراکات عقل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منبع برای فهم متون تعبدی خردستیز، عقل است</w:t>
      </w:r>
      <w:r>
        <w:rPr>
          <w:rFonts w:eastAsia="IRNazanin" w:cs="IRNazanin"/>
          <w:color w:val="111111"/>
          <w:sz w:val="28"/>
          <w:szCs w:val="28"/>
          <w:rtl w:val="true"/>
          <w:lang w:bidi="fa-IR"/>
        </w:rPr>
        <w:t>.</w:t>
      </w:r>
    </w:p>
    <w:p>
      <w:pPr>
        <w:pStyle w:val="Heading6"/>
        <w:numPr>
          <w:ilvl w:val="5"/>
          <w:numId w:val="1"/>
        </w:numPr>
        <w:rPr/>
      </w:pPr>
      <w:bookmarkStart w:id="170" w:name="__RefHeading___Toc2105016_2749589250"/>
      <w:bookmarkStart w:id="171" w:name="_Toc70"/>
      <w:bookmarkEnd w:id="170"/>
      <w:r>
        <w:rPr/>
        <w:t>1</w:t>
      </w:r>
      <w:r>
        <w:rPr>
          <w:rtl w:val="true"/>
        </w:rPr>
        <w:t>ـ</w:t>
      </w:r>
      <w:r>
        <w:rPr/>
        <w:t>2</w:t>
      </w:r>
      <w:r>
        <w:rPr>
          <w:rtl w:val="true"/>
        </w:rPr>
        <w:t>ـ</w:t>
      </w:r>
      <w:r>
        <w:rPr/>
        <w:t>4</w:t>
      </w:r>
      <w:r>
        <w:rPr>
          <w:rtl w:val="true"/>
        </w:rPr>
        <w:t xml:space="preserve">. </w:t>
      </w:r>
      <w:r>
        <w:rPr>
          <w:rtl w:val="true"/>
        </w:rPr>
        <w:t>روش بهره‌گیری از عقل</w:t>
      </w:r>
      <w:bookmarkEnd w:id="171"/>
    </w:p>
    <w:p>
      <w:pPr>
        <w:pStyle w:val="Heading6"/>
        <w:numPr>
          <w:ilvl w:val="5"/>
          <w:numId w:val="1"/>
        </w:numPr>
        <w:rPr/>
      </w:pPr>
      <w:bookmarkStart w:id="172" w:name="__RefHeading___Toc2105018_2749589250"/>
      <w:bookmarkStart w:id="173" w:name="_Toc71"/>
      <w:bookmarkEnd w:id="172"/>
      <w:r>
        <w:rPr>
          <w:rtl w:val="true"/>
        </w:rPr>
        <w:t>اشاره</w:t>
      </w:r>
      <w:bookmarkEnd w:id="1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ادراکات عقل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ادراکات بدیهی، قضایایی است که نیاز به اثبات و استدلال ندارند، بلکه تصور موضوع و محمول آن‌ها به تنهایی برای احراز صحت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ادراکات نظری، گزاره‌هایی است که باید صدق آن‌ها از طریق استدلال عقلی اثبات گردد و دربارۀ آن اختلاف نظر وجود دارد</w:t>
      </w:r>
      <w:bookmarkStart w:id="174" w:name="pg3269_31733"/>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شیخ مفید هر دو نوع ادراکات عقل را به عنوان منبع فهم متون خردستیز،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و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ستیز ذاتی و مستقر نیست که نقل با احکام عقلی تعارض جدی پیدا می‌کند و حتماً باید دلیل اقوی مقدم شده و دلیل ضعیف کنار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ستیز و تعارض ظاهر گزاره با یک پیش‌فرض خاصّ عقلی است که امکان رفع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ستیز ذاتی ندارد، بلکه ستیزنمایی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بهره‌گیری شیخ از منبع عقل برای فهم نصوص تعبدی خردستیز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خردستیزی 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میان مفاد نقل با ادراکات عقل، دربارۀ نصوص تعبدی خردستیز با شدت بیشتری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موارد متعدد، ناسازگاری ظاهر متن با ادراکات عقل را گوشزد کرده و برای رفع تعارض در پی چاره‌جویی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عمده‌ترین متون خردستیز از نگاه شیخ مفید عبارت است از</w:t>
      </w:r>
      <w:r>
        <w:rPr>
          <w:rFonts w:eastAsia="IRNazanin" w:cs="IRNazanin"/>
          <w:color w:val="111111"/>
          <w:sz w:val="28"/>
          <w:szCs w:val="28"/>
          <w:rtl w:val="true"/>
          <w:lang w:bidi="fa-IR"/>
        </w:rPr>
        <w:t>:</w:t>
      </w:r>
    </w:p>
    <w:p>
      <w:pPr>
        <w:pStyle w:val="Heading6"/>
        <w:numPr>
          <w:ilvl w:val="5"/>
          <w:numId w:val="1"/>
        </w:numPr>
        <w:rPr/>
      </w:pPr>
      <w:bookmarkStart w:id="175" w:name="__RefHeading___Toc2105020_2749589250"/>
      <w:bookmarkStart w:id="176" w:name="_Toc72"/>
      <w:bookmarkEnd w:id="175"/>
      <w:r>
        <w:rPr/>
        <w:t>1</w:t>
      </w:r>
      <w:r>
        <w:rPr>
          <w:rtl w:val="true"/>
        </w:rPr>
        <w:t>.</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حکایت‌کننده از اموری که مربوط به عقلا و انسان‌هاست، اما به غیرعقلا نسبت داده شده؛ همچون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آیاتی که حاکی از سخن گفتن و شهادت اعضا و جوارح انسان در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با ادراکات بدیهی عقل ناسازگارند و شیخ مفید نیز به خردستیز بودن آن‌ها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6"/>
        <w:numPr>
          <w:ilvl w:val="5"/>
          <w:numId w:val="1"/>
        </w:numPr>
        <w:rPr/>
      </w:pPr>
      <w:bookmarkStart w:id="177" w:name="__RefHeading___Toc2105022_2749589250"/>
      <w:bookmarkStart w:id="178" w:name="_Toc73"/>
      <w:bookmarkEnd w:id="177"/>
      <w:r>
        <w:rPr/>
        <w:t>2</w:t>
      </w:r>
      <w:r>
        <w:rPr>
          <w:rtl w:val="true"/>
        </w:rPr>
        <w:t>.</w:t>
      </w:r>
      <w:bookmarkEnd w:id="178"/>
    </w:p>
    <w:p>
      <w:pPr>
        <w:pStyle w:val="BookText"/>
        <w:rPr/>
      </w:pPr>
      <w:r>
        <w:rPr>
          <w:rFonts w:ascii="IRNazanin" w:hAnsi="IRNazanin" w:eastAsia="IRNazanin"/>
          <w:color w:val="111111"/>
          <w:sz w:val="28"/>
          <w:sz w:val="28"/>
          <w:szCs w:val="28"/>
          <w:rtl w:val="true"/>
          <w:lang w:bidi="fa-IR"/>
        </w:rPr>
        <w:t>متونِ حکایت‌کننده از صفات اراده، حبّ، رضا، غضب، سمع، بصر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با ادراکات نظری عقل ناسازگارند، زیرا معنای ظاهری آن‌ها بر تحقق آن‌ها همراه با فعل و انفعالات درونی یا به کمک ابزارهای مادی دلالت دارد؛ از این رو، بر ذات اقدس الهی که عقل اثبات کرده واجب‌الوجود و غنیّ مطلق است، قابل اطلاق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179" w:name="__RefHeading___Toc2105024_2749589250"/>
      <w:bookmarkStart w:id="180" w:name="_Toc74"/>
      <w:bookmarkEnd w:id="179"/>
      <w:r>
        <w:rPr/>
        <w:t>3</w:t>
      </w:r>
      <w:r>
        <w:rPr>
          <w:rtl w:val="true"/>
        </w:rPr>
        <w:t>.</w:t>
      </w:r>
      <w:bookmarkEnd w:id="1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مرتبط با خلقت انسان پیش از این دنیا که عبارتند از متون حاکی از خلق ارواح پیش از اجساد و جنود مجنده بودن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اشباح و اظله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انسان به صورت ذری در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نصوص انسان موجود، پیش از ورود به این دنیا، در عوالمی دیگر به صورت ارواح و اظله و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 و در آن عوالم خداوند همۀ مردم اعم از پیامبران، مؤمنان و کافران را گرد آورده و خود را به همراه پیامبران و امامان علیهم السلام به</w:t>
      </w:r>
      <w:bookmarkStart w:id="181" w:name="pg3269_31734"/>
    </w:p>
    <w:p>
      <w:pPr>
        <w:pStyle w:val="BookText"/>
        <w:rPr/>
      </w:pPr>
      <w:bookmarkEnd w:id="181"/>
      <w:r>
        <w:rPr>
          <w:rFonts w:ascii="IRNazanin" w:hAnsi="IRNazanin" w:eastAsia="IRNazanin"/>
          <w:color w:val="111111"/>
          <w:sz w:val="28"/>
          <w:sz w:val="28"/>
          <w:szCs w:val="28"/>
          <w:rtl w:val="true"/>
          <w:lang w:bidi="fa-IR"/>
        </w:rPr>
        <w:t xml:space="preserve">صورت معاینه و مشاهدۀ حضوری معرفی کرده و از آنان بر حفظ این معرفت و ایمان به آن، میثاق گرفته است و همۀ انسان‌ها نیز با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این پیمان، متعهد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این متون را به دو دلیل عمدۀ عقلی نمی‌پذیرد؛ یکی این‌که قائل است مضمون این‌گونه اخبار مستلزم تناسخ و انتقال ارواح انسان از بدنی به بدن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معتقد است اگر انسان‌ها در آن عالم اقرار کرده و پیمان بسته‌اند، پس باید زنده، دارای روح و صاحب عقل و شعور باشند تا بتوانند این معرفت را ادراک کرده و به آن اقرار کنند و در این صورت، ما هم اکنون باید آن معرفت و آن موقف و جزئیات آن را به خاطر داشته باشیم و همه می‌بایست موحد می‌بودیم، حال آن‌که ما تصوری از آن عالم و معرفتِ افاضه‌شده در آن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182" w:name="__RefHeading___Toc2105026_2749589250"/>
      <w:bookmarkStart w:id="183" w:name="_Toc75"/>
      <w:bookmarkEnd w:id="182"/>
      <w:r>
        <w:rPr/>
        <w:t>4</w:t>
      </w:r>
      <w:r>
        <w:rPr>
          <w:rtl w:val="true"/>
        </w:rPr>
        <w:t>.</w:t>
      </w:r>
      <w:bookmarkEnd w:id="183"/>
    </w:p>
    <w:p>
      <w:pPr>
        <w:pStyle w:val="Heading6"/>
        <w:numPr>
          <w:ilvl w:val="5"/>
          <w:numId w:val="1"/>
        </w:numPr>
        <w:rPr/>
      </w:pPr>
      <w:bookmarkStart w:id="184" w:name="__RefHeading___Toc2105028_2749589250"/>
      <w:bookmarkStart w:id="185" w:name="_Toc7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برخی جزئیات مربوط به قیامت که با برخی پیش‌فرض‌های کلامی و عقلی شیخ مفید در تعارض است؛ برای مثال، وی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کوه‌های ظاهری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طبق برداشت حشویه، کوه‌های ظاهری نیست که به نام‌های واجبات و فرائض نام‌گذاری شده باشند و اگر انسان در انجام آن فرائض در دنیا کوتاهی کرده باشد، در قیامت در صعود از آن کوه‌ها با دشواری مواجه شود و اگر در انجام آن‌ها کوشیده باشد، در قیامت آن کوه‌ها را به راحتی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این با حکمت خداوند ناسازگار است، زیرا مقتضای حکمتش، سازگاری میان اعمال و جزای آن‌ها در قیامت است و این امر نیازی به آفرینش چنین کوه‌هایی و مکلف کردن انسان به بالا رفتن از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حشویه از این آموزه که آن را ترازوهایی همچون ترازوهای دنیایی در نظر گرفته‌اند که اعمال به وسیلۀ آن وزن می‌شود، نادرست است، زیرا از نظر شیخ اعمال، عَرَض هستند و اعراض هم قابلیت اندازه‌گیری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خردستیزی 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خردستیزی آموزۀ تعبدی، روش‌هایی که شیخ برای رفع ستیز میان عقل و نقل در پیش می‌گیرد به قرار زیر است</w:t>
      </w:r>
      <w:r>
        <w:rPr>
          <w:rFonts w:eastAsia="IRNazanin" w:cs="IRNazanin"/>
          <w:color w:val="111111"/>
          <w:sz w:val="28"/>
          <w:szCs w:val="28"/>
          <w:rtl w:val="true"/>
          <w:lang w:bidi="fa-IR"/>
        </w:rPr>
        <w:t>:</w:t>
      </w:r>
    </w:p>
    <w:p>
      <w:pPr>
        <w:pStyle w:val="Heading6"/>
        <w:numPr>
          <w:ilvl w:val="5"/>
          <w:numId w:val="1"/>
        </w:numPr>
        <w:rPr/>
      </w:pPr>
      <w:bookmarkStart w:id="186" w:name="__RefHeading___Toc2105030_2749589250"/>
      <w:bookmarkStart w:id="187" w:name="_Toc77"/>
      <w:bookmarkEnd w:id="186"/>
      <w:r>
        <w:rPr>
          <w:rtl w:val="true"/>
        </w:rPr>
        <w:t>الف</w:t>
      </w:r>
      <w:r>
        <w:rPr>
          <w:rtl w:val="true"/>
        </w:rPr>
        <w:t xml:space="preserve">. </w:t>
      </w:r>
      <w:r>
        <w:rPr>
          <w:rtl w:val="true"/>
        </w:rPr>
        <w:t>تفسیر متن خردستیز بر اساس متن خردپذیر</w:t>
      </w:r>
      <w:r>
        <w:rPr>
          <w:rtl w:val="true"/>
        </w:rPr>
        <w:t>:</w:t>
      </w:r>
      <w:bookmarkEnd w:id="1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شیخ آموزۀ به ظاهر خردستیز را می‌پذیرد، اما به کمک متون دیگر که محتوایشان با ادراکات عقل سازگار است، سعی می‌کند تعارض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شیخ ضمن پذیرش اتصاف خداوند به صفاتی همچون</w:t>
      </w:r>
      <w:bookmarkStart w:id="188" w:name="pg3269_31735"/>
    </w:p>
    <w:p>
      <w:pPr>
        <w:pStyle w:val="BookText"/>
        <w:rPr/>
      </w:pPr>
      <w:bookmarkEnd w:id="188"/>
      <w:r>
        <w:rPr>
          <w:rFonts w:ascii="IRNazanin" w:hAnsi="IRNazanin" w:eastAsia="IRNazanin"/>
          <w:color w:val="111111"/>
          <w:sz w:val="28"/>
          <w:sz w:val="28"/>
          <w:szCs w:val="28"/>
          <w:rtl w:val="true"/>
          <w:lang w:bidi="fa-IR"/>
        </w:rPr>
        <w:t>اراده، رضا، غضب، سمع،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اذعان به این‌که معنای ظاهری این اوصاف بر ذات باری‌تعالی قابل اطلاق نیست، بر طبق روایات دیگر آن‌ها را به فعل الهی، ثواب و عقاب و علم خداوند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189" w:name="__RefHeading___Toc2105032_2749589250"/>
      <w:bookmarkStart w:id="190" w:name="_Toc78"/>
      <w:bookmarkEnd w:id="189"/>
      <w:r>
        <w:rPr>
          <w:rtl w:val="true"/>
        </w:rPr>
        <w:t>ب</w:t>
      </w:r>
      <w:r>
        <w:rPr>
          <w:rtl w:val="true"/>
        </w:rPr>
        <w:t xml:space="preserve">. </w:t>
      </w:r>
      <w:r>
        <w:rPr>
          <w:rtl w:val="true"/>
        </w:rPr>
        <w:t>جای‌گزینی متن خردستیز با متن غیر خردستیز</w:t>
      </w:r>
      <w:r>
        <w:rPr>
          <w:rtl w:val="true"/>
        </w:rPr>
        <w:t>:</w:t>
      </w:r>
      <w:bookmarkEnd w:id="190"/>
    </w:p>
    <w:p>
      <w:pPr>
        <w:pStyle w:val="BookText"/>
        <w:rPr/>
      </w:pPr>
      <w:r>
        <w:rPr>
          <w:rFonts w:ascii="IRNazanin" w:hAnsi="IRNazanin" w:eastAsia="IRNazanin"/>
          <w:color w:val="111111"/>
          <w:sz w:val="28"/>
          <w:sz w:val="28"/>
          <w:szCs w:val="28"/>
          <w:rtl w:val="true"/>
          <w:lang w:bidi="fa-IR"/>
        </w:rPr>
        <w:t>گاه شیخ روایت خردستیز را مردود اعلام می‌کند، اما در مقابل، آن را با روایات دیگری که محتوایی مشابه دارد اما با عقل ناسازگاری ندارد،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 به جای روایات حضور ائمه علیهم السلام در عالم اظله و اشباح، روایتی را می‌پذیرد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ائمه علیهم السلام را به صورت شبح‌ها و صورت‌هایی از نور آفرید تا حضرت آدم علیه السلام را از منزلت آنان نزد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اینگونه روایات، بر خلاف روایات دستۀ اول با عقل تعارض ندارند و به وسیلۀ سایر آیات و روایات نیز تأیید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انبوه روایات حاکی از اخذ ذریۀ آدم از پشت او و اخذ میثاق از آن‌ها و اقرار همگانی آن ها بر ربوبیت خداوند را نمی‌پذیرد و تنها یک روایت را در این حوزه، قبول می‌کند و آن هم روایتی است که تنها حاکی از اخراج ذریۀ آدم در قالب اجسامی ذری و بدون روح است که افق را پر می‌کنند تا به این واسطه، خداوند کثرت آن‌ها و قدرت خود بر خلق آن‌ها را به حضرت آدم علیه السلام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191" w:name="__RefHeading___Toc2105034_2749589250"/>
      <w:bookmarkStart w:id="192" w:name="_Toc79"/>
      <w:bookmarkEnd w:id="191"/>
      <w:r>
        <w:rPr>
          <w:rtl w:val="true"/>
        </w:rPr>
        <w:t>تأویل متن خردستیز</w:t>
      </w:r>
      <w:r>
        <w:rPr>
          <w:rtl w:val="true"/>
        </w:rPr>
        <w:t>:</w:t>
      </w:r>
      <w:bookmarkEnd w:id="192"/>
    </w:p>
    <w:p>
      <w:pPr>
        <w:pStyle w:val="BookText"/>
        <w:rPr/>
      </w:pPr>
      <w:r>
        <w:rPr>
          <w:rFonts w:ascii="IRNazanin" w:hAnsi="IRNazanin" w:eastAsia="IRNazanin"/>
          <w:color w:val="111111"/>
          <w:sz w:val="28"/>
          <w:sz w:val="28"/>
          <w:szCs w:val="28"/>
          <w:rtl w:val="true"/>
          <w:lang w:bidi="fa-IR"/>
        </w:rPr>
        <w:t>در اقدامی دیگر، شیخ متون خردستیز را از دلالت ظاهری خود خارج می‌کند و معنایی برای آن ها در نظر می گیرد که فراتر از دلالت ظاهری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وی تعبیر به‌کاررفته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تعبیری مجازی می‌داند که در صدد بیان عظمت و جلالت قرآن و شدت تأثیرگذاری آن در قلب‌هاست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همین تعبیر استعاری و مجازی بودن را دربارۀ متون حاکی از سخن گفتن و شهادت دادن اعضا و جوارح انسان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فهم طرف‌داران عالم ذر از آیه نارواست و قائل است خداوند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 شَهِدْنا أَنْ تَقُولُوا یَوْمَ الْقِیامَةِ إِنَّا کُنَّا عَنْ هذا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مجاز و استعاره سخن گفته و منظور آیه، حضور فرزندان آدم در همین دنیاست که خداوند آن‌ها را به ترتیب به این دنیا منتقل می‌کند و منظور از عهد و میثاق، مکلف کردن آن‌ها در همین دنیا بعد از اکمال عقلشان است که با مشاهدۀ آثار صنع الهی در خودشان و در جهان اطرافشان بر ربوبیت او اقرار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bookmarkStart w:id="193" w:name="pg3269_31736"/>
    </w:p>
    <w:p>
      <w:pPr>
        <w:pStyle w:val="BookText"/>
        <w:rPr/>
      </w:pPr>
      <w:bookmarkEnd w:id="193"/>
      <w:r>
        <w:rPr>
          <w:rFonts w:ascii="IRNazanin" w:hAnsi="IRNazanin" w:eastAsia="IRNazanin"/>
          <w:color w:val="111111"/>
          <w:sz w:val="28"/>
          <w:sz w:val="28"/>
          <w:szCs w:val="28"/>
          <w:rtl w:val="true"/>
          <w:lang w:bidi="fa-IR"/>
        </w:rPr>
        <w:t>همان‌گونه که مشاهده می‌شود، شیخ مفید این آیه را در جهت اثبات دیدگاه خود دربارۀ معرفت اکتسابی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و توصیف اعمال به سبکی و سنگینی نیز معتقد است در این تعبیر، معنای مجازی اراده شده که بر سنگینی و سبکی اعمال به لحاظ کثرت یا قلت ثواب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معتقد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باب تشبیه است؛ یعنی خداوند عاقبت اخروی کسی را که در انجام فرایض دنیوی‌اش کوتاهی کرده، از لحاظ شدت و سختی مانند کسی دانسته که به سختی از کوهی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مراد از آن کوه‌های ظاهری باشد</w:t>
      </w:r>
      <w:r>
        <w:rPr>
          <w:rFonts w:eastAsia="IRNazanin" w:cs="IRNazanin"/>
          <w:color w:val="111111"/>
          <w:sz w:val="28"/>
          <w:szCs w:val="28"/>
          <w:rtl w:val="true"/>
          <w:lang w:bidi="fa-IR"/>
        </w:rPr>
        <w:t>.</w:t>
      </w:r>
    </w:p>
    <w:p>
      <w:pPr>
        <w:pStyle w:val="Heading6"/>
        <w:numPr>
          <w:ilvl w:val="5"/>
          <w:numId w:val="1"/>
        </w:numPr>
        <w:rPr/>
      </w:pPr>
      <w:bookmarkStart w:id="194" w:name="__RefHeading___Toc2105036_2749589250"/>
      <w:bookmarkStart w:id="195" w:name="_Toc80"/>
      <w:bookmarkEnd w:id="194"/>
      <w:r>
        <w:rPr/>
        <w:t>2</w:t>
      </w:r>
      <w:r>
        <w:rPr>
          <w:rtl w:val="true"/>
        </w:rPr>
        <w:t>ـ</w:t>
      </w:r>
      <w:r>
        <w:rPr/>
        <w:t>2</w:t>
      </w:r>
      <w:r>
        <w:rPr>
          <w:rtl w:val="true"/>
        </w:rPr>
        <w:t>ـ</w:t>
      </w:r>
      <w:r>
        <w:rPr/>
        <w:t>4</w:t>
      </w:r>
      <w:r>
        <w:rPr>
          <w:rtl w:val="true"/>
        </w:rPr>
        <w:t xml:space="preserve">. </w:t>
      </w:r>
      <w:r>
        <w:rPr>
          <w:rtl w:val="true"/>
        </w:rPr>
        <w:t>روش بهره‌گیری از نقل</w:t>
      </w:r>
      <w:bookmarkEnd w:id="195"/>
    </w:p>
    <w:p>
      <w:pPr>
        <w:pStyle w:val="Heading6"/>
        <w:numPr>
          <w:ilvl w:val="5"/>
          <w:numId w:val="1"/>
        </w:numPr>
        <w:rPr/>
      </w:pPr>
      <w:bookmarkStart w:id="196" w:name="__RefHeading___Toc2105038_2749589250"/>
      <w:bookmarkStart w:id="197" w:name="_Toc81"/>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منبع دیگر شیخ برای فهم متون خردستیز،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منبع برای امور ذیل مراجعه می‌کند</w:t>
      </w:r>
      <w:r>
        <w:rPr>
          <w:rFonts w:eastAsia="IRNazanin" w:cs="IRNazanin"/>
          <w:color w:val="111111"/>
          <w:sz w:val="28"/>
          <w:szCs w:val="28"/>
          <w:rtl w:val="true"/>
          <w:lang w:bidi="fa-IR"/>
        </w:rPr>
        <w:t>:</w:t>
      </w:r>
    </w:p>
    <w:p>
      <w:pPr>
        <w:pStyle w:val="Heading6"/>
        <w:numPr>
          <w:ilvl w:val="5"/>
          <w:numId w:val="1"/>
        </w:numPr>
        <w:rPr/>
      </w:pPr>
      <w:bookmarkStart w:id="198" w:name="__RefHeading___Toc2105040_2749589250"/>
      <w:bookmarkStart w:id="199" w:name="_Toc82"/>
      <w:bookmarkEnd w:id="198"/>
      <w:r>
        <w:rPr>
          <w:rtl w:val="true"/>
        </w:rPr>
        <w:t>کشف آموزۀ تعبدی</w:t>
      </w:r>
      <w:r>
        <w:rPr>
          <w:rtl w:val="true"/>
        </w:rPr>
        <w:t>:</w:t>
      </w:r>
      <w:bookmarkEnd w:id="199"/>
    </w:p>
    <w:p>
      <w:pPr>
        <w:pStyle w:val="BookText"/>
        <w:rPr/>
      </w:pPr>
      <w:r>
        <w:rPr>
          <w:rFonts w:ascii="IRNazanin" w:hAnsi="IRNazanin" w:eastAsia="IRNazanin"/>
          <w:color w:val="111111"/>
          <w:sz w:val="28"/>
          <w:sz w:val="28"/>
          <w:szCs w:val="28"/>
          <w:rtl w:val="true"/>
          <w:lang w:bidi="fa-IR"/>
        </w:rPr>
        <w:t xml:space="preserve">شیخ صفاتی همچون مرید و سمیع و بصیر بودن خداوند و رضا و غضب او را علی رغم خردستیز بودن، به واسطۀ سمع می‌پذیرد و خود او نیز به این مطلب اذعان می‌کند که تنها راه آگاهی آن‌ها سمع است، وگرنه عقل و قیاس در این باره راه به جایی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6"/>
        <w:numPr>
          <w:ilvl w:val="5"/>
          <w:numId w:val="1"/>
        </w:numPr>
        <w:rPr/>
      </w:pPr>
      <w:bookmarkStart w:id="200" w:name="__RefHeading___Toc2105042_2749589250"/>
      <w:bookmarkStart w:id="201" w:name="_Toc83"/>
      <w:bookmarkEnd w:id="200"/>
      <w:r>
        <w:rPr>
          <w:rtl w:val="true"/>
        </w:rPr>
        <w:t>رفع خردستیزی آموزۀ تعبدی</w:t>
      </w:r>
      <w:r>
        <w:rPr>
          <w:rtl w:val="true"/>
        </w:rPr>
        <w:t>:</w:t>
      </w:r>
      <w:bookmarkEnd w:id="201"/>
    </w:p>
    <w:p>
      <w:pPr>
        <w:pStyle w:val="BookText"/>
        <w:rPr/>
      </w:pPr>
      <w:r>
        <w:rPr>
          <w:rFonts w:ascii="IRNazanin" w:hAnsi="IRNazanin" w:eastAsia="IRNazanin"/>
          <w:color w:val="111111"/>
          <w:sz w:val="28"/>
          <w:sz w:val="28"/>
          <w:szCs w:val="28"/>
          <w:rtl w:val="true"/>
          <w:lang w:bidi="fa-IR"/>
        </w:rPr>
        <w:t>شیخ مفید به دو طریق می‌کوشد خردستیزی آموزه را برطرف سازد؛ یک راه این‌که سعی می‌کند به واسطۀ نصوص خردپذیر، خردستیزی برخی نصوص دیگر را برطرف کند؛ مانند آنچه در تفسیر مرید یا سمیع و بصیر بودن خداوند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این‌که سعی می‌کند در اثبات یک آموزۀ تعبدی، نصوصی را اخذ کند که تبیین معقولی از آن آموزه ارائه می‌کنند؛ مانند آنچه شیخ در برخورد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کرده است که ما در قسمت قبل توضیح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اخذ این روایات، اشکالات عقلی را که بر روایات پیشین وارد می‌دانست حذف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معیار اعتماد شیخ به نصوص، قطع‌آور بودن آن‌هاست و قطع‌آور بودن بر اساس ملاک‌های زیر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و مخالف احکام عقل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اختلاف و تناقض نبوده و مورد استناد فرق ضاله واقع نشده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فهم نصوص خردستیز با این‌که عقل منبع اصلی شیخ است، اما تلاش می‌کند این خردستیزی را ابتدا بر اساس متون دینی برطرف کند تا بدین وسیله متهم به تأویلات</w:t>
      </w:r>
      <w:bookmarkStart w:id="202" w:name="pg3269_31737"/>
    </w:p>
    <w:p>
      <w:pPr>
        <w:pStyle w:val="BookText"/>
        <w:rPr/>
      </w:pPr>
      <w:bookmarkEnd w:id="202"/>
      <w:r>
        <w:rPr>
          <w:rFonts w:ascii="IRNazanin" w:hAnsi="IRNazanin" w:eastAsia="IRNazanin"/>
          <w:color w:val="111111"/>
          <w:sz w:val="28"/>
          <w:sz w:val="28"/>
          <w:szCs w:val="28"/>
          <w:rtl w:val="true"/>
          <w:lang w:bidi="fa-IR"/>
        </w:rPr>
        <w:t>بی‌ضابطه نشود؛ اما در صورتی که نتوانست خردستیزی را بر اساس متون دینی توجیه کند، مخالفت او با رویکرد تعبد و تقلید مانع از آن است که نافهمیده تسلیم ظاهر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 هیچ اغماضی از ظاهر نصوص عبور می‌کند و بر اساس ادراکات عقل، آن‌ها را تأویل می‌کند و یا به طور کلی صدور آن‌ها از معصوم را زیر سؤال می‌برد</w:t>
      </w:r>
      <w:r>
        <w:rPr>
          <w:rFonts w:eastAsia="IRNazanin" w:cs="IRNazanin"/>
          <w:color w:val="111111"/>
          <w:sz w:val="28"/>
          <w:szCs w:val="28"/>
          <w:rtl w:val="true"/>
          <w:lang w:bidi="fa-IR"/>
        </w:rPr>
        <w:t>.</w:t>
      </w:r>
    </w:p>
    <w:p>
      <w:pPr>
        <w:pStyle w:val="Heading3"/>
        <w:numPr>
          <w:ilvl w:val="2"/>
          <w:numId w:val="1"/>
        </w:numPr>
        <w:rPr/>
      </w:pPr>
      <w:bookmarkStart w:id="203" w:name="__RefHeading___Toc2105044_2749589250"/>
      <w:bookmarkStart w:id="204" w:name="_Toc84"/>
      <w:bookmarkEnd w:id="203"/>
      <w:r>
        <w:rPr>
          <w:rtl w:val="true"/>
        </w:rPr>
        <w:t>نتیجه گیری</w:t>
      </w:r>
      <w:bookmarkEnd w:id="204"/>
    </w:p>
    <w:p>
      <w:pPr>
        <w:pStyle w:val="BookText"/>
        <w:rPr/>
      </w:pPr>
      <w:r>
        <w:rPr>
          <w:rFonts w:ascii="IRNazanin" w:hAnsi="IRNazanin" w:eastAsia="IRNazanin"/>
          <w:color w:val="111111"/>
          <w:sz w:val="28"/>
          <w:sz w:val="28"/>
          <w:szCs w:val="28"/>
          <w:rtl w:val="true"/>
          <w:lang w:bidi="fa-IR"/>
        </w:rPr>
        <w:t>به طور کلی اگر بخواهیم روش شیخ مفید را تقریر کنیم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آموزه‌های تعبدی، نقل، هم در مرحلۀ عرضه و کشف و هم در مرحلۀ فهم و تبیین،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طریق نقل است که به این آموزه‌ها دست می‌یابد و همان‌گونه که ملاحظه شد، نهایت تلاش خود را به کار می‌بندد تا تفسیر و فهم صحیح آن‌ها را در درجۀ اول از طریق نقل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شیخ، بیان‌گر تلاش وی در اثبات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عقل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گفت، استفادۀ شیخ از منبع نقل، تحت نظارت و تسلط عقل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عقل در این زمینه، ذیل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آموزۀ تعبدی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عقل، آن دسته از آموزه‌های تعبدی را می‌پذیرد که ادراکات مستقلش را خدشه‌دار نسازد و ثانیاً، تبیین‌ها و تفسیرهایی را از جانب سمع می‌پذیرد که موافق و در جهت ادراکاتش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عقل می‌کوشد تفسیری معقول از آموزه‌های تعبدی ارائه داده و آن‌ها را در قالب و چارچوب ادراکات خود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گستردۀ شیخ از منبع عقل در این حوزه را نمی‌توان جز از طریق مبنای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بودن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تقریر، روش تعامل عقل و نقل در این حوزه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کاملاً به عدم خودبسندگی و محدودیت عقل در دست‌یابی به معرفت دینی اعتقاد دارد؛ از این رو، برای معارف وحیانی احترام خارق‌العاده‌ای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طریق وحی، معارفی را کشف می‌کند که او را وامی‌دارد از دریچۀ محدود عقل و ذهن خود فاصله بگیرد و از دریچۀ وحی که به مراتب فراخ‌تر است و چشم‌انداز وسیع‌تری را می‌گشاید، به هستی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مرحلۀ کاشفیت آموزه‌های تعبدی، وحی و نقل منبع اصلی شیخ به شمار می‌رود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مرتبۀ فهم باید گفت، شیخ کاملاً به حجیت و اعتبار عقل،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معارف وحیانی باید به زبان عقل ترجمه شوند تا بتوان اعتقاد و باور به آن‌ها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متکی بر این مبناست که مفاد نقل، کاملاً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واقعی در مرحلۀ فهم کاملاً با یکدیگر متحد و بر یکدیگر منطبق هستند؛ به همین دلیل باید توانایی تأیید و تبیین</w:t>
      </w:r>
      <w:bookmarkStart w:id="205" w:name="pg3269_31738"/>
    </w:p>
    <w:p>
      <w:pPr>
        <w:pStyle w:val="BookText"/>
        <w:rPr/>
      </w:pPr>
      <w:bookmarkEnd w:id="205"/>
      <w:r>
        <w:rPr>
          <w:rFonts w:ascii="IRNazanin" w:hAnsi="IRNazanin" w:eastAsia="IRNazanin"/>
          <w:color w:val="111111"/>
          <w:sz w:val="28"/>
          <w:sz w:val="28"/>
          <w:szCs w:val="28"/>
          <w:rtl w:val="true"/>
          <w:lang w:bidi="fa-IR"/>
        </w:rPr>
        <w:t>مفاد یکدیگر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هر چقدر هم که فراتر از عقل سخن بگوید، اما بر ضد آن نمی‌تواند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بود، تأویل و ردّ نقل، راهکارهای برون‌رفت از این تعارض و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به طور خلاصه دیدگاه شیخ را بخواهیم تبیین کنیم،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آموزه‌های تعبدی، وحی معارفی بدیع و متعالی را در اختیار عقل قرار می‌دهد که عقل باید بر اساس ادراکات خود اولاً، دربارۀ آن‌ها قضاوت کند و ثانیاً، آن‌ها را به صورتی معقول و موجه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روش شیخ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تعقل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زنجانی،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رویکرد انتقادی شیخ نسبت به نصوص تعبدی، سنجش آن‌ها بر اساس ادراکات عقل و استفادۀ حداکثری از عقل در شرح و تبیین آن‌ها به نظر می‌رسد،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عقلانی بیشتر گرایش یافته و از روش متعادلی که مد نظر او بوده، تا حدودی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این روش و این‌که آیا اصولاً می‌توان در حوزۀ آموزه‌های تعبدی راه تعقل را در پیش گرفت یا خیر، محل سؤال است که باید بررسی‌های بیشتر روی آن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بتوانیم اعتبار این روش را اثبات کنیم، در مرحلۀ بعد، باید درستی پیمایش شیخ مفید در این مسیر را ارزیابی کنیم تا دریابیم آیا شیخ مؤلفه‌ها و اصول و قواعد این روش را به خوبی رعایت کرده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پژوهش‌های بیشتری را می‌طلبد</w:t>
      </w:r>
      <w:r>
        <w:rPr>
          <w:rFonts w:eastAsia="IRNazanin" w:cs="IRNazanin"/>
          <w:color w:val="111111"/>
          <w:sz w:val="28"/>
          <w:szCs w:val="28"/>
          <w:rtl w:val="true"/>
          <w:lang w:bidi="fa-IR"/>
        </w:rPr>
        <w:t>.</w:t>
      </w:r>
    </w:p>
    <w:p>
      <w:pPr>
        <w:pStyle w:val="Heading3"/>
        <w:numPr>
          <w:ilvl w:val="2"/>
          <w:numId w:val="1"/>
        </w:numPr>
        <w:rPr/>
      </w:pPr>
      <w:bookmarkStart w:id="206" w:name="__RefHeading___Toc2105046_2749589250"/>
      <w:bookmarkStart w:id="207" w:name="_Toc85"/>
      <w:bookmarkEnd w:id="206"/>
      <w:r>
        <w:rPr>
          <w:rtl w:val="true"/>
        </w:rPr>
        <w:t>منابع</w:t>
      </w:r>
      <w:bookmarkEnd w:id="20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مؤسسة الاعلمی للمطبوعات،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فکری و سیاسی امامیه با فرقه‌های معتزله، حنابله و اشاعره در عصر آل بویه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حوزه و دانشگاه،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 تهران، سمت ـ پژوهشگاه قرآن و 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عقل در هندسه معرفت دینی، قم، اسراء،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قم، مؤسسة النشر الاسلامی،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کلامی امامیه در تفسیر قرآن، تهران، سخن، چاپ اول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الالهیات علی هدی الکتاب و السنة و العقل، قم، المرکز العالمی للدراسات الاسلامیة،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محمدکاظم،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روش‌های تفسیری، قم، مرکز بین المللی ترجمه و نشر المصطفی،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تفسیر قرآن، تهران، وزارت فرهنگ و ارشاد اسلامی،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الاصول،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الامامیه،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السرویه،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الارادة،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التذکرۀ باصول الفقه، قم، کنگره بین المللی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محمدباقر،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الامامیة، تهران، وزارت فرهنگ و ارشاد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زنجانی خویی، ابراهیم،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الشیخ المفید فی البحث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المقالات و الرسالات لمؤتمر العالمی بمناسبة الذکری الألفیة لوفاة الشیخ المفید، ش</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و نص‌گرایی در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 در اندیشه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پژوهش، 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سنتی، انسان مدرن و مسئله 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ش</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bookmarkStart w:id="208" w:name="pg3269_31740"/>
    </w:p>
    <w:p>
      <w:pPr>
        <w:pStyle w:val="Heading2"/>
        <w:numPr>
          <w:ilvl w:val="1"/>
          <w:numId w:val="1"/>
        </w:numPr>
        <w:rPr/>
      </w:pPr>
      <w:bookmarkStart w:id="209" w:name="__RefHeading___Toc2105048_2749589250"/>
      <w:bookmarkStart w:id="210" w:name="_Toc86"/>
      <w:bookmarkEnd w:id="208"/>
      <w:bookmarkEnd w:id="209"/>
      <w:r>
        <w:rPr>
          <w:rtl w:val="true"/>
        </w:rPr>
        <w:t>معنا و ماهیت روح در قرآن از منظر تفسیر مناهج البیان</w:t>
      </w:r>
      <w:r>
        <w:rPr>
          <w:rtl w:val="true"/>
        </w:rPr>
        <w:t xml:space="preserve">/ </w:t>
      </w:r>
      <w:r>
        <w:rPr>
          <w:rtl w:val="true"/>
        </w:rPr>
        <w:t xml:space="preserve">مهدی باغبان خطیبی </w:t>
      </w:r>
      <w:r>
        <w:rPr>
          <w:rtl w:val="true"/>
        </w:rPr>
        <w:t xml:space="preserve">_ </w:t>
      </w:r>
      <w:r>
        <w:rPr>
          <w:rtl w:val="true"/>
        </w:rPr>
        <w:t>محمدتقی سبحانی</w:t>
      </w:r>
      <w:bookmarkEnd w:id="210"/>
    </w:p>
    <w:p>
      <w:pPr>
        <w:pStyle w:val="Heading3"/>
        <w:numPr>
          <w:ilvl w:val="2"/>
          <w:numId w:val="1"/>
        </w:numPr>
        <w:rPr/>
      </w:pPr>
      <w:bookmarkStart w:id="211" w:name="__RefHeading___Toc2105050_2749589250"/>
      <w:bookmarkStart w:id="212" w:name="_Toc8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مهدی باغبان خطیبی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1395/06/09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1395/10/26</w:t>
      </w:r>
    </w:p>
    <w:p>
      <w:pPr>
        <w:pStyle w:val="Heading3"/>
        <w:numPr>
          <w:ilvl w:val="2"/>
          <w:numId w:val="1"/>
        </w:numPr>
        <w:rPr/>
      </w:pPr>
      <w:bookmarkStart w:id="213" w:name="__RefHeading___Toc2105052_2749589250"/>
      <w:bookmarkStart w:id="214" w:name="_Toc88"/>
      <w:bookmarkEnd w:id="213"/>
      <w:r>
        <w:rPr>
          <w:rtl w:val="true"/>
        </w:rPr>
        <w:t>چکیده</w:t>
      </w:r>
      <w:bookmarkEnd w:id="214"/>
    </w:p>
    <w:p>
      <w:pPr>
        <w:pStyle w:val="BookText"/>
        <w:rPr/>
      </w:pPr>
      <w:r>
        <w:rPr>
          <w:rFonts w:ascii="IRNazanin" w:hAnsi="IRNazanin" w:eastAsia="IRNazanin"/>
          <w:color w:val="111111"/>
          <w:sz w:val="28"/>
          <w:sz w:val="28"/>
          <w:szCs w:val="28"/>
          <w:rtl w:val="true"/>
          <w:lang w:bidi="fa-IR"/>
        </w:rPr>
        <w:t xml:space="preserve">در نوزده آیه از آیات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مصادیق روح، کیفیت ارتباط روح با انسان و فرشتگان، کارکردها و آثار و نیز تجرد و مادّیت روح از دیرباز در میان مفسران و متکلمان اسلامی مورد کنکاش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رایج، روح در قرآن دارای مصادیق گوناگون، از جمله نفس ناطقۀ انسانی است؛ اما بر اساس دیدگاه آیت‌الله محمدباقر ملکی 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هیچیک از این آیات بر نفس انسانی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تفسیر به روحالقدس را وحدتبخش تمام آیات روح و استدلال به این آیات برای تجرد نفس را خالی از دلیل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شأن علمی روحالقدس، کیفیت ارتباط وجودی آن با حاملان این روح، و تحلیل جایگاه آن در نبوت و ولایت، تلاشی دیگر در این معناشناسی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مدلول ظاهری آیات، روایات اهلبیت علیهم السلام مستند مهمّ این مفسر برای تفسیر روح به روحالقدس است</w:t>
      </w:r>
      <w:r>
        <w:rPr>
          <w:rFonts w:eastAsia="IRNazanin" w:cs="IRNazanin"/>
          <w:color w:val="111111"/>
          <w:sz w:val="28"/>
          <w:szCs w:val="28"/>
          <w:rtl w:val="true"/>
          <w:lang w:bidi="fa-IR"/>
        </w:rPr>
        <w:t>.</w:t>
      </w:r>
    </w:p>
    <w:p>
      <w:pPr>
        <w:pStyle w:val="Heading3"/>
        <w:numPr>
          <w:ilvl w:val="2"/>
          <w:numId w:val="1"/>
        </w:numPr>
        <w:rPr/>
      </w:pPr>
      <w:bookmarkStart w:id="215" w:name="__RefHeading___Toc2105054_2749589250"/>
      <w:bookmarkStart w:id="216" w:name="_Toc89"/>
      <w:bookmarkEnd w:id="215"/>
      <w:r>
        <w:rPr>
          <w:rtl w:val="true"/>
        </w:rPr>
        <w:t>واژگان کلیدی</w:t>
      </w:r>
      <w:bookmarkEnd w:id="2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روحالقدس، عرش علم، نبوت و ولایت، تفسیر مناهج البیان</w:t>
      </w:r>
      <w:r>
        <w:rPr>
          <w:rFonts w:eastAsia="IRNazanin" w:cs="IRNazanin"/>
          <w:color w:val="111111"/>
          <w:sz w:val="28"/>
          <w:szCs w:val="28"/>
          <w:rtl w:val="true"/>
          <w:lang w:bidi="fa-IR"/>
        </w:rPr>
        <w:t>.</w:t>
      </w:r>
      <w:bookmarkStart w:id="217" w:name="pg3269_31741"/>
    </w:p>
    <w:p>
      <w:pPr>
        <w:pStyle w:val="Heading3"/>
        <w:numPr>
          <w:ilvl w:val="2"/>
          <w:numId w:val="1"/>
        </w:numPr>
        <w:rPr/>
      </w:pPr>
      <w:bookmarkStart w:id="218" w:name="__RefHeading___Toc2105056_2749589250"/>
      <w:bookmarkStart w:id="219" w:name="_Toc90"/>
      <w:bookmarkEnd w:id="217"/>
      <w:bookmarkEnd w:id="218"/>
      <w:r>
        <w:rPr>
          <w:rtl w:val="true"/>
        </w:rPr>
        <w:t>مقدمه</w:t>
      </w:r>
      <w:bookmarkEnd w:id="219"/>
    </w:p>
    <w:p>
      <w:pPr>
        <w:pStyle w:val="BookText"/>
        <w:rPr/>
      </w:pPr>
      <w:r>
        <w:rPr>
          <w:rFonts w:ascii="IRNazanin" w:hAnsi="IRNazanin" w:eastAsia="IRNazanin"/>
          <w:color w:val="111111"/>
          <w:sz w:val="28"/>
          <w:sz w:val="28"/>
          <w:szCs w:val="28"/>
          <w:rtl w:val="true"/>
          <w:lang w:bidi="fa-IR"/>
        </w:rPr>
        <w:t>متفکران اسلامی معتقدند شناخت هویت وجودی انسان به طور عمده، به شناخت بُعد روحی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همواره در علوم گوناگون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نیز از جمله منابع شناختی در حقیقتِ روح و ویژگی‌های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تکیه بر تفسیر مناهج البیان تألیف آیت‌الله محمدباقر ملکی 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میپردازد و نظریۀ نویی را در نفس شناسی دینی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می‌توان گفت مطابق این نظریه، در هیچ یک از آیات نوزدهگانه ای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نفس ناطقۀ انسانی مراد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 تلاش میکند با تدبر در متن آیات و تفقه در احادیث تفسیری، به وحدت معنایی روح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است که روح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اعطایی از جانب خداوند سبحان به انبیا و اوصیاست و روایات معصومان علیهم السلام هم تفسیر دیگری دربارۀ حقیقت روح برای مجموعۀ این آیات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بحثهایی چون علم، نفس، عرش علم، روحالقدس و روح الایمان در تفسیر برخی آیات دیگر نیز میتوان نکات مفیدی در تفسیر مناهج البیان یافت که معناشناسی روح را تکمیل میکند</w:t>
      </w:r>
      <w:r>
        <w:rPr>
          <w:rFonts w:eastAsia="IRNazanin" w:cs="IRNazanin"/>
          <w:color w:val="111111"/>
          <w:sz w:val="28"/>
          <w:szCs w:val="28"/>
          <w:rtl w:val="true"/>
          <w:lang w:bidi="fa-IR"/>
        </w:rPr>
        <w:t>.</w:t>
      </w:r>
    </w:p>
    <w:p>
      <w:pPr>
        <w:pStyle w:val="Heading3"/>
        <w:numPr>
          <w:ilvl w:val="2"/>
          <w:numId w:val="1"/>
        </w:numPr>
        <w:rPr/>
      </w:pPr>
      <w:bookmarkStart w:id="220" w:name="__RefHeading___Toc2105058_2749589250"/>
      <w:bookmarkStart w:id="221" w:name="_Toc91"/>
      <w:bookmarkEnd w:id="220"/>
      <w:r>
        <w:rPr/>
        <w:t>1</w:t>
      </w:r>
      <w:r>
        <w:rPr>
          <w:rtl w:val="true"/>
        </w:rPr>
        <w:t xml:space="preserve">. </w:t>
      </w:r>
      <w:r>
        <w:rPr>
          <w:rtl w:val="true"/>
        </w:rPr>
        <w:t>ابعاد نظریۀ روح در قرآن</w:t>
      </w:r>
      <w:bookmarkEnd w:id="22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ترکیبهای مختلفی به کار رفته و از ابعاد گوناگون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نظریۀ آیت‌الله ملکی ضمن بازخوانی روایات باب روحالقدس و جایگاه آن در نظام رسالت و امامت، پارهای از مستندات قرآنی اندیشمندان در باب نفس انسانی به چالش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نظریۀ یادشده، اصلاح و بازنگری در استشهاد به برخی آیات در تجرد روح و نتایج کلامی و فلسفی آن در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آفرینش و ابداع روح مجرد انسانی و استناد آن به امر الهی، حدوث و قدم نفس، نفخ روح و ارتباط نفس و بدن و مانند آن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حدیث معصوم در کشف معنای روح و جامعنگری در تحلیل فقهالحدیثی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ـ بهویژه آیات نفخ روح در آدم ـ دیدگاه غالب کلامی را دچار تردید کرده و تکیهگاه قرآنی تجرد روح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ترکیبهای قرآنی روح، در روحالقدس صراحت مصداقی دارد و سایر کاربردها نیز در این تحلیل به روح غیرانسانی و موجود ملکوتی بازمیگردد که به جهان ملائکه متعلق است؛ همین، نقطۀ عزیمت نظریه تفسیری مورد بحث از سایر دیدگاههاست</w:t>
      </w:r>
      <w:r>
        <w:rPr>
          <w:rFonts w:eastAsia="IRNazanin" w:cs="IRNazanin"/>
          <w:color w:val="111111"/>
          <w:sz w:val="28"/>
          <w:szCs w:val="28"/>
          <w:rtl w:val="true"/>
          <w:lang w:bidi="fa-IR"/>
        </w:rPr>
        <w:t>.</w:t>
      </w:r>
      <w:r>
        <w:rPr>
          <w:rStyle w:val="FootnoteAnchor"/>
          <w:rtl w:val="true"/>
        </w:rPr>
        <w:footnoteReference w:id="11"/>
      </w:r>
      <w:bookmarkStart w:id="222" w:name="pg3269_31742"/>
    </w:p>
    <w:p>
      <w:pPr>
        <w:pStyle w:val="BookText"/>
        <w:rPr/>
      </w:pPr>
      <w:bookmarkEnd w:id="222"/>
      <w:r>
        <w:rPr>
          <w:rFonts w:ascii="IRNazanin" w:hAnsi="IRNazanin" w:eastAsia="IRNazanin"/>
          <w:color w:val="111111"/>
          <w:sz w:val="28"/>
          <w:sz w:val="28"/>
          <w:szCs w:val="28"/>
          <w:rtl w:val="true"/>
          <w:lang w:bidi="fa-IR"/>
        </w:rPr>
        <w:t>بر این اساس میتوان نظریۀ آیت‌الله ملکی را از دو زاویه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بُعد تفسیری و کیفیت کشف معنای روح در قرآن و دوم، کارکردهای کلامی و اعتقادی آن که مبتنی بر بُعد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نگارنده بر آن است ایشان ذیل تفسیر آیات روح، نکات کلیدی و راه‌گشایی را در حوزۀ مباحث نبوت و امامت ارائه می کند که مسیر فهم بسیاری از آموزههای راهنماشناسی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تبیین نظریۀ تفسیری ایشان میپردازیم و سپس نتایج و کارکردهای کلامی بحث را بررسی میکنیم</w:t>
      </w:r>
      <w:r>
        <w:rPr>
          <w:rFonts w:eastAsia="IRNazanin" w:cs="IRNazanin"/>
          <w:color w:val="111111"/>
          <w:sz w:val="28"/>
          <w:szCs w:val="28"/>
          <w:rtl w:val="true"/>
          <w:lang w:bidi="fa-IR"/>
        </w:rPr>
        <w:t>.</w:t>
      </w:r>
    </w:p>
    <w:p>
      <w:pPr>
        <w:pStyle w:val="Heading3"/>
        <w:numPr>
          <w:ilvl w:val="2"/>
          <w:numId w:val="1"/>
        </w:numPr>
        <w:rPr/>
      </w:pPr>
      <w:bookmarkStart w:id="223" w:name="__RefHeading___Toc2105060_2749589250"/>
      <w:bookmarkStart w:id="224" w:name="_Toc92"/>
      <w:bookmarkEnd w:id="223"/>
      <w:r>
        <w:rPr/>
        <w:t>2</w:t>
      </w:r>
      <w:r>
        <w:rPr>
          <w:rtl w:val="true"/>
        </w:rPr>
        <w:t xml:space="preserve">. </w:t>
      </w:r>
      <w:r>
        <w:rPr>
          <w:rtl w:val="true"/>
        </w:rPr>
        <w:t>نظریۀ تفسیری روح در قرآن</w:t>
      </w:r>
      <w:bookmarkEnd w:id="224"/>
    </w:p>
    <w:p>
      <w:pPr>
        <w:pStyle w:val="Heading4"/>
        <w:numPr>
          <w:ilvl w:val="3"/>
          <w:numId w:val="1"/>
        </w:numPr>
        <w:rPr/>
      </w:pPr>
      <w:bookmarkStart w:id="225" w:name="__RefHeading___Toc2105062_2749589250"/>
      <w:bookmarkStart w:id="226" w:name="_Toc9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تفسیر آیات روح در مناهج البیان فاقد دستهبندی و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اهتمام ایشان تبیین وحدت معنایی روح و نفی کاربرد قرآنی این واژه در روح انسانی بوده است، نه دستهبندی اطلاقات و موارد استعمال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ارائه پیوسته و منظم بحث، آیات روح را به چهار دستۀ کلی تقسیم میکنیم</w:t>
      </w:r>
      <w:r>
        <w:rPr>
          <w:rFonts w:eastAsia="IRNazanin" w:cs="IRNazanin"/>
          <w:color w:val="111111"/>
          <w:sz w:val="28"/>
          <w:szCs w:val="28"/>
          <w:rtl w:val="true"/>
          <w:lang w:bidi="fa-IR"/>
        </w:rPr>
        <w:t>.</w:t>
      </w:r>
    </w:p>
    <w:p>
      <w:pPr>
        <w:pStyle w:val="Heading4"/>
        <w:numPr>
          <w:ilvl w:val="3"/>
          <w:numId w:val="1"/>
        </w:numPr>
        <w:rPr/>
      </w:pPr>
      <w:bookmarkStart w:id="227" w:name="__RefHeading___Toc2105064_2749589250"/>
      <w:bookmarkStart w:id="228" w:name="_Toc94"/>
      <w:bookmarkEnd w:id="227"/>
      <w:r>
        <w:rPr/>
        <w:t>1</w:t>
      </w:r>
      <w:r>
        <w:rPr>
          <w:rtl w:val="true"/>
        </w:rPr>
        <w:t>ـ</w:t>
      </w:r>
      <w:r>
        <w:rPr/>
        <w:t>2</w:t>
      </w:r>
      <w:r>
        <w:rPr>
          <w:rtl w:val="true"/>
        </w:rPr>
        <w:t xml:space="preserve">. </w:t>
      </w:r>
      <w:r>
        <w:rPr>
          <w:rtl w:val="true"/>
        </w:rPr>
        <w:t>چیستی روح</w:t>
      </w:r>
      <w:bookmarkEnd w:id="228"/>
    </w:p>
    <w:p>
      <w:pPr>
        <w:pStyle w:val="Heading5"/>
        <w:numPr>
          <w:ilvl w:val="4"/>
          <w:numId w:val="1"/>
        </w:numPr>
        <w:rPr/>
      </w:pPr>
      <w:bookmarkStart w:id="229" w:name="__RefHeading___Toc2105066_2749589250"/>
      <w:bookmarkStart w:id="230" w:name="_Toc95"/>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به نظر اکثر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چیستی روح است، اما مصداق روح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بدون اظهار نظر نهایی، سه قول را مطرح کرده است</w:t>
      </w:r>
      <w:r>
        <w:rPr>
          <w:rFonts w:eastAsia="IRNazanin" w:cs="IRNazanin"/>
          <w:color w:val="111111"/>
          <w:sz w:val="28"/>
          <w:szCs w:val="28"/>
          <w:rtl w:val="true"/>
          <w:lang w:bidi="fa-IR"/>
        </w:rPr>
        <w:t>:</w:t>
      </w:r>
    </w:p>
    <w:p>
      <w:pPr>
        <w:pStyle w:val="Heading5"/>
        <w:numPr>
          <w:ilvl w:val="4"/>
          <w:numId w:val="1"/>
        </w:numPr>
        <w:rPr/>
      </w:pPr>
      <w:bookmarkStart w:id="231" w:name="__RefHeading___Toc2105068_2749589250"/>
      <w:bookmarkStart w:id="232" w:name="_Toc96"/>
      <w:bookmarkEnd w:id="231"/>
      <w:r>
        <w:rPr>
          <w:rtl w:val="true"/>
        </w:rPr>
        <w:t>الف</w:t>
      </w:r>
      <w:r>
        <w:rPr>
          <w:rtl w:val="true"/>
        </w:rPr>
        <w:t>.</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چیستی روح در بدن است و چون پاسخ بر عناد مشرکان میافزاید، بیجواب مانده است</w:t>
      </w:r>
      <w:r>
        <w:rPr>
          <w:rFonts w:eastAsia="IRNazanin" w:cs="IRNazanin"/>
          <w:color w:val="111111"/>
          <w:sz w:val="28"/>
          <w:szCs w:val="28"/>
          <w:rtl w:val="true"/>
          <w:lang w:bidi="fa-IR"/>
        </w:rPr>
        <w:t>.</w:t>
      </w:r>
    </w:p>
    <w:p>
      <w:pPr>
        <w:pStyle w:val="Heading5"/>
        <w:numPr>
          <w:ilvl w:val="4"/>
          <w:numId w:val="1"/>
        </w:numPr>
        <w:rPr/>
      </w:pPr>
      <w:bookmarkStart w:id="233" w:name="__RefHeading___Toc2105070_2749589250"/>
      <w:bookmarkStart w:id="234" w:name="_Toc97"/>
      <w:bookmarkEnd w:id="233"/>
      <w:r>
        <w:rPr>
          <w:rtl w:val="true"/>
        </w:rPr>
        <w:t>ب</w:t>
      </w:r>
      <w:r>
        <w:rPr>
          <w:rtl w:val="true"/>
        </w:rPr>
        <w:t>.</w:t>
      </w:r>
      <w:bookmarkEnd w:id="234"/>
    </w:p>
    <w:p>
      <w:pPr>
        <w:pStyle w:val="BookText"/>
        <w:rPr/>
      </w:pPr>
      <w:r>
        <w:rPr>
          <w:rFonts w:ascii="IRNazanin" w:hAnsi="IRNazanin" w:eastAsia="IRNazanin"/>
          <w:color w:val="111111"/>
          <w:sz w:val="28"/>
          <w:sz w:val="28"/>
          <w:szCs w:val="28"/>
          <w:rtl w:val="true"/>
          <w:lang w:bidi="fa-IR"/>
        </w:rPr>
        <w:t xml:space="preserve">سؤال از مخلوق بودن روح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مخلوق بودن آن است</w:t>
      </w:r>
      <w:r>
        <w:rPr>
          <w:rFonts w:eastAsia="IRNazanin" w:cs="IRNazanin"/>
          <w:color w:val="111111"/>
          <w:sz w:val="28"/>
          <w:szCs w:val="28"/>
          <w:rtl w:val="true"/>
          <w:lang w:bidi="fa-IR"/>
        </w:rPr>
        <w:t>.</w:t>
      </w:r>
    </w:p>
    <w:p>
      <w:pPr>
        <w:pStyle w:val="Heading5"/>
        <w:numPr>
          <w:ilvl w:val="4"/>
          <w:numId w:val="1"/>
        </w:numPr>
        <w:rPr/>
      </w:pPr>
      <w:bookmarkStart w:id="235" w:name="__RefHeading___Toc2105072_2749589250"/>
      <w:bookmarkStart w:id="236" w:name="_Toc98"/>
      <w:bookmarkEnd w:id="235"/>
      <w:r>
        <w:rPr>
          <w:rtl w:val="true"/>
        </w:rPr>
        <w:t>ج</w:t>
      </w:r>
      <w:r>
        <w:rPr>
          <w:rtl w:val="true"/>
        </w:rPr>
        <w:t>.</w:t>
      </w:r>
      <w:bookmarkEnd w:id="236"/>
    </w:p>
    <w:p>
      <w:pPr>
        <w:pStyle w:val="BookText"/>
        <w:rPr/>
      </w:pPr>
      <w:r>
        <w:rPr>
          <w:rFonts w:ascii="IRNazanin" w:hAnsi="IRNazanin" w:eastAsia="IRNazanin"/>
          <w:color w:val="111111"/>
          <w:sz w:val="28"/>
          <w:sz w:val="28"/>
          <w:szCs w:val="28"/>
          <w:rtl w:val="true"/>
          <w:lang w:bidi="fa-IR"/>
        </w:rPr>
        <w:t xml:space="preserve">مراد از روح سؤالشده، 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الهی بودن انزال قرآن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Heading5"/>
        <w:numPr>
          <w:ilvl w:val="4"/>
          <w:numId w:val="1"/>
        </w:numPr>
        <w:rPr/>
      </w:pPr>
      <w:bookmarkStart w:id="237" w:name="__RefHeading___Toc2105074_2749589250"/>
      <w:bookmarkStart w:id="238" w:name="_Toc99"/>
      <w:bookmarkEnd w:id="237"/>
      <w:r>
        <w:rPr>
          <w:rtl w:val="true"/>
        </w:rPr>
        <w:t>...</w:t>
      </w:r>
      <w:bookmarkEnd w:id="238"/>
    </w:p>
    <w:p>
      <w:pPr>
        <w:pStyle w:val="BookText"/>
        <w:rPr/>
      </w:pPr>
      <w:r>
        <w:rPr>
          <w:rFonts w:ascii="IRNazanin" w:hAnsi="IRNazanin" w:eastAsia="IRNazanin"/>
          <w:color w:val="111111"/>
          <w:sz w:val="28"/>
          <w:sz w:val="28"/>
          <w:szCs w:val="28"/>
          <w:rtl w:val="true"/>
          <w:lang w:bidi="fa-IR"/>
        </w:rPr>
        <w:t xml:space="preserve">با این همه، نظر قطعی برخی مفسران این است که روحِ مورد سؤال، همان روح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عالم امر و تجرد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طیب،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ملکی بر آن است که این آیه در ردّ اقانیم ثلاثه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انگارۀ تثلیث با آموزۀ توحید منافات دارد، آیۀ شریفه روح را آفریدهای از آفریدگان الهی و مخلوق امر پروردگار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تفسیر این آیه وارد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bookmarkStart w:id="239" w:name="pg3269_31743"/>
    </w:p>
    <w:p>
      <w:pPr>
        <w:pStyle w:val="BookText"/>
        <w:rPr/>
      </w:pPr>
      <w:bookmarkEnd w:id="239"/>
      <w:r>
        <w:rPr>
          <w:rFonts w:ascii="IRNazanin" w:hAnsi="IRNazanin" w:eastAsia="IRNazanin"/>
          <w:color w:val="111111"/>
          <w:sz w:val="28"/>
          <w:sz w:val="28"/>
          <w:szCs w:val="28"/>
          <w:rtl w:val="true"/>
          <w:lang w:bidi="fa-IR"/>
        </w:rPr>
        <w:t>تَبَارَکَ وَ تَعَالَی أَحَدٌ صَمَدٌ وَ الصَّمَدُ الشَّیْ‌ءُ الَّذِی لَیْسَ لَهُ جَوْفٌ وَ إِنَّمَا الرُّوحُ خَلْقٌ مِنْ خَلْقِهِ لَهُ بَصَرٌ وَ قُوَّةٌ وَ تَأْیِیدٌ یَجْعَلُهُ الله فِی قُلُوبِ الرُّسُلِ وَ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توحید ذاتی، ناظر به جایگاه روحالقدس در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صمدیت و ترکیبناپذیری ذات خداوند، یگانهانگاری روح و ذات الهی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آفریدهای الهی و دارای ویژگیهای بینایی و توانایی است که خداوند آن را مختص قلبهای فرستادگان خدا و مؤمنان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مخلوقی بزرگتر و والاتر از جبرئیل و میکائیل است و همواره با انبیا و اهلبیت علیهم السلام همراهی دارد و دارای وصف علمی و نوری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همراهی آن با پیامبر و ائمه علیهم السلام ، مایۀ توفیق و تسدید آنان در انجام وظایف تبلیغی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منبع دانش و بصیرت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4"/>
        <w:numPr>
          <w:ilvl w:val="3"/>
          <w:numId w:val="1"/>
        </w:numPr>
        <w:rPr/>
      </w:pPr>
      <w:bookmarkStart w:id="240" w:name="__RefHeading___Toc2105076_2749589250"/>
      <w:bookmarkStart w:id="241" w:name="_Toc100"/>
      <w:bookmarkEnd w:id="240"/>
      <w:r>
        <w:rPr/>
        <w:t>2</w:t>
      </w:r>
      <w:r>
        <w:rPr>
          <w:rtl w:val="true"/>
        </w:rPr>
        <w:t>ـ</w:t>
      </w:r>
      <w:r>
        <w:rPr/>
        <w:t>2</w:t>
      </w:r>
      <w:r>
        <w:rPr>
          <w:rtl w:val="true"/>
        </w:rPr>
        <w:t xml:space="preserve">. </w:t>
      </w:r>
      <w:r>
        <w:rPr>
          <w:rtl w:val="true"/>
        </w:rPr>
        <w:t>نسبت وجودی روح القدس با پیامبران</w:t>
      </w:r>
      <w:r>
        <w:rPr/>
        <w:t></w:t>
      </w:r>
      <w:bookmarkEnd w:id="241"/>
    </w:p>
    <w:p>
      <w:pPr>
        <w:pStyle w:val="Heading5"/>
        <w:numPr>
          <w:ilvl w:val="4"/>
          <w:numId w:val="1"/>
        </w:numPr>
        <w:rPr/>
      </w:pPr>
      <w:bookmarkStart w:id="242" w:name="__RefHeading___Toc2105078_2749589250"/>
      <w:bookmarkStart w:id="243" w:name="_Toc10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پارهای از آیات روح، به بیان نقش روحالقدس در شئون نبوی پیامبران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روح، نفخ روح، تأیید به روح و القای روح به انبیا، کلیدواژههای این دسته از آیات است</w:t>
      </w:r>
      <w:r>
        <w:rPr>
          <w:rFonts w:eastAsia="IRNazanin" w:cs="IRNazanin"/>
          <w:color w:val="111111"/>
          <w:sz w:val="28"/>
          <w:szCs w:val="28"/>
          <w:rtl w:val="true"/>
          <w:lang w:bidi="fa-IR"/>
        </w:rPr>
        <w:t>.</w:t>
      </w:r>
    </w:p>
    <w:p>
      <w:pPr>
        <w:pStyle w:val="Heading5"/>
        <w:numPr>
          <w:ilvl w:val="4"/>
          <w:numId w:val="1"/>
        </w:numPr>
        <w:rPr/>
      </w:pPr>
      <w:bookmarkStart w:id="244" w:name="__RefHeading___Toc2105080_2749589250"/>
      <w:bookmarkStart w:id="245" w:name="_Toc102"/>
      <w:bookmarkEnd w:id="244"/>
      <w:r>
        <w:rPr/>
        <w:t>1</w:t>
      </w:r>
      <w:r>
        <w:rPr>
          <w:rtl w:val="true"/>
        </w:rPr>
        <w:t>ـ</w:t>
      </w:r>
      <w:r>
        <w:rPr/>
        <w:t>2</w:t>
      </w:r>
      <w:r>
        <w:rPr>
          <w:rtl w:val="true"/>
        </w:rPr>
        <w:t>ـ</w:t>
      </w:r>
      <w:r>
        <w:rPr/>
        <w:t>2</w:t>
      </w:r>
      <w:r>
        <w:rPr>
          <w:rtl w:val="true"/>
        </w:rPr>
        <w:t xml:space="preserve">. </w:t>
      </w:r>
      <w:r>
        <w:rPr>
          <w:rtl w:val="true"/>
        </w:rPr>
        <w:t>روح القدس و پیامبر اکرم</w:t>
      </w:r>
      <w:r>
        <w:rPr/>
        <w:t></w:t>
      </w:r>
      <w:bookmarkEnd w:id="245"/>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وحی روح سخن به میان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که بیشتر موارد استعمال وحی به انزال کتب آسمانی اختصاص دارد، برخی مفسران روح را همان وحی قرآن و کلام الهی دانستهاند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طبرسی،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طبری،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زمخشری،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آیۀ پیشین، که به سه قسم وحی مستقیم، وحی از پس پرده و وحی توسط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این تفسیر را به چالش می کشد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وحی روح نیز مانند سه قسم پیشین، وحی نام دارد، اما عطف با واو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آن را با وحیهای پیشین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از مصادیق بارز تکلیم سوم در آیۀ پیشین است نه روح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همان روح القدس است که با رابطۀ وجودی با رسول اکرم صلی الله علیه و اله و سلم ، علم ویژهای را به ارمغان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از ارواح مختص انبیاست، اما رتبۀ تعلق آن به انبیا، مقدم بر مقام نبوت و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w:t>
      </w:r>
      <w:bookmarkStart w:id="246" w:name="pg3269_31744"/>
    </w:p>
    <w:p>
      <w:pPr>
        <w:pStyle w:val="BookText"/>
        <w:rPr/>
      </w:pPr>
      <w:bookmarkEnd w:id="246"/>
      <w:r>
        <w:rPr>
          <w:rFonts w:ascii="IRNazanin" w:hAnsi="IRNazanin" w:eastAsia="IRNazanin"/>
          <w:color w:val="111111"/>
          <w:sz w:val="28"/>
          <w:sz w:val="28"/>
          <w:szCs w:val="28"/>
          <w:rtl w:val="true"/>
          <w:lang w:bidi="fa-IR"/>
        </w:rPr>
        <w:t xml:space="preserve">سخن، پیامبر پیش از نبوت یا مقارن با آن از موهبت روح القدس برخوردار میشود و زمینهساز دریافت وحیهای سهگانه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آیه، از ناآگاهی پیشین پیامبر از کتاب و ایمان سخن به میان می آید که در کارکردهای کلامی این نظریه به آن خواهیم پرداخت</w:t>
      </w:r>
      <w:r>
        <w:rPr>
          <w:rFonts w:eastAsia="IRNazanin" w:cs="IRNazanin"/>
          <w:color w:val="111111"/>
          <w:sz w:val="28"/>
          <w:szCs w:val="28"/>
          <w:rtl w:val="true"/>
          <w:lang w:bidi="fa-IR"/>
        </w:rPr>
        <w:t>.</w:t>
      </w:r>
    </w:p>
    <w:p>
      <w:pPr>
        <w:pStyle w:val="Heading5"/>
        <w:numPr>
          <w:ilvl w:val="4"/>
          <w:numId w:val="1"/>
        </w:numPr>
        <w:rPr/>
      </w:pPr>
      <w:bookmarkStart w:id="247" w:name="__RefHeading___Toc2105082_2749589250"/>
      <w:bookmarkStart w:id="248" w:name="_Toc103"/>
      <w:bookmarkEnd w:id="247"/>
      <w:r>
        <w:rPr/>
        <w:t>2</w:t>
      </w:r>
      <w:r>
        <w:rPr>
          <w:rtl w:val="true"/>
        </w:rPr>
        <w:t>ـ</w:t>
      </w:r>
      <w:r>
        <w:rPr/>
        <w:t>2</w:t>
      </w:r>
      <w:r>
        <w:rPr>
          <w:rtl w:val="true"/>
        </w:rPr>
        <w:t>ـ</w:t>
      </w:r>
      <w:r>
        <w:rPr/>
        <w:t>2</w:t>
      </w:r>
      <w:r>
        <w:rPr>
          <w:rtl w:val="true"/>
        </w:rPr>
        <w:t xml:space="preserve">. </w:t>
      </w:r>
      <w:r>
        <w:rPr>
          <w:rtl w:val="true"/>
        </w:rPr>
        <w:t>روح القدس و حضرت آدم</w:t>
      </w:r>
      <w:bookmarkEnd w:id="248"/>
    </w:p>
    <w:p>
      <w:pPr>
        <w:pStyle w:val="BookText"/>
        <w:rPr/>
      </w:pPr>
      <w:r>
        <w:rPr>
          <w:rFonts w:ascii="IRNazanin" w:hAnsi="IRNazanin" w:eastAsia="IRNazanin"/>
          <w:color w:val="111111"/>
          <w:sz w:val="28"/>
          <w:sz w:val="28"/>
          <w:szCs w:val="28"/>
          <w:rtl w:val="true"/>
          <w:lang w:bidi="fa-IR"/>
        </w:rPr>
        <w:t>گزارش آفرینش آدم علیه السلام در قرآن کریم نیز از جمله مواردی است که با یادکرد روح و نقش آن در خلقت وی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آیات زیر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تفسیر رایج، آیات نفخ روح ناظر به نفس ناطقۀ انسان و به سبب اضافه به خدا، دالّ بر تجرد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ملاصدرا،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مفسران، نفخ روح در آدم را به نوع انسان سرایت داده و از اضافۀ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اعتلای وجودی آن از مادیات و مسانخت وجود روح و باریتعالی را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کتاب اسرار الحکم چنین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آدم دمیدم از روح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روحالله، تجردش و وسعتش، به حسب سعه وجود الله است و درخور تجرد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آدم را شامل شود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این آیات بر طبق نظریۀ مورد بحث با توجه به سه مرحله ای بودن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گِل و طینت، تسویه و 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منابع لغوی، تسویه به معنای اعتدال و کامل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تسویه، پایان پذیرفتن خلقت انسان است که در آن به کمال آفرینشی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رسیدن به این نقطه با جسم یا روحِ تنها امکانپذیر نیست، چراکه افعال انسانی مانند دیدن و شنیدن با ترکیب روح و بدن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مرحلۀ تسویه خلقت انسان، با حلول روح حیات در طینتِ شکلیافته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قرآنی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شاهد بر معنای یادشده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بر این پایه، مرحلۀ نفخ روح متأخر از آفرینش کامل و ایجاد روح و بدن انسانی است</w:t>
      </w:r>
      <w:r>
        <w:rPr>
          <w:rFonts w:eastAsia="IRNazanin" w:cs="IRNazanin"/>
          <w:color w:val="111111"/>
          <w:sz w:val="28"/>
          <w:szCs w:val="28"/>
          <w:rtl w:val="true"/>
          <w:lang w:bidi="fa-IR"/>
        </w:rPr>
        <w:t>.</w:t>
      </w:r>
      <w:bookmarkStart w:id="249" w:name="pg3269_31745"/>
    </w:p>
    <w:p>
      <w:pPr>
        <w:pStyle w:val="BookText"/>
        <w:rPr/>
      </w:pPr>
      <w:bookmarkEnd w:id="249"/>
      <w:r>
        <w:rPr>
          <w:rFonts w:ascii="IRNazanin" w:hAnsi="IRNazanin" w:eastAsia="IRNazanin"/>
          <w:color w:val="111111"/>
          <w:sz w:val="28"/>
          <w:sz w:val="28"/>
          <w:szCs w:val="28"/>
          <w:rtl w:val="true"/>
          <w:lang w:bidi="fa-IR"/>
        </w:rPr>
        <w:t xml:space="preserve">طبق این تفسیر نمیتوان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در مرحله تسویه، بدن انسان شکل یافته و روح حیات در او دمیده شده است؛ در غیر این صورت نفخ روح پس از تسویه، تکرار و تحصیل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روحی که پس از مرحلۀ تسویه دمیده میشود، غیر از روح حیاتی است که از آنِ عموم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تفریع سجدۀ فرشتگان به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نفخ روح استفاده میشود که روح نفخشده در آدم علیه السلام دارای چنان جایگاهی است که سجدۀ فرشتگان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اشاره شده است که پس از اخبار خداوند از علم آدم به اسما، فرشتگان بلافاصله بر او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سان آیات مورد بحث، به مرحلهای ویژه از آفرینش آدم علیه السلام دلالت میکند و نشان از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آدم علیه السلام به تعلیم الهی از آن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اهلبیت علیهم السلام نیز، روحِ دمیدهشده به آدم علیه السلام با علم اسمای او مرتبط است و هر دو، مرحلهای پس از تسویۀ خلقتند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خَلَقَ آدَمَ وَ سَوَّاهُ وَ عَلَّمَهُ أَسْمَاءَ کُلِّ شَیْ‌ءٍ وَ عَرَضَهُمْ عَلَی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علیه السلام علم آدم علیه السلام به اسماء و سجدۀ فرشتگان را چنین پیوند</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خَلَقَ الله آدَمَ، أَبانَ فَضلَهُ لِلمَلائِکَة وَ أَراهُم ما خَصَّهُ بِهِ مِن سَابِقِ العِلمِ مِن حَیثُ عَرَّفَهُ عِندَ استِنبائِهِ إیّاهُ أَسماءَ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آدَمَ مِحراباً و کعبةً و باباً و قبلةً أًسجدَ إلیها الأبرارَ و الروحانیّین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این دو حدیث، علم اسماء سبب قبله قرار گرفتن آدم علیه السلام در سجدۀ فرشتگان و پس از خلق تقدیری و تسویه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آیات نفخ روح به صراحت دربارۀ حضرت آدم علیه السلام و منحصر در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روح حتی در مورد آدم علیه السلام پس از مرحلۀ تسویه و تعلق روح الحیات به بدن اوست؛ پس مراد از روحِ دمیدهشده، غیر از نفس ناطقه است که در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دلالت احادیث، حکمت شرافت و رفعت روحالقدس،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است، به شأن نوری و علمی آن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علم به اسماء و صفاتی که در احادیث برای روحالقدس برشمرده شده، در نفس ناطقۀ انسان یافت نمیشود</w:t>
      </w:r>
      <w:r>
        <w:rPr>
          <w:rFonts w:eastAsia="IRNazanin" w:cs="IRNazanin"/>
          <w:color w:val="111111"/>
          <w:sz w:val="28"/>
          <w:szCs w:val="28"/>
          <w:rtl w:val="true"/>
          <w:lang w:bidi="fa-IR"/>
        </w:rPr>
        <w:t>.</w:t>
      </w:r>
    </w:p>
    <w:p>
      <w:pPr>
        <w:pStyle w:val="Heading5"/>
        <w:numPr>
          <w:ilvl w:val="4"/>
          <w:numId w:val="1"/>
        </w:numPr>
        <w:rPr/>
      </w:pPr>
      <w:bookmarkStart w:id="250" w:name="__RefHeading___Toc2105084_2749589250"/>
      <w:bookmarkStart w:id="251" w:name="_Toc104"/>
      <w:bookmarkEnd w:id="250"/>
      <w:r>
        <w:rPr/>
        <w:t>3</w:t>
      </w:r>
      <w:r>
        <w:rPr>
          <w:rtl w:val="true"/>
        </w:rPr>
        <w:t>ـ</w:t>
      </w:r>
      <w:r>
        <w:rPr/>
        <w:t>2</w:t>
      </w:r>
      <w:r>
        <w:rPr>
          <w:rtl w:val="true"/>
        </w:rPr>
        <w:t>ـ</w:t>
      </w:r>
      <w:r>
        <w:rPr/>
        <w:t>2</w:t>
      </w:r>
      <w:r>
        <w:rPr>
          <w:rtl w:val="true"/>
        </w:rPr>
        <w:t xml:space="preserve">. </w:t>
      </w:r>
      <w:r>
        <w:rPr>
          <w:rtl w:val="true"/>
        </w:rPr>
        <w:t>روح القدس و حضرت عیسی</w:t>
      </w:r>
      <w:r>
        <w:rPr/>
        <w:t></w:t>
      </w:r>
      <w:bookmarkEnd w:id="25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در قرآن کریم روح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مویَّد به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به روح</w:t>
      </w:r>
    </w:p>
    <w:p>
      <w:pPr>
        <w:pStyle w:val="BookText"/>
        <w:rPr/>
      </w:pPr>
      <w:r>
        <w:rPr>
          <w:rFonts w:ascii="IRNazanin" w:hAnsi="IRNazanin" w:eastAsia="IRNazanin"/>
          <w:color w:val="111111"/>
          <w:sz w:val="28"/>
          <w:sz w:val="28"/>
          <w:szCs w:val="28"/>
          <w:rtl w:val="true"/>
          <w:lang w:bidi="fa-IR"/>
        </w:rPr>
        <w:t>القدس پس از دادن بیّنات به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عیسَی ابْنَ مَرْیَمَ الْبَیِّناتِ 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آیت‌الله ملکی، 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ویژگی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عیسی علیه السلام به روح القدس از معجزات الهی است، اما از سنخ معجزات و بیّنات ویژۀ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علم و نوری است که احاطۀ عیسی علیه السلام بر هستی و حقایق آن را در پی دارد و برخلاف سایر معجزات، قابل ادراک و ظهور برای امت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چون روحالقدس از ارواح مشترک تمام انبیاست، تأیید به روح القدس نیز ویژۀ عیسی علیه السلام و از بیّنات اختصاصی برای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روحالقدس از یک نظر خاص و از نظری دیگر عام است؛ از آن رو که سنخی متفاوت از بیّنات و معجزات عمومی عیسی علیه السلام است، خاص و از آن حیث که از ارواح ویژۀ تمام انبیا محسوب میشود،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تصریح شده که روح القدس با مرگِ هر پیامبر به پیامبر بعدی و با رحلت رسول اکرم صلی الله علیه و اله و سلم به امامان معصوم علیهم السلام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از نظر اکثر مفسران، مراد از روح القدس در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دلیل عدول از دیدگاه فوق در تفسیر مناهج البیان، بیوجه بودن اعراض از معنای شایع حدیثی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در احادیث شیعه به صراحت به معنای علم ویژۀ انبیا و معصومان علیهم السلام استعمال شده و تأیید عیسی علیه السلام به روحالقدس، تأیید علمی و مرادف با تعابیر توفیق و تسدید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دیگری روح القدس سبب به سخن آمدن عیسی علیه السلام در گهواره و در پیری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 عَلی والِدَتِکَ إِذْ أَیَّدْتُکَ بِروح القدس تُکَلِّمُ النَّاسَ فِی الْمَهْدِ وَ کَهْلاً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وی در گهواره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دو آیۀ فوق این است که اولاً، روحالقدس به صاحب خود علم و قدرتی ویژه میبخشد و او را دانا به مرتبت پیامبری و توانا بر سخن گفتن در غیر حالت طبیعی میکند؛ ثانیاً، تحقق روحالقدس در نبی مقدم بر مقام نبوت و رسالت و مرحلۀ بعث و ارسال است، زیرا خبردهی از نبوت و بعثت آینده، به واجدیت روحالقدس پیش از مقام نبوت و رسالت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w:t>
      </w:r>
    </w:p>
    <w:p>
      <w:pPr>
        <w:pStyle w:val="BookText"/>
        <w:rPr/>
      </w:pPr>
      <w:r>
        <w:rPr>
          <w:rFonts w:ascii="Amiri" w:hAnsi="Amiri" w:eastAsia="Amiri" w:cs="Amiri"/>
          <w:color w:val="111111"/>
          <w:sz w:val="28"/>
          <w:sz w:val="28"/>
          <w:szCs w:val="28"/>
          <w:rtl w:val="true"/>
          <w:lang w:bidi="ar-SA"/>
        </w:rPr>
        <w:t>امیرالمؤمنین علیه السلام تصریح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فَبِروح القُدُس بُعِثُوا أَنْبِیَاءَ مُرْسَلِینَ وَ غَیْرَ مُرْسَلِینَ وَ بِروح القُدُس عَلِمُوا جَمِیعَ الْأَشْیَاءِ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آیۀ دیگر، رابطۀ روحالقدس و عیسی علیه السلام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کَلِمَتُهُ أَلْقاها إِلی مَرْیَمَ وَ 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اعتقاد اهل کتاب دربارۀ عیسی علیه السلام و غلو در شخصیت اوست که با تأکید بر مخلوقیت از کلمۀ خدا و روح الهی القاشده به مریم، الوهیت او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عیسی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روح از سوی خدا و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ذیل این روح، روحالقدس است، نه خود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هِیَ رُوحُ الله مَخْلُوقَةٌ خَلَقَهَا الله فِی آدَمَ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آن است که عیسی علیه السلام واجد و حامل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مؤیَّد به روحالقدس است و این ارتباط چنان نیرومند است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همین نسبت دربارۀ آدم علیه السلام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اکثر تفاسیر مهمّ اسلامی روح در این آیه را به عیسی، جبرئیل و وحی تفسیر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از نفخ روح به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 أَحْصَنَتْ فَرْجَها فَنَفَخْنا فیها مِنْ رُوحِنا وَ جَعَلْناها وَ ابْنَها آیَةً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کنار آیۀ پیشین، تأکیدی بر وحدت معنایی القای کلمه و نفخ روح به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مستند به یگانگی موضوع و گزارش کیفیت آفرینش عیسی علیه السلام در هر دو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سخن از القای کلمۀ خدا به مریم و در دیگری سخن از نفخ روح خدا به اوست؛ پس در واقعۀ آفرینش عیسی علیه السلام یک فعل صورت گرفته، اما از این فعل گاه به القای کلمه و گاه به نفخ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وحدت این دو فعل، وحدت مصداقی روح دمیدهشده و کلمۀ القاشده به مریم است؛ هرچند از نظر واژگانی در هر کدام عنایت و جهتی خاص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بودن عیسی علیه السلام با نظر به مخلوقیت وی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اعجازی اوست، و روح بودن او به لحاظ آن است که این کلمه، واجد روحالقدس و حامل عرش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کلمۀ خدا همان عیسایی است که واجد روحالقدس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84</w:t>
      </w:r>
      <w:r>
        <w:rPr>
          <w:rFonts w:eastAsia="IRNazanin" w:cs="IRNazanin"/>
          <w:color w:val="111111"/>
          <w:sz w:val="28"/>
          <w:szCs w:val="28"/>
          <w:rtl w:val="true"/>
          <w:lang w:bidi="fa-IR"/>
        </w:rPr>
        <w:t>).</w:t>
      </w:r>
      <w:bookmarkStart w:id="252" w:name="pg3269_31748"/>
    </w:p>
    <w:p>
      <w:pPr>
        <w:pStyle w:val="Heading5"/>
        <w:numPr>
          <w:ilvl w:val="4"/>
          <w:numId w:val="1"/>
        </w:numPr>
        <w:rPr/>
      </w:pPr>
      <w:bookmarkStart w:id="253" w:name="__RefHeading___Toc2105086_2749589250"/>
      <w:bookmarkStart w:id="254" w:name="_Toc105"/>
      <w:bookmarkEnd w:id="252"/>
      <w:bookmarkEnd w:id="253"/>
      <w:r>
        <w:rPr/>
        <w:t>4</w:t>
      </w:r>
      <w:r>
        <w:rPr>
          <w:rtl w:val="true"/>
        </w:rPr>
        <w:t>ـ</w:t>
      </w:r>
      <w:r>
        <w:rPr/>
        <w:t>2</w:t>
      </w:r>
      <w:r>
        <w:rPr>
          <w:rtl w:val="true"/>
        </w:rPr>
        <w:t>ـ</w:t>
      </w:r>
      <w:r>
        <w:rPr/>
        <w:t>2</w:t>
      </w:r>
      <w:r>
        <w:rPr>
          <w:rtl w:val="true"/>
        </w:rPr>
        <w:t xml:space="preserve">. </w:t>
      </w:r>
      <w:r>
        <w:rPr>
          <w:rtl w:val="true"/>
        </w:rPr>
        <w:t>روح القدس و سایر پیامبران</w:t>
      </w:r>
      <w:bookmarkEnd w:id="25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 ذُو الْعَرْشِ یُلْقِی الرُّوحَ مِنْ أَمْرِهِ عَلی مَنْ یَشاءُ مِنْ عِبادِهِ لِیُنْذِرَ یَوْمَ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القای روح به بندگان برگزیده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آیات مربوط به حضرت عیسی علیه السلام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بهکاررفته در موضوع کلمة الله و روحالقدس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القا در آیۀ فوق پس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اطلاقات متعددی دارد، ولی معنای روشن آن علمی است که تقدیر و اندازهگیریاش غیرممکن و بر تمام امور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احادیث متعدد پیداست، عرش، علم محمول یا افاضهشدهای است که حامل آن به همه چیز آگاهی تام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حقیقت عرش و حاملان آن چنین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 وَ الْعَرْشُ الْعِلْمُ ثَمَانِیَةٌ أَرْبَعَةٌ مِنَّا وَ أَرْبَعَةٌ مِمَّنْ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ضمن پاسخ به سؤال جاثلیق که خداوند عرش را حمل میکند یا عرش خدا 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الْعَرْشَ خَلَقَهُ الله تَعَالَی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الَّذِی حَمَّلَهُ الله الْحَمَلَةَ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مزبور و نظایر آن به دست میآید که حقیقت عرش و روحالقدس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همان علم محمول است که طبق این آیه و برخی آیات دیگر، خدا مالک آن است که نسبت به محمولان آن روحالقدس نام دارد؛ یعنی از آن رو که خداوند مالک این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از آن‌جا که القاکنندۀ آن به برگزیدگانش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مفاض از خداوند متعال به انبیا و اوصیاست که با آن نبوت، رسالت، امامت و خلافت برای نبی و امام شناخته میشود و اساساً امر رسالت و انذار با آن تمام و کامل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ملکی در جای دیگر در توضیح روایات عرش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فیستفاد من جمیعها أنّ الله أفاض هذا النور القدسیّ علی أرواحهم و أضائهم فاستضاؤوا به و أیّدهم بهذا الروح العلمیّ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همین مضمون را در تفسیر آیۀ مورد بحث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من الرّوح فی المقام هو العلم المفاض من الله سبحانه علی من یشاء من عباده المقرّبین، الأنبیاء أو الأوصیاء الصّدّیقین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با تأکید بر ممتاز بودن موضوع القای روح به پیامبران، معانی دیگری چون قرآن، کتب نازلشده بر انبیا، وحی، نبوت یا جبرئیل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فخر رازی،</w:t>
      </w:r>
      <w:bookmarkStart w:id="255" w:name="pg3269_31749"/>
    </w:p>
    <w:p>
      <w:pPr>
        <w:pStyle w:val="BookText"/>
        <w:rPr/>
      </w:pPr>
      <w:bookmarkEnd w:id="255"/>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منطبق بر آیه و خارج از مقام 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256" w:name="__RefHeading___Toc2105088_2749589250"/>
      <w:bookmarkStart w:id="257" w:name="_Toc106"/>
      <w:bookmarkEnd w:id="256"/>
      <w:r>
        <w:rPr/>
        <w:t>3</w:t>
      </w:r>
      <w:r>
        <w:rPr>
          <w:rtl w:val="true"/>
        </w:rPr>
        <w:t>ـ</w:t>
      </w:r>
      <w:r>
        <w:rPr/>
        <w:t>2</w:t>
      </w:r>
      <w:r>
        <w:rPr>
          <w:rtl w:val="true"/>
        </w:rPr>
        <w:t xml:space="preserve">. </w:t>
      </w:r>
      <w:r>
        <w:rPr>
          <w:rtl w:val="true"/>
        </w:rPr>
        <w:t>نسبت وجودی روح القدس با فرشتگان</w:t>
      </w:r>
      <w:bookmarkEnd w:id="257"/>
    </w:p>
    <w:p>
      <w:pPr>
        <w:pStyle w:val="Heading5"/>
        <w:numPr>
          <w:ilvl w:val="4"/>
          <w:numId w:val="1"/>
        </w:numPr>
        <w:rPr/>
      </w:pPr>
      <w:bookmarkStart w:id="258" w:name="__RefHeading___Toc2105090_2749589250"/>
      <w:bookmarkStart w:id="259" w:name="_Toc107"/>
      <w:bookmarkEnd w:id="258"/>
      <w:r>
        <w:rPr/>
        <w:t>1</w:t>
      </w:r>
      <w:r>
        <w:rPr>
          <w:rtl w:val="true"/>
        </w:rPr>
        <w:t>ـ</w:t>
      </w:r>
      <w:r>
        <w:rPr/>
        <w:t>3</w:t>
      </w:r>
      <w:r>
        <w:rPr>
          <w:rtl w:val="true"/>
        </w:rPr>
        <w:t>ـ</w:t>
      </w:r>
      <w:r>
        <w:rPr/>
        <w:t>2</w:t>
      </w:r>
      <w:r>
        <w:rPr>
          <w:rtl w:val="true"/>
        </w:rPr>
        <w:t xml:space="preserve">. </w:t>
      </w:r>
      <w:r>
        <w:rPr>
          <w:rtl w:val="true"/>
        </w:rPr>
        <w:t>روح القدس و جبرئیل</w:t>
      </w:r>
      <w:bookmarkEnd w:id="259"/>
    </w:p>
    <w:p>
      <w:pPr>
        <w:pStyle w:val="BookText"/>
        <w:rPr/>
      </w:pPr>
      <w:r>
        <w:rPr>
          <w:rFonts w:ascii="Amiri" w:hAnsi="Amiri" w:eastAsia="Amiri" w:cs="Amiri"/>
          <w:color w:val="111111"/>
          <w:sz w:val="28"/>
          <w:sz w:val="28"/>
          <w:szCs w:val="28"/>
          <w:rtl w:val="true"/>
          <w:lang w:bidi="ar-SA"/>
        </w:rPr>
        <w:t>در قرآن اطلاق روح به جبرئیل با سه تعبیر روحالامین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رَبِّکَ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دو آیه نخست نشان میدهد که روحالأمین و روحالقدس همان جبرئیل امین، پیامرسان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فعل تنزیل هم‌چنان‌که به روحالامین یا روحالقدس نسبت داده شده، به صراحت در مورد جبرئیل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کانَ عَدُوًّا لِجِبْریلَ فَإِنَّهُ نَزَّلَهُ عَلی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توجه به تعبیر ارسال و تمثل روح برای مریم در آیۀ سوم،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چنان‌که در دو آیۀ بعد از همین آیه، روح ارسالشده خطاب به مریم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رَسُولُ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دربارۀ سخن جبرئیل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استظهارات نشان از روحالقدس نامیدن جبرئیل دارد و بسیاری از مفسران بر این قول متفقند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همسو، بهویژه آیات مربوط به عیسی علیه السلام و وجه تسمیۀ او به روحالله، میتوان رابطه وجودی روحالقدس با افراد را دلیل این نامگذاری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 نیز هرچند اطلاق روح به جبرئیل را پذیرفته، در جای دیگر نظر نهایی خود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اطلاق واژۀ روح در این آیات بر بعضی اشخاص، مثل جبرئیل و عیسی علیه السلام ، به اعتبار دارا بودن عرش علم و حیات و قدرت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جبرئیل گرچه در ابتدا معارض با آیات و روایاتی است که بر تغایر روحالقدس با ملائکه و جبرئیل دلالت دارند، لکن با توجه به ارتباط وجودی جبرئیل با روحالقدس، که از دیدگاه آیت‌الله ملکی همان بهرهمندی او از علم روحالقدس است، موجه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تأکیدی دیگر بر نظریۀ تفسیری وحدت معنایی روح در قرآن است</w:t>
      </w:r>
      <w:r>
        <w:rPr>
          <w:rFonts w:eastAsia="IRNazanin" w:cs="IRNazanin"/>
          <w:color w:val="111111"/>
          <w:sz w:val="28"/>
          <w:szCs w:val="28"/>
          <w:rtl w:val="true"/>
          <w:lang w:bidi="fa-IR"/>
        </w:rPr>
        <w:t>.</w:t>
      </w:r>
      <w:bookmarkStart w:id="260" w:name="pg3269_31750"/>
    </w:p>
    <w:p>
      <w:pPr>
        <w:pStyle w:val="BookText"/>
        <w:rPr/>
      </w:pPr>
      <w:bookmarkEnd w:id="260"/>
      <w:r>
        <w:rPr>
          <w:rFonts w:ascii="IRNazanin" w:hAnsi="IRNazanin" w:eastAsia="IRNazanin"/>
          <w:color w:val="111111"/>
          <w:sz w:val="28"/>
          <w:sz w:val="28"/>
          <w:szCs w:val="28"/>
          <w:rtl w:val="true"/>
          <w:lang w:bidi="fa-IR"/>
        </w:rPr>
        <w:t xml:space="preserve">گفتنی است، علامه طباطبائی نیز صرف نامگذاری روح بر جبرئیل را دلیل بر عینیت روح و جبرئیل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61" w:name="__RefHeading___Toc2105092_2749589250"/>
      <w:bookmarkStart w:id="262" w:name="_Toc108"/>
      <w:bookmarkEnd w:id="261"/>
      <w:r>
        <w:rPr/>
        <w:t>2</w:t>
      </w:r>
      <w:r>
        <w:rPr>
          <w:rtl w:val="true"/>
        </w:rPr>
        <w:t>ـ</w:t>
      </w:r>
      <w:r>
        <w:rPr/>
        <w:t>3</w:t>
      </w:r>
      <w:r>
        <w:rPr>
          <w:rtl w:val="true"/>
        </w:rPr>
        <w:t>ـ</w:t>
      </w:r>
      <w:r>
        <w:rPr/>
        <w:t>2</w:t>
      </w:r>
      <w:r>
        <w:rPr>
          <w:rtl w:val="true"/>
        </w:rPr>
        <w:t xml:space="preserve">. </w:t>
      </w:r>
      <w:r>
        <w:rPr>
          <w:rtl w:val="true"/>
        </w:rPr>
        <w:t>روح القدس و سایر فرشتگان</w:t>
      </w:r>
      <w:bookmarkEnd w:id="262"/>
    </w:p>
    <w:p>
      <w:pPr>
        <w:pStyle w:val="BookText"/>
        <w:rPr/>
      </w:pPr>
      <w:r>
        <w:rPr>
          <w:rFonts w:ascii="IRNazanin" w:hAnsi="IRNazanin" w:eastAsia="IRNazanin"/>
          <w:color w:val="111111"/>
          <w:sz w:val="28"/>
          <w:sz w:val="28"/>
          <w:szCs w:val="28"/>
          <w:rtl w:val="true"/>
          <w:lang w:bidi="fa-IR"/>
        </w:rPr>
        <w:t xml:space="preserve">در شمار دیگری از آیات،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آیات، به ترتیب دو آیه به نزول ملائکه و روح، یک آیه به قیام روح و ملائکه و یک آیه به عروج ملائکه و روح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بر ملائکه عطف شده و در دیگری روح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پیوند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در آیۀ نخست دلالت دارد که روح نیز مانند ملائکه نزول دارد، اما با آنان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این عطف در احادیث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أَبِیعَبْدِالله علیه السلام فَذَکَرَ شَیْئاً مِنْ أَمْرِ الْإِمَامِ إِذَا وُلِدَ قَالَ وَ اسْتَوْجَبَ زِیَادَةَ الرُّوحِ فِی لَیْلَةِ الْقَدْرِ فَقُلْتُ جُعِلْتُ فِدَاکَ أَلَیْسَ الرُّوحُ جَبْرَئِیلَ قَالَ جَبْرَئِیلُ مِنَ الْمَلَائِکَةِ وَ الرُّوحُ خَلْقٌ أَعْظَمُ مِنَ الْمَلَائِکَةِ أَلَیْسَ الله یَقُولُ تَنَزَّلُ الْمَلائِکَةُ وَ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فزونی دادن توسط روح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 زِیَادَةَ الرُّوحِ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وظیفۀ این روح در شب قدر، افزودن معلومات امام است که کارکرد ویژۀ روحالقدس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و تصریح حدیث مزبور، جبرئیل جزء ملائکه، و روح موجودی متفاوت با آنان است؛ این در حالی است که به گفتۀ اکثر مفسران، مراد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نزول ملائکه به همراه روح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مناهج البیان معنای حرف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تفسیر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آیت‌الله ملکی در میان معانی محتمل، معنای مصاحبت با ظاهر آیه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این تفسیر، روح موجودی متفاوت با ملائکه، اما همراه آنان در نزول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تفسیر، طبرسی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تعدیه گرفته و مراد از روح را قرآن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تفسیر امام باقر علیه السلام از آیه، دیدگاه فوق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به پرسش ابوبصیر از تفسیر آیه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 الَّذِی نَزَلَ عَلَی الْأَنْبِیَاءِ وَ الرُّوحُ تَکُونُ مَعَهُمْ وَ مَعَ الْأَوْصِیَاءِ لَا تُفَارِقُهُمْ تُفَقِّهُهُمْ وَ تُسَدِّدُهُمْ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اولاً، بر معنای مصاحبت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تکون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به قرآن را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اوصاف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تفارقهم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 حدیثی و معرِّف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علیه السلام با جداسازی کارکرد فرشتۀ وحی و روح، حکم به مغایرت این 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فقط بر پیامبران نازل می‌شوند، اما روح هم با پیامبران و هم با اوصیای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وظیفۀ رساندن وحی و انزال قرآن را دارد، اما روح مایۀ تفقه و تسدید علمی انبیا و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از روح در آیه، قرآن باشد، تفصیل کارکردی وحی و روح، بی‌وجه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دیگر، روحِ همراه ملائکه دارای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تفسیر این آیه بدون آن‌که نظر خود را بیان کند، به ذکر اقوال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قول ضحاک و شعبی را می‌آورد که روح در آیه،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ابن‌مسعود و ابن‌عباس نقل می‌کند که روح، فرشته‌ای بزرگ‌تر از ملائکه است و خود، این قول را مرویّ از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قول حسن و قتاده می‌گوید که این روح، روح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از ابن‌عباس ذکر می‌کند که این روح همان ارواح انسان‌ها در فاصلۀ نفخ صور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صور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 از ردّ ارواح به ابدان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این روح را روحی بزرگ‌تر و شریف‌تر از ملائکه و نزدیک‌تر به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گنابادی نیز می‌گوید که روح در این‌جا ربّ النوع انسانی است که بزرگ‌تر و بلند‌مرتبه‌تر از ملائکه، بلکه فوق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که روح‌القدس نام دارد، تنها با پیامبر اکرم صلی الله علیه و اله و سلم و اوصیای اوست، نه دیگر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از تفسیر قمی نقل می‌کند که روح در این آیه، فرشته‌ای بزرگ‌تر از همۀ فرشتگان و همراه پیامبر و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نیز معتقد است این همان روح مخلوق امری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به ملائکه و روح نسبت عروج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مراد از این روح را جبرئیل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معتقد است علت ذکر</w:t>
      </w:r>
      <w:bookmarkStart w:id="263" w:name="pg3269_31752"/>
    </w:p>
    <w:p>
      <w:pPr>
        <w:pStyle w:val="BookText"/>
        <w:rPr/>
      </w:pPr>
      <w:bookmarkEnd w:id="263"/>
      <w:r>
        <w:rPr>
          <w:rFonts w:ascii="IRNazanin" w:hAnsi="IRNazanin" w:eastAsia="IRNazanin"/>
          <w:color w:val="111111"/>
          <w:sz w:val="28"/>
          <w:sz w:val="28"/>
          <w:szCs w:val="28"/>
          <w:rtl w:val="true"/>
          <w:lang w:bidi="fa-IR"/>
        </w:rPr>
        <w:t xml:space="preserve">جداگانۀ جبرئیل، تشریف و بزرگ‌داشت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علامه طباطبائی روح در این آیه را مانند آیۀ پیشین تفسیر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غیر از ملائکه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گنابادی نیز مانند آیۀ قبل، ربّ النوع انسانی و روح‌القدس را معنای روح در این آیه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دیدگاه های مزبور، از نظر آیت‌الله ملکی این اظهارات غیر قابل اتکا و مراد از روح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بهترین شیوه در مواجهه با این دو آیه، احتیاط و واگذاری علم آن‌ها به خدا و اهل‌بیت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توقف در تفسیر این دو آیه، ناسازگاری فعل قیام و عروج با خصوصیت علمی و دیگر اوصاف وجودی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دو آیه فاقد مستند حدیثی در تفسیر است؛ گرچه بر اساس حدیثی که در تفسیر قمی از علی بن ابراهیم نقل شده، روح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روح‌القدس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4"/>
        <w:numPr>
          <w:ilvl w:val="3"/>
          <w:numId w:val="1"/>
        </w:numPr>
        <w:rPr/>
      </w:pPr>
      <w:bookmarkStart w:id="264" w:name="__RefHeading___Toc2105094_2749589250"/>
      <w:bookmarkStart w:id="265" w:name="_Toc109"/>
      <w:bookmarkEnd w:id="264"/>
      <w:r>
        <w:rPr/>
        <w:t>4</w:t>
      </w:r>
      <w:r>
        <w:rPr>
          <w:rtl w:val="true"/>
        </w:rPr>
        <w:t>ـ</w:t>
      </w:r>
      <w:r>
        <w:rPr/>
        <w:t>2</w:t>
      </w:r>
      <w:r>
        <w:rPr>
          <w:rtl w:val="true"/>
        </w:rPr>
        <w:t xml:space="preserve">. </w:t>
      </w:r>
      <w:r>
        <w:rPr>
          <w:rtl w:val="true"/>
        </w:rPr>
        <w:t>نسبت وجودی روح القدس با مؤمنان</w:t>
      </w:r>
      <w:bookmarkEnd w:id="265"/>
    </w:p>
    <w:p>
      <w:pPr>
        <w:pStyle w:val="BookText"/>
        <w:rPr/>
      </w:pPr>
      <w:r>
        <w:rPr>
          <w:rFonts w:ascii="Amiri" w:hAnsi="Amiri" w:eastAsia="Amiri" w:cs="Amiri"/>
          <w:color w:val="111111"/>
          <w:sz w:val="28"/>
          <w:sz w:val="28"/>
          <w:szCs w:val="28"/>
          <w:rtl w:val="true"/>
          <w:lang w:bidi="ar-SA"/>
        </w:rPr>
        <w:t>از نظر قرآن کریم، مؤمنان راستین نیز با روحی الهی در ارتباطند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تعیین مصداق این روح و تفسیر تأیید به آن، دارای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به نور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تقویت به نصرت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تأیید به لطف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آرای تفسیری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ملکی معتقد است عطف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تفاوت تأیید مؤمن به روح الهی با کتابت ایمان در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تأیید به روح، اشتداد و ازدیاد معرفت است که با آن رغبت و اقبال شخص به انجام اعمال ایمانی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تأیید در شمار محبوب کردن و آراستن ایمان و ناپسند جلوه دادن کفر و نافرمانی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حَبَّبَ إِلَیْکُمُ الْإیمانَ وَ زَیَّنَۀ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مکتوب نیز همان معرفت فطری و فعل الهی است و تأیید و إحکام این ایمان، به فعل او و به واسطۀ روح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تعلق این روح به مؤمن، معرفت به خدا را اشتداد می‌بخشد و قلب او را استوار و مطمئن به ایمان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تأیید روحی خداوند به اشتداد علم، گویای آن است که روح در این آیه با آیات سابق تفاوت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مؤیِّد همان</w:t>
      </w:r>
      <w:bookmarkStart w:id="266" w:name="pg3269_31753"/>
    </w:p>
    <w:p>
      <w:pPr>
        <w:pStyle w:val="BookText"/>
        <w:rPr/>
      </w:pPr>
      <w:bookmarkEnd w:id="266"/>
      <w:r>
        <w:rPr>
          <w:rFonts w:ascii="IRNazanin" w:hAnsi="IRNazanin" w:eastAsia="IRNazanin"/>
          <w:color w:val="111111"/>
          <w:sz w:val="28"/>
          <w:sz w:val="28"/>
          <w:szCs w:val="28"/>
          <w:rtl w:val="true"/>
          <w:lang w:bidi="fa-IR"/>
        </w:rPr>
        <w:t>روح‌القدس است که پرتوی از علم او به قلب مؤمن تابانده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در مرتبۀ کمال، علم ویژه‌ای است که از آنِ انبیا و اوصیاست؛ اما روحی که ایمان مؤمنان را تسدید و تأیید می‌کند، شعاعی از همان علم است که موجب گرایش به اعمال نیک و جلوه‌گری زیبای ایمان بر بنده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 تفسیر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در تعلق این روح به مؤمنان صراحت دارد؛ آن‌جا که در وصف روح‌القدس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 الله فِی قُلُوبِ الرُّسُلِ وَ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میزان و کیفیت بهره‌مندی برخی مؤمنان از روح‌القدس در مقایسه با معصومان علیهم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حقیقی به تأیید روح‌القدس، ایمان را نیکو و محبوب خویش می‌یابد و بر اساس آن دین‌داری و دین‌مداری خود را تحکیم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رابطۀ وجودی روح القدس با معصومان علیهم السلام رابطۀ متعالی‌تری است که متناسب با مقام رسالت و امامت، آثار متفاوتی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روح‌القدس به انبیا و ائمه علیهم السلام موجب عصمت، علم به اشیا و حوادث گذشته و آینده و هموار شدن مسیر هدایت‌گری آنان گشته و فضیلت و برتری‌شان بر خلق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تعارض آن دسته از احادیثی که در مقام شمارش ارواح انسان‌های مختلف، روح‌القدس را مختص انبیا و ائمه بیان می‌کنند با این آیه و دیگر احادیث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آیت‌الله ملکی به این تعارض نپرداخته، اما آنچه در کیفیت ارتباط روح‌القدس با مؤمنان بیان کرد، به حل این تعارض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آن‌جا که روح‌القدس مختص انبیا و ائمه معرفی می‌شود، همراهی همیشگی این روح و آثار قدسی و ملکوتی آن مانند علم لدنّی و بی‌پایان،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کمالاتی که دیگران به یقین از آن‌ها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تأیید مؤمنان به روح‌القدس طرح می‌گردد، بهره‌مندی نازل‌تر و منوّر شدن از پرتوی از نور الهی روح‌القدس مقصود است که فقط سبب تقویت ایمان و گرایش به اعمال ایمانی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بهره مندی برخی شاعران و اصحاب امامان از روح‌القدس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267" w:name="__RefHeading___Toc2105096_2749589250"/>
      <w:bookmarkStart w:id="268" w:name="_Toc110"/>
      <w:bookmarkEnd w:id="267"/>
      <w:r>
        <w:rPr/>
        <w:t>3</w:t>
      </w:r>
      <w:r>
        <w:rPr>
          <w:rtl w:val="true"/>
        </w:rPr>
        <w:t xml:space="preserve">. </w:t>
      </w:r>
      <w:r>
        <w:rPr>
          <w:rtl w:val="true"/>
        </w:rPr>
        <w:t>کارکردهای کلامی معنای روح در قرآن</w:t>
      </w:r>
      <w:bookmarkEnd w:id="268"/>
    </w:p>
    <w:p>
      <w:pPr>
        <w:pStyle w:val="Heading4"/>
        <w:numPr>
          <w:ilvl w:val="3"/>
          <w:numId w:val="1"/>
        </w:numPr>
        <w:rPr/>
      </w:pPr>
      <w:bookmarkStart w:id="269" w:name="__RefHeading___Toc2105098_2749589250"/>
      <w:bookmarkStart w:id="270" w:name="_Toc111"/>
      <w:bookmarkEnd w:id="269"/>
      <w:r>
        <w:rPr>
          <w:rtl w:val="true"/>
        </w:rPr>
        <w:t>اشاره</w:t>
      </w:r>
      <w:bookmarkEnd w:id="2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مجموع آیات و روایات روشن شد که تفسیر روح در قرآن به غیر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تأمل در این آیات نشان داد طرح موضوع روح در کلام الهی با برخی مباحث اعتقادی، به‌ویژه بحث نبوت و امامت در هم تنیده است؛ از این رو، عدم پذیرش تفسیر روح به نفس ناطقه و نیز تبیین جدید از روح‌القدس در این نظریه، موجب تغییر</w:t>
      </w:r>
      <w:bookmarkStart w:id="271" w:name="pg3269_31754"/>
    </w:p>
    <w:p>
      <w:pPr>
        <w:pStyle w:val="BookText"/>
        <w:rPr/>
      </w:pPr>
      <w:bookmarkEnd w:id="271"/>
      <w:r>
        <w:rPr>
          <w:rFonts w:ascii="IRNazanin" w:hAnsi="IRNazanin" w:eastAsia="IRNazanin"/>
          <w:color w:val="111111"/>
          <w:sz w:val="28"/>
          <w:sz w:val="28"/>
          <w:szCs w:val="28"/>
          <w:rtl w:val="true"/>
          <w:lang w:bidi="fa-IR"/>
        </w:rPr>
        <w:t>نگرش به آموزه‌های کلامی مطروح در آیات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آثار کلامی نظریۀ مورد بحث می‌پردازیم</w:t>
      </w:r>
      <w:r>
        <w:rPr>
          <w:rFonts w:eastAsia="IRNazanin" w:cs="IRNazanin"/>
          <w:color w:val="111111"/>
          <w:sz w:val="28"/>
          <w:szCs w:val="28"/>
          <w:rtl w:val="true"/>
          <w:lang w:bidi="fa-IR"/>
        </w:rPr>
        <w:t>.</w:t>
      </w:r>
    </w:p>
    <w:p>
      <w:pPr>
        <w:pStyle w:val="Heading4"/>
        <w:numPr>
          <w:ilvl w:val="3"/>
          <w:numId w:val="1"/>
        </w:numPr>
        <w:rPr/>
      </w:pPr>
      <w:bookmarkStart w:id="272" w:name="__RefHeading___Toc2105100_2749589250"/>
      <w:bookmarkStart w:id="273" w:name="_Toc112"/>
      <w:bookmarkEnd w:id="272"/>
      <w:r>
        <w:rPr/>
        <w:t>1</w:t>
      </w:r>
      <w:r>
        <w:rPr>
          <w:rtl w:val="true"/>
        </w:rPr>
        <w:t>ـ</w:t>
      </w:r>
      <w:r>
        <w:rPr/>
        <w:t>3</w:t>
      </w:r>
      <w:r>
        <w:rPr>
          <w:rtl w:val="true"/>
        </w:rPr>
        <w:t xml:space="preserve">. </w:t>
      </w:r>
      <w:r>
        <w:rPr>
          <w:rtl w:val="true"/>
        </w:rPr>
        <w:t>تبیین جدید از روح موجود در حضرت آدم</w:t>
      </w:r>
      <w:r>
        <w:rPr/>
        <w:t></w:t>
      </w:r>
      <w:r>
        <w:rPr>
          <w:rtl w:val="true"/>
        </w:rPr>
        <w:t xml:space="preserve"> و حکمت سجود فرشتگان بر او</w:t>
      </w:r>
      <w:bookmarkEnd w:id="273"/>
    </w:p>
    <w:p>
      <w:pPr>
        <w:pStyle w:val="BookText"/>
        <w:rPr/>
      </w:pPr>
      <w:r>
        <w:rPr>
          <w:rFonts w:ascii="IRNazanin" w:hAnsi="IRNazanin" w:eastAsia="IRNazanin"/>
          <w:color w:val="111111"/>
          <w:sz w:val="28"/>
          <w:sz w:val="28"/>
          <w:szCs w:val="28"/>
          <w:rtl w:val="true"/>
          <w:lang w:bidi="fa-IR"/>
        </w:rPr>
        <w:t>از جمله مباحث دیرین میان متکلمان و مفسران، چیستی روح نفخ‌شده به آدم، چگونگی این نفخ، نسبتِ روح آدم با خدا و حکمت سجود فرشتگان بر وی و توجیه این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متکلمان و فیلسوفان به دلیل پاره‌ای اهداف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اثبات تجرد نفس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برداشت‌های رایج از جملات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نفخ روح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شماری از آیات روح را به روح و نفس انسانی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غالب نظریات ارائه‌شده بر پایۀ روح انسانی استوار شده و مباحث یادشده محور گفت‌وگو‌های گوناگون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حکمت سجده بر آدم علیه السلام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برای مسئله نفخ روح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ابن‌قیم جوزی،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برای استدلال به تجرد روح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رازی،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w:t>
      </w:r>
    </w:p>
    <w:p>
      <w:pPr>
        <w:pStyle w:val="BookText"/>
        <w:rPr/>
      </w:pPr>
      <w:r>
        <w:rPr>
          <w:rFonts w:ascii="IRNazanin" w:hAnsi="IRNazanin" w:eastAsia="IRNazanin"/>
          <w:color w:val="111111"/>
          <w:sz w:val="28"/>
          <w:sz w:val="28"/>
          <w:szCs w:val="28"/>
          <w:rtl w:val="true"/>
          <w:lang w:bidi="fa-IR"/>
        </w:rPr>
        <w:t>مهمّ معناشناسی روح در قرآن در نظریۀ آیت‌الله ملکی، رفع این مناقشات کلامی و هموار</w:t>
      </w:r>
    </w:p>
    <w:p>
      <w:pPr>
        <w:pStyle w:val="BookText"/>
        <w:rPr/>
      </w:pPr>
      <w:r>
        <w:rPr>
          <w:rFonts w:ascii="IRNazanin" w:hAnsi="IRNazanin" w:eastAsia="IRNazanin"/>
          <w:color w:val="111111"/>
          <w:sz w:val="28"/>
          <w:sz w:val="28"/>
          <w:szCs w:val="28"/>
          <w:rtl w:val="true"/>
          <w:lang w:bidi="fa-IR"/>
        </w:rPr>
        <w:t>کردن مسیر فهم این دسته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طبق روایات اهل‌بیت علیه السلام ، روحِ دمیده‌شده به آدم پس از تسویه و تکمیل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این روح با موضوع تعلیم اسماء</w:t>
      </w:r>
    </w:p>
    <w:p>
      <w:pPr>
        <w:pStyle w:val="BookText"/>
        <w:rPr/>
      </w:pPr>
      <w:r>
        <w:rPr>
          <w:rFonts w:ascii="IRNazanin" w:hAnsi="IRNazanin" w:eastAsia="IRNazanin"/>
          <w:color w:val="111111"/>
          <w:sz w:val="28"/>
          <w:sz w:val="28"/>
          <w:szCs w:val="28"/>
          <w:rtl w:val="true"/>
          <w:lang w:bidi="fa-IR"/>
        </w:rPr>
        <w:t>به آدم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منبع علم آدم به اسماء است و این کمال سبب برتری بر فرشتگان و توجیه‌گر سجدۀ آنان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قرار گرفتن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اقوال</w:t>
      </w:r>
    </w:p>
    <w:p>
      <w:pPr>
        <w:pStyle w:val="BookText"/>
        <w:rPr/>
      </w:pPr>
      <w:r>
        <w:rPr>
          <w:rFonts w:ascii="IRNazanin" w:hAnsi="IRNazanin" w:eastAsia="IRNazanin"/>
          <w:color w:val="111111"/>
          <w:sz w:val="28"/>
          <w:sz w:val="28"/>
          <w:szCs w:val="28"/>
          <w:rtl w:val="true"/>
          <w:lang w:bidi="fa-IR"/>
        </w:rPr>
        <w:t>و دیدگاه‌های مبتنی بر نفس ناطقه بودن روحِ دمیده‌شده به آدم و استدلال به تجرد آن، ناصحیح خواهد بود</w:t>
      </w:r>
      <w:r>
        <w:rPr>
          <w:rFonts w:eastAsia="IRNazanin" w:cs="IRNazanin"/>
          <w:color w:val="111111"/>
          <w:sz w:val="28"/>
          <w:szCs w:val="28"/>
          <w:rtl w:val="true"/>
          <w:lang w:bidi="fa-IR"/>
        </w:rPr>
        <w:t>.</w:t>
      </w:r>
    </w:p>
    <w:p>
      <w:pPr>
        <w:pStyle w:val="Heading4"/>
        <w:numPr>
          <w:ilvl w:val="3"/>
          <w:numId w:val="1"/>
        </w:numPr>
        <w:rPr/>
      </w:pPr>
      <w:bookmarkStart w:id="274" w:name="__RefHeading___Toc2105102_2749589250"/>
      <w:bookmarkStart w:id="275" w:name="_Toc113"/>
      <w:bookmarkEnd w:id="274"/>
      <w:r>
        <w:rPr/>
        <w:t>2</w:t>
      </w:r>
      <w:r>
        <w:rPr>
          <w:rtl w:val="true"/>
        </w:rPr>
        <w:t>ـ</w:t>
      </w:r>
      <w:r>
        <w:rPr/>
        <w:t>3</w:t>
      </w:r>
      <w:r>
        <w:rPr>
          <w:rtl w:val="true"/>
        </w:rPr>
        <w:t xml:space="preserve">. </w:t>
      </w:r>
      <w:r>
        <w:rPr>
          <w:rtl w:val="true"/>
        </w:rPr>
        <w:t>چگونگی علم پیامبر به صدق وحی</w:t>
      </w:r>
      <w:bookmarkEnd w:id="2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کلامی، معجزه، صدق گفتار پیامبر را ثابت می‌کند، اما صدق و حقانیت وحی بر خود پیامبر چگونه ثابت می‌شود؟ این پرسش با ضمیمه به حدیثی که در منابع شیعه و سنّی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مسلم،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شاخ و برگ‌های مجعول همراه شده، شبهۀ عدم آگاهی پیامبر از نزول فرشتۀ وحی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پاسخ به این پرسش، پاسخ‌های گوناگونی داده‌اند که غالباً تکلف‌آمیز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ضمن پاسخ به پرسشی دربارۀ چگونگی</w:t>
      </w:r>
      <w:bookmarkStart w:id="276" w:name="pg3269_31755"/>
    </w:p>
    <w:p>
      <w:pPr>
        <w:pStyle w:val="BookText"/>
        <w:rPr/>
      </w:pPr>
      <w:bookmarkEnd w:id="276"/>
      <w:r>
        <w:rPr>
          <w:rFonts w:ascii="IRNazanin" w:hAnsi="IRNazanin" w:eastAsia="IRNazanin"/>
          <w:color w:val="111111"/>
          <w:sz w:val="28"/>
          <w:sz w:val="28"/>
          <w:szCs w:val="28"/>
          <w:rtl w:val="true"/>
          <w:lang w:bidi="fa-IR"/>
        </w:rPr>
        <w:t>ارتباط خداوند با 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دریافت پیام الهی این‌گونه است که خدا کلام را در جسم یا هوا یا چیز دیگر ایجاد می‌کند که با آن کلام، به شخصی که شایستگی خطاب دارد می‌فهماند که این کار از غیر خدا ساخته نیست؛ پس پیامبر می‌فهمد که این کلام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بر آن است که انبیا آن‌گاه به مقام نبوت نایل می‌شوند که به مقام نفس کلیه رسیده باشند و مقام نفس کلیۀ الهیه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یا لوح محفوظ یا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علم جبرئیل است که می‌خواهد پیام‌رسان به انبیا باشد؛ در نتیجه، پیامبر به سرچشمۀ علم جبرئیل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تردیدی در الهی بودن آنچه بر او نازل می‌شود،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سعید قمی،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قائل است خدواند به دو طریق در الهی بودن وحی، پیامبرش را مطمئن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معجزه ای به او نشان می‌دهد و یا علم ضروری و حضوری در نفس پیامبر ایجاد می‌کند که به واسطۀ آن مطمئن شود که این سخن یا این حقیقت دریافت‌شده، منشأ الهی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مازندرانی منشأ اطمینان را قدرت وهبی الهی در نفس پیامبر می‌داند که با آن حقانیت الهام و وحی بر نبی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داوری دربارۀ اقوال مزبور، مقایسۀ تحلیل روح‌القدس از نظر ملکی 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آرای یادشده نشان می دهد، دیدگاه ملکی غنا و قوّت افزون‌تری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تبیین ایشان از جایگاه روح‌القدس در نظام نبوت و رسالت، بهره‌مندی از روح‌القدس دارای مرتبه‌ای مقدم بر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دارایی علمی که عصمتی بالذات دارد، به استقبال نبوت و وحی می‌رود و هر آنچه به شئون نبوی مربوط است، بالعیان و الحقیقة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شأن پیامبر بسیار متعالی‌تر و ملکوتی‌تر از آن است که صدق وحی را بدون اعطای ویژۀ الهی که علمی برتر از علم حصولی یا حضوری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برخی روایات به عنوان عامل علم پیامبر به حقانیت و الهی بودن پیام جبرئیل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وصف روح‌القدس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همسو دانست</w:t>
      </w:r>
      <w:r>
        <w:rPr>
          <w:rFonts w:eastAsia="IRNazanin" w:cs="IRNazanin"/>
          <w:color w:val="111111"/>
          <w:sz w:val="28"/>
          <w:szCs w:val="28"/>
          <w:rtl w:val="true"/>
          <w:lang w:bidi="fa-IR"/>
        </w:rPr>
        <w:t>.</w:t>
      </w:r>
    </w:p>
    <w:p>
      <w:pPr>
        <w:pStyle w:val="Heading4"/>
        <w:numPr>
          <w:ilvl w:val="3"/>
          <w:numId w:val="1"/>
        </w:numPr>
        <w:rPr/>
      </w:pPr>
      <w:bookmarkStart w:id="277" w:name="__RefHeading___Toc2105104_2749589250"/>
      <w:bookmarkStart w:id="278" w:name="_Toc114"/>
      <w:bookmarkEnd w:id="277"/>
      <w:r>
        <w:rPr/>
        <w:t>3</w:t>
      </w:r>
      <w:r>
        <w:rPr>
          <w:rtl w:val="true"/>
        </w:rPr>
        <w:t>ـ</w:t>
      </w:r>
      <w:r>
        <w:rPr/>
        <w:t>3</w:t>
      </w:r>
      <w:r>
        <w:rPr>
          <w:rtl w:val="true"/>
        </w:rPr>
        <w:t xml:space="preserve">. </w:t>
      </w:r>
      <w:r>
        <w:rPr>
          <w:rtl w:val="true"/>
        </w:rPr>
        <w:t>اثبات عصمت پیامبر در طول حیات</w:t>
      </w:r>
      <w:bookmarkEnd w:id="2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کارکردهای کلامی نظریۀ ملکی 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مسئله عصمت و گسترۀ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مرتبۀ واجدیت روح‌القدس به عالم انوار و ارواح پیش از ابدان بازگشته و تصریح شده که</w:t>
      </w:r>
      <w:bookmarkStart w:id="279" w:name="pg3269_31756"/>
    </w:p>
    <w:p>
      <w:pPr>
        <w:pStyle w:val="BookText"/>
        <w:rPr/>
      </w:pPr>
      <w:bookmarkEnd w:id="279"/>
      <w:r>
        <w:rPr>
          <w:rFonts w:ascii="IRNazanin" w:hAnsi="IRNazanin" w:eastAsia="IRNazanin"/>
          <w:color w:val="111111"/>
          <w:sz w:val="28"/>
          <w:sz w:val="28"/>
          <w:szCs w:val="28"/>
          <w:rtl w:val="true"/>
          <w:lang w:bidi="fa-IR"/>
        </w:rPr>
        <w:t>پیامبر و اهل‌بیت علیهم السلام با تأیید روح‌القدس، در آن عالم عبادت می‌کردند و به این سبب در دنیا</w:t>
      </w:r>
    </w:p>
    <w:p>
      <w:pPr>
        <w:pStyle w:val="BookText"/>
        <w:rPr/>
      </w:pPr>
      <w:r>
        <w:rPr>
          <w:rFonts w:ascii="IRNazanin" w:hAnsi="IRNazanin" w:eastAsia="IRNazanin"/>
          <w:color w:val="111111"/>
          <w:sz w:val="28"/>
          <w:sz w:val="28"/>
          <w:szCs w:val="28"/>
          <w:rtl w:val="true"/>
          <w:lang w:bidi="fa-IR"/>
        </w:rPr>
        <w:t xml:space="preserve">در اعمال عبادی ثابت‌قدمند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روح‌القدس از هنگام ولادت تا پایان عمر همراه با معصومان علیهم السلام است و کارکرد ویژۀ خود را در سراسر عمر آنان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وجود این روح مایۀ اجتناب صاحبش از لهو و لعب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این دو مقدمه، عصمت نبی و امام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لهو و</w:t>
      </w:r>
    </w:p>
    <w:p>
      <w:pPr>
        <w:pStyle w:val="BookText"/>
        <w:rPr/>
      </w:pPr>
      <w:r>
        <w:rPr>
          <w:rFonts w:ascii="IRNazanin" w:hAnsi="IRNazanin" w:eastAsia="IRNazanin"/>
          <w:color w:val="111111"/>
          <w:sz w:val="28"/>
          <w:sz w:val="28"/>
          <w:szCs w:val="28"/>
          <w:rtl w:val="true"/>
          <w:lang w:bidi="fa-IR"/>
        </w:rPr>
        <w:t>لعب حداقل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ـ پیش از نبوت و امامت و پس از آن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آثار کلامی به ما نشان می‌دهد، این نوع نگاه به روح‌القدس و سود جستن از آن در اثبات گسترۀ زمانی عصمت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متکلمان امامیه در اصل این گسترۀ زمانی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فاضل</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استدلال به اثر ویژۀ روح‌القدس و بهره بردن از احادیث آن، غفلت</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4"/>
        <w:numPr>
          <w:ilvl w:val="3"/>
          <w:numId w:val="1"/>
        </w:numPr>
        <w:rPr/>
      </w:pPr>
      <w:bookmarkStart w:id="280" w:name="__RefHeading___Toc2105106_2749589250"/>
      <w:bookmarkStart w:id="281" w:name="_Toc115"/>
      <w:bookmarkEnd w:id="280"/>
      <w:r>
        <w:rPr/>
        <w:t>4</w:t>
      </w:r>
      <w:r>
        <w:rPr>
          <w:rtl w:val="true"/>
        </w:rPr>
        <w:t>ـ</w:t>
      </w:r>
      <w:r>
        <w:rPr/>
        <w:t>3</w:t>
      </w:r>
      <w:r>
        <w:rPr>
          <w:rtl w:val="true"/>
        </w:rPr>
        <w:t xml:space="preserve">. </w:t>
      </w:r>
      <w:r>
        <w:rPr>
          <w:rtl w:val="true"/>
        </w:rPr>
        <w:t xml:space="preserve">مدد به شبهۀ عدم علم پیامبر ذیل آیه </w:t>
      </w:r>
      <w:r>
        <w:rPr>
          <w:rtl w:val="true"/>
        </w:rPr>
        <w:t>«</w:t>
      </w:r>
      <w:r>
        <w:rPr>
          <w:rtl w:val="true"/>
        </w:rPr>
        <w:t>ما کنت تدری ما الکتاب و لا الایمان</w:t>
      </w:r>
      <w:r>
        <w:rPr>
          <w:rtl w:val="true"/>
        </w:rPr>
        <w:t>»</w:t>
      </w:r>
      <w:bookmarkEnd w:id="281"/>
    </w:p>
    <w:p>
      <w:pPr>
        <w:pStyle w:val="BookText"/>
        <w:rPr/>
      </w:pPr>
      <w:r>
        <w:rPr>
          <w:rFonts w:ascii="IRNazanin" w:hAnsi="IRNazanin" w:eastAsia="IRNazanin"/>
          <w:color w:val="111111"/>
          <w:sz w:val="28"/>
          <w:sz w:val="28"/>
          <w:szCs w:val="28"/>
          <w:rtl w:val="true"/>
          <w:lang w:bidi="fa-IR"/>
        </w:rPr>
        <w:t>اگر مقام تعلق روح القدس به نبی، پیش از نبوت و رسالت است، نبی اکرم صلی الله علیه و اله و سلم هیچ‌گاه جاهل به کتاب و ایمان نخواهد بود؛ از این رو، دخالت دادن حیثیت زمانی در تفسیر جملۀ مزبور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القای روح‌القدس به پیامبر که از آن در این آیۀ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موجب علم به کتاب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جملۀ نافیۀ فوق در حکم جمله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روح‌القدس به تو وحی نشده بود، به کتاب و ایمان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که روح‌القدس از ابتدای خلقت همراه پیامبر صلی الله علیه و اله و سلم بوده و منشأ آگاهی‌های ایمانی، عبادی و عصمت وی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و سلم پیش از بعثت و نزول فرشتۀ وحی نیز مؤمن بالله و عالم به معارف کتاب خدا بوده است</w:t>
      </w:r>
      <w:r>
        <w:rPr>
          <w:rFonts w:eastAsia="IRNazanin" w:cs="IRNazanin"/>
          <w:color w:val="111111"/>
          <w:sz w:val="28"/>
          <w:szCs w:val="28"/>
          <w:rtl w:val="true"/>
          <w:lang w:bidi="fa-IR"/>
        </w:rPr>
        <w:t>.</w:t>
      </w:r>
    </w:p>
    <w:p>
      <w:pPr>
        <w:pStyle w:val="Heading3"/>
        <w:numPr>
          <w:ilvl w:val="2"/>
          <w:numId w:val="1"/>
        </w:numPr>
        <w:rPr/>
      </w:pPr>
      <w:bookmarkStart w:id="282" w:name="__RefHeading___Toc2105108_2749589250"/>
      <w:bookmarkStart w:id="283" w:name="_Toc116"/>
      <w:bookmarkEnd w:id="282"/>
      <w:r>
        <w:rPr>
          <w:rtl w:val="true"/>
        </w:rPr>
        <w:t>جمع‌بندی</w:t>
      </w:r>
      <w:bookmarkEnd w:id="2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نظریۀ تفسیری آیت‌الله ملکی 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معنای روح در قرآن با دو مرحلۀ نفی و اثبات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نفی، تفسیر آیات روح به نفس ناطقۀ انسان مورد بازنگری و تجدید نظر قرار می‌گیرد و استدلال به برخی از این آیات به سود تجرد نفس، سالبه به انتفای موضوع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اثبات نیز معناشناسی روح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معارج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نبأ که در تفسیر آن‌ها سکوت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مجموعه‌نگری به آیات و تحلیل روایات</w:t>
      </w:r>
      <w:bookmarkStart w:id="284" w:name="pg3269_31757"/>
    </w:p>
    <w:p>
      <w:pPr>
        <w:pStyle w:val="BookText"/>
        <w:rPr/>
      </w:pPr>
      <w:bookmarkEnd w:id="284"/>
      <w:r>
        <w:rPr>
          <w:rFonts w:ascii="IRNazanin" w:hAnsi="IRNazanin" w:eastAsia="IRNazanin"/>
          <w:color w:val="111111"/>
          <w:sz w:val="28"/>
          <w:sz w:val="28"/>
          <w:szCs w:val="28"/>
          <w:rtl w:val="true"/>
          <w:lang w:bidi="fa-IR"/>
        </w:rPr>
        <w:t>شیعه، دارای وحدت و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مراد الهی از روح در قرآن، روح‌القدس یا علم ویژۀ انبیا و اوصیا و بندگان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مجموع احادیث به دست می‌آید که روح‌القدس، علمی اعطایی و برتر است و از وجوه امتیازی معصومان از غیر معصومان به شمار می‌رود، زیرا خود این علم معصوم بالذات است و دارندۀ آن به مقام عصمت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بهره‌گیری از احادیث اهل‌بیت علیهم السلام ، آیات روح را به دلالت واحد و سازگار بر روح‌القدس باز‌گردانده، از هر گونه برداشتی که معنای واحد روح در قرآن را متعدد یا ناهماهنگ جلوه دهد، به 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ایشان خلط دامنۀ کاربردهای حدیثی روح و معنای یگانۀ قرآنی آن را برنمی‌تابد و معتقد است که هرچند این واژه در روایات گاه به معنای نفس انسانی به کار رفته، اما مدلول آیات روح، به استناد روایات تفسیری، با مدلول این دسته از احادیث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بررسی‌ها و تلاش‌های فقه‌الحدیثی ایشان در تفسیر آیات روح نشان می‌دهد که روح‌القدس از کمالات علمی معصومان علیهم السلام و در مقام نبوت و ولایت، قابل تحلیل است</w:t>
      </w:r>
      <w:r>
        <w:rPr>
          <w:rFonts w:eastAsia="IRNazanin" w:cs="IRNazanin"/>
          <w:color w:val="111111"/>
          <w:sz w:val="28"/>
          <w:szCs w:val="28"/>
          <w:rtl w:val="true"/>
          <w:lang w:bidi="fa-IR"/>
        </w:rPr>
        <w:t>.</w:t>
      </w:r>
    </w:p>
    <w:p>
      <w:pPr>
        <w:pStyle w:val="Heading3"/>
        <w:numPr>
          <w:ilvl w:val="2"/>
          <w:numId w:val="1"/>
        </w:numPr>
        <w:rPr/>
      </w:pPr>
      <w:bookmarkStart w:id="285" w:name="__RefHeading___Toc2105110_2749589250"/>
      <w:bookmarkStart w:id="286" w:name="_Toc117"/>
      <w:bookmarkEnd w:id="285"/>
      <w:r>
        <w:rPr>
          <w:rtl w:val="true"/>
        </w:rPr>
        <w:t>منابع</w:t>
      </w:r>
      <w:bookmarkEnd w:id="28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قیم جوزی، محمد بن ابی بکر بن ایوب،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الروح،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رمضان، بیروت، دار 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رازی، حسین بن علی،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ناصح و محمدجعفر یاحقی،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ابن‌حزم،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الأهواء و النحل،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محمود 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بیروت، دار ابن‌کثیر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دارالجیل ـ دارالآفاق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عمر بن بحر،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الجاحظ، بیروت،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تسلیک النفس الی حظیرة القدس، قم، مؤسسة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الأخبار،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النفس و الروح و شرح قواهما، افست تهران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دارالکتب العربی،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الحکم، قم، مطبوعات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علی‌شاه، محمد بن حیدر،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السعادة فی مقامات العبادة، بیروت، 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مکتبة آیت‌الله المرعشی النجفی،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مؤسسة الاعلمی،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الإقتصاد فیما یتعلق بالإعتقاد،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عبدالحسین،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اطیب البیان فی تفسیر القرآن، تهران،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الجلالیة فی شرح الفصول النصیریة، مشهد، مجمع البحوث النصیریة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الطالبین، قم، کتابخانه آیت‌الله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 بن شاه‌مرتضی،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مکتبة الصدر،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سعید قمی، محمدبن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توحید الصدوق،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دارالکتاب،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فتح‌الله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الصادقین فی الزام المخالفین، ایران،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ملاصالح،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تهران، دارالکتب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أخبار الأئمة الأطهار علیهم السلام ، بیروت، دار احیاء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الإمامیة، 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المؤتمر العالمی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 قم، بیدار،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میانجی، محمدباقر،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قرآنی،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خدایاری، قم، خرم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البیان فی تفسیر القرآن، تهران، وزارة الثقافة و الارشاد الاسلامی؛ مؤسسة الطباعة و النشر</w:t>
      </w:r>
      <w:r>
        <w:rPr>
          <w:rFonts w:eastAsia="IRNazanin" w:cs="IRNazanin"/>
          <w:color w:val="111111"/>
          <w:sz w:val="28"/>
          <w:szCs w:val="28"/>
          <w:rtl w:val="true"/>
          <w:lang w:bidi="fa-IR"/>
        </w:rPr>
        <w:t>.</w:t>
      </w:r>
      <w:bookmarkStart w:id="287" w:name="pg3269_31760"/>
    </w:p>
    <w:p>
      <w:pPr>
        <w:pStyle w:val="Heading2"/>
        <w:numPr>
          <w:ilvl w:val="1"/>
          <w:numId w:val="1"/>
        </w:numPr>
        <w:rPr/>
      </w:pPr>
      <w:bookmarkStart w:id="288" w:name="__RefHeading___Toc2105112_2749589250"/>
      <w:bookmarkStart w:id="289" w:name="_Toc118"/>
      <w:bookmarkEnd w:id="287"/>
      <w:bookmarkEnd w:id="288"/>
      <w:r>
        <w:rPr>
          <w:rtl w:val="true"/>
        </w:rPr>
        <w:t xml:space="preserve">زمینه‌های تاریخی و علمی گرایش شریف مرتضی به نظریۀ </w:t>
      </w:r>
      <w:r>
        <w:rPr>
          <w:rtl w:val="true"/>
        </w:rPr>
        <w:t>«</w:t>
      </w:r>
      <w:r>
        <w:rPr>
          <w:rtl w:val="true"/>
        </w:rPr>
        <w:t>صرفه</w:t>
      </w:r>
      <w:r>
        <w:rPr>
          <w:rtl w:val="true"/>
        </w:rPr>
        <w:t xml:space="preserve">»/ </w:t>
      </w:r>
      <w:r>
        <w:rPr>
          <w:rtl w:val="true"/>
        </w:rPr>
        <w:t xml:space="preserve">امیر احمدنژاد </w:t>
      </w:r>
      <w:r>
        <w:rPr>
          <w:rtl w:val="true"/>
        </w:rPr>
        <w:t>_</w:t>
      </w:r>
      <w:r>
        <w:rPr>
          <w:rtl w:val="true"/>
        </w:rPr>
        <w:t>عاطفه محمدزاده</w:t>
      </w:r>
      <w:bookmarkEnd w:id="289"/>
    </w:p>
    <w:p>
      <w:pPr>
        <w:pStyle w:val="Heading3"/>
        <w:numPr>
          <w:ilvl w:val="2"/>
          <w:numId w:val="1"/>
        </w:numPr>
        <w:rPr/>
      </w:pPr>
      <w:bookmarkStart w:id="290" w:name="__RefHeading___Toc2105114_2749589250"/>
      <w:bookmarkStart w:id="291" w:name="_Toc11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امیر احمدنژاد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عاطفه محمدزاده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1395/09/25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1396/02/16</w:t>
      </w:r>
    </w:p>
    <w:p>
      <w:pPr>
        <w:pStyle w:val="Heading3"/>
        <w:numPr>
          <w:ilvl w:val="2"/>
          <w:numId w:val="1"/>
        </w:numPr>
        <w:rPr/>
      </w:pPr>
      <w:bookmarkStart w:id="292" w:name="__RefHeading___Toc2105116_2749589250"/>
      <w:bookmarkStart w:id="293" w:name="_Toc120"/>
      <w:bookmarkEnd w:id="292"/>
      <w:r>
        <w:rPr>
          <w:rtl w:val="true"/>
        </w:rPr>
        <w:t>چکیده</w:t>
      </w:r>
      <w:bookmarkEnd w:id="293"/>
    </w:p>
    <w:p>
      <w:pPr>
        <w:pStyle w:val="BookText"/>
        <w:rPr/>
      </w:pPr>
      <w:r>
        <w:rPr>
          <w:rFonts w:ascii="IRNazanin" w:hAnsi="IRNazanin" w:eastAsia="IRNazanin"/>
          <w:color w:val="111111"/>
          <w:sz w:val="28"/>
          <w:sz w:val="28"/>
          <w:szCs w:val="28"/>
          <w:rtl w:val="true"/>
          <w:lang w:bidi="fa-IR"/>
        </w:rPr>
        <w:t xml:space="preserve">سید مرتضی، ادیب و متکلم نام‌دار شیعه، از قائلان 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اقتضای شرایط محیطی و با آگاهی از ویژگی های صرفه، آن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بحران اشکال گیری یهودیان و مسیحیان غیرعرب در بحث اعجاز قرآن، مباحثات کلامی مکاتب اسلامی در تبیین وجوه اعجاز و ایجاد فضای آزاد در این نوع مجادلات، از مهم‌ترین عوامل تاریخی گزینش این نظریه از سوی او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ادبی و کلامی سید، اعم از لزوم تکیه بر معیارهای غیرذوقی در سنجش بلاغت قرآن، پیچیدگی تفهیم امتناع هماوردی با قرآن در تقریرهای اعجاز بیانی و عمومیت فهم‌پذیری صرفه نیز، در انتخاب این نظریه از سوی او تأثیر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می کوشد تا ضمن بررسی منشأ طرح این نظریه در عصر سید مرتضی، زمینه های تاریخی و علمی رویکرد وی را مورد تحلیل قرار دهد</w:t>
      </w:r>
      <w:r>
        <w:rPr>
          <w:rFonts w:eastAsia="IRNazanin" w:cs="IRNazanin"/>
          <w:color w:val="111111"/>
          <w:sz w:val="28"/>
          <w:szCs w:val="28"/>
          <w:rtl w:val="true"/>
          <w:lang w:bidi="fa-IR"/>
        </w:rPr>
        <w:t>.</w:t>
      </w:r>
    </w:p>
    <w:p>
      <w:pPr>
        <w:pStyle w:val="Heading3"/>
        <w:numPr>
          <w:ilvl w:val="2"/>
          <w:numId w:val="1"/>
        </w:numPr>
        <w:rPr/>
      </w:pPr>
      <w:bookmarkStart w:id="294" w:name="__RefHeading___Toc2105118_2749589250"/>
      <w:bookmarkStart w:id="295" w:name="_Toc121"/>
      <w:bookmarkEnd w:id="294"/>
      <w:r>
        <w:rPr>
          <w:rtl w:val="true"/>
        </w:rPr>
        <w:t>واژگان کلیدی</w:t>
      </w:r>
      <w:bookmarkEnd w:id="2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صرفه، سید مرتضی، اعجاز قرآن، رویکرد</w:t>
      </w:r>
      <w:r>
        <w:rPr>
          <w:rFonts w:eastAsia="IRNazanin" w:cs="IRNazanin"/>
          <w:color w:val="111111"/>
          <w:sz w:val="28"/>
          <w:szCs w:val="28"/>
          <w:rtl w:val="true"/>
          <w:lang w:bidi="fa-IR"/>
        </w:rPr>
        <w:t>.</w:t>
      </w:r>
      <w:bookmarkStart w:id="296" w:name="pg3269_31761"/>
    </w:p>
    <w:p>
      <w:pPr>
        <w:pStyle w:val="Heading3"/>
        <w:numPr>
          <w:ilvl w:val="2"/>
          <w:numId w:val="1"/>
        </w:numPr>
        <w:rPr/>
      </w:pPr>
      <w:bookmarkStart w:id="297" w:name="__RefHeading___Toc2105120_2749589250"/>
      <w:bookmarkStart w:id="298" w:name="_Toc122"/>
      <w:bookmarkEnd w:id="296"/>
      <w:bookmarkEnd w:id="297"/>
      <w:r>
        <w:rPr>
          <w:rtl w:val="true"/>
        </w:rPr>
        <w:t>مقدمه</w:t>
      </w:r>
      <w:bookmarkEnd w:id="298"/>
    </w:p>
    <w:p>
      <w:pPr>
        <w:pStyle w:val="BookText"/>
        <w:rPr/>
      </w:pPr>
      <w:r>
        <w:rPr>
          <w:rFonts w:ascii="IRNazanin" w:hAnsi="IRNazanin" w:eastAsia="IRNazanin"/>
          <w:color w:val="111111"/>
          <w:sz w:val="28"/>
          <w:sz w:val="28"/>
          <w:szCs w:val="28"/>
          <w:rtl w:val="true"/>
          <w:lang w:bidi="fa-IR"/>
        </w:rPr>
        <w:t>یکی از مسائل بحث برانگیز دربارۀ اعجاز قرآن، وجوه اعجاز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در منابع کلامی که در تفاسیر و تألیفات علوم قرآنی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وجوهی که باورمندی به آن سابقۀ طولانی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قول از نخستین وجوهی است که در بین دانشمندان اسلامی مورد بحث و گفت‌وگو بوده و دربارۀ آن بررسی و نقدهای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در قرن چهارم و پنجم هجری، مورد توجه بسیاری بوده و به عنوان نظریۀ معروف در اعجاز قرآن، جای خود را تثبیت کرده است؛ اما در قرون بعد، عده‌ای آن را متزلزل دانسته و در اعتبار آن تردید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صرفه، فرق چندان زیادی میان قصیده های معروف عرب و آیات قرآن از حیث نظم نمی‌دیده اند و ناتوانی بشر را به ذات جملات و نظم و بلاغت قرآن نسبت نمی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 را ناشی از قدرت خداوند در سلب انگیزه، توانایی یا دانش بشر در زمان معارضه یا از مدت‌ها قبل از آن، یعنی از آغاز حیات انسان تلقی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کسانی که در وجه اعجاز قرآن سخن گفته اند و از صرفه نیز یاد کرده اند، سید مرتضی را در شمار قائلان به صرفه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اشتراک این محققان در تحلیل دیدگاه سید آن است که نوعاً دلایل فرامتنی، به‌ویژه اقتضائات محیطی، حضور مخالفان برون دینی در زمان وی و نیز خصوصیات ذاتی صرفه را در علت گزینش این نظریه از سوی او نادیده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رافعی،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مؤدب،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تأملات دقیق این دانشمند در موضوعات گوناگون کلامی، تفسیری و به‌ویژه مسائل ادبی، از سویی و تأکید بر صرفه از سوی دیگر، ناسازگاری ظاهری‌ای بین شخصیت علمی و دیدگاه او در اذهان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حاضر می کوشد تا با توجه به بستر تاریخی نظریۀ صرفه و تمایزات ذاتی این دیدگاه از سایر وجوه اعجاز، چرایی طرح آن را از سوی سید مرتضی بیان کند و بدین وسیله ابعاد آرای او دربارۀ اعجاز قرآن را آشکارتر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پس از آشنایی مختصر با پیشینۀ این نظریه و حیات علمی سید، فضای تاریخی روزگار وی، به ویژه در حوزۀ تعامل جامعۀ اسلامی با ادیان و مذاهب گوناگون، و هم‌چنین زمینه 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در تبیین اعجاز قرآن را به بحث می گذارد و با تکیه بر این دو مؤلفه، دیدگاه وی را از زاویه ای جدید می کاود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کتاب‌های متعددی نوشته شده، اما در میان پژوهش های نشریافته که تا حدودی به موضوع نوشتار حاضر مربوط است، تنها می توان به سه مقالۀ زیر</w:t>
      </w:r>
      <w:bookmarkStart w:id="299" w:name="pg3269_31762"/>
    </w:p>
    <w:p>
      <w:pPr>
        <w:pStyle w:val="BookText"/>
        <w:rPr/>
      </w:pPr>
      <w:bookmarkEnd w:id="299"/>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تاریخی اندیشۀ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ریچارد مارتین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دایرۀ المعارف قرآن و ترجمۀ سیدعلی آقایی که در شمارۀ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پژوهش های قرآنی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نیز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تکوین نظریۀ اعجاز قرآن و تبیین وجوه آن در قرون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مرتضی کریمی نیا که در شمارۀ یکم مجلۀ پژوهش های قرآن و حدیث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نوشته به بررسی کلی زمینه های طرح نظریۀ اعجاز قرآن و سیر تحول آن پرداخته اند و هیچ یک به طور خاص و به تفصیل، بحث از وجوه اعجاز و به‌ویژه صرفه را مطرح نکرده و صحبتی از علل علمی گرایش به این نظریه از سوی اندیشمندان شیعی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معتزلۀ بصره در شکل گیری نظریۀ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نگاشتۀ ریچارد مارتین بوده و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شمارۀ سوم مجلۀ مطالعات خاور نزدیک چاپ شده، توسط مهرداد عباسی ترجمه و در شمارۀ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پژوهش‌های قرآنی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یافته است؛ اما برخلاف نوشتار حاضر که از تلاش عالمی شیعی در دفاع از قرآن پرده برداشته و عوامل طرح این نظریه را در دورانی خاص بیان کرده، بیشتر به تلاش فرقۀ اعتزال در طرح اندیشۀ اعجاز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با پیشینۀ فوق، مقالۀ حاضر سابقۀ پژوهشی نداشته و تاکنون در راستای آن تحقیق نشریافته ای ملاحظه نشده است</w:t>
      </w:r>
      <w:r>
        <w:rPr>
          <w:rFonts w:eastAsia="IRNazanin" w:cs="IRNazanin"/>
          <w:color w:val="111111"/>
          <w:sz w:val="28"/>
          <w:szCs w:val="28"/>
          <w:rtl w:val="true"/>
          <w:lang w:bidi="fa-IR"/>
        </w:rPr>
        <w:t>.</w:t>
      </w:r>
    </w:p>
    <w:p>
      <w:pPr>
        <w:pStyle w:val="Heading3"/>
        <w:numPr>
          <w:ilvl w:val="2"/>
          <w:numId w:val="1"/>
        </w:numPr>
        <w:rPr/>
      </w:pPr>
      <w:bookmarkStart w:id="300" w:name="__RefHeading___Toc2105122_2749589250"/>
      <w:bookmarkStart w:id="301" w:name="_Toc123"/>
      <w:bookmarkEnd w:id="300"/>
      <w:r>
        <w:rPr>
          <w:rtl w:val="true"/>
        </w:rPr>
        <w:t>پیشینۀ نظریۀ صرفه</w:t>
      </w:r>
      <w:bookmarkEnd w:id="301"/>
    </w:p>
    <w:p>
      <w:pPr>
        <w:pStyle w:val="Heading4"/>
        <w:numPr>
          <w:ilvl w:val="3"/>
          <w:numId w:val="1"/>
        </w:numPr>
        <w:rPr/>
      </w:pPr>
      <w:bookmarkStart w:id="302" w:name="__RefHeading___Toc2105124_2749589250"/>
      <w:bookmarkStart w:id="303" w:name="_Toc124"/>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برخی از محققان غربی سعی کرده اند نشان دهند اندیشۀ صرفه پیش‌تر از اسلام، در مسیحیت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موردنظر آن‌ها نوع تفکر یکی از آبای کلیسا؛ به نام لاکتانتیوس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Von Grunnebaum, 1993, 3:1019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شاید بر همین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ونزبرو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مطالعات قرآنی به وجود ابهاماتی دربارۀ اشتهار فرقۀ اعتزال در طرح نظریۀ صرفه،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چون آرای معتزله را در این باب اغلب دشمنان پیروزمند آن‌ها نقل کرده اند، به درستی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تشخیص داد رأی ایشان در باب صرفه، نوعی واکنش به برخی آرای علمی موجود در جامعۀ اسلامی و غیراسلامی بوده یا صرفاً ناشی از ابتکار خود ایشان در حل مسئلۀ ادلۀ نبوت پیامبر صلی الله علیه و اله و سلم و حقانیت دین اسلام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کریمی‌نیا،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ابوزهره با یافتن شاهدی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 للهند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ابوریحان بیرونی، خاستگاه این نظر را باور هندوهایی بیان می کند که خدایان برهمایی را عامل منصرف کردن افراد در تقلید از کتاب‌های مذهبی شان می دانستند؛ چنانچه در کتاب المعجزۀ الکبری القرآن آمده در</w:t>
      </w:r>
      <w:bookmarkStart w:id="304" w:name="pg3269_31763"/>
    </w:p>
    <w:p>
      <w:pPr>
        <w:pStyle w:val="BookText"/>
        <w:rPr/>
      </w:pPr>
      <w:bookmarkEnd w:id="304"/>
      <w:r>
        <w:rPr>
          <w:rFonts w:ascii="IRNazanin" w:hAnsi="IRNazanin" w:eastAsia="IRNazanin"/>
          <w:color w:val="111111"/>
          <w:sz w:val="28"/>
          <w:sz w:val="28"/>
          <w:szCs w:val="28"/>
          <w:rtl w:val="true"/>
          <w:lang w:bidi="fa-IR"/>
        </w:rPr>
        <w:t xml:space="preserve">دوران منصور، خلیفۀ دوم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خلفای پس از او، افکار هندی به جامعۀ اسلامی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تجددگرا و دنبال افکار بیگانه بودند، این نظر را پذیرفتند و آن را بر قرآن نیز منطبق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صرفه از آن زمان وارد جامعۀ اسلامی شد و کمابیش متکلمان و دیگران از آن استقبال کردند تا این‌که در اوایل قرن سوم، نظّام، یکی از متکلمان معروف معتزلی، این نظریه را به طور علنی بیان کرد و آن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آن‌چنان بر محور این نظریه بحث و بررسی کرد و از آن دفاع نمود که گویی یکی از مباحث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قول صرفه به عنوان یک ایدۀ کلامی به او منتسب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است که باید بین ورود نظریۀ صرفه در میان مباحث کلامی و استفاده از آن در بحث اعجاز قرآن تفاوت زمانی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دلیل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 سلیمان علیه السلام از علت غیبت هدهد که ظاهراً ناشی از انصراف ذهن ایشان به خاطر مصلحتی از سوی خدا بوده، نشان می دهد این نظریه نخستین بار در رابطه با موضوعات کلامی مطرح شده و پس از آن در تبیین وجه اعجاز قرآن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نباید تصور کرد نظریۀ صرفه نخستین بار از سوی سید مرتضی مطرح شده، بلکه طبق قول مشهور، این اندیشه پیش از وی، به برخی از متکلمان معتزلی منسوب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مقالۀ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 با توجه به مدارک و اسناد موجود می توان موافقان صرفه را در یکی از سه گروه زیر جایابی کرد</w:t>
      </w:r>
      <w:r>
        <w:rPr>
          <w:rFonts w:eastAsia="IRNazanin" w:cs="IRNazanin"/>
          <w:color w:val="111111"/>
          <w:sz w:val="28"/>
          <w:szCs w:val="28"/>
          <w:rtl w:val="true"/>
          <w:lang w:bidi="fa-IR"/>
        </w:rPr>
        <w:t>:</w:t>
      </w:r>
    </w:p>
    <w:p>
      <w:pPr>
        <w:pStyle w:val="Heading4"/>
        <w:numPr>
          <w:ilvl w:val="3"/>
          <w:numId w:val="1"/>
        </w:numPr>
        <w:rPr/>
      </w:pPr>
      <w:bookmarkStart w:id="305" w:name="__RefHeading___Toc2105126_2749589250"/>
      <w:bookmarkStart w:id="306" w:name="_Toc125"/>
      <w:bookmarkEnd w:id="305"/>
      <w:r>
        <w:rPr>
          <w:rtl w:val="true"/>
        </w:rPr>
        <w:t>الف</w:t>
      </w:r>
      <w:r>
        <w:rPr>
          <w:rtl w:val="true"/>
        </w:rPr>
        <w:t xml:space="preserve">. </w:t>
      </w:r>
      <w:r>
        <w:rPr>
          <w:rtl w:val="true"/>
        </w:rPr>
        <w:t>معتزله</w:t>
      </w:r>
      <w:bookmarkEnd w:id="306"/>
    </w:p>
    <w:p>
      <w:pPr>
        <w:pStyle w:val="Heading5"/>
        <w:numPr>
          <w:ilvl w:val="4"/>
          <w:numId w:val="1"/>
        </w:numPr>
        <w:rPr/>
      </w:pPr>
      <w:bookmarkStart w:id="307" w:name="__RefHeading___Toc2105128_2749589250"/>
      <w:bookmarkStart w:id="308" w:name="_Toc126"/>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گرچه بسیاری از معتزله قائل به صرفه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نام‌دارترین حامیان این نظریه در میان آن‌ها عبارتند از</w:t>
      </w:r>
      <w:r>
        <w:rPr>
          <w:rFonts w:eastAsia="IRNazanin" w:cs="IRNazanin"/>
          <w:color w:val="111111"/>
          <w:sz w:val="28"/>
          <w:szCs w:val="28"/>
          <w:rtl w:val="true"/>
          <w:lang w:bidi="fa-IR"/>
        </w:rPr>
        <w:t>:</w:t>
      </w:r>
    </w:p>
    <w:p>
      <w:pPr>
        <w:pStyle w:val="Heading5"/>
        <w:numPr>
          <w:ilvl w:val="4"/>
          <w:numId w:val="1"/>
        </w:numPr>
        <w:rPr/>
      </w:pPr>
      <w:bookmarkStart w:id="309" w:name="__RefHeading___Toc2105130_2749589250"/>
      <w:bookmarkStart w:id="310" w:name="_Toc127"/>
      <w:bookmarkEnd w:id="309"/>
      <w:r>
        <w:rPr/>
        <w:t>1</w:t>
      </w:r>
      <w:r>
        <w:rPr>
          <w:rtl w:val="true"/>
        </w:rPr>
        <w:t>.</w:t>
      </w:r>
      <w:bookmarkEnd w:id="310"/>
    </w:p>
    <w:p>
      <w:pPr>
        <w:pStyle w:val="BookText"/>
        <w:rPr/>
      </w:pPr>
      <w:r>
        <w:rPr>
          <w:rFonts w:ascii="IRNazanin" w:hAnsi="IRNazanin" w:eastAsia="IRNazanin"/>
          <w:color w:val="111111"/>
          <w:sz w:val="28"/>
          <w:sz w:val="28"/>
          <w:szCs w:val="28"/>
          <w:rtl w:val="true"/>
          <w:lang w:bidi="fa-IR"/>
        </w:rPr>
        <w:t xml:space="preserve">ابراهیم بن سیّار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صرفه را نخستین بار نظّام، دانشمند بزرگ معتزلی مطرح کرده و بعدها، برخی از اشاعره، اهل سنت و شیعیان، آن را رونق بخشیدند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5"/>
        <w:numPr>
          <w:ilvl w:val="4"/>
          <w:numId w:val="1"/>
        </w:numPr>
        <w:rPr/>
      </w:pPr>
      <w:bookmarkStart w:id="311" w:name="__RefHeading___Toc2105132_2749589250"/>
      <w:bookmarkStart w:id="312" w:name="_Toc128"/>
      <w:bookmarkEnd w:id="311"/>
      <w:r>
        <w:rPr/>
        <w:t>2</w:t>
      </w:r>
      <w:r>
        <w:rPr>
          <w:rtl w:val="true"/>
        </w:rPr>
        <w:t>.</w:t>
      </w:r>
      <w:bookmarkEnd w:id="312"/>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نظّام و از سران معتزله بوده که قول صرفه را یکی از وجوه اعجاز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رغم این که قرآن را در اوج فصاحت و بلاغت می دیده، اما در برخی از آثارش نتوانسته خود را از اندیشۀ صرفه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5"/>
        <w:numPr>
          <w:ilvl w:val="4"/>
          <w:numId w:val="1"/>
        </w:numPr>
        <w:rPr/>
      </w:pPr>
      <w:bookmarkStart w:id="313" w:name="__RefHeading___Toc2105134_2749589250"/>
      <w:bookmarkStart w:id="314" w:name="_Toc129"/>
      <w:bookmarkEnd w:id="313"/>
      <w:r>
        <w:rPr/>
        <w:t>3</w:t>
      </w:r>
      <w:r>
        <w:rPr>
          <w:rtl w:val="true"/>
        </w:rPr>
        <w:t>.</w:t>
      </w:r>
      <w:bookmarkEnd w:id="31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الرمّانی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دیگر از مشاهیر معتزله بوده و در کتابی با عنوان النکت فی اعجاز القرآن، صرفه را در کنار بلاغت و دیگر وجوه اعجاز گرد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bookmarkStart w:id="315" w:name="pg3269_31764"/>
    </w:p>
    <w:p>
      <w:pPr>
        <w:pStyle w:val="Heading5"/>
        <w:numPr>
          <w:ilvl w:val="4"/>
          <w:numId w:val="1"/>
        </w:numPr>
        <w:rPr/>
      </w:pPr>
      <w:bookmarkStart w:id="316" w:name="__RefHeading___Toc2105136_2749589250"/>
      <w:bookmarkStart w:id="317" w:name="_Toc130"/>
      <w:bookmarkEnd w:id="315"/>
      <w:bookmarkEnd w:id="316"/>
      <w:r>
        <w:rPr/>
        <w:t>4</w:t>
      </w:r>
      <w:r>
        <w:rPr>
          <w:rtl w:val="true"/>
        </w:rPr>
        <w:t>.</w:t>
      </w:r>
      <w:bookmarkEnd w:id="317"/>
    </w:p>
    <w:p>
      <w:pPr>
        <w:pStyle w:val="BookText"/>
        <w:rPr/>
      </w:pPr>
      <w:r>
        <w:rPr>
          <w:rFonts w:ascii="IRNazanin" w:hAnsi="IRNazanin" w:eastAsia="IRNazanin"/>
          <w:color w:val="111111"/>
          <w:sz w:val="28"/>
          <w:sz w:val="28"/>
          <w:szCs w:val="28"/>
          <w:rtl w:val="true"/>
          <w:lang w:bidi="fa-IR"/>
        </w:rPr>
        <w:t xml:space="preserve">ابواسحاق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دانشمندان معروفی است که در منابع گوناگون، موافق با نظریۀ صرفه معرفی شده است، اما از وی کتابی در دست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318" w:name="__RefHeading___Toc2105138_2749589250"/>
      <w:bookmarkStart w:id="319" w:name="_Toc131"/>
      <w:bookmarkEnd w:id="318"/>
      <w:r>
        <w:rPr>
          <w:rtl w:val="true"/>
        </w:rPr>
        <w:t>ب</w:t>
      </w:r>
      <w:r>
        <w:rPr>
          <w:rtl w:val="true"/>
        </w:rPr>
        <w:t xml:space="preserve">. </w:t>
      </w:r>
      <w:r>
        <w:rPr>
          <w:rtl w:val="true"/>
        </w:rPr>
        <w:t>اشاعره و اهل سنت</w:t>
      </w:r>
      <w:bookmarkEnd w:id="319"/>
    </w:p>
    <w:p>
      <w:pPr>
        <w:pStyle w:val="Heading5"/>
        <w:numPr>
          <w:ilvl w:val="4"/>
          <w:numId w:val="1"/>
        </w:numPr>
        <w:rPr/>
      </w:pPr>
      <w:bookmarkStart w:id="320" w:name="__RefHeading___Toc2105140_2749589250"/>
      <w:bookmarkStart w:id="321" w:name="_Toc132"/>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دو تن از طرف داران صرفه در این گروه عبارتند از</w:t>
      </w:r>
      <w:r>
        <w:rPr>
          <w:rFonts w:eastAsia="IRNazanin" w:cs="IRNazanin"/>
          <w:color w:val="111111"/>
          <w:sz w:val="28"/>
          <w:szCs w:val="28"/>
          <w:rtl w:val="true"/>
          <w:lang w:bidi="fa-IR"/>
        </w:rPr>
        <w:t>:</w:t>
      </w:r>
    </w:p>
    <w:p>
      <w:pPr>
        <w:pStyle w:val="Heading5"/>
        <w:numPr>
          <w:ilvl w:val="4"/>
          <w:numId w:val="1"/>
        </w:numPr>
        <w:rPr/>
      </w:pPr>
      <w:bookmarkStart w:id="322" w:name="__RefHeading___Toc2105142_2749589250"/>
      <w:bookmarkStart w:id="323" w:name="_Toc133"/>
      <w:bookmarkEnd w:id="322"/>
      <w:r>
        <w:rPr/>
        <w:t>1</w:t>
      </w:r>
      <w:r>
        <w:rPr>
          <w:rtl w:val="true"/>
        </w:rPr>
        <w:t>.</w:t>
      </w:r>
      <w:bookmarkEnd w:id="323"/>
    </w:p>
    <w:p>
      <w:pPr>
        <w:pStyle w:val="BookText"/>
        <w:rPr/>
      </w:pPr>
      <w:r>
        <w:rPr>
          <w:rFonts w:ascii="IRNazanin" w:hAnsi="IRNazanin" w:eastAsia="IRNazanin"/>
          <w:color w:val="111111"/>
          <w:sz w:val="28"/>
          <w:sz w:val="28"/>
          <w:szCs w:val="28"/>
          <w:rtl w:val="true"/>
          <w:lang w:bidi="fa-IR"/>
        </w:rPr>
        <w:t xml:space="preserve">ابواسحاق 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متکلمان برجستۀ اشاعره بوده و برخی محققان در آثار خود از او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5"/>
        <w:numPr>
          <w:ilvl w:val="4"/>
          <w:numId w:val="1"/>
        </w:numPr>
        <w:rPr/>
      </w:pPr>
      <w:bookmarkStart w:id="324" w:name="__RefHeading___Toc2105144_2749589250"/>
      <w:bookmarkStart w:id="325" w:name="_Toc134"/>
      <w:bookmarkEnd w:id="324"/>
      <w:r>
        <w:rPr/>
        <w:t>2</w:t>
      </w:r>
      <w:r>
        <w:rPr>
          <w:rtl w:val="true"/>
        </w:rPr>
        <w:t>.</w:t>
      </w:r>
      <w:bookmarkEnd w:id="325"/>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متفکران فرقۀ ظاهریه و منسوب به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الفصل فی سبب الإعجاز ضمن بیان این‌که بلاغت قرآن از نوع بلاغت مردم نیست، خداوند را مانع انسان از آوردن مانند قرآن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326" w:name="__RefHeading___Toc2105146_2749589250"/>
      <w:bookmarkStart w:id="327" w:name="_Toc135"/>
      <w:bookmarkEnd w:id="326"/>
      <w:r>
        <w:rPr>
          <w:rtl w:val="true"/>
        </w:rPr>
        <w:t>ج</w:t>
      </w:r>
      <w:r>
        <w:rPr>
          <w:rtl w:val="true"/>
        </w:rPr>
        <w:t xml:space="preserve">. </w:t>
      </w:r>
      <w:r>
        <w:rPr>
          <w:rtl w:val="true"/>
        </w:rPr>
        <w:t>شیعه</w:t>
      </w:r>
      <w:bookmarkEnd w:id="327"/>
    </w:p>
    <w:p>
      <w:pPr>
        <w:pStyle w:val="Heading5"/>
        <w:numPr>
          <w:ilvl w:val="4"/>
          <w:numId w:val="1"/>
        </w:numPr>
        <w:rPr/>
      </w:pPr>
      <w:bookmarkStart w:id="328" w:name="__RefHeading___Toc2105148_2749589250"/>
      <w:bookmarkStart w:id="329" w:name="_Toc136"/>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از معروف‌ترین علما و متکلمان بزرگ شیعه که هم قبل از سید مرتضی، و هم بعد از او، قائل به صرفه بوده‌اند، می توان به شخصیت‌های زیر اشاره کرد</w:t>
      </w:r>
      <w:r>
        <w:rPr>
          <w:rFonts w:eastAsia="IRNazanin" w:cs="IRNazanin"/>
          <w:color w:val="111111"/>
          <w:sz w:val="28"/>
          <w:szCs w:val="28"/>
          <w:rtl w:val="true"/>
          <w:lang w:bidi="fa-IR"/>
        </w:rPr>
        <w:t>:</w:t>
      </w:r>
    </w:p>
    <w:p>
      <w:pPr>
        <w:pStyle w:val="Heading5"/>
        <w:numPr>
          <w:ilvl w:val="4"/>
          <w:numId w:val="1"/>
        </w:numPr>
        <w:rPr/>
      </w:pPr>
      <w:bookmarkStart w:id="330" w:name="__RefHeading___Toc2105150_2749589250"/>
      <w:bookmarkStart w:id="331" w:name="_Toc137"/>
      <w:bookmarkEnd w:id="330"/>
      <w:r>
        <w:rPr/>
        <w:t>1</w:t>
      </w:r>
      <w:r>
        <w:rPr>
          <w:rtl w:val="true"/>
        </w:rPr>
        <w:t>.</w:t>
      </w:r>
      <w:bookmarkEnd w:id="331"/>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دانشمندان برجسته ای است که کلام شیعی در استواری خود به او وام‌دار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اوائل المقالات فی المذاهب و المختارات، صرفه را به عنوان دلیلی بر نبوت پیامبر صلی الله علیه و اله و سلم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به عقیدۀ برخی، ایشان اعجاز قرآن را در فصاحت و بلاغت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5"/>
        <w:numPr>
          <w:ilvl w:val="4"/>
          <w:numId w:val="1"/>
        </w:numPr>
        <w:rPr/>
      </w:pPr>
      <w:bookmarkStart w:id="332" w:name="__RefHeading___Toc2105152_2749589250"/>
      <w:bookmarkStart w:id="333" w:name="_Toc138"/>
      <w:bookmarkEnd w:id="332"/>
      <w:r>
        <w:rPr/>
        <w:t>2</w:t>
      </w:r>
      <w:r>
        <w:rPr>
          <w:rtl w:val="true"/>
        </w:rPr>
        <w:t>.</w:t>
      </w:r>
      <w:bookmarkEnd w:id="333"/>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از علمای بزرگ شیعی است که با وجود شهرت خود در علوم ادبی، دیدگاه صرفه را بر وجه بیانی اعجاز قرآن ترجیح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موضوع اصلی نوشتار حاضر، در ادامه، دلایل رویکرد او به صرفه به تفصیل خواهد آمد</w:t>
      </w:r>
      <w:r>
        <w:rPr>
          <w:rFonts w:eastAsia="IRNazanin" w:cs="IRNazanin"/>
          <w:color w:val="111111"/>
          <w:sz w:val="28"/>
          <w:szCs w:val="28"/>
          <w:rtl w:val="true"/>
          <w:lang w:bidi="fa-IR"/>
        </w:rPr>
        <w:t>.</w:t>
      </w:r>
    </w:p>
    <w:p>
      <w:pPr>
        <w:pStyle w:val="Heading5"/>
        <w:numPr>
          <w:ilvl w:val="4"/>
          <w:numId w:val="1"/>
        </w:numPr>
        <w:rPr/>
      </w:pPr>
      <w:bookmarkStart w:id="334" w:name="__RefHeading___Toc2105154_2749589250"/>
      <w:bookmarkStart w:id="335" w:name="_Toc139"/>
      <w:bookmarkEnd w:id="334"/>
      <w:r>
        <w:rPr/>
        <w:t>3</w:t>
      </w:r>
      <w:r>
        <w:rPr>
          <w:rtl w:val="true"/>
        </w:rPr>
        <w:t>.</w:t>
      </w:r>
      <w:bookmarkEnd w:id="335"/>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متکلم معروف شیعه و از شاگردان سید مرتضی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تقریب المعارف، صرفه را در رأس وجوه اعجاز قرآن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336" w:name="__RefHeading___Toc2105156_2749589250"/>
      <w:bookmarkStart w:id="337" w:name="_Toc140"/>
      <w:bookmarkEnd w:id="336"/>
      <w:r>
        <w:rPr/>
        <w:t>4</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ابن سنان 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ادیب و شاعر شیعه، در کتاب سرّ الفصاحه، دیدگاه صرفه را برگزیده و سلب علوم از معارضه کننده را صحیح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حمصی،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338" w:name="__RefHeading___Toc2105158_2749589250"/>
      <w:bookmarkStart w:id="339" w:name="_Toc141"/>
      <w:bookmarkEnd w:id="338"/>
      <w:r>
        <w:rPr/>
        <w:t>5</w:t>
      </w:r>
      <w:r>
        <w:rPr>
          <w:rtl w:val="true"/>
        </w:rPr>
        <w:t>.</w:t>
      </w:r>
      <w:bookmarkEnd w:id="3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سدیدالدین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حمّصی، یکی از علمای بزرگ است که در کتاب</w:t>
      </w:r>
      <w:bookmarkStart w:id="340" w:name="pg3269_31765"/>
    </w:p>
    <w:p>
      <w:pPr>
        <w:pStyle w:val="BookText"/>
        <w:rPr/>
      </w:pPr>
      <w:bookmarkEnd w:id="340"/>
      <w:r>
        <w:rPr>
          <w:rFonts w:ascii="IRNazanin" w:hAnsi="IRNazanin" w:eastAsia="IRNazanin"/>
          <w:color w:val="111111"/>
          <w:sz w:val="28"/>
          <w:sz w:val="28"/>
          <w:szCs w:val="28"/>
          <w:rtl w:val="true"/>
          <w:lang w:bidi="fa-IR"/>
        </w:rPr>
        <w:t xml:space="preserve">کلامی خود با عنوان المعتمد من مذهب الشیعۀ الإمامیه، برخی وجوه اعجاز قرآن از جمله قول به صرفه را نام برده و آن را نشانه ای از صدق نبوت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پیشینه، به نظر می‌رسد قول صرفه در زمان‌های گذشته، ارزش و اعتبار فراوانی داشته و افراد متعددی قائل به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صورت از بین نرفتن و یا در دسترس بودن کتب کلامی بسیاری از متکلمان متقدم، احتمال معرفی تعداد بیشتری از طرف‌داران این دیدگاه وجود داشت</w:t>
      </w:r>
      <w:r>
        <w:rPr>
          <w:rFonts w:eastAsia="IRNazanin" w:cs="IRNazanin"/>
          <w:color w:val="111111"/>
          <w:sz w:val="28"/>
          <w:szCs w:val="28"/>
          <w:rtl w:val="true"/>
          <w:lang w:bidi="fa-IR"/>
        </w:rPr>
        <w:t>.</w:t>
      </w:r>
    </w:p>
    <w:p>
      <w:pPr>
        <w:pStyle w:val="Heading3"/>
        <w:numPr>
          <w:ilvl w:val="2"/>
          <w:numId w:val="1"/>
        </w:numPr>
        <w:rPr/>
      </w:pPr>
      <w:bookmarkStart w:id="341" w:name="__RefHeading___Toc2105160_2749589250"/>
      <w:bookmarkStart w:id="342" w:name="_Toc142"/>
      <w:bookmarkEnd w:id="341"/>
      <w:r>
        <w:rPr>
          <w:rtl w:val="true"/>
        </w:rPr>
        <w:t>سید مرتضی و نظریۀ صرفه</w:t>
      </w:r>
      <w:bookmarkEnd w:id="342"/>
    </w:p>
    <w:p>
      <w:pPr>
        <w:pStyle w:val="Heading4"/>
        <w:numPr>
          <w:ilvl w:val="3"/>
          <w:numId w:val="1"/>
        </w:numPr>
        <w:rPr/>
      </w:pPr>
      <w:bookmarkStart w:id="343" w:name="__RefHeading___Toc2105162_2749589250"/>
      <w:bookmarkStart w:id="344" w:name="_Toc14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متکلم و مفسر برجستۀ شیعه، یکی از قائلان به نظریۀ صرفه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ارائۀ تعریف معجزه و بیان شروط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مهم‌ترین وجوهی را که دانشمندان مسلمان قائل به آن هستند، ذکر کرده و نشان می دهد که این وجوه، فاقد شروط اصلی معجزه بوده و با تعریف آن هم‌خوانی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این‌که به فصاحت، بلاغت و نظم قرآن توجه دارد، اما آن‌ها را از وجوه اعجاز به شمار نمی آورد و بر وجه صرفه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سید، مراد از صرفه این است که هر کس قصد کند با قرآن معارضه کند یا به معارضه بیندیشد، خداوند علومی را که لازمۀ آوردن کلامی به فصاحت و نظم قرآن باشد، از او می گیرد و اگر در سرودن شعر و بیان خطبه و ایراد سخنان مختلف به روش خود عمل کند، خدا او را با علومش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غالب تألیفات کلامی خود، این نظریه را مطرح کرده و در دفاع از آن کوشیده است؛ چنانچه در کتاب الذخیرۀ فی علم الکلام ضمن نقل اقوال در وجوه اعجاز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وجه اعجاز قرآن،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گروهی، وجه دلالت قرآن بر نبوت، این است که خداوند عرب را از معارضه منصرف می کند و آن‌ها را از علمی که به آن تکیه می کنند تا به لحاظ نظم و فصاحت کلامی مثل قرآن بیاورند، سلب می کند و اگر این صرف نبود، آن‌ها معارضه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نظر خود را این گونه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قول به صرفه را انتخاب کردم و در کتاب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عن جهۀ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تقویت آن پرداخته‌ام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کتاب الموضح عن جهۀ اعجاز القرآن نظریات دیگر در باب وجوه اعجاز قرآن را رد کرده، اشکالات و شبهات مربوط به نظریۀ صرفه را به تفصیل مطرح کرده و به آن‌ها پاسخ</w:t>
      </w:r>
      <w:bookmarkStart w:id="345" w:name="pg3269_31766"/>
    </w:p>
    <w:p>
      <w:pPr>
        <w:pStyle w:val="BookText"/>
        <w:rPr/>
      </w:pPr>
      <w:bookmarkEnd w:id="345"/>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کتاب رسائل الشریف المرتضی در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معرفۀ 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نظریۀ صرفه دفاع کرده و آن را همراه با نظریۀ فصاحت قرآن در اثبات اعجاز قرآن لازم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کتاب دیگری به نام جمل العلم و العمل هم باقی مانده که جزء آخرین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این نوشته نیز قول به صرفه را به عنوان نظریۀ معیار،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دلایل سید مرتضی در ردّ یا تضعیف دیگر وجوه اعجاز و گزینش نظریۀ صرفه</w:t>
      </w:r>
    </w:p>
    <w:p>
      <w:pPr>
        <w:pStyle w:val="BookText"/>
        <w:rPr/>
      </w:pPr>
      <w:r>
        <w:rPr>
          <w:rFonts w:ascii="IRNazanin" w:hAnsi="IRNazanin" w:eastAsia="IRNazanin"/>
          <w:color w:val="111111"/>
          <w:sz w:val="28"/>
          <w:sz w:val="28"/>
          <w:szCs w:val="28"/>
          <w:rtl w:val="true"/>
          <w:lang w:bidi="fa-IR"/>
        </w:rPr>
        <w:t>می توان از تلاش وی جهت اسکات مخالفان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دوران حیات علمی این عالم نشان می دهد علت سوق یافتن متکلمان عقل‌گرایی چون ایشان به صرفه و پرداختن به آن به عنوان وجه اعجاز قرآن، بر عللی فرامتنی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علت ها، زمینۀ تاریخی و علمی است که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منظور از زمینه‌های تاریخی، شرایط مذهبی و فرهنگی حاکم بر محیط زندگی سید و منظور از زمینه‌های علمی، اندیشه‌های کلامی و ادبی او به همراه ویژگی‌های ذاتی صرفه است</w:t>
      </w:r>
      <w:r>
        <w:rPr>
          <w:rFonts w:eastAsia="IRNazanin" w:cs="IRNazanin"/>
          <w:color w:val="111111"/>
          <w:sz w:val="28"/>
          <w:szCs w:val="28"/>
          <w:rtl w:val="true"/>
          <w:lang w:bidi="fa-IR"/>
        </w:rPr>
        <w:t>.</w:t>
      </w:r>
    </w:p>
    <w:p>
      <w:pPr>
        <w:pStyle w:val="Heading4"/>
        <w:numPr>
          <w:ilvl w:val="3"/>
          <w:numId w:val="1"/>
        </w:numPr>
        <w:rPr/>
      </w:pPr>
      <w:bookmarkStart w:id="346" w:name="__RefHeading___Toc2105164_2749589250"/>
      <w:bookmarkStart w:id="347" w:name="_Toc144"/>
      <w:bookmarkEnd w:id="346"/>
      <w:r>
        <w:rPr/>
        <w:t>1</w:t>
      </w:r>
      <w:r>
        <w:rPr>
          <w:rtl w:val="true"/>
        </w:rPr>
        <w:t xml:space="preserve">. </w:t>
      </w:r>
      <w:r>
        <w:rPr>
          <w:rtl w:val="true"/>
        </w:rPr>
        <w:t>زمینۀ تاریخی</w:t>
      </w:r>
      <w:bookmarkEnd w:id="347"/>
    </w:p>
    <w:p>
      <w:pPr>
        <w:pStyle w:val="Heading5"/>
        <w:numPr>
          <w:ilvl w:val="4"/>
          <w:numId w:val="1"/>
        </w:numPr>
        <w:rPr/>
      </w:pPr>
      <w:bookmarkStart w:id="348" w:name="__RefHeading___Toc2105166_2749589250"/>
      <w:bookmarkStart w:id="349" w:name="_Toc145"/>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تبیین دقیق هر نظریه، نیازمند تأمل در بستر تاریخی آن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کاویدن دیدگاه صرفه، انجام این مهم را با بررسی سیر تطور آراء دربارۀ وجوه اعجاز قرآن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اعجاز قرآن پس از موضوع تحدی و با طرح مسائلی از سوی اهل کتاب در خصوص قرآن و پیامبر اسلام صلی الله علیه و اله و سلم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عصر نزول، برخی از عالمان یهودی و مسیحی در صدد بیان برتری دین و پیامبر خود، ردیه‌هایی علیه قرآن نوشتند یا در گفت‌وگو با مسلمانان به اظهار نظرهایی باطل در این باره پرداختند؛ برای مثال ابونوح انباری، یکی از مسیحیان نسطوری بود که در قرن سوم کتاب تفنید القرآن را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عالمان اسلامی در صدد پاسخ‌گویی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مستقل ابوعبدالله الواسطی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رسالۀ عبدالله بن اسماعیل الهاشمی که شامل مکاتبۀ او با عبدالمسیح کندی بوده، شواهدی از این دست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کندی،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هرچند نخستین مباحثات کلامی به ندرت در باب اعجاز قرآن بود، از نیمۀ اول قرن سوم به این موضوع و جوانب آن پرداخته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اعجاز، موضوع دیگری بود که از قرون اولیه دید گاه های گوناگونی را به خود اختصاص</w:t>
      </w:r>
      <w:bookmarkStart w:id="350" w:name="pg3269_31767"/>
    </w:p>
    <w:p>
      <w:pPr>
        <w:pStyle w:val="BookText"/>
        <w:rPr/>
      </w:pPr>
      <w:bookmarkEnd w:id="350"/>
      <w:r>
        <w:rPr>
          <w:rFonts w:ascii="IRNazanin" w:hAnsi="IRNazanin" w:eastAsia="IRNazanin"/>
          <w:color w:val="111111"/>
          <w:sz w:val="28"/>
          <w:sz w:val="28"/>
          <w:szCs w:val="28"/>
          <w:rtl w:val="true"/>
          <w:lang w:bidi="fa-IR"/>
        </w:rPr>
        <w:t>داد؛ به طوری که نظریۀ مطرح در قرن چهارم و پنجم و در بغداد، یعنی در دوران حیات سید مرتضی و محل اقامت او، با قرون نخست و در مناطق دیگر مانند مدینه، کوفه، بصره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 که تحولات جامعه و فضای حاکم در هر زمان و مکانی، شرایط ویژه ای در پاسخ‌گویی به مسائل دینی و مذهبی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صرفه و تحلیل رویکرد سید نیز متأثر از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از مهم‌ترین مسائل تأثیرگذار در ارائۀ این نظریه از سوی ایشان، وجود بحران اشکال‌گیری یهودیان و به‌خصوص مسیحیان غیرعرب و شکل گیری مکاتب کلامی مختلف در میان مسلمانان بود که در ادامه به تفصیل می‌آید</w:t>
      </w:r>
      <w:r>
        <w:rPr>
          <w:rFonts w:eastAsia="IRNazanin" w:cs="IRNazanin"/>
          <w:color w:val="111111"/>
          <w:sz w:val="28"/>
          <w:szCs w:val="28"/>
          <w:rtl w:val="true"/>
          <w:lang w:bidi="fa-IR"/>
        </w:rPr>
        <w:t>:</w:t>
      </w:r>
    </w:p>
    <w:p>
      <w:pPr>
        <w:pStyle w:val="Heading5"/>
        <w:numPr>
          <w:ilvl w:val="4"/>
          <w:numId w:val="1"/>
        </w:numPr>
        <w:rPr/>
      </w:pPr>
      <w:bookmarkStart w:id="351" w:name="__RefHeading___Toc2105168_2749589250"/>
      <w:bookmarkStart w:id="352" w:name="_Toc146"/>
      <w:bookmarkEnd w:id="351"/>
      <w:r>
        <w:rPr/>
        <w:t>1</w:t>
      </w:r>
      <w:r>
        <w:rPr>
          <w:rtl w:val="true"/>
        </w:rPr>
        <w:t>ـ</w:t>
      </w:r>
      <w:r>
        <w:rPr/>
        <w:t>1</w:t>
      </w:r>
      <w:r>
        <w:rPr>
          <w:rtl w:val="true"/>
        </w:rPr>
        <w:t xml:space="preserve">. </w:t>
      </w:r>
      <w:r>
        <w:rPr>
          <w:rtl w:val="true"/>
        </w:rPr>
        <w:t>مجادلات کلامی بین ادیانی</w:t>
      </w:r>
      <w:bookmarkEnd w:id="352"/>
    </w:p>
    <w:p>
      <w:pPr>
        <w:pStyle w:val="BookText"/>
        <w:rPr/>
      </w:pPr>
      <w:r>
        <w:rPr>
          <w:rFonts w:ascii="IRNazanin" w:hAnsi="IRNazanin" w:eastAsia="IRNazanin"/>
          <w:color w:val="111111"/>
          <w:sz w:val="28"/>
          <w:sz w:val="28"/>
          <w:szCs w:val="28"/>
          <w:rtl w:val="true"/>
          <w:lang w:bidi="fa-IR"/>
        </w:rPr>
        <w:t>گذشت که عواملی، ذهن دانشمندان مسلمان را دربارۀ مسئلۀ اعجاز قرآن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اثبات معجزه بودن قرآن در قرون نخست، از اختلاف های عقیدتی میان مسلمانان و دیگر ادیان نشئت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ها بیشتر حول مسئلۀ نبوت و صدق ادعای پیامبران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انبیای الهی، وجه مشترک اعتقادی در میان یهودیان، مسیحیان، زرتشتیان و دیگر جوامع دینی بود که در سده های اول و دوم تحت حاکمیت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بافت فرهنگی و دینی مشترک، ادعاهایی دربارۀ اعتبار کتب مقدس هر یک از این جوامع و پیامبرانی که این کتاب‌ها را با خود آورده بودند، موضوع مجادلات بی وقفه و طولانی در میان مسلمانان، مسیحیان، یهودیان و دیگران و نیز در بین فرقه های مسلمان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Martin, 2002, 3: 905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اثبات حقانیت رسالت پیامبر صلی الله علیه و آله وسلم ، برتری دین اسلام بر مسیحیت و ابطال اندیشۀ تثلیث، از متون و روایات اسلامی و گاه عهد قدیم و عهد جدید کمک می گرفتند و در مقابل، مسیحیان، شواهدی را از متن قرآن یا کتاب آسمانی خود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آثار خود معجزات مشهور موسی و عیسی علیه السلام را به تفصیل ذکر کرده و مسلمانان نیز علاوه بر بیان معجزات نقل شده در تاریخ برای پیامبر اکرم صلی الله علیه و آله وسلم ، به بحث دربارۀ وجوه اعجاز 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متعددی، مجادلات بین مسلمانان و فرقه های مختلف یهودی و مسیحی را که در جامعۀ اسلامی زندگی می کردند، گزارش کرده اند؛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کمیلا آدَنگ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نگاشته های مسلمانان در باب یهودیت و عهد قدیم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اسلام و یهودیت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خلیل سمیر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سوانسون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متعدد خود،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مباحثات متقابل مسلمانان و مسیحیان را ثبت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353" w:name="pg3269_31768"/>
    </w:p>
    <w:p>
      <w:pPr>
        <w:pStyle w:val="BookText"/>
        <w:rPr/>
      </w:pPr>
      <w:bookmarkEnd w:id="353"/>
      <w:r>
        <w:rPr>
          <w:rFonts w:ascii="IRNazanin" w:hAnsi="IRNazanin" w:eastAsia="IRNazanin"/>
          <w:color w:val="111111"/>
          <w:sz w:val="28"/>
          <w:sz w:val="28"/>
          <w:szCs w:val="28"/>
          <w:rtl w:val="true"/>
          <w:lang w:bidi="fa-IR"/>
        </w:rPr>
        <w:t>گفته شد که اثبات اعجاز قرآن پس از طرح نخستین مباحث کلامی و از نیمۀ اول قرن سوم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کتاب هایی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و یا نگارش تألیفاتی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چهارم به بعد که بخشی از فرایند پاسخ‌گویی به اهل کتاب بوده،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موجود در مقدمۀ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یسری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ثبوت النبوات که حاوی بیش از پنجاه عنوان کتاب از عالمان اسلامی است، شاهد دیگری بر این مدعاست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به طور عمده به بحث از بشارت کتب آسمانی پیشین دربارۀ رسالت پیامبر اسلام صلی الله علیه و آله وسلم ، امّی بودن آن حضرت، معجزات صادرشده به دست ایشان و اعجاز قرآن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رویارویی فکری در میان ادیان و در خود حوزۀ اسلامی در دو قرن نخست هجری آن‌چنان رشد نداشت که به بحث های مربوط به اعجاز قرآن دامن زند، اما پس از آن با پیدایش این‌گونه تحولات، برخی از دانشمندان مسلمان در مناطق مختلف اسلامی، در صدد پاسخ‌گویی به پرسش‌های مربوط به اعجاز قرآن و وجوه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یکی از این عالمان بود که در بحبوحۀ جدل های کلامی یهودیان و مسیحیان، نظریۀ صرفه را برگزید و برخی از آثار خود را بر همین اساس سامان داد</w:t>
      </w:r>
      <w:r>
        <w:rPr>
          <w:rFonts w:eastAsia="IRNazanin" w:cs="IRNazanin"/>
          <w:color w:val="111111"/>
          <w:sz w:val="28"/>
          <w:szCs w:val="28"/>
          <w:rtl w:val="true"/>
          <w:lang w:bidi="fa-IR"/>
        </w:rPr>
        <w:t>.</w:t>
      </w:r>
    </w:p>
    <w:p>
      <w:pPr>
        <w:pStyle w:val="Heading5"/>
        <w:numPr>
          <w:ilvl w:val="4"/>
          <w:numId w:val="1"/>
        </w:numPr>
        <w:rPr/>
      </w:pPr>
      <w:bookmarkStart w:id="354" w:name="__RefHeading___Toc2105170_2749589250"/>
      <w:bookmarkStart w:id="355" w:name="_Toc147"/>
      <w:bookmarkEnd w:id="354"/>
      <w:r>
        <w:rPr/>
        <w:t>2</w:t>
      </w:r>
      <w:r>
        <w:rPr>
          <w:rtl w:val="true"/>
        </w:rPr>
        <w:t>ـ</w:t>
      </w:r>
      <w:r>
        <w:rPr/>
        <w:t>1</w:t>
      </w:r>
      <w:r>
        <w:rPr>
          <w:rtl w:val="true"/>
        </w:rPr>
        <w:t xml:space="preserve">. </w:t>
      </w:r>
      <w:r>
        <w:rPr>
          <w:rtl w:val="true"/>
        </w:rPr>
        <w:t>مباحثات کلامی مکاتب اسلامی</w:t>
      </w:r>
      <w:bookmarkEnd w:id="355"/>
    </w:p>
    <w:p>
      <w:pPr>
        <w:pStyle w:val="BookText"/>
        <w:rPr/>
      </w:pPr>
      <w:r>
        <w:rPr>
          <w:rFonts w:ascii="IRNazanin" w:hAnsi="IRNazanin" w:eastAsia="IRNazanin"/>
          <w:color w:val="111111"/>
          <w:sz w:val="28"/>
          <w:sz w:val="28"/>
          <w:szCs w:val="28"/>
          <w:rtl w:val="true"/>
          <w:lang w:bidi="fa-IR"/>
        </w:rPr>
        <w:t>اصل بحث از امکان یا عدم امکان معارضه با قرآن از هنگامۀ نزول در جامعۀ عرب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بعد، پیدایش مکاتب کلامی متنوع و پرسش های متکلمان مسلمان به این بحث دامن زد و زمینه ساز مجادلات متعدد در حوزۀ اعجاز قرآن و وجوه آن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تحولاتی که در قرن سوم در مناطق اسلامی به وجود آمد، مسئلۀ نبوت و دفاع از اعجاز قرآن را به بحثی جدی تبدیل کرد </w:t>
      </w:r>
      <w:r>
        <w:rPr>
          <w:rStyle w:val="FootnoteAnchor"/>
          <w:rtl w:val="true"/>
        </w:rPr>
        <w:footnoteReference w:id="15"/>
      </w:r>
      <w:r>
        <w:rPr>
          <w:rFonts w:ascii="IRNazanin" w:hAnsi="IRNazanin" w:eastAsia="IRNazanin"/>
          <w:color w:val="111111"/>
          <w:sz w:val="28"/>
          <w:sz w:val="28"/>
          <w:szCs w:val="28"/>
          <w:rtl w:val="true"/>
          <w:lang w:bidi="fa-IR"/>
        </w:rPr>
        <w:t>بدین رو، فضایی پدید آمد که از آغاز قرن چهارم، ابوعلی جبائی و پیروانش مسائلی ویژه را دربارۀ نبوت پیامبر صلی الله علیه و اله و سلم به نحوی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مندتر پیش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تلاش های این گروه از متکلمان معتزلۀ بصره در قالب بحث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دلائل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نقطۀ آغازی برای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پردازی متکلمان بعدی در این باب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اثنای قرن چهارم گروهی از سنّیان با شیعیان بغداد دشمنی کردند و زندگی را بر معتزلیان تلخ ساختند، اما توفیق زیادی در سرکوب این دو فرقه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جبهۀ تشیع و اعتزال با روی کار آمدن آل بویه از سویی و عدم انتشار مذهب اشعری تا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همۀ عراق از سوی دیگر، شرایط را متحول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به نقل از عبدالرحمان سالم،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متز،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 برهۀ تاریخی، فرقۀ اعتزال فرصتی یافت تا بتواند بر فضای اعتقادی جامعه حاکم شود و برخی از نظریات دینی را در میان اقشار مختلف مذهبی پایه‌گذاری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که اختلاف معتزله با عامۀ مسلمانان، محدود به مسائل کلامی بود و اعتزال در تقسیمات کلی مذهبی، گروه جداگانه ای به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این فرقه در حلقه های فکری جهان اسلام، دو دیدگاه عمده حول محور نبوت حضرت محمد صلی الله علیه و اله و سلم و قرآن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معتزلۀ بصره، معجزۀ پیامبر صلی الله علیه و اله و سلم را مربوط به تفوق ناپذیری زبان قرآن می دانستند؛ اما گروهی از آن‌ها در بغداد، به پیروی از نظّام، صرفه را ارائه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مارتین،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ساخته شدن شهر بغداد و با مهاجرت جمعی از مردم کوفه به این شهر، تشیع در آن‌جا فعالیت جدی خود را آغاز کرد و به دلیل داشتن زمینه های مشترک عقلانی به تدریج به معتزله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معتزله و شیعه، تأثیرات فراوانی را در هر دو سوی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آمدو شدها آنان با نقطه نظرات یکدیگر بیشتر آشنا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زمینه برای تفاهم بیشتر شیعه با معتزله و درگیر شدن در بحث و جدل فکری، به‌ویژه در تبیین وجه اعجاز قرآن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مکاتب کلامی و مجادلات بین فرقه‌ها، نظریۀ صرفه که آمیخته با اندیشۀ جدلی است، از سوی برخی متکلمان امامیه حامیانی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پیشوای شیعیان امامیۀ بغداد و سید مرتضی، جانشین او در همان منصب، در آن زمان از این نظریه حمایت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تبیین اعجاز قرآن در مباحثات کلامی و متناسب بودن نظریۀ صرفه برای اقناع جدلی مخاطبان، بر گزینش این دیدگاه از سوی سید تأثیر گذاشت تا جایی که نظریۀ معجزۀ قرآن را که تا اواخر قرن چهارم و اوایل قرن پنجم، پویا بود، به شیوۀ جدلی خود در علم کلام اسلامی حفظ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اخیر و پس از گذشت سال‌ها از طرح نظریۀ صرفه، محققانی چون عایشه بنت الشاطئ در صدد برآمده اند تا علت گرایش به آن را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قرآن پژوه در کتاب الاعجاز البیانی للقرآن، پس از نقل گفتار فخر رازی دربارۀ وجوه اعجاز قرآن، دیدگاه ابن کثیر را</w:t>
      </w:r>
      <w:bookmarkStart w:id="356" w:name="pg3269_31770"/>
    </w:p>
    <w:p>
      <w:pPr>
        <w:pStyle w:val="BookText"/>
        <w:rPr/>
      </w:pPr>
      <w:bookmarkEnd w:id="356"/>
      <w:r>
        <w:rPr>
          <w:rFonts w:ascii="IRNazanin" w:hAnsi="IRNazanin" w:eastAsia="IRNazanin"/>
          <w:color w:val="111111"/>
          <w:sz w:val="28"/>
          <w:sz w:val="28"/>
          <w:szCs w:val="28"/>
          <w:rtl w:val="true"/>
          <w:lang w:bidi="fa-IR"/>
        </w:rPr>
        <w:t>نسبت به صحت نظریۀ صرفه در مقام جدل و مماشات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صرفه تنها در زمینۀ جدل نظری مطرح شده و معتزله نیز ـ پس از نخستین نسل از پیشوایانشان ـ سرانجام این نظریه را در این مورد انتخاب کردند؛ اما معتبر دانستن صرفه به عنوان یکی از وجوه اعجاز، هرگز مانع تأمل در وجه دیگر اعجاز، یعنی اعجاز بلاغی نمی‌شود و کسانی از غیرمعتزله هم که در ذکر تمامی آرای متکلمان دربارۀ اعجاز از نظریۀ صرفه نام برده‌اند، بلافاصله پس از آن مسئلۀ اعجاز بلاغی قرآن را مورد توجه و اهتمام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الشاطئ،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گفته، نظریۀ صرفه در مقام مجادله شکل گرفته و اعتقاد به آن، لزوماً همراه با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به اعجاز بیانی نبوده است؛ کما این‌که برخی از حامیان صرفه، ضمن بیان این نظریه، از بلاغت و فصاحت قرآن نیز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آستانۀ قرن پنجم، فضای جامعه و جدال شیعه با مخالفان درون دینی و برون دینی ایجاب کرد که سید مرتضی و برخی از هم مسلکان او تنها به نظریۀ صرفه رو آورند و این دیدگاه را پا به پای اعجاز بیانی قرآن اشاعه دهند</w:t>
      </w:r>
      <w:r>
        <w:rPr>
          <w:rFonts w:eastAsia="IRNazanin" w:cs="IRNazanin"/>
          <w:color w:val="111111"/>
          <w:sz w:val="28"/>
          <w:szCs w:val="28"/>
          <w:rtl w:val="true"/>
          <w:lang w:bidi="fa-IR"/>
        </w:rPr>
        <w:t>.</w:t>
      </w:r>
    </w:p>
    <w:p>
      <w:pPr>
        <w:pStyle w:val="Heading4"/>
        <w:numPr>
          <w:ilvl w:val="3"/>
          <w:numId w:val="1"/>
        </w:numPr>
        <w:rPr/>
      </w:pPr>
      <w:bookmarkStart w:id="357" w:name="__RefHeading___Toc2105172_2749589250"/>
      <w:bookmarkStart w:id="358" w:name="_Toc148"/>
      <w:bookmarkEnd w:id="357"/>
      <w:r>
        <w:rPr/>
        <w:t>2</w:t>
      </w:r>
      <w:r>
        <w:rPr>
          <w:rtl w:val="true"/>
        </w:rPr>
        <w:t xml:space="preserve">. </w:t>
      </w:r>
      <w:r>
        <w:rPr>
          <w:rtl w:val="true"/>
        </w:rPr>
        <w:t>زمینۀ علمی</w:t>
      </w:r>
      <w:bookmarkEnd w:id="358"/>
    </w:p>
    <w:p>
      <w:pPr>
        <w:pStyle w:val="Heading5"/>
        <w:numPr>
          <w:ilvl w:val="4"/>
          <w:numId w:val="1"/>
        </w:numPr>
        <w:rPr/>
      </w:pPr>
      <w:bookmarkStart w:id="359" w:name="__RefHeading___Toc2105174_2749589250"/>
      <w:bookmarkStart w:id="360" w:name="_Toc149"/>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چنانچه گفته شد، تاریخ فرق اسلامی نشان می دهد معتزله و به طور کلی مخالفان اهل حدیث از نخستین گروه هایی بودند که پرسش‌هایی در باب ذات، ماهیت و مبنای فهم قرآن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سؤالی که دربارۀ قرآن، ذهن متکلمان معتزلی را از قرن دوم به بعد مشغول ساخت این بود که کدام ویژگی ها، کلام الهی را از آثار فصیحان، بلیغان، خطبا، شعرا و کاهنان متمایز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عوامل شکل گیری و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پردازی در باب اعجاز قرآن، ایده های کلامی متکلمان معتزلی در قرن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بلاغت و فصاحت مربوط به متن قرآن چیزی نبود که از نظر آن‌ها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حتی معتزلیان بغداد که چندان بر نظم قرآن تأکید نمی ورزیدند، در مقابله با گروهی که معجزه را در ذات زبان آن تصور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در اثبات اعجاز قرآن، به نکات بلاغی آن توجه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گروهی از دانشمندان معتزلی، همانند نظّام و رمّانی به همراه برخی از عالمان برجستۀ شیعی، مثل سید مرتضی که عموماً در ادبیات زبردست بوده اند، از قرون سوم تا پنجم برای اثبات اعجاز قرآن از این دانش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بلاغی قرآن و استناد برخی به آن‌ها در تحلیل اعجاز ذاتی از سویی و تخصص طرف داران صرفه در علوم ادبی از سوی دیگر، آن‌ها را واداشت تا در توجیه گروه نخست، از تمایزات صرفه با اعجاز بیانی استمداد جویند</w:t>
      </w:r>
      <w:r>
        <w:rPr>
          <w:rFonts w:eastAsia="IRNazanin" w:cs="IRNazanin"/>
          <w:color w:val="111111"/>
          <w:sz w:val="28"/>
          <w:szCs w:val="28"/>
          <w:rtl w:val="true"/>
          <w:lang w:bidi="fa-IR"/>
        </w:rPr>
        <w:t>.</w:t>
      </w:r>
      <w:bookmarkStart w:id="361" w:name="pg3269_31771"/>
    </w:p>
    <w:p>
      <w:pPr>
        <w:pStyle w:val="BookText"/>
        <w:rPr/>
      </w:pPr>
      <w:bookmarkEnd w:id="361"/>
      <w:r>
        <w:rPr>
          <w:rFonts w:ascii="IRNazanin" w:hAnsi="IRNazanin" w:eastAsia="IRNazanin"/>
          <w:color w:val="111111"/>
          <w:sz w:val="28"/>
          <w:sz w:val="28"/>
          <w:szCs w:val="28"/>
          <w:rtl w:val="true"/>
          <w:lang w:bidi="fa-IR"/>
        </w:rPr>
        <w:t>تأملات سید مرتضی در این خصوص، در لابه لای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 در دفاع از صرفه نهفته است؛ چنان که با توجه به فصاحت و بلاغت متن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لحاظ فصاحت و بلاغت، با فصیح ترین کلام عرب نزدیکی زیادی دارد و به این دلیل، از نظر ما تفاوت قابل توجهی میان قرآن و کلام های عرب در این حوزه به چشم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با لحنی منتقدانه نسبت به طرف‌داران اعجاز بیانی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صرفه معتقد نیستند و به جای آن وجوهی مانند فصاحت را وجه اعجاز قرآن می دانند، گرفتار اشکال‌هایی اند که نمی توانند خود را از آن‌ها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اشکال‌های مطرح این است که از سویی، آورندۀ قرآن ادعا دارد قرآن کلام او نیست و دیگری آن را بر او القا کرده و از سوی دیگر، فصاحت این کلام، فصاحت معمول در میان عرب را خرق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قائل به صرفه نیستند، نمی توانند ثابت کنند القاکنندۀ قرآن بر پیامبر صلی الله علیه و آله وسلم ، خدا بوده است، زیرا ممکن است این کلام را جن بر آورندۀ قرآن القا کرده باشد تا فصاحت معتاد در میان عرب را خرق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سید تنها خرق عاد ت بودن را نشانۀ الهی بودن یک فعل نمی داند؛ این در حالی است که در باور او اگر وجه اعجاز صرفه باشد، چنین اشکالی پیش نخواهد آمد، زیرا معتقد است سلب علم و قدرت از فصیحان عرب برای منع آنان از معارضه با قرآن، به خدا اختصاص دارد و از عهدۀ جن و فرشته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کسی نمی تواند همانندی برای قرآن بیاورد و به رویارویی با آن برخیزد، مسئلۀ خلاف عادت و در نتیجه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نگرش کلامی ادبی سید مرتضی و تشخیص ویژگی های خاص صرفه از سوی او، عامل مؤثر دیگری در ارائه این نظریه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گذارترین مؤلفه‌ها در این خصوص عبارتند از</w:t>
      </w:r>
      <w:r>
        <w:rPr>
          <w:rFonts w:eastAsia="IRNazanin" w:cs="IRNazanin"/>
          <w:color w:val="111111"/>
          <w:sz w:val="28"/>
          <w:szCs w:val="28"/>
          <w:rtl w:val="true"/>
          <w:lang w:bidi="fa-IR"/>
        </w:rPr>
        <w:t>:</w:t>
      </w:r>
    </w:p>
    <w:p>
      <w:pPr>
        <w:pStyle w:val="Heading5"/>
        <w:numPr>
          <w:ilvl w:val="4"/>
          <w:numId w:val="1"/>
        </w:numPr>
        <w:rPr/>
      </w:pPr>
      <w:bookmarkStart w:id="362" w:name="__RefHeading___Toc2105176_2749589250"/>
      <w:bookmarkStart w:id="363" w:name="_Toc150"/>
      <w:bookmarkEnd w:id="362"/>
      <w:r>
        <w:rPr/>
        <w:t>1</w:t>
      </w:r>
      <w:r>
        <w:rPr>
          <w:rtl w:val="true"/>
        </w:rPr>
        <w:t>ـ</w:t>
      </w:r>
      <w:r>
        <w:rPr/>
        <w:t>2</w:t>
      </w:r>
      <w:r>
        <w:rPr>
          <w:rtl w:val="true"/>
        </w:rPr>
        <w:t xml:space="preserve">. </w:t>
      </w:r>
      <w:r>
        <w:rPr>
          <w:rtl w:val="true"/>
        </w:rPr>
        <w:t>جدلی بودن نظریۀ صرفه</w:t>
      </w:r>
      <w:bookmarkEnd w:id="3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آمد که در قرن چهارم، با ایجاد فضایی آزاد برای طرح مسائل اعتقادی، هر یک از فرقه‌های اسلامی به اظهار نظر در این باره پرداختند و دیدگاه های خود را نسبت به وجوه اعجاز قرآن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در آستانۀ حیات علمی سید مرتضی در عراق بروز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فضای تاریخی روزگار سید و لزوم مباحثات کلامی، و نیز جدلی بودن صرفه، علت طرح این نظریه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باز، سید آزادانه به محاجّه پرداخت و در تبیین مسئلۀ اعجاز و وجه صرفه، با طرح اشکال ها و پاسخ آن‌ها در اقناع مخاطب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ذات این نظریه حالت مجادله نهفته است، در گفتار سید مرتضی نیز این ویژگی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این‌که فرد معارض را درگیر مسئلۀ اعجاز ذاتی قرآن کند، معجزه را همان ناتوانی وی در هماوردی این کتاب ذکر می کرد؛ به عبارت دیگر، ضرورت اقناع طرف مقابل و مشکلات موجود در راه اثبات انواع دیگر وجوه اعجاز، او را بر آن داشت تا در مقام مجادله از طرف مقابل بخواهد کتابی مثل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نسبت به عملی نبودن این امر واقف بود، کوشید تا از این راه در اثبات اعجاز قرآن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قصد داشت با بهره از نظریۀ صرفه در توجیه افرادی که ادعا می کردند آوردن کتابی مانند قرآن به دلیل تشابه حروف آن با الفبای زبان عربی، امکان پذیر است، اظهار کند آوردن مانند قرآن، ممتنع نیست؛ با این حال، نمی توان مثل آن آورد، چون خدا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سخن، مخاطب را به سکوت وامی‌داشت و در جدال با او پیروز میدان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وسیله نشان می داد هرچند مخالفان تاکنون دربارۀ معجزه بودن قرآن تردید داشته و خواستار ارائه نشانه ای بر اعجاز آن</w:t>
      </w:r>
    </w:p>
    <w:p>
      <w:pPr>
        <w:pStyle w:val="BookText"/>
        <w:rPr/>
      </w:pPr>
      <w:r>
        <w:rPr>
          <w:rFonts w:ascii="IRNazanin" w:hAnsi="IRNazanin" w:eastAsia="IRNazanin"/>
          <w:color w:val="111111"/>
          <w:sz w:val="28"/>
          <w:sz w:val="28"/>
          <w:szCs w:val="28"/>
          <w:rtl w:val="true"/>
          <w:lang w:bidi="fa-IR"/>
        </w:rPr>
        <w:t>بوده اند، اما در حال حاضر، آنچه موضوعیت دارد، بحث از چگونگی هماوردی با قرآن و معارضه با آن است و این، چیزی است که باید از جانب خود مخالفان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برای آن‌ها مقدور نباشد، خود معترضان بازندۀ اصلی میدان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قانع کردن مخالفان بدین شیوه چیزی نبود که در فضای بسته و آکنده از خفقان میسر شود و بر همین اساس، سید مرتضی توانست از فرصت فراهم‌شده به نحو مناسبی بهره 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در نظر گرفتن همین نکات در مقابله با مدعیانِ هماوردی با 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حروف الفبا آشنایی دارد، با آوردن آن‌ها به دنبال هم نمی تواند شعر بگوید، زیرا علمِ شاعری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بحث معارضه با قرآن را مطرح می کند و یادآور می شود که قرآن هم به همین صورت از حروف و کلماتی تشکیل شده که در دسترس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ساختن عبارت های موجود در آن بدون داشتن علوم لازم، عملی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سید مرتضی در این‌جا به طور غیرمستقیم بر سلب دانش از سوی خدا در مقام معارضه تکیه کرده و امکان هماوردی با قرآن را حتی با در اختیار داشتن حروف، محال می 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نه تنها شیوۀ مجادله را در بیان اعجاز به کار می گیرد، بلکه معتقد است پیامبر صلی الله علیه و اله و سلم نیز بر همین اساس با عرب محاجّه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مسئلۀ اعجاز قرآن، معلوم است که پیامبر با قرآن احتجاج می کرد و همگان را بدان فرا می خواند تا بر اساس آن به نبوت او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عرب خواست که مثل قرآن را بیاورند و با یقین کامل گواهی داد که آنان هرگز نخواهند توانست چنین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ناتوانی آنان را دلیل نبوت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364" w:name="pg3269_31773"/>
    </w:p>
    <w:p>
      <w:pPr>
        <w:pStyle w:val="BookText"/>
        <w:rPr/>
      </w:pPr>
      <w:bookmarkEnd w:id="364"/>
      <w:r>
        <w:rPr>
          <w:rFonts w:ascii="IRNazanin" w:hAnsi="IRNazanin" w:eastAsia="IRNazanin"/>
          <w:color w:val="111111"/>
          <w:sz w:val="28"/>
          <w:sz w:val="28"/>
          <w:szCs w:val="28"/>
          <w:rtl w:val="true"/>
          <w:lang w:bidi="fa-IR"/>
        </w:rPr>
        <w:t>گفتنی است، هرچند با نگاه سطحی به رویکرد جدلی سید در اقناع مخاطب و عدم تمرکز وی بر اعجاز ذاتی قرآن، تصور می شود او با اصل اعجاز قرآن موافق نیست، اما واقعیت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سید در کتاب الموضح عقیدۀ او را به وضوح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مذاهب مختلفی در وجه اعجاز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متنوعند، اما همگی در معجزه بودن قرآن و اثبات نبوت پیامبر صلی الله علیه و اله و سلم اتفاق نظر دارند، و ستایش خدایی را که زمینۀ تبادل مسائل و پاسخ آن‌ها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برخی از مذاهب در تبیین اعجاز قرآن، ایرادهایی وارد است و در درستی بعضی از آن وجوه تردیدهایی وجود دارد، اما هیچ یک از آن‌ها منکر اصل اعجاز نیست، زیرا هیچ فرقی ندارد که بگوییم قرآن به واسطۀ فصاحت و نه نظم، خارق عادت است یا این‌که بگوییم این ویژگی آن، به خاطر نظم است نه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تفاوتی نمی کند که بگوییم چون قرآن متضمن اخبار غیبی است، معجزه است یا از آن جا که خدای تعالی عرب را از آوردن مثل قرآن منصرف کرده و علم آن را از ایشان سلب کرده، خارق العاده است، زیرا همۀ این وجوه به اعجاز قرآن و صدق دعوی رسول اکرم صلی الله علیه و اله و سلم دلالت دارد و اگر اختلافی هست، به دلیل تفاوت در روش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 او هم نمایان گر همین مسئله است؛ آن جا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تعالی عرب را از معارضه با قرآن منصرف نمی کرد، اعجاز نزد ما باطل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365" w:name="__RefHeading___Toc2105178_2749589250"/>
      <w:bookmarkStart w:id="366" w:name="_Toc151"/>
      <w:bookmarkEnd w:id="365"/>
      <w:r>
        <w:rPr/>
        <w:t>2</w:t>
      </w:r>
      <w:r>
        <w:rPr>
          <w:rtl w:val="true"/>
        </w:rPr>
        <w:t>ـ</w:t>
      </w:r>
      <w:r>
        <w:rPr/>
        <w:t>2</w:t>
      </w:r>
      <w:r>
        <w:rPr>
          <w:rtl w:val="true"/>
        </w:rPr>
        <w:t xml:space="preserve">. </w:t>
      </w:r>
      <w:r>
        <w:rPr>
          <w:rtl w:val="true"/>
        </w:rPr>
        <w:t>نبود معیارهای غیرذوقی برای سنجش میزان بلاغت متن</w:t>
      </w:r>
      <w:bookmarkEnd w:id="366"/>
    </w:p>
    <w:p>
      <w:pPr>
        <w:pStyle w:val="BookText"/>
        <w:rPr/>
      </w:pPr>
      <w:r>
        <w:rPr>
          <w:rFonts w:ascii="IRNazanin" w:hAnsi="IRNazanin" w:eastAsia="IRNazanin"/>
          <w:color w:val="111111"/>
          <w:sz w:val="28"/>
          <w:sz w:val="28"/>
          <w:szCs w:val="28"/>
          <w:rtl w:val="true"/>
          <w:lang w:bidi="fa-IR"/>
        </w:rPr>
        <w:t>درک و فهم فصاحت و بلاغت هر متنی، با ذوق و قریحۀ مخاطب آن متن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دربارۀ قرآن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تا پیش از قرن سوم هجری، معیارهای ذوقی ملاک اصلی در بیان ویژگی‌های این کتاب آسمانی و توصیف خصوصیات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یعنی پیش از شکل گیری نقد ادبی و تدوین آن، کمتر تلاشی برای عرضۀ معیارهای مشخص ادبی از جنبۀ اعجازی قرآن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ادبی از قرن دوم به بعد، زمینۀ مناسبی برای طرح و گسترش دیدگاه اعجاز بیانی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هیچ یک از آثار نخستین، توجهی به اعجاز قرآن نشد و تنها</w:t>
      </w:r>
    </w:p>
    <w:p>
      <w:pPr>
        <w:pStyle w:val="BookText"/>
        <w:rPr/>
      </w:pPr>
      <w:r>
        <w:rPr>
          <w:rFonts w:ascii="IRNazanin" w:hAnsi="IRNazanin" w:eastAsia="IRNazanin"/>
          <w:color w:val="111111"/>
          <w:sz w:val="28"/>
          <w:sz w:val="28"/>
          <w:szCs w:val="28"/>
          <w:rtl w:val="true"/>
          <w:lang w:bidi="fa-IR"/>
        </w:rPr>
        <w:t>برای شناخت زبان قرآن و قاعده‌مند کردن آن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جرجانی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تحولی در ادبیات عرب که نگاهی صرفاً قالبی به زبان داشت، آن را به سوی دانش بلاغت سوق داد و به خدمت تفسیر بیانی قرآن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رویکرد وی در زبان شناسی</w:t>
      </w:r>
      <w:bookmarkStart w:id="367" w:name="pg3269_31774"/>
    </w:p>
    <w:p>
      <w:pPr>
        <w:pStyle w:val="BookText"/>
        <w:rPr/>
      </w:pPr>
      <w:bookmarkEnd w:id="367"/>
      <w:r>
        <w:rPr>
          <w:rFonts w:ascii="IRNazanin" w:hAnsi="IRNazanin" w:eastAsia="IRNazanin"/>
          <w:color w:val="111111"/>
          <w:sz w:val="28"/>
          <w:sz w:val="28"/>
          <w:szCs w:val="28"/>
          <w:rtl w:val="true"/>
          <w:lang w:bidi="fa-IR"/>
        </w:rPr>
        <w:t>عربی نقطۀ عطفی به شمار رفت که به وسیلۀ آن توانست تصویری هنری از آرایه های ادبی در زبان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همین اساس، در کتاب اعجاز القرآن، به تبیین نظریه های ادبی پرداخت و در این خصوص از تشبیه و استعاره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قصد داشت از معیارهای غیرذوقی در سنجش بلاغت قرآن بهره برد و از این طریق، معجزه بودن آن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ارائه نظریۀ نظم از سوی جرجانی، به مرور زمان تکیه بر ملاک های سلیقه ای رو به افول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داد گرچه درک زیبایی قرآن همانند شعر، تا حدود زیادی نیازمند ذوق ادبی است و بدون آن، به سختی می توان زیبایی متن را به خواننده منتقل کرد، اما</w:t>
      </w:r>
    </w:p>
    <w:p>
      <w:pPr>
        <w:pStyle w:val="BookText"/>
        <w:rPr/>
      </w:pPr>
      <w:r>
        <w:rPr>
          <w:rFonts w:ascii="IRNazanin" w:hAnsi="IRNazanin" w:eastAsia="IRNazanin"/>
          <w:color w:val="111111"/>
          <w:sz w:val="28"/>
          <w:sz w:val="28"/>
          <w:szCs w:val="28"/>
          <w:rtl w:val="true"/>
          <w:lang w:bidi="fa-IR"/>
        </w:rPr>
        <w:t>خارق العاده بودن کلام الهی را نسبت به کلام بشری می توان از راه دیگری هم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به قرآن، زمینۀ انتخاب نظریۀ صرفه را از سوی ادیبانی چون سید مرتضی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امتیازهای صرفه نسبت به وجوه بیانی قرآن، آن بود که به جای تکیه بر ملاک های ذوقی، بر اساس چارچوب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معینی به اثبات اعجاز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 توجه به جوّ حاکم در جامعۀ ا سلامی و نیاز به داشتن رویکردی جدلی در تفهیم اعجاز قرآن، اگر باورمندان به صرفه قبل از دورۀ جرجانی می زیستند، احتمال داشت از نظریۀ اعجاز بیانی هم در بحث های جدلی استفاده کنند و با توجه به تدوین اصطلاحات و صناعات ادبی، از بحث معیارهای ذوقی فراتر روند</w:t>
      </w:r>
      <w:r>
        <w:rPr>
          <w:rFonts w:eastAsia="IRNazanin" w:cs="IRNazanin"/>
          <w:color w:val="111111"/>
          <w:sz w:val="28"/>
          <w:szCs w:val="28"/>
          <w:rtl w:val="true"/>
          <w:lang w:bidi="fa-IR"/>
        </w:rPr>
        <w:t>.</w:t>
      </w:r>
    </w:p>
    <w:p>
      <w:pPr>
        <w:pStyle w:val="Heading5"/>
        <w:numPr>
          <w:ilvl w:val="4"/>
          <w:numId w:val="1"/>
        </w:numPr>
        <w:rPr/>
      </w:pPr>
      <w:bookmarkStart w:id="368" w:name="__RefHeading___Toc2105180_2749589250"/>
      <w:bookmarkStart w:id="369" w:name="_Toc152"/>
      <w:bookmarkEnd w:id="368"/>
      <w:r>
        <w:rPr/>
        <w:t>3</w:t>
      </w:r>
      <w:r>
        <w:rPr>
          <w:rtl w:val="true"/>
        </w:rPr>
        <w:t>ـ</w:t>
      </w:r>
      <w:r>
        <w:rPr/>
        <w:t>2</w:t>
      </w:r>
      <w:r>
        <w:rPr>
          <w:rtl w:val="true"/>
        </w:rPr>
        <w:t xml:space="preserve">. </w:t>
      </w:r>
      <w:r>
        <w:rPr>
          <w:rtl w:val="true"/>
        </w:rPr>
        <w:t>مشکل تفهیم امتناع هماوردی با قرآن</w:t>
      </w:r>
      <w:bookmarkEnd w:id="369"/>
    </w:p>
    <w:p>
      <w:pPr>
        <w:pStyle w:val="Heading6"/>
        <w:numPr>
          <w:ilvl w:val="5"/>
          <w:numId w:val="1"/>
        </w:numPr>
        <w:rPr/>
      </w:pPr>
      <w:bookmarkStart w:id="370" w:name="__RefHeading___Toc2105182_2749589250"/>
      <w:bookmarkStart w:id="371" w:name="_Toc15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گفتیم که متکلمان تا پیش از ظهور جرجانی، به خاطر عدم تدوین اصطلاحات ادبی، در اثبات زیبایی متن قرآن با مشکلاتی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حوزۀ بحث امتناع هماوردی با قرآن خیلی جدی تر مطرح شد، زیرا بدون تکیه بر آرایه های ادبی، تشخیص اختلاف متن قرآن با متون هم وزن آن، آسان به نظر نمی رسید و تنها برای بخش محدودی از مخاطبان قابل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اصل از دو چیز نشئت می گرفت؛ یکی، ویژگی سهل و ممتنع بودن زبان قرآن و دیگری، حضور مخالفان غیرعرب در مجادلات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این دو مقوله، هر یک از آن‌ها به تفکیک بررسی می‌شود</w:t>
      </w:r>
      <w:r>
        <w:rPr>
          <w:rFonts w:eastAsia="IRNazanin" w:cs="IRNazanin"/>
          <w:color w:val="111111"/>
          <w:sz w:val="28"/>
          <w:szCs w:val="28"/>
          <w:rtl w:val="true"/>
          <w:lang w:bidi="fa-IR"/>
        </w:rPr>
        <w:t>.</w:t>
      </w:r>
    </w:p>
    <w:p>
      <w:pPr>
        <w:pStyle w:val="Heading6"/>
        <w:numPr>
          <w:ilvl w:val="5"/>
          <w:numId w:val="1"/>
        </w:numPr>
        <w:rPr/>
      </w:pPr>
      <w:bookmarkStart w:id="372" w:name="__RefHeading___Toc2105184_2749589250"/>
      <w:bookmarkStart w:id="373" w:name="_Toc154"/>
      <w:bookmarkEnd w:id="372"/>
      <w:r>
        <w:rPr/>
        <w:t>1</w:t>
      </w:r>
      <w:r>
        <w:rPr>
          <w:rtl w:val="true"/>
        </w:rPr>
        <w:t>ـ</w:t>
      </w:r>
      <w:r>
        <w:rPr/>
        <w:t>3</w:t>
      </w:r>
      <w:r>
        <w:rPr>
          <w:rtl w:val="true"/>
        </w:rPr>
        <w:t>ـ</w:t>
      </w:r>
      <w:r>
        <w:rPr/>
        <w:t>2</w:t>
      </w:r>
      <w:r>
        <w:rPr>
          <w:rtl w:val="true"/>
        </w:rPr>
        <w:t xml:space="preserve">. </w:t>
      </w:r>
      <w:r>
        <w:rPr>
          <w:rtl w:val="true"/>
        </w:rPr>
        <w:t>سهل و ممتنع بودن زبان قرآن</w:t>
      </w:r>
      <w:bookmarkEnd w:id="37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آسان سازی درک بلاغت قرآن با وجود پیچیدگی های آن، محققان بسیاری از زمان های دور به نگارش کتاب‌هایی روی آورده اند که بلاغت این کتاب و اسرار آن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البیانی از محمد بن زید واسطی، متکلم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از</w:t>
      </w:r>
    </w:p>
    <w:p>
      <w:pPr>
        <w:pStyle w:val="BookText"/>
        <w:rPr/>
      </w:pPr>
      <w:r>
        <w:rPr>
          <w:rFonts w:ascii="IRNazanin" w:hAnsi="IRNazanin" w:eastAsia="IRNazanin"/>
          <w:color w:val="111111"/>
          <w:sz w:val="28"/>
          <w:sz w:val="28"/>
          <w:szCs w:val="28"/>
          <w:rtl w:val="true"/>
          <w:lang w:bidi="fa-IR"/>
        </w:rPr>
        <w:t xml:space="preserve">ابوبکر محمد بن طیب باقلانی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أسرار البلاغه فی علم البیان از عبدالقاهر جرجانی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الطراز فی أسرار البلاغه و حقائق الاعجاز از یحیی بن حمزه علوی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القرآن و البلاغۀ النبویه از مصطفی صادق 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الاعجاز البیانی للقرآن الکریم از عایشه عبدالرحمن بنت الشاطئ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کتب درخور تأمل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رغم تألیفات زیاد در این حوزه، کمتر نگارشی به کامیابی 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اشکال بدان جهت است که موضوع اعجاز قرآن، غالباً در فضای اقناعی و شرایطی که مخاطبان آن‌ها خیلی جدی نبوده اند، پذیرفته شده و نظریۀ اعجاز بیانی در همین موقعیت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به نظر می رسد تبیین وجه ادبی قرآن با وجود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قواعد آن، برای هر مخاطبی قانع کننده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تفهیم امتناع هماوردی با قرآن از سوی قائلان به اعجاز بیانی، سال‌ها پس از تدوین نظریۀ نقد ادبی هم، مشکلاتی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اثبات معجزۀ قرآن با راه‌کار صرفه، نیاز به مواجهه با ویژگی های خاصّ زبان قرآن نداشت و به دلیل تأثیر بر بخش اعظم مخاطبان، کارآمدی آن نسبت به دیگر وجوه اعجاز، قطعی تر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بر همین اساس و با آگاهی از خصوصیات زبان قرآن، در فصلی از کتاب الموضح عن جهۀ اعجاز القرآن،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اقوال 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کوشد تا اهمیت تکیه بر صرفه را در اثبات اعجاز قرآن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عرب را خدای تعالی از معارضه منصرف</w:t>
      </w:r>
    </w:p>
    <w:p>
      <w:pPr>
        <w:pStyle w:val="BookText"/>
        <w:rPr/>
      </w:pPr>
      <w:r>
        <w:rPr>
          <w:rFonts w:ascii="IRNazanin" w:hAnsi="IRNazanin" w:eastAsia="IRNazanin"/>
          <w:color w:val="111111"/>
          <w:sz w:val="28"/>
          <w:sz w:val="28"/>
          <w:szCs w:val="28"/>
          <w:rtl w:val="true"/>
          <w:lang w:bidi="fa-IR"/>
        </w:rPr>
        <w:t>نمی کرد، به هر صورت، نوعی از اشتباه و التباس پدید می آمد؛ چه معارضۀ آن ها، مماثلۀ حقیقی بود و چه مقاربه، ادعا می کردند که مماثل است و با این ادعا برای کسانی که در غایت فصاحت نبودند، ایجاد شبهه می کردند و بین آنچه می آوردند و قرآن کریم، تفاوتی قائل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اکثر مردم جز اندکی از آنان نمی توانند آن دو کلام را از یکدیگر تشخیص دهند و برای تمایز آن‌ها باید به غیر مراجعه کنند و اگر آن غیر، ادعا کند که آن‌ها مساوی و مماثل هستند، شبهه با قوّت بیشتری راه آگاهی به اعجاز را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گفتۀ سید چنین برمی آید که وی صرفه را بهترین راه برای تفهیم امتناع هماوردی با قرآن می شناسد؛ از این رو، در مواجهه با مخالفان به آن پناه می برد و بر این تأکید می کند که وجه اعجاز باید به گونه ای باشد که نتوان خارق العاده بودن آن را به غیر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که در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نگرد، باید دریابد که چنین فعلی با چنان ویژگی به خدا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نوشته های خود هم بر این امر اذعان دارد که خداوند در</w:t>
      </w:r>
      <w:bookmarkStart w:id="374" w:name="pg3269_31776"/>
    </w:p>
    <w:p>
      <w:pPr>
        <w:pStyle w:val="BookText"/>
        <w:rPr/>
      </w:pPr>
      <w:bookmarkEnd w:id="374"/>
      <w:r>
        <w:rPr>
          <w:rFonts w:ascii="IRNazanin" w:hAnsi="IRNazanin" w:eastAsia="IRNazanin"/>
          <w:color w:val="111111"/>
          <w:sz w:val="28"/>
          <w:sz w:val="28"/>
          <w:szCs w:val="28"/>
          <w:rtl w:val="true"/>
          <w:lang w:bidi="fa-IR"/>
        </w:rPr>
        <w:t xml:space="preserve">زمان معارضه، علومی را از آدمی می گیرد که وی عادتاً واجد آن است و با توجه به این‌که گرفتن علم از بشر تحت قدرت هیچ مخلوقی نیست، او فعل خدا را در وجود خود می یابد و الهی بودن قرآن برای او روشن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نزد سید هیچ یک از وجوه مشهور اعجاز قرآن، بر خارق عادت و الهی بودن این کتاب آسمانی دلالت نمی کنند و از این جهت که باور دارد دانش افراد در زمان معارضه تنها از جانب خدا سلب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معجزۀ قرآن را در پرتو همین انصراف تبیین می کند و مسئلۀ امتناع معارضه با قرآن را به سادگی با طرح نظریۀ صرفه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برخلاف برخی از باورمندان به اعجاز قرآن که در اثبات این نظر و اقناع مخاطب، خود را به سختی می افکنند، با انتخاب نظریۀ صرفه راه هموارتری را برمی گزیند؛ این در حالی است که تقریرهای گوناگون اعجاز بیانی، عموماً برای مخاطبان، پیچیده و ناملموس است و آن‌ها را به راحتی متقاعد نمی کند</w:t>
      </w:r>
      <w:r>
        <w:rPr>
          <w:rFonts w:eastAsia="IRNazanin" w:cs="IRNazanin"/>
          <w:color w:val="111111"/>
          <w:sz w:val="28"/>
          <w:szCs w:val="28"/>
          <w:rtl w:val="true"/>
          <w:lang w:bidi="fa-IR"/>
        </w:rPr>
        <w:t>.</w:t>
      </w:r>
    </w:p>
    <w:p>
      <w:pPr>
        <w:pStyle w:val="Heading6"/>
        <w:numPr>
          <w:ilvl w:val="5"/>
          <w:numId w:val="1"/>
        </w:numPr>
        <w:rPr/>
      </w:pPr>
      <w:bookmarkStart w:id="375" w:name="__RefHeading___Toc2105186_2749589250"/>
      <w:bookmarkStart w:id="376" w:name="_Toc155"/>
      <w:bookmarkEnd w:id="375"/>
      <w:r>
        <w:rPr/>
        <w:t>2</w:t>
      </w:r>
      <w:r>
        <w:rPr>
          <w:rtl w:val="true"/>
        </w:rPr>
        <w:t>ـ</w:t>
      </w:r>
      <w:r>
        <w:rPr/>
        <w:t>3</w:t>
      </w:r>
      <w:r>
        <w:rPr>
          <w:rtl w:val="true"/>
        </w:rPr>
        <w:t>ـ</w:t>
      </w:r>
      <w:r>
        <w:rPr/>
        <w:t>2</w:t>
      </w:r>
      <w:r>
        <w:rPr>
          <w:rtl w:val="true"/>
        </w:rPr>
        <w:t xml:space="preserve">. </w:t>
      </w:r>
      <w:r>
        <w:rPr>
          <w:rtl w:val="true"/>
        </w:rPr>
        <w:t>حضور مخالفان غیرعرب در مجادلات</w:t>
      </w:r>
      <w:r>
        <w:rPr>
          <w:rtl w:val="true"/>
        </w:rPr>
        <w:t>¬</w:t>
      </w:r>
      <w:bookmarkEnd w:id="376"/>
    </w:p>
    <w:p>
      <w:pPr>
        <w:pStyle w:val="BookText"/>
        <w:rPr/>
      </w:pPr>
      <w:r>
        <w:rPr>
          <w:rFonts w:ascii="IRNazanin" w:hAnsi="IRNazanin" w:eastAsia="IRNazanin"/>
          <w:color w:val="111111"/>
          <w:sz w:val="28"/>
          <w:sz w:val="28"/>
          <w:szCs w:val="28"/>
          <w:rtl w:val="true"/>
          <w:lang w:bidi="fa-IR"/>
        </w:rPr>
        <w:t>یکی دیگر از مسائلی که فرقۀ اعتزال را در اثبات اعجاز قرآن با مشکلاتی روبه رو می کرد، غیرعرب بودن مخاطبان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پیروان معتزله به دنبال وجهی از اعجاز بودند که برای ناآشنایان به زبان قرآن هم قابل 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متکلمان این فرقه، به همراه عالمانی از امامیه چون سید مرتضی، راهی جز گزینش صرفه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سید قصد داشت معجزه بودن قرآن را بر مبنای فصاحت و بلاغت آن ثابت کند،</w:t>
      </w:r>
    </w:p>
    <w:p>
      <w:pPr>
        <w:pStyle w:val="BookText"/>
        <w:rPr/>
      </w:pPr>
      <w:r>
        <w:rPr>
          <w:rFonts w:ascii="IRNazanin" w:hAnsi="IRNazanin" w:eastAsia="IRNazanin"/>
          <w:color w:val="111111"/>
          <w:sz w:val="28"/>
          <w:sz w:val="28"/>
          <w:szCs w:val="28"/>
          <w:rtl w:val="true"/>
          <w:lang w:bidi="fa-IR"/>
        </w:rPr>
        <w:t>می بایست علت تمایز کلام الهی با کلام بشری را به وضوح نشان می داد، در حالی که آن، کار ساده ای نبود و حداقل نیازمند آن بود که مخاطب او، زبان عربی را به خوبی بداند؛ هرچند امکان داشت چنین فردی هم به درک کامل این مسئله نایل نگردد یا همانند خود سید که ادیبی برجسته است، صرفه را مناسب ترین وجه اعجاز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شناختی که سید مرتضی از متون عرب داشت، پس از بیان اختلاف نظر برخی از علمای ادب در تشخیص برتری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این علما در آنچه بیان کردیم، اختلاف نظر دارند، اما در این‌که کلام 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 هستند، متفقند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را بر دیگری برتری دهد، به قرابت میان آن‌ها هم اعتراف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بر همین اساس مخاطبان خود را از تشخیص برتری قرآن بر مانند آن، ناتوان می دید و مطرح کردن اعجاز بیانی را در مجادله با آن‌ها به مصلحت نمی دانست؛ لذا در مقابل وجه بیانی و</w:t>
      </w:r>
      <w:bookmarkStart w:id="377" w:name="pg3269_31777"/>
    </w:p>
    <w:p>
      <w:pPr>
        <w:pStyle w:val="BookText"/>
        <w:rPr/>
      </w:pPr>
      <w:bookmarkEnd w:id="377"/>
      <w:r>
        <w:rPr>
          <w:rFonts w:ascii="IRNazanin" w:hAnsi="IRNazanin" w:eastAsia="IRNazanin"/>
          <w:color w:val="111111"/>
          <w:sz w:val="28"/>
          <w:sz w:val="28"/>
          <w:szCs w:val="28"/>
          <w:rtl w:val="true"/>
          <w:lang w:bidi="fa-IR"/>
        </w:rPr>
        <w:t>در تأکید بر صرفه تصریح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پیامبر صلی الله علیه و اله و سلم با آن‌ها تحدی می کرد، امکان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چون راه علم به آوردن مانند قرآن برای آن‌ها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جدلی سید در تبیین وجه اعجاز از سویی و غیرعرب بودن مخاطبان از سوی دیگر، عامل مهمی بود تا صرفه را بر دیگر وجوه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دیگر نیازی به کاربرد اصطلاحات تخصصی در اثبات اعجاز بیانی قرآن و برتری زبان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معتقد بود در مجادلات کلامی، مخالفان، بدون درک زبان قرآن هم، می توانند به راحتی مشکل بودن امتناع هماوردی با قرآن را بپذیرند، صرفه را به عنوان مهم‌ترین وجه اعجاز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نگرش سید به نظر می رسد که وی قصد داشت با طرح صرفه، معجزه بودن قرآن همه فهم پذیر و فرازمانی شود و به سهولت قابل ارائه و تبیین گردد</w:t>
      </w:r>
      <w:r>
        <w:rPr>
          <w:rFonts w:eastAsia="IRNazanin" w:cs="IRNazanin"/>
          <w:color w:val="111111"/>
          <w:sz w:val="28"/>
          <w:szCs w:val="28"/>
          <w:rtl w:val="true"/>
          <w:lang w:bidi="fa-IR"/>
        </w:rPr>
        <w:t>.</w:t>
      </w:r>
    </w:p>
    <w:p>
      <w:pPr>
        <w:pStyle w:val="Heading3"/>
        <w:numPr>
          <w:ilvl w:val="2"/>
          <w:numId w:val="1"/>
        </w:numPr>
        <w:rPr/>
      </w:pPr>
      <w:bookmarkStart w:id="378" w:name="__RefHeading___Toc2105188_2749589250"/>
      <w:bookmarkStart w:id="379" w:name="_Toc156"/>
      <w:bookmarkEnd w:id="378"/>
      <w:r>
        <w:rPr>
          <w:rtl w:val="true"/>
        </w:rPr>
        <w:t>نتیجه گیری</w:t>
      </w:r>
      <w:bookmarkEnd w:id="3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علل گزینش نظریۀ صرفه از سوی سید مرتضی نشان می‌دهد که عمده‌ترین دلایل پذیرش این نظریه از سوی او، شرایط تاریخی و ویژگی‌های ذاتی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سید، بحث اعتبار کتب مقدس در میان یهودیان و مسیحیان و نیاز به اقناع آن‌ها در بحث اعجاز قرآن، زمینۀ مجادلات کلامی را نه تنها میان مسلمانان و ادیان دیگر، بلکه در بین فرق اسلامی نیز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جوّ حاکم بر فضای جامعۀ اسلامی، پیدایش مکاتب کلامی و نیاز به مجادله با مخالفان درون دینی و برون دینی بر گزینش نظریۀ صرفه که آمیخته با اندیشۀ جدلی است از سوی برخی متکلمان امامیه مانند سید مرتضی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نقد ادبی و نیاز به تکیه بر معیارهای غیرذوقی در سنجش بلاغی قرآن هم در انتخاب صرفه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انتخاب نظریۀ صرفه، می خواست بدون دخالت ملاک های سلیقه ای، 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العاده بودن کلام الهی را نسبت به کلام بشری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اعتقاد بر عمومیت فهم پذیری صرفه و عدم نیاز به درک زبان قرآن در قبول اعجاز آن، ضمن بهره‌مندی از فضای آزاد برای مجادلات کلامی، تلاش می کرد تا معجزه را همان ناتوانی افراد در هماوردی با این کتاب نشان دهد و این موضوع را به ساده ترین شکل برای مخالفان غیرعرب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مخاطبان خود را از تشخیص برتری قرآن بر مانند آن، ناتوان می دید، طرح اعجاز ذاتی را در مجادلات ، مناسب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قصد داشت در اقناع مخاطبان خود به جای تأکید بر تقریرهای گوناگون اعجاز بیانی که عموماً پیچیده است، آن‌ها را به راحتی با صرفه متقاعد کند</w:t>
      </w:r>
      <w:r>
        <w:rPr>
          <w:rFonts w:eastAsia="IRNazanin" w:cs="IRNazanin"/>
          <w:color w:val="111111"/>
          <w:sz w:val="28"/>
          <w:szCs w:val="28"/>
          <w:rtl w:val="true"/>
          <w:lang w:bidi="fa-IR"/>
        </w:rPr>
        <w:t>.</w:t>
      </w:r>
      <w:bookmarkStart w:id="380" w:name="pg3269_31778"/>
    </w:p>
    <w:p>
      <w:pPr>
        <w:pStyle w:val="Heading3"/>
        <w:numPr>
          <w:ilvl w:val="2"/>
          <w:numId w:val="1"/>
        </w:numPr>
        <w:rPr/>
      </w:pPr>
      <w:bookmarkStart w:id="381" w:name="__RefHeading___Toc2105190_2749589250"/>
      <w:bookmarkStart w:id="382" w:name="_Toc157"/>
      <w:bookmarkEnd w:id="380"/>
      <w:bookmarkEnd w:id="381"/>
      <w:r>
        <w:rPr>
          <w:rtl w:val="true"/>
        </w:rPr>
        <w:t>منابع</w:t>
      </w:r>
      <w:bookmarkEnd w:id="38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اندیشه اعجاز قرآن؛ ترجمه مدخل همتاپذیری دائرۀ‌المعارف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قرآنی،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مصر، المطبعۀ الرحمانیه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المعجزۀ الکبری القرآن، قاهره، دارالفکر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الحمصی، نعیم،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فکره اعجاز القرآن من البعثۀ إلی عصرنا الحاضر، بیروت، مؤسسۀ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الرافعی، مصطفی صادق،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و البلاغۀ النبویه،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الشرفی، عبدالمجید،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الفکر الإسلامی فی الرد علی النصاری إلی نهایۀ القرن الرابع، بیروت، دارالمدار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الکندی، عبدالمسیح،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عبدالله بن اسماعیل الهاشمی الی عبدالمسیح بن اسحاق الکندی یدعوه بها إلی الإسلام و رسالۀ الکندی إلی الهاشمی یرد بها علیه، و یدعوه إلی النصرانیه، بی جا، بی 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میرسیدشریف،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محمدرضا،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تاریخی فکری و سیاسی امامیه با فرقه‌های معتزله، حنابله و اشاعره در عصر آل بویه در بغداد، قم،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الشاطئ، عائشه عبدالرحمن،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الاعجاز البیانی للقرآن، قاهره،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فروغ،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مسیحی و تداوم رویکرد جدلی نسبت به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بیّنات، سال هفدهم،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عمرو بن بحر،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الحیوان،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مناسبات فرهنگی معتزله و شیعه تا آغاز دوره انحلال معتزله در شیعه،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سدیدالدین،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المعتمد من مذهب الشیعۀ الإمامیه، قم،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خفاجی، عبدالله بن سنان،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الفصاحه، قاهره، مکتبۀ و مطبعۀ محمدعلی صبیح و اولاده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الإلهیات علی هدی الکتاب و السنۀ و العقل، قم، المرکز العالمی للدراسات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الإتقان فی علوم القرآن ،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 العمل، نجف، مطبعۀ الآداب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الذخیرۀ فی علم الکلام، قم، مؤسسۀ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الموضح عن جهه اعجاز القرآن،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نیا،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تکوین نظریه اعجاز قرآن و تبیین وجوه آن در قرون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قرآن و حدیث، سال چهل‌وششم،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مارتین، ریچارد،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معتزله بصره در شکل گیری نظریه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عباسی، پژوهش های قرآنی،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 آدام،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اسلامی در قرن چهارم هجری یا رنسانس اسلامی؛ ترجمۀ الحضارۀ الإسلامیۀ فی قرن الرابع الهجری أو عصر النهضۀ فی الإسلام،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ذکاوتی زاده قراگوزلو،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الجامعۀ لدرر أخبار الائمه الأطهار علیهم السلام ،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فی علوم القرآن،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مؤسسه مطالعات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القرآن در نظر اهل بیت عصمت علیهم السلام و بیست نفر از علمای بزرگ، قم، أحسن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 Richard (2002), “Inimitability” in Encyclopedia of the quran, new ed. , Brill, Liden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Von Grunebaum, G. E., (1986). “iʿdjāz” in The Encyclopaedia of Islam, 2nd edition, vol. 3, Brill,.Leiden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دیگر مورد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بدوی، عبدالرحمان،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اندیشه های کلامی 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صابری، مشهد،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الأصول در علم کلام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مشکوۀ‌الدینی، تهران، انجمن اسلامی حکمت و فلسفه ایران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نعمانی، شبلی،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فخر داعی گیلانی، تهران، اساطیر</w:t>
      </w:r>
      <w:r>
        <w:rPr>
          <w:rFonts w:eastAsia="IRNazanin" w:cs="IRNazanin"/>
          <w:color w:val="111111"/>
          <w:sz w:val="28"/>
          <w:szCs w:val="28"/>
          <w:rtl w:val="true"/>
          <w:lang w:bidi="fa-IR"/>
        </w:rPr>
        <w:t>.</w:t>
      </w:r>
      <w:bookmarkStart w:id="383" w:name="pg3269_31780"/>
    </w:p>
    <w:p>
      <w:pPr>
        <w:pStyle w:val="Heading2"/>
        <w:numPr>
          <w:ilvl w:val="1"/>
          <w:numId w:val="1"/>
        </w:numPr>
        <w:rPr/>
      </w:pPr>
      <w:bookmarkStart w:id="384" w:name="__RefHeading___Toc2105192_2749589250"/>
      <w:bookmarkStart w:id="385" w:name="_Toc158"/>
      <w:bookmarkEnd w:id="383"/>
      <w:bookmarkEnd w:id="384"/>
      <w:r>
        <w:rPr>
          <w:rtl w:val="true"/>
        </w:rPr>
        <w:t xml:space="preserve">بررسی تاریخی بازتاب مبانی کلامی مفسران در تفسیر </w:t>
      </w:r>
      <w:r>
        <w:rPr>
          <w:rtl w:val="true"/>
        </w:rPr>
        <w:t>«</w:t>
      </w:r>
      <w:r>
        <w:rPr>
          <w:rtl w:val="true"/>
        </w:rPr>
        <w:t>آیۀ خلود</w:t>
      </w:r>
      <w:r>
        <w:rPr>
          <w:rtl w:val="true"/>
        </w:rPr>
        <w:t xml:space="preserve">»/ </w:t>
      </w:r>
      <w:r>
        <w:rPr>
          <w:rtl w:val="true"/>
        </w:rPr>
        <w:t xml:space="preserve">شهربانو حاجیامیری </w:t>
      </w:r>
      <w:r>
        <w:rPr>
          <w:rtl w:val="true"/>
        </w:rPr>
        <w:t xml:space="preserve">_ </w:t>
      </w:r>
      <w:r>
        <w:rPr>
          <w:rtl w:val="true"/>
        </w:rPr>
        <w:t>ابراهیم نصرالله پور علمداری</w:t>
      </w:r>
      <w:bookmarkEnd w:id="385"/>
    </w:p>
    <w:p>
      <w:pPr>
        <w:pStyle w:val="Heading3"/>
        <w:numPr>
          <w:ilvl w:val="2"/>
          <w:numId w:val="1"/>
        </w:numPr>
        <w:rPr/>
      </w:pPr>
      <w:bookmarkStart w:id="386" w:name="__RefHeading___Toc2105194_2749589250"/>
      <w:bookmarkStart w:id="387" w:name="_Toc159"/>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شهربانو حاجی امیری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ابراهیم نصراللهپور علمداری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1395/12/16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1396/03/27</w:t>
      </w:r>
    </w:p>
    <w:p>
      <w:pPr>
        <w:pStyle w:val="Heading3"/>
        <w:numPr>
          <w:ilvl w:val="2"/>
          <w:numId w:val="1"/>
        </w:numPr>
        <w:rPr/>
      </w:pPr>
      <w:bookmarkStart w:id="388" w:name="__RefHeading___Toc2105196_2749589250"/>
      <w:bookmarkStart w:id="389" w:name="_Toc160"/>
      <w:bookmarkEnd w:id="388"/>
      <w:r>
        <w:rPr>
          <w:rtl w:val="true"/>
        </w:rPr>
        <w:t>چکیده</w:t>
      </w:r>
      <w:bookmarkEnd w:id="38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استثنای مشیت الهی همراه شده است که ذیل آن مفسران مسلمان دربارۀ خلود کافران در عذاب، اتفاق نظر داشته و خلودِ اهل کبائر از مؤمنین، نزد آن‌ها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مقالۀ پیشرو این است که آیا مفسران اشعری، معتزلی و امامی در تفسیر آیۀ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مذاهب کلامی خویش بودهاند یا آن‌که در مواردی، از اصول مذهب کلامی خویش عدول کردهاند؟ تحقیق حاضر بیان‌گرِ این نکته است که مفسران معتزلی و امامی در سدههای مختلف تاریخی از گذشته تا به امروز متأثر از اندیشههای کلامی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اشعری متقدم تا قرن دهم نیز کاملاً متأثر از مذهب کلامی خویش به تفسیر آیه پرداختهاند، اما مفسران متأخر اشعری در قرن سیزدهم و چهاردهم در کتب خویش از تفسیر رایج میان اشاعره عدول کرده و در چارچوب جدیدی به تفسیر آیه پرداختهاند</w:t>
      </w:r>
      <w:r>
        <w:rPr>
          <w:rFonts w:eastAsia="IRNazanin" w:cs="IRNazanin"/>
          <w:color w:val="111111"/>
          <w:sz w:val="28"/>
          <w:szCs w:val="28"/>
          <w:rtl w:val="true"/>
          <w:lang w:bidi="fa-IR"/>
        </w:rPr>
        <w:t>.</w:t>
      </w:r>
    </w:p>
    <w:p>
      <w:pPr>
        <w:pStyle w:val="Heading3"/>
        <w:numPr>
          <w:ilvl w:val="2"/>
          <w:numId w:val="1"/>
        </w:numPr>
        <w:rPr/>
      </w:pPr>
      <w:bookmarkStart w:id="390" w:name="__RefHeading___Toc2105198_2749589250"/>
      <w:bookmarkStart w:id="391" w:name="_Toc161"/>
      <w:bookmarkEnd w:id="390"/>
      <w:r>
        <w:rPr>
          <w:rtl w:val="true"/>
        </w:rPr>
        <w:t>واژگان کلیدی</w:t>
      </w:r>
      <w:bookmarkEnd w:id="3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خلود، اشعری، معتزلی، امامی، اهل کبائر</w:t>
      </w:r>
      <w:r>
        <w:rPr>
          <w:rFonts w:eastAsia="IRNazanin" w:cs="IRNazanin"/>
          <w:color w:val="111111"/>
          <w:sz w:val="28"/>
          <w:szCs w:val="28"/>
          <w:rtl w:val="true"/>
          <w:lang w:bidi="fa-IR"/>
        </w:rPr>
        <w:t>.</w:t>
      </w:r>
      <w:bookmarkStart w:id="392" w:name="pg3269_31781"/>
    </w:p>
    <w:p>
      <w:pPr>
        <w:pStyle w:val="Heading3"/>
        <w:numPr>
          <w:ilvl w:val="2"/>
          <w:numId w:val="1"/>
        </w:numPr>
        <w:rPr/>
      </w:pPr>
      <w:bookmarkStart w:id="393" w:name="__RefHeading___Toc2105200_2749589250"/>
      <w:bookmarkStart w:id="394" w:name="_Toc162"/>
      <w:bookmarkEnd w:id="392"/>
      <w:bookmarkEnd w:id="393"/>
      <w:r>
        <w:rPr>
          <w:rtl w:val="true"/>
        </w:rPr>
        <w:t>درآمد</w:t>
      </w:r>
      <w:bookmarkEnd w:id="394"/>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نفوس آدمی در قیامت را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 و سپس عاقبت هر کدام از آن‌ها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مادامَتِ السَّماواتُ وَ الْأَرْضُ إِلّا ما شاءَ رَبُّکَ إِنَّ رَبَّکَ فَعَّالٌ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سُعِدُوا فَفِی الْجَنَّةِ خالِدینَ فیها ما دامَتِ السَّماواتُ وَ الْأَرْضُ إِلّا ما شاءَ رَبُّکَ عَطاءً غَیْرَ مَجْذُوذٍ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به طور خاص به آیۀ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میپردازیم که عاقبتِ افراد شقی را ترسیم میکند و نصیب آن‌ها را خلود در آتش، مادام که آسمانها و زمین برقرار هستند،</w:t>
      </w:r>
    </w:p>
    <w:p>
      <w:pPr>
        <w:pStyle w:val="BookText"/>
        <w:rPr/>
      </w:pPr>
      <w:r>
        <w:rPr>
          <w:rFonts w:ascii="IRNazanin" w:hAnsi="IRNazanin" w:eastAsia="IRNazanin"/>
          <w:color w:val="111111"/>
          <w:sz w:val="28"/>
          <w:sz w:val="28"/>
          <w:szCs w:val="28"/>
          <w:rtl w:val="true"/>
          <w:lang w:bidi="fa-IR"/>
        </w:rPr>
        <w:t>میداند، مگر آن‌که مشیت الهی بر رهایی آن‌ها از آتش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بیان دربارۀ اهل دوزخ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النَّارُ مَثْوَئکُمْ خَالِدِینَ فِیهَا إِلَّا مَا شَاءَ اللَّهُ إِنَّ رَبَّکَ حَکِیمٌ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آیات قرآن تعابیر گوناگونی دربارۀ خلود در دوزخ دارند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تحلیلِ عقلیِ جاودانگی در دوزخ از منظر فلاسفۀ بزرگ همچون ابنسینا، ملاصدرا و علامه طباطبائی مورد بررسیهای متعدد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آرای عرفای بزرگی همچون ابنعربی نیز در این زمینه به قلم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مقالات نیز نقش پیشفرضها و مبانی کلامی در تفسیر قرآن و به طور خاص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رسالههای دکتری نیز در سال‌های اخیر به طور کلی مبانی کلامی امامیه در تفسیر قرآن را مورد بررسی قرار داده است؛ در حالی که هیچ یک از موارد مزبور به طور خاص و جزئی به مسئله محل بحث ما، که بررسی تاریخی مبانی کلامی مفسران در تفسیر آیۀ خلود است،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ما در این نوشتار این است که تمامی مفسران اشعری، معتزلی و امامی در تفسیر آیۀ خلود به اندیشه‌های کلامی خویش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منابع کلامی و تفسیری به روش کتاب‌خانه‌ای مورد بررسی و تحلیل قرار گرفته و آرای مفسران به ترتیب تاریخی استخراج و سپس با توجه به این ترتیب دسته‌بندی گردید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از نتایج حاصل از این پژوهش می توان در روش شناسی تفاسیر اشعری متأخر بهره گرفت</w:t>
      </w:r>
      <w:r>
        <w:rPr>
          <w:rFonts w:eastAsia="IRNazanin" w:cs="IRNazanin"/>
          <w:color w:val="111111"/>
          <w:sz w:val="28"/>
          <w:szCs w:val="28"/>
          <w:rtl w:val="true"/>
          <w:lang w:bidi="fa-IR"/>
        </w:rPr>
        <w:t>.</w:t>
      </w:r>
      <w:bookmarkStart w:id="395" w:name="pg3269_31782"/>
    </w:p>
    <w:p>
      <w:pPr>
        <w:pStyle w:val="Heading3"/>
        <w:numPr>
          <w:ilvl w:val="2"/>
          <w:numId w:val="1"/>
        </w:numPr>
        <w:rPr/>
      </w:pPr>
      <w:bookmarkStart w:id="396" w:name="__RefHeading___Toc2105202_2749589250"/>
      <w:bookmarkStart w:id="397" w:name="_Toc163"/>
      <w:bookmarkEnd w:id="395"/>
      <w:bookmarkEnd w:id="396"/>
      <w:r>
        <w:rPr>
          <w:rtl w:val="true"/>
        </w:rPr>
        <w:t xml:space="preserve">بسامد قرآنی اصل </w:t>
      </w:r>
      <w:r>
        <w:rPr>
          <w:rtl w:val="true"/>
        </w:rPr>
        <w:t>«</w:t>
      </w:r>
      <w:r>
        <w:rPr>
          <w:rtl w:val="true"/>
        </w:rPr>
        <w:t>خلود</w:t>
      </w:r>
      <w:r>
        <w:rPr>
          <w:rtl w:val="true"/>
        </w:rPr>
        <w:t>»</w:t>
      </w:r>
      <w:bookmarkEnd w:id="397"/>
    </w:p>
    <w:p>
      <w:pPr>
        <w:pStyle w:val="BookText"/>
        <w:rPr/>
      </w:pPr>
      <w:r>
        <w:rPr>
          <w:rFonts w:ascii="IRNazanin" w:hAnsi="IRNazanin" w:eastAsia="IRNazanin"/>
          <w:color w:val="111111"/>
          <w:sz w:val="28"/>
          <w:sz w:val="28"/>
          <w:szCs w:val="28"/>
          <w:rtl w:val="true"/>
          <w:lang w:bidi="fa-IR"/>
        </w:rPr>
        <w:t xml:space="preserve">بسامد قرآنی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استعمال این ریشه به صورت اسمی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مثنی و جمع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استعمال قرآنی این ریشه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که چهارده مورد از آن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هشت مورد از کاربردها به طور خاص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موارد در شأن افراد دیگری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کار رفته که چهارده مورد آن دربارۀ خلود در عذاب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آن دربارۀ بهشت است و دو مورد به خلود در دنیا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398" w:name="__RefHeading___Toc2105204_2749589250"/>
      <w:bookmarkStart w:id="399" w:name="_Toc164"/>
      <w:bookmarkEnd w:id="398"/>
      <w:r>
        <w:rPr>
          <w:rtl w:val="true"/>
        </w:rPr>
        <w:t>ریشه های تاریخی طرح مسئله خلود در دوزخ</w:t>
      </w:r>
      <w:bookmarkEnd w:id="399"/>
    </w:p>
    <w:p>
      <w:pPr>
        <w:pStyle w:val="BookText"/>
        <w:rPr/>
      </w:pPr>
      <w:r>
        <w:rPr>
          <w:rFonts w:ascii="IRNazanin" w:hAnsi="IRNazanin" w:eastAsia="IRNazanin"/>
          <w:color w:val="111111"/>
          <w:sz w:val="28"/>
          <w:sz w:val="28"/>
          <w:szCs w:val="28"/>
          <w:rtl w:val="true"/>
          <w:lang w:bidi="fa-IR"/>
        </w:rPr>
        <w:t xml:space="preserve">در بررسی ریشههای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باید گفت مسئله تعارض و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و بنیانی معرفت بشری است که مورد توجه و مطمح نظر متألهان و ملحدان مغرب و مشرق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دو سدۀ پیشین این بحث به صورت جدی بین متکلمان و فلاسفه دین مطرح شده است، اما در اسلام سابقۀ طولانی دارد و به دیدگاه‌های مختلف در باب تعارض میان روایات و یا روایات و آیات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 جاودانگی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زیرمجموعههای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دیرباز مورد توجه عالمان اسلامی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قراملکی،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نعیم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مورد اتفاق فریقین است که بر اساس نص قرآن و روایات اسلامی </w:t>
      </w:r>
      <w:r>
        <w:rPr>
          <w:rStyle w:val="FootnoteAnchor"/>
          <w:rtl w:val="true"/>
        </w:rPr>
        <w:footnoteReference w:id="19"/>
      </w:r>
      <w:r>
        <w:rPr>
          <w:rFonts w:ascii="IRNazanin" w:hAnsi="IRNazanin" w:eastAsia="IRNazanin"/>
          <w:color w:val="111111"/>
          <w:sz w:val="28"/>
          <w:sz w:val="28"/>
          <w:szCs w:val="28"/>
          <w:rtl w:val="true"/>
          <w:lang w:bidi="fa-IR"/>
        </w:rPr>
        <w:t>قابل اثبات است، اما اثبات خلود برای دوزخیان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 آملی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خلود برای بهشتیان چندان دشوار نیست، چنان‌که اثبات آن برای دوزخیان چندان آسان نیست؛ از این رو، خلود دوزخیان محل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متعددی به مسئله خلود در جهنم اشاره کرده، اما منابع حدیثی به پرسش و یا شبهات صحابه دربارۀ اصل خلود اشارهای نکردهاند، جز روایتی که به مناظرۀ عالم یهودی با حضرت رسول صلی الله علیه و اله و سلم اشاره دارد که وی با زبان اعتراض و نقد به پیامبر اسلام صلی الله علیه و اله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ظالم نیست، پس چگونه شخصی را که جز روزهای معدودی معصیت نکرده، به طور ابدی در دوزخ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یخلد علی نیته فَمَن علم الله نیتَه أنه لو بقی فی الدنیاء إلی انقضائها کان یعص الله ـ عز و جل ـ خلَّده فی ناره علی 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چنین شخصی را بر اساس نیتش در عذاب خالد میکند، چراکه خداوند علم دارد اگر او تا انتهای دنیا زنده میماند، معصیت خداوند را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بیان‌گرِ این است که مسلمانان در عصر نبی مکرم اسلام صلی الله علیه و اله و سلم و حتی در عصر تابعین،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مسائل بدیهی دانسته و از اصل آن پرسوجو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مسئله کلامی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مسئله حکم شخص مرتکب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این زمینه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امامیه و اشاعره بر این است که شخصِ مرتکبِ کبیره، مؤمن است، اما فاسق از طاعتِ الهی؛ اما معتزله قائل به خلود در جهنم برای مرتکبین کبائر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غیرمعتزلیها اعتقاد داشتند خلود تنها مربوط به کفار است نه مسلمین، هرچند آن مسلمین مرتکب کبائر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موضع قابل ذکر است اشاعره، معتزله و امامیه غیر از مسئله خلود ـ که محل بحث ماست ـ، در مسئلۀ مبنایی دیگری نیز اختلاف نظر دارند که با مسئله خلود مرتبط است و آن این است که آیا بهشت و دوزخ در حال حاضر مخلوق هستند یا در آینده خلق خواهند شد؟</w:t>
      </w:r>
    </w:p>
    <w:p>
      <w:pPr>
        <w:pStyle w:val="BookText"/>
        <w:rPr/>
      </w:pPr>
      <w:r>
        <w:rPr>
          <w:rFonts w:ascii="IRNazanin" w:hAnsi="IRNazanin" w:eastAsia="IRNazanin"/>
          <w:color w:val="111111"/>
          <w:sz w:val="28"/>
          <w:sz w:val="28"/>
          <w:szCs w:val="28"/>
          <w:rtl w:val="true"/>
          <w:lang w:bidi="fa-IR"/>
        </w:rPr>
        <w:t xml:space="preserve">سید رضی در کتاب تفسیرش که تنها یک جلد از آن به دست ما رسیده، تحتِ فصلی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 النار مخلوقتان أم تخلقان؟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 گفته و به اختلاف علما در این زمینه اشاره میکند که برخی قائلند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مخلوقند و بعضی دیگر معتقدند تنها بهشت به طور خاص مخلوق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سید رضی، رأی صواب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الصحیح أنهما تخلقان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منظر او، بهشت و دوزخ در آینده پدید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اختلاف، در متکلمان اشعری و معتزلی قدیم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اشاعره همچون ابوعلی جبائی، بِشر بن معتمر و ابوالحسن بصری قائلند به این‌که بهشت و دوزخ، مخلوق و در حالِ حاضر موجودند، ولی بزرگان معتزله مانند عباد ضمیری، ضرار بن عمر،</w:t>
      </w:r>
      <w:bookmarkStart w:id="400" w:name="pg3269_31784"/>
    </w:p>
    <w:p>
      <w:pPr>
        <w:pStyle w:val="BookText"/>
        <w:rPr/>
      </w:pPr>
      <w:bookmarkEnd w:id="400"/>
      <w:r>
        <w:rPr>
          <w:rFonts w:ascii="IRNazanin" w:hAnsi="IRNazanin" w:eastAsia="IRNazanin"/>
          <w:color w:val="111111"/>
          <w:sz w:val="28"/>
          <w:sz w:val="28"/>
          <w:szCs w:val="28"/>
          <w:rtl w:val="true"/>
          <w:lang w:bidi="fa-IR"/>
        </w:rPr>
        <w:t>أبیهاشم و قاضی عبدالجبار معتزلی، این امر را انکار کرده 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سید مرتضی نیز مانند برادرش سید رضی به قول معتزله متمایل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امامیه مانند اشعریها بر این است که دوزخ در حال حاضر موجود است و سراپردۀ آتش هماکنون ظالمان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آیات قرآن، احاطۀ آتش بر اهل دوزخ بالفعل 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در قیامت بر گرفتاری و سختیهای اهل دوزخ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عالمی که به طور مبسوط و مستدل به مسئله خلود پرداخته، ابنقیم جوزی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در زمرۀ مخالفان خلود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حادی الارواح الی بلاد الارواح حدود چهل صفحه در این موضوع قلمفرسایی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عرفا اولین کسی که مخالفت صریح خود با مسئله خلود را مستدل کرده، محییالدین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متأخر که نوعاً متأثر از مشرب عرفانی او بودهاند، در این مسئله نیز با او همگام</w:t>
      </w:r>
    </w:p>
    <w:p>
      <w:pPr>
        <w:pStyle w:val="BookText"/>
        <w:rPr/>
      </w:pP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قراملکی،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از فلاسفۀ بزرگ اسلامی، مسئله خلود را از مسائل غامض و پیچیدۀ کلامی میداند و در این زمینه به دو دسته اشاره میکند؛ از عرفا که موافق خلود هستند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مخالفان خلود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مسئله را در میان خود عرفا نیز محل اختلاف میداند؛ به این صورت که برخی به عذاب سرمدی اهل دوزخ اعتقاد دارند که نهایتی برای آن نیست، و برخی دیگر معتقدند عذاب مدتدار بوده و برای آن‌ها به پایان میرسد، اما در همان دوزخ به نعیم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موضع، آرای متکلمان مذاهب بزرگ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معتزلی 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خلود و ورود این آرا در تفسیر مفسرانِ این مذاهب کلامی را از نظر میگذرانیم</w:t>
      </w:r>
      <w:r>
        <w:rPr>
          <w:rFonts w:eastAsia="IRNazanin" w:cs="IRNazanin"/>
          <w:color w:val="111111"/>
          <w:sz w:val="28"/>
          <w:szCs w:val="28"/>
          <w:rtl w:val="true"/>
          <w:lang w:bidi="fa-IR"/>
        </w:rPr>
        <w:t>.</w:t>
      </w:r>
    </w:p>
    <w:p>
      <w:pPr>
        <w:pStyle w:val="Heading3"/>
        <w:numPr>
          <w:ilvl w:val="2"/>
          <w:numId w:val="1"/>
        </w:numPr>
        <w:rPr/>
      </w:pPr>
      <w:bookmarkStart w:id="401" w:name="__RefHeading___Toc2105206_2749589250"/>
      <w:bookmarkStart w:id="402" w:name="_Toc165"/>
      <w:bookmarkEnd w:id="401"/>
      <w:r>
        <w:rPr>
          <w:rtl w:val="true"/>
        </w:rPr>
        <w:t>نظرگاه متکلمان اشعری به مسئله خلود</w:t>
      </w:r>
      <w:bookmarkEnd w:id="402"/>
    </w:p>
    <w:p>
      <w:pPr>
        <w:pStyle w:val="BookText"/>
        <w:rPr/>
      </w:pPr>
      <w:r>
        <w:rPr>
          <w:rFonts w:ascii="IRNazanin" w:hAnsi="IRNazanin" w:eastAsia="IRNazanin"/>
          <w:color w:val="111111"/>
          <w:sz w:val="28"/>
          <w:sz w:val="28"/>
          <w:szCs w:val="28"/>
          <w:rtl w:val="true"/>
          <w:lang w:bidi="fa-IR"/>
        </w:rPr>
        <w:t>خلود از مسائل مهمّ کلامی است که اشاعره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خلود به معنای ابدیت باشد،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ایجی در المواقف در تبیین مسئله خلود، ابتدا به نظرگاه معتزله و خوارج در این زمینه</w:t>
      </w:r>
      <w:bookmarkStart w:id="403" w:name="pg3269_31785"/>
    </w:p>
    <w:p>
      <w:pPr>
        <w:pStyle w:val="BookText"/>
        <w:rPr/>
      </w:pPr>
      <w:bookmarkEnd w:id="403"/>
      <w:r>
        <w:rPr>
          <w:rFonts w:ascii="IRNazanin" w:hAnsi="IRNazanin" w:eastAsia="IRNazanin"/>
          <w:color w:val="111111"/>
          <w:sz w:val="28"/>
          <w:sz w:val="28"/>
          <w:szCs w:val="28"/>
          <w:rtl w:val="true"/>
          <w:lang w:bidi="fa-IR"/>
        </w:rPr>
        <w:t xml:space="preserve">اشاره میکند که معتقدند اگر صاحبان گناه کبیره از آن توبه نکنند، در دوزخ جاوید خواهند بود و هرگز از آن خارج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ادلۀ عقلی و نقلی معتزله بر این مطلب را ذکر کرده و بدان پاسخ میدهد و با استناد به آیات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الکفار من العصاة و مرتکبی الکبائر لا یخلد النار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مرتکب الکبیرة قد عمل خیراً هو ایمانه فإما أن یکون ذلک أی رؤیته للخیر قبل دخول النار ثم یدخل النار و هو باطل بالاجماع أو بعد خروجه عنها و فیه المطلوب و هو خروجه عن النار و عدم خلوده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ایجی با تکیه بر آیۀ شریفه معتقد است مرتکبین کبائر از مؤمنان، ایمان را که مصداق عمل خیر است، داشته اند؛ لذا باید نتیجۀ آن را ببیند که این نتیجۀ عمل خیر، یا قبل دخول در آتش است که بالاجماع آن را باطل می داند؛ و یا رؤیت این خیر بعد خروج از آتش است که این مطلوب است، زیرا این افراد از آتش جهنم خارج شده و در آن جاودان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استدلال به آیۀ شریفه و ضمیمه کردن استدلال عقلی به آن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غیر از کفار و مرتکبین گناهان بزرگ، در آتش جهنم خلود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از متکلمان اشعری اهلسنت، با بیان این‌که مسلمانان دربارۀ مؤمنینِ مرتکبِ کبائر که قبلِ توبه از دنیا بروند، اختلاف نظر دارند، معتقد است نظر اشاعره در این زمینه، عدم قطع به عفو و یا عقاب آن‌هاست، بلکه هر دوی این امور بسته به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تعذیب الهی، قطع به این دارند که چنین شخصی در دوزخ جاویدان نخواهد بود، بلکه یقیناً از آن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بر خداوند واجب نیست، بلکه به مقتضای وعده های الهی و ادلۀ خلود بهشتیان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تفتازانی،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آشکار گردید متکلمان بزرگ اشعری اعتقاد دارند مؤمنان صاحب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عذاب نخواهند داشت</w:t>
      </w:r>
      <w:r>
        <w:rPr>
          <w:rFonts w:eastAsia="IRNazanin" w:cs="IRNazanin"/>
          <w:color w:val="111111"/>
          <w:sz w:val="28"/>
          <w:szCs w:val="28"/>
          <w:rtl w:val="true"/>
          <w:lang w:bidi="fa-IR"/>
        </w:rPr>
        <w:t>.</w:t>
      </w:r>
    </w:p>
    <w:p>
      <w:pPr>
        <w:pStyle w:val="Heading3"/>
        <w:numPr>
          <w:ilvl w:val="2"/>
          <w:numId w:val="1"/>
        </w:numPr>
        <w:rPr/>
      </w:pPr>
      <w:bookmarkStart w:id="404" w:name="__RefHeading___Toc2105208_2749589250"/>
      <w:bookmarkStart w:id="405" w:name="_Toc166"/>
      <w:bookmarkEnd w:id="404"/>
      <w:r>
        <w:rPr>
          <w:rtl w:val="true"/>
        </w:rPr>
        <w:t>خلود نزد مفسران اشعری مسلک</w:t>
      </w:r>
      <w:bookmarkEnd w:id="405"/>
    </w:p>
    <w:p>
      <w:pPr>
        <w:pStyle w:val="Heading4"/>
        <w:numPr>
          <w:ilvl w:val="3"/>
          <w:numId w:val="1"/>
        </w:numPr>
        <w:rPr/>
      </w:pPr>
      <w:bookmarkStart w:id="406" w:name="__RefHeading___Toc2105210_2749589250"/>
      <w:bookmarkStart w:id="407" w:name="_Toc167"/>
      <w:bookmarkEnd w:id="406"/>
      <w:r>
        <w:rPr>
          <w:rtl w:val="true"/>
        </w:rPr>
        <w:t>اشاره</w:t>
      </w:r>
      <w:bookmarkEnd w:id="4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موضع، ورود و تأثیرگذاری این اعتقاد در میان مفسران اشعریمسلک با رعایت ترتیب تاریخی مورد تحقیق و بررسی قرار می گیرد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رأی مفسران اشعری مسلکِ اهل سنت ذیل آیۀ خلود به چند دسته قابل تقسیم است</w:t>
      </w:r>
      <w:r>
        <w:rPr>
          <w:rFonts w:eastAsia="IRNazanin" w:cs="IRNazanin"/>
          <w:color w:val="111111"/>
          <w:sz w:val="28"/>
          <w:szCs w:val="28"/>
          <w:rtl w:val="true"/>
          <w:lang w:bidi="fa-IR"/>
        </w:rPr>
        <w:t>:</w:t>
      </w:r>
      <w:bookmarkStart w:id="408" w:name="pg3269_31786"/>
    </w:p>
    <w:p>
      <w:pPr>
        <w:pStyle w:val="Heading4"/>
        <w:numPr>
          <w:ilvl w:val="3"/>
          <w:numId w:val="1"/>
        </w:numPr>
        <w:rPr/>
      </w:pPr>
      <w:bookmarkStart w:id="409" w:name="__RefHeading___Toc2105212_2749589250"/>
      <w:bookmarkStart w:id="410" w:name="_Toc168"/>
      <w:bookmarkEnd w:id="408"/>
      <w:bookmarkEnd w:id="409"/>
      <w:r>
        <w:rPr>
          <w:rtl w:val="true"/>
        </w:rPr>
        <w:t>دستۀ اول</w:t>
      </w:r>
      <w:r>
        <w:rPr>
          <w:rtl w:val="true"/>
        </w:rPr>
        <w:t>:</w:t>
      </w:r>
      <w:bookmarkEnd w:id="410"/>
    </w:p>
    <w:p>
      <w:pPr>
        <w:pStyle w:val="BookText"/>
        <w:rPr/>
      </w:pPr>
      <w:r>
        <w:rPr>
          <w:rFonts w:ascii="IRNazanin" w:hAnsi="IRNazanin" w:eastAsia="IRNazanin"/>
          <w:color w:val="111111"/>
          <w:sz w:val="28"/>
          <w:sz w:val="28"/>
          <w:szCs w:val="28"/>
          <w:rtl w:val="true"/>
          <w:lang w:bidi="fa-IR"/>
        </w:rPr>
        <w:t xml:space="preserve">مفسران متقدم اشعری همچون ابنأبیحاتم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عدم خلود مؤمنان گنهکار در دوزخ و خروجشان از دوزخ با شفاعت شافعین اعتقاد دارند، مسئله خلود را با مسئله کلامی شفاعت پیوند زده و در تأیید این عدم خلود، به روایات صحیحه ای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ابنأبیحاتم بر اساس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موحدان گنهکار در آن عذاب شده و سپس با شفاعت نبی مکرم اسلام صلی الله علیه و اله و سلم به بهشت</w:t>
      </w:r>
    </w:p>
    <w:p>
      <w:pPr>
        <w:pStyle w:val="BookText"/>
        <w:rPr/>
      </w:pPr>
      <w:r>
        <w:rPr>
          <w:rFonts w:ascii="IRNazanin" w:hAnsi="IRNazanin" w:eastAsia="IRNazanin"/>
          <w:color w:val="111111"/>
          <w:sz w:val="28"/>
          <w:sz w:val="28"/>
          <w:szCs w:val="28"/>
          <w:rtl w:val="true"/>
          <w:lang w:bidi="fa-IR"/>
        </w:rPr>
        <w:t xml:space="preserve">برمی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ابنأبیحاتم،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2085</w:t>
      </w:r>
      <w:r>
        <w:rPr>
          <w:rFonts w:ascii="IRNazanin" w:hAnsi="IRNazanin" w:eastAsia="IRNazanin"/>
          <w:color w:val="111111"/>
          <w:sz w:val="28"/>
          <w:sz w:val="28"/>
          <w:szCs w:val="28"/>
          <w:rtl w:val="true"/>
          <w:lang w:bidi="fa-IR"/>
        </w:rPr>
        <w:t xml:space="preserve">؛ ابن‌کثیر،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4"/>
        <w:numPr>
          <w:ilvl w:val="3"/>
          <w:numId w:val="1"/>
        </w:numPr>
        <w:rPr/>
      </w:pPr>
      <w:bookmarkStart w:id="411" w:name="__RefHeading___Toc2105214_2749589250"/>
      <w:bookmarkStart w:id="412" w:name="_Toc169"/>
      <w:bookmarkEnd w:id="411"/>
      <w:r>
        <w:rPr>
          <w:rtl w:val="true"/>
        </w:rPr>
        <w:t>دستۀ دوم</w:t>
      </w:r>
      <w:r>
        <w:rPr>
          <w:rtl w:val="true"/>
        </w:rPr>
        <w:t>:</w:t>
      </w:r>
      <w:bookmarkEnd w:id="412"/>
    </w:p>
    <w:p>
      <w:pPr>
        <w:pStyle w:val="BookText"/>
        <w:rPr/>
      </w:pPr>
      <w:r>
        <w:rPr>
          <w:rFonts w:ascii="IRNazanin" w:hAnsi="IRNazanin" w:eastAsia="IRNazanin"/>
          <w:color w:val="111111"/>
          <w:sz w:val="28"/>
          <w:sz w:val="28"/>
          <w:szCs w:val="28"/>
          <w:rtl w:val="true"/>
          <w:lang w:bidi="fa-IR"/>
        </w:rPr>
        <w:t xml:space="preserve">مفسران متقدم اهلسنت همچون ابنعطیه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آیه معتقدند خلود تنها از آنِ کافران است و استثنای موجود در آیه مربوط به اخراج اهل توحید از آتش دوزخ است و کسانی که حکم خلود از آن‌ها برداشته شده، همان فساق اهل صلاة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قرطبی،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ثعالبی،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قول دستۀ اول و دوم یکی است، با این تفاوت که دستۀ اول کلام خود را مستند به مسئله کلامی شفاعت کرده اند</w:t>
      </w:r>
      <w:r>
        <w:rPr>
          <w:rFonts w:eastAsia="IRNazanin" w:cs="IRNazanin"/>
          <w:color w:val="111111"/>
          <w:sz w:val="28"/>
          <w:szCs w:val="28"/>
          <w:rtl w:val="true"/>
          <w:lang w:bidi="fa-IR"/>
        </w:rPr>
        <w:t>.</w:t>
      </w:r>
    </w:p>
    <w:p>
      <w:pPr>
        <w:pStyle w:val="Heading4"/>
        <w:numPr>
          <w:ilvl w:val="3"/>
          <w:numId w:val="1"/>
        </w:numPr>
        <w:rPr/>
      </w:pPr>
      <w:bookmarkStart w:id="413" w:name="__RefHeading___Toc2105216_2749589250"/>
      <w:bookmarkStart w:id="414" w:name="_Toc170"/>
      <w:bookmarkEnd w:id="413"/>
      <w:r>
        <w:rPr>
          <w:rtl w:val="true"/>
        </w:rPr>
        <w:t>دستۀ سوم</w:t>
      </w:r>
      <w:r>
        <w:rPr>
          <w:rtl w:val="true"/>
        </w:rPr>
        <w:t>:</w:t>
      </w:r>
      <w:bookmarkEnd w:id="414"/>
    </w:p>
    <w:p>
      <w:pPr>
        <w:pStyle w:val="BookText"/>
        <w:rPr/>
      </w:pPr>
      <w:r>
        <w:rPr>
          <w:rFonts w:ascii="IRNazanin" w:hAnsi="IRNazanin" w:eastAsia="IRNazanin"/>
          <w:color w:val="111111"/>
          <w:sz w:val="28"/>
          <w:sz w:val="28"/>
          <w:szCs w:val="28"/>
          <w:rtl w:val="true"/>
          <w:lang w:bidi="fa-IR"/>
        </w:rPr>
        <w:t xml:space="preserve">برخی مفسران متأخر اشعریمذهب مانند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دروزه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ذیل آیۀ خلود، به قول مشهورِ اشاعره اشاره ای ندارند و استثنای موجود در آیه را متوجه دفع این توهم میدانند که خلود، امری واجب بر خداوند است که نقض آن ممکن نیست، آن‌گونه که معتزله بدان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دروزه نیز معتقد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خلود دائمی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توهم تناقض میان این آیات و آیات دیگر قرآن را از بین میبرد، آن جایی که عبارت 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بهشت و دوزخ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دروزه،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4"/>
        <w:numPr>
          <w:ilvl w:val="3"/>
          <w:numId w:val="1"/>
        </w:numPr>
        <w:rPr/>
      </w:pPr>
      <w:bookmarkStart w:id="415" w:name="__RefHeading___Toc2105218_2749589250"/>
      <w:bookmarkStart w:id="416" w:name="_Toc171"/>
      <w:bookmarkEnd w:id="415"/>
      <w:r>
        <w:rPr>
          <w:rtl w:val="true"/>
        </w:rPr>
        <w:t>دستۀ چهارم</w:t>
      </w:r>
      <w:r>
        <w:rPr>
          <w:rtl w:val="true"/>
        </w:rPr>
        <w:t>:</w:t>
      </w:r>
      <w:bookmarkEnd w:id="4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برخی مفسران معاصر اشعریمسلکِ قرن چهاردهم مانند سید قطب، قاسمی و مراغی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نحوی همان قول سوم است، اما در چارچوب کلامی دقیقتری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مفسران مسئله خلود را با مشیت الهی پیوند زده اند؛ برای مثال سید قطب، بدون اشاره به رأی مشهور اشاعره معتقد است، سیاق آیه استمرار را میرساند و خلود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الهی تعلیق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دارد مشیت الهی آزاد و رها از هر گونه قید و بندی است و این‌که خداوند بدون هیچ ضابطه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w:t>
      </w:r>
      <w:bookmarkStart w:id="417" w:name="pg3269_31787"/>
    </w:p>
    <w:p>
      <w:pPr>
        <w:pStyle w:val="BookText"/>
        <w:rPr/>
      </w:pPr>
      <w:bookmarkEnd w:id="417"/>
      <w:r>
        <w:rPr>
          <w:rFonts w:ascii="IRNazanin" w:hAnsi="IRNazanin" w:eastAsia="IRNazanin"/>
          <w:color w:val="111111"/>
          <w:sz w:val="28"/>
          <w:sz w:val="28"/>
          <w:szCs w:val="28"/>
          <w:rtl w:val="true"/>
          <w:lang w:bidi="fa-IR"/>
        </w:rPr>
        <w:t xml:space="preserve">بخواهد، اراده میکند و حتی ظلم او نسبت به بندگان، مذموم و قبیح نیست، زیرا همگان ملک طلق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ـ صاحب محاسن التأویل ـ و مراغی از مفسران اشعریمسلک قرن چهاردهم هستند که از اصول کلامی اشعری عدول کرده و معتقدند استثنای به مشیت الهی در آیۀ شریفه بر ثبوت و استمرار دلالت دارد و نکتۀ مهم در استثنای آیه این است که خلود به واسطۀ مشیت الهی، امری ثابت و دائمی است و هر گاه خداوند اراده کند آن را تغییر دهد، قطعاً آن را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مراغی، بی‌تا،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آشکار می‌گردد مفسران متقدم اشعری قائل به عدم خلود صاحبان کبائر بوده و آن را به شفاعت شافعین مستند می‌کردند، اما مفسران اشعری‌مسلک متأخر به دو دسته قابل تقسیم هستند؛ عده‌ای که اشاره‌ای به قول مشهور متکلمان اشاعره ندارند و استثنای موجود در آیه را متوجه دفع این توهم می‌دانند که خلود عصاة امری واجب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دستۀ دیگر مفسرانی را شامل می‌شود که خلود را با مسئله مشیت الهی پیوند می‌زنند که از تالی فاسدهای این قول، اعتقاد ضمنی به جبر است</w:t>
      </w:r>
      <w:r>
        <w:rPr>
          <w:rFonts w:eastAsia="IRNazanin" w:cs="IRNazanin"/>
          <w:color w:val="111111"/>
          <w:sz w:val="28"/>
          <w:szCs w:val="28"/>
          <w:rtl w:val="true"/>
          <w:lang w:bidi="fa-IR"/>
        </w:rPr>
        <w:t>.</w:t>
      </w:r>
    </w:p>
    <w:p>
      <w:pPr>
        <w:pStyle w:val="Heading3"/>
        <w:numPr>
          <w:ilvl w:val="2"/>
          <w:numId w:val="1"/>
        </w:numPr>
        <w:rPr/>
      </w:pPr>
      <w:bookmarkStart w:id="418" w:name="__RefHeading___Toc2105220_2749589250"/>
      <w:bookmarkStart w:id="419" w:name="_Toc172"/>
      <w:bookmarkEnd w:id="418"/>
      <w:r>
        <w:rPr>
          <w:rtl w:val="true"/>
        </w:rPr>
        <w:t>نظرگاه متکلمان معتزلی به مسئله خلود</w:t>
      </w:r>
      <w:bookmarkEnd w:id="419"/>
    </w:p>
    <w:p>
      <w:pPr>
        <w:pStyle w:val="BookText"/>
        <w:rPr/>
      </w:pPr>
      <w:r>
        <w:rPr>
          <w:rFonts w:ascii="IRNazanin" w:hAnsi="IRNazanin" w:eastAsia="IRNazanin"/>
          <w:color w:val="111111"/>
          <w:sz w:val="28"/>
          <w:sz w:val="28"/>
          <w:szCs w:val="28"/>
          <w:rtl w:val="true"/>
          <w:lang w:bidi="fa-IR"/>
        </w:rPr>
        <w:t xml:space="preserve">عاقبتِ مرتکبِ گناه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قبل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در این باره اعتقاد دارند که چنین شخصی در عذابی دائم بدون عفو و گذشت خواهد بود و هرگز از آتش دوزخ خارج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معتزلی‌ها در این اعتقاد به آیاتی تمسک کرده‌اند که بر خلود کافران و غیر آن‌ها در دوزخ دلالت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الْفُجَّارَ لَفی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یَصْلَوْنَها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غیبت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با خلود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شرح این آیات از وسعت بحث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مطالعۀ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معتقد است غلطِ شایعی در قول معتزله در مسئله خلود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منشأ این سوء برداشت که صاحبان گناه کبیره نزد معتزله نه در بهشتند و نه در دوزخ را، کلام خود معتزله می‌داند که می‌گویند برای چنین شخصی منزلتی است میان منزلتین؛ یعنی در حالتی غیر از ایمان و کفر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خلود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چنین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اکرم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لِبَشَرٍ مِنْ قَبْلِکَ الْخُلْدَ أَ فَإِنْ مِتَّ فَهُمُ الْخالِدُون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برای هیچ انسانی</w:t>
      </w:r>
      <w:bookmarkStart w:id="420" w:name="pg3269_31788"/>
    </w:p>
    <w:p>
      <w:pPr>
        <w:pStyle w:val="BookText"/>
        <w:rPr/>
      </w:pPr>
      <w:bookmarkEnd w:id="420"/>
      <w:r>
        <w:rPr>
          <w:rFonts w:ascii="IRNazanin" w:hAnsi="IRNazanin" w:eastAsia="IRNazanin"/>
          <w:color w:val="111111"/>
          <w:sz w:val="28"/>
          <w:sz w:val="28"/>
          <w:szCs w:val="28"/>
          <w:rtl w:val="true"/>
          <w:lang w:bidi="fa-IR"/>
        </w:rPr>
        <w:t>پیش از تو خلود را در عالم طبیعت مقرّر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تو از دنیا بروی، آن‌ها جاویدانند؟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مدعای مزبور نسبت به صاحبان عمر طولانی، مانند حضرت نوح علیه السلام نقض می‌شود، زیرا فقط دوران نبوت آن حضرت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فَلَبِثَ فیهِمْ أَلْفَ سَنَةٍ إِلا خَمْسینَ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مراد از خلود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اثبات خلود اهل بهشت نیز معتقدند اگر در بهشت خلود نباشد و شخص بهشتی، پس از مدتی زندگی در بهشت از آن‌جا بیرون برده شود، همواره غمگین است و هر چه در بهشت بر نعمت‌هایش افزوده شود، اندوه او افزون‌تر خواهد شد، زیرا هراسِ فراق دارد؛ در حالی که بهشت جای اندوه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مؤمن در بهشت، بستگان تبهکار خود را که در جهنم به سر می‌برند به یاد نمی‌آورد، زیرا موجب حزن و اندوه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421" w:name="__RefHeading___Toc2105222_2749589250"/>
      <w:bookmarkStart w:id="422" w:name="_Toc173"/>
      <w:bookmarkEnd w:id="421"/>
      <w:r>
        <w:rPr>
          <w:rtl w:val="true"/>
        </w:rPr>
        <w:t>خلود نزد مفسران معتزلی</w:t>
      </w:r>
      <w:bookmarkEnd w:id="422"/>
    </w:p>
    <w:p>
      <w:pPr>
        <w:pStyle w:val="BookText"/>
        <w:rPr/>
      </w:pPr>
      <w:r>
        <w:rPr>
          <w:rFonts w:ascii="IRNazanin" w:hAnsi="IRNazanin" w:eastAsia="IRNazanin"/>
          <w:color w:val="111111"/>
          <w:sz w:val="28"/>
          <w:sz w:val="28"/>
          <w:szCs w:val="28"/>
          <w:rtl w:val="true"/>
          <w:lang w:bidi="fa-IR"/>
        </w:rPr>
        <w:t>قسمت اعظم تفاسیر معتزلی در دو قرن چهارم و پنجم قمری دیده می‌شود که متأسفانه حجم زیادی از آن‌ها در طول تاریخ دستخوش نابودی شده و تعداد اندکی از آن‌ها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تفاسیر گران‌بها تفسیر حقایق التأویل اثر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جلد پنجم این تفسیر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به مسئله خلود پرداخته نشده و نگارنده تنها در یک بخش به مسئله خلق بهشت و دوزخ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 مورد، ذیل بحث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عَذَابَهَا کَانَ غَرَامًا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آن را به عذاب دائمی ملازم با انسان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متذکر می‌شود که گاه اصحاب وعید یا معتزله به آیۀ شریفه احتجاج کرده و می‌گویند آیه بر خلود فساق در دوزخ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متقدم معتزلی، ذیل آیۀ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هشت تأویل دربارۀ استثنای آیه اکتفا کرده و به بررسی اقوال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امر نشان‌گر آن باشد که با وجود اقوال گوناگون پیرامون خلود در آن زمان، جدال و مناظرۀ جدی بر سر این اقوال وجود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ماوردی،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مفسران متقدم معتزلی اهل‌سنت،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الکشاف است که بیشتر مفسران اشعری با طرح دیدگاه او در زمینۀ خلود، به نقد آن در تفسیر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استثنای در آیه را، استثنای از خلود در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معتقد است عذاب اخروی</w:t>
      </w:r>
      <w:bookmarkStart w:id="423" w:name="pg3269_31789"/>
    </w:p>
    <w:p>
      <w:pPr>
        <w:pStyle w:val="BookText"/>
        <w:rPr/>
      </w:pPr>
      <w:bookmarkEnd w:id="423"/>
      <w:r>
        <w:rPr>
          <w:rFonts w:ascii="IRNazanin" w:hAnsi="IRNazanin" w:eastAsia="IRNazanin"/>
          <w:color w:val="111111"/>
          <w:sz w:val="28"/>
          <w:sz w:val="28"/>
          <w:szCs w:val="28"/>
          <w:rtl w:val="true"/>
          <w:lang w:bidi="fa-IR"/>
        </w:rPr>
        <w:t>منحصر در عذاب دوزخ نیست، بلکه غیر از آن، عذاب زمهریر و حتی عذابی سخت‌تر از آن ـ که سخط و غضب الهی است ـ شامل حال اهل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خواننده را به تأمل در آیات دعوت کرده و از خدعه و فریب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می‌دارد و مسئله خروج مرتکبین گناهان کبیره از دوزخ به واسطۀ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نفی کرده و استثنای دوم در آیۀ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مسجِّل افترا و دروغ‌گویی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اصلی موضع معتزله دربارۀ خلود در کشاف زمخشری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ملا 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زمخشری در مقابل آیات مذکور متحیر گشته و آن را کلامی می‌داند که چاره‌ای جز اعتراف بدان ندارد، زیرا کلام قرآن صریح بوده و تأویلی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حویش با مذهب اشعری خویش به نقد تفسیر کشاف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تفسیر خاص زمخشری از استثنای در آیات را تفسیری واهی و بی‌اساس و همراه با تکلف می‌داند که در آن زمخشری به دنبال مفرّی است که بگوید اهل دوزخ تنها مخلد در آتش دوزخ نیستند، بلکه بعد آن انواع عذاب‌ها را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تفسیر زمخشری تلاشی است برای این‌که آیه را به اعتقاد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اهل کبائر از مؤمنین و کافرین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حویش معتقد است محلّ استشهاد زمخشری،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در شأن اهل بهشت وارد شده و نمی‌تواند دلیلی بر قول معتزله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حویش،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آشنایی با آرای کلامی اشاعره و معتزله دربارۀ خلود عصاۀ موحدین در دوزخ، در این بخش از پژوهش، آرای کلامی امامیه را از نظر گذرانده و سپس تأثیر آن را در مفسران مذهب امامیه تحقیق و جست‌وجو می‌کنیم</w:t>
      </w:r>
      <w:r>
        <w:rPr>
          <w:rFonts w:eastAsia="IRNazanin" w:cs="IRNazanin"/>
          <w:color w:val="111111"/>
          <w:sz w:val="28"/>
          <w:szCs w:val="28"/>
          <w:rtl w:val="true"/>
          <w:lang w:bidi="fa-IR"/>
        </w:rPr>
        <w:t>.</w:t>
      </w:r>
    </w:p>
    <w:p>
      <w:pPr>
        <w:pStyle w:val="Heading3"/>
        <w:numPr>
          <w:ilvl w:val="2"/>
          <w:numId w:val="1"/>
        </w:numPr>
        <w:rPr/>
      </w:pPr>
      <w:bookmarkStart w:id="424" w:name="__RefHeading___Toc2105224_2749589250"/>
      <w:bookmarkStart w:id="425" w:name="_Toc174"/>
      <w:bookmarkEnd w:id="424"/>
      <w:r>
        <w:rPr>
          <w:rtl w:val="true"/>
        </w:rPr>
        <w:t>خلود نزد متکلمان امامیه</w:t>
      </w:r>
      <w:bookmarkEnd w:id="425"/>
    </w:p>
    <w:p>
      <w:pPr>
        <w:pStyle w:val="Heading4"/>
        <w:numPr>
          <w:ilvl w:val="3"/>
          <w:numId w:val="1"/>
        </w:numPr>
        <w:rPr/>
      </w:pPr>
      <w:bookmarkStart w:id="426" w:name="__RefHeading___Toc2105226_2749589250"/>
      <w:bookmarkStart w:id="427" w:name="_Toc175"/>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امامیه اتفاق نظر دارند که وعید به خلود در آتش، متوجه کافران به طور خاص است، غیر از مرتکبین گناهان که اهل معرفت بوده و به فرایض اقرار داشته و اهل صلاتند؛ که این دسته اگر به واسطۀ گناهانش در دوزخ عذاب گردند، در آن خلود نداشته، بلکه سرانجام از آن خارج شده، وارد بهشت می‌گردند و علی الدوام در نعیم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معتقد است مرجئه غیر از محمد بن شبیب و قاطبۀ اهل حدیث در این زمینه با امامیه هم‌نظر هستند، اما معتزله برخلاف قول امامیه اتفاق نظر دارند که وعید به خلود در جهنم، میان کفار و تمامی فساقِ از اهل صلاة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معتقد است شیخ طوسی عذاب صاحبان کبائر را منقطع می‌داند، زیرا آنان به واسطۀ ایمان خود مستحق ثوابند و خلود آن‌ها در عذاب نزد عقلا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428" w:name="pg3269_31790"/>
    </w:p>
    <w:p>
      <w:pPr>
        <w:pStyle w:val="BookText"/>
        <w:rPr/>
      </w:pPr>
      <w:bookmarkEnd w:id="428"/>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نیز به اجماع مسلمانان اشاره دارد که معتقدند عذاب کافران، ابدی و غیرمنقطع است، اما دربارۀ اصحاب کبائر اختلاف نظر وجود دارد که امامیه و اکثر معتزله و اشاعره بر آن هستند که عذاب آن‌ها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اعتقاد چنین استدلال می‌آورد</w:t>
      </w:r>
      <w:r>
        <w:rPr>
          <w:rFonts w:eastAsia="IRNazanin" w:cs="IRNazanin"/>
          <w:color w:val="111111"/>
          <w:sz w:val="28"/>
          <w:szCs w:val="28"/>
          <w:rtl w:val="true"/>
          <w:lang w:bidi="fa-IR"/>
        </w:rPr>
        <w:t>:</w:t>
      </w:r>
    </w:p>
    <w:p>
      <w:pPr>
        <w:pStyle w:val="Heading4"/>
        <w:numPr>
          <w:ilvl w:val="3"/>
          <w:numId w:val="1"/>
        </w:numPr>
        <w:rPr/>
      </w:pPr>
      <w:bookmarkStart w:id="429" w:name="__RefHeading___Toc2105228_2749589250"/>
      <w:bookmarkStart w:id="430" w:name="_Toc176"/>
      <w:bookmarkEnd w:id="429"/>
      <w:r>
        <w:rPr>
          <w:rtl w:val="true"/>
        </w:rPr>
        <w:t>اول</w:t>
      </w:r>
      <w:r>
        <w:rPr>
          <w:rtl w:val="true"/>
        </w:rPr>
        <w:t>:</w:t>
      </w:r>
      <w:bookmarkEnd w:id="430"/>
    </w:p>
    <w:p>
      <w:pPr>
        <w:pStyle w:val="BookText"/>
        <w:rPr/>
      </w:pPr>
      <w:r>
        <w:rPr>
          <w:rFonts w:ascii="IRNazanin" w:hAnsi="IRNazanin" w:eastAsia="IRNazanin"/>
          <w:color w:val="111111"/>
          <w:sz w:val="28"/>
          <w:sz w:val="28"/>
          <w:szCs w:val="28"/>
          <w:rtl w:val="true"/>
          <w:lang w:bidi="fa-IR"/>
        </w:rPr>
        <w:t>این افراد به دلیل ایمان، مستحق ثوابند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ایمان از برترین افعال خیر است و اگر شخص مؤمن به واسطۀ ارتکاب گناه مستحق عقاب باشد، این سه حالت دارد؛ یا این عقاب متأخر از ثواب است که به اجماع باطل است، یا برعکس؛ عقاب بر ثواب پیشی می‌گیرد که این همان مراد است، و یا این‌که ثواب و عقاب با هم جمع می‌شوند که چنین فرضی محال است</w:t>
      </w:r>
      <w:r>
        <w:rPr>
          <w:rFonts w:eastAsia="IRNazanin" w:cs="IRNazanin"/>
          <w:color w:val="111111"/>
          <w:sz w:val="28"/>
          <w:szCs w:val="28"/>
          <w:rtl w:val="true"/>
          <w:lang w:bidi="fa-IR"/>
        </w:rPr>
        <w:t>.</w:t>
      </w:r>
    </w:p>
    <w:p>
      <w:pPr>
        <w:pStyle w:val="Heading4"/>
        <w:numPr>
          <w:ilvl w:val="3"/>
          <w:numId w:val="1"/>
        </w:numPr>
        <w:rPr/>
      </w:pPr>
      <w:bookmarkStart w:id="431" w:name="__RefHeading___Toc2105230_2749589250"/>
      <w:bookmarkStart w:id="432" w:name="_Toc177"/>
      <w:bookmarkEnd w:id="431"/>
      <w:r>
        <w:rPr>
          <w:rtl w:val="true"/>
        </w:rPr>
        <w:t>دوم</w:t>
      </w:r>
      <w:r>
        <w:rPr>
          <w:rtl w:val="true"/>
        </w:rPr>
        <w:t>:</w:t>
      </w:r>
      <w:bookmarkEnd w:id="432"/>
    </w:p>
    <w:p>
      <w:pPr>
        <w:pStyle w:val="Heading5"/>
        <w:numPr>
          <w:ilvl w:val="4"/>
          <w:numId w:val="1"/>
        </w:numPr>
        <w:rPr/>
      </w:pPr>
      <w:bookmarkStart w:id="433" w:name="__RefHeading___Toc2105232_2749589250"/>
      <w:bookmarkStart w:id="434" w:name="_Toc178"/>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اگر بندۀ مؤمن خدا که عمری به عبادت و بندگی خداوند اشتغال داشت، در پایان عمر گناهی بزرگ از او سر زند، با شخص مشرک نزد خداوند عذابی مساوی داشته باشد، این امر نزد عقلا امری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سبحانی، از متکلمان معاصر شیعه نیز به اجماع امامیه اشاره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وعید به خلود، تنها متوجه کافران بوده، نه مرتکبان کبائر از اهل معرفت و مقرّ به فرایض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ورود و تأثیرگذاری آرای کلامی امامیه در تفسیر امامیه ذیل آیات محل بحث را از نظر می‌گذرانیم و آن را در سه دسته تقسیم‌بندی می‌کنیم</w:t>
      </w:r>
      <w:r>
        <w:rPr>
          <w:rFonts w:eastAsia="IRNazanin" w:cs="IRNazanin"/>
          <w:color w:val="111111"/>
          <w:sz w:val="28"/>
          <w:szCs w:val="28"/>
          <w:rtl w:val="true"/>
          <w:lang w:bidi="fa-IR"/>
        </w:rPr>
        <w:t>:</w:t>
      </w:r>
    </w:p>
    <w:p>
      <w:pPr>
        <w:pStyle w:val="Heading5"/>
        <w:numPr>
          <w:ilvl w:val="4"/>
          <w:numId w:val="1"/>
        </w:numPr>
        <w:rPr/>
      </w:pPr>
      <w:bookmarkStart w:id="435" w:name="__RefHeading___Toc2105234_2749589250"/>
      <w:bookmarkStart w:id="436" w:name="_Toc179"/>
      <w:bookmarkEnd w:id="435"/>
      <w:r>
        <w:rPr>
          <w:rtl w:val="true"/>
        </w:rPr>
        <w:t>دستۀ اول</w:t>
      </w:r>
      <w:r>
        <w:rPr>
          <w:rtl w:val="true"/>
        </w:rPr>
        <w:t xml:space="preserve">: </w:t>
      </w:r>
      <w:r>
        <w:rPr>
          <w:rtl w:val="true"/>
        </w:rPr>
        <w:t>تفاسیر متقدم شیعه</w:t>
      </w:r>
      <w:bookmarkEnd w:id="4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متکلمان و مفسرین متقدم امامیه </w:t>
      </w:r>
      <w:r>
        <w:rPr>
          <w:rStyle w:val="FootnoteAnchor"/>
          <w:rtl w:val="true"/>
        </w:rPr>
        <w:footnoteReference w:id="22"/>
      </w:r>
      <w:r>
        <w:rPr>
          <w:rFonts w:ascii="IRNazanin" w:hAnsi="IRNazanin" w:eastAsia="IRNazanin"/>
          <w:color w:val="111111"/>
          <w:sz w:val="28"/>
          <w:sz w:val="28"/>
          <w:szCs w:val="28"/>
          <w:rtl w:val="true"/>
          <w:lang w:bidi="fa-IR"/>
        </w:rPr>
        <w:t>، دربارۀ استثنای موجود در آیه، هفت وجه را مطرح می‌کند و برای برخی از آن‌ها شواهدی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چهارمی که مطرح می‌کند، همان قول معتزله در آیه است که به خلود در انواع دیگر عذاب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او، همان قول اشاعره در آیه است که تخلید یا عدم تخلید را منوط به مشیت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آخری که سید مرتضی مطرح می‌کند، با رأی متکلمان امامیه سازگاری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اهل معاصی در آتش دوزخ عقوبت می‌شوند، مگر آن‌که خداوند اخراج آن‌ها به بهشت و دادن پاداش طاعتشان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مرتضی نظر خاصی دربارۀ این وجه مطرح نمی‌کند و احتمال دارد آوردن این وجه در</w:t>
      </w:r>
      <w:bookmarkStart w:id="437" w:name="pg3269_31791"/>
    </w:p>
    <w:p>
      <w:pPr>
        <w:pStyle w:val="BookText"/>
        <w:rPr/>
      </w:pPr>
      <w:bookmarkEnd w:id="437"/>
      <w:r>
        <w:rPr>
          <w:rFonts w:ascii="IRNazanin" w:hAnsi="IRNazanin" w:eastAsia="IRNazanin"/>
          <w:color w:val="111111"/>
          <w:sz w:val="28"/>
          <w:sz w:val="28"/>
          <w:szCs w:val="28"/>
          <w:rtl w:val="true"/>
          <w:lang w:bidi="fa-IR"/>
        </w:rPr>
        <w:t>نهایتِ کلام پس از چینش اقوال ضعیف، به گونه‌ای رأی او را به تصویر بکشد؛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ذیل آیات محل بحث، آن را از آیات مشکله می‌داند و دَه قول را مطرح می‌کند که قول پنجم نظر مختار اوست که دقیقاً با کلام سید مرتضی در قول نهایی‌اش تطابق دارد و قائل به عدم خلود اهل کبائر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مفسران متقدم شیعی نیز به مانند طبرسی، وجوه گوناگون ذیل آیه را برمی‌شمرد و معتقد است استثنا دربارۀ مؤمنان معصیت‌کاری است که پس از دیدن عقوبت اعمال خویش در دوزخ، به خواست الهی از آن خارج شده و ثواب طاعتشان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5"/>
        <w:numPr>
          <w:ilvl w:val="4"/>
          <w:numId w:val="1"/>
        </w:numPr>
        <w:rPr/>
      </w:pPr>
      <w:bookmarkStart w:id="438" w:name="__RefHeading___Toc2105236_2749589250"/>
      <w:bookmarkStart w:id="439" w:name="_Toc180"/>
      <w:bookmarkEnd w:id="438"/>
      <w:r>
        <w:rPr>
          <w:rtl w:val="true"/>
        </w:rPr>
        <w:t>دستۀ دوم</w:t>
      </w:r>
      <w:r>
        <w:rPr>
          <w:rtl w:val="true"/>
        </w:rPr>
        <w:t xml:space="preserve">: </w:t>
      </w:r>
      <w:r>
        <w:rPr>
          <w:rtl w:val="true"/>
        </w:rPr>
        <w:t>تفاسیر روایی امامیه</w:t>
      </w:r>
      <w:bookmarkEnd w:id="439"/>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که می‌آورد، معتقد است خلود ابدی در دوزخ، از گنهکاران اهل توحید نفی شده است؛ از جمله 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الآیتان فی غیر الخلود من أهل الشقاوة و السعادة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تفسیر مأثورش روایات فراوانی ذیل آیۀ شریفه مطرح می‌کند؛ از جمله روایتی که از امام باقر علیه السلام دربارۀ آیۀ شریفه پرسیده می‌شود که حضرت استثنای موجود در آیه را مربوط به کسانی می‌داند که از آتش دوزخ خارج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همان اعتقاد معروف امامیه است که وجود استثنا را دلیل بر عدم خلود دائم گنهکاران موحد در دوزخ می‌دانند</w:t>
      </w:r>
      <w:r>
        <w:rPr>
          <w:rFonts w:eastAsia="IRNazanin" w:cs="IRNazanin"/>
          <w:color w:val="111111"/>
          <w:sz w:val="28"/>
          <w:szCs w:val="28"/>
          <w:rtl w:val="true"/>
          <w:lang w:bidi="fa-IR"/>
        </w:rPr>
        <w:t>.</w:t>
      </w:r>
    </w:p>
    <w:p>
      <w:pPr>
        <w:pStyle w:val="Heading5"/>
        <w:numPr>
          <w:ilvl w:val="4"/>
          <w:numId w:val="1"/>
        </w:numPr>
        <w:rPr/>
      </w:pPr>
      <w:bookmarkStart w:id="440" w:name="__RefHeading___Toc2105238_2749589250"/>
      <w:bookmarkStart w:id="441" w:name="_Toc181"/>
      <w:bookmarkEnd w:id="440"/>
      <w:r>
        <w:rPr>
          <w:rtl w:val="true"/>
        </w:rPr>
        <w:t>دستۀ سوم</w:t>
      </w:r>
      <w:r>
        <w:rPr>
          <w:rtl w:val="true"/>
        </w:rPr>
        <w:t xml:space="preserve">: </w:t>
      </w:r>
      <w:r>
        <w:rPr>
          <w:rtl w:val="true"/>
        </w:rPr>
        <w:t>تفاسیر متأخر امامیه</w:t>
      </w:r>
      <w:bookmarkEnd w:id="441"/>
    </w:p>
    <w:p>
      <w:pPr>
        <w:pStyle w:val="BookText"/>
        <w:rPr/>
      </w:pPr>
      <w:r>
        <w:rPr>
          <w:rFonts w:ascii="IRNazanin" w:hAnsi="IRNazanin" w:eastAsia="IRNazanin"/>
          <w:color w:val="111111"/>
          <w:sz w:val="28"/>
          <w:sz w:val="28"/>
          <w:szCs w:val="28"/>
          <w:rtl w:val="true"/>
          <w:lang w:bidi="fa-IR"/>
        </w:rPr>
        <w:t>تفاسیر متأخر امامیه</w:t>
      </w:r>
    </w:p>
    <w:p>
      <w:pPr>
        <w:pStyle w:val="BookText"/>
        <w:rPr/>
      </w:pPr>
      <w:r>
        <w:rPr>
          <w:rFonts w:ascii="IRNazanin" w:hAnsi="IRNazanin" w:eastAsia="IRNazanin"/>
          <w:color w:val="111111"/>
          <w:sz w:val="28"/>
          <w:sz w:val="28"/>
          <w:szCs w:val="28"/>
          <w:rtl w:val="true"/>
          <w:lang w:bidi="fa-IR"/>
        </w:rPr>
        <w:t>علامه طباطبائی، مفسر گران‌قدر قرن چهاردهم نیز بحث مبسوطی ذیل آیۀ شریفه مطرح کرده و در آن به اشکالات مفسران اهل‌سنت نیز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دو احتمال در متعلق استثنا مطرح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مدت بقایی باشد که قبلاً به خلود محکوم شده که سیاق آیه نیز بر آن دلالت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ضمیر جمع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معنایش این است که همه در آن خالد هستند، مگر این‌که با خواست خداوند از آن خارج شده و در جنت وارد گردند که این قول، تصدیقی است بر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مؤمن علی الدوام در دوزخ نخواهند ماند، بلکه از آن خارج شده و داخل جنت می‌گردند، البته به واسطۀ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موضع، خروج برخی از دوزخ در صحت استثنا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احتمـال، به روشنی دیدگاه کلامی امـامیه قابل ردیابی است و علامه نیز تلویحـاً این</w:t>
      </w:r>
      <w:bookmarkStart w:id="442" w:name="pg3269_31792"/>
    </w:p>
    <w:p>
      <w:pPr>
        <w:pStyle w:val="BookText"/>
        <w:rPr/>
      </w:pPr>
      <w:bookmarkEnd w:id="442"/>
      <w:r>
        <w:rPr>
          <w:rFonts w:ascii="IRNazanin" w:hAnsi="IRNazanin" w:eastAsia="IRNazanin"/>
          <w:color w:val="111111"/>
          <w:sz w:val="28"/>
          <w:sz w:val="28"/>
          <w:szCs w:val="28"/>
          <w:rtl w:val="true"/>
          <w:lang w:bidi="fa-IR"/>
        </w:rPr>
        <w:t>روایات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روایی نیز به طور مستقل، روایات فراوانی را می‌آورد که بر خروج گنهکاران مؤمن از دوزخ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ایشان در موضع دیگری از تفسیرش، در توجیه خلود در عذاب برای صاحبان کبائر به غیر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قتل نفس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گفت مراد از خلود در همه‌جا به معنای مکث طولانی است، ولی چیزی که هست این است که در شرک، این مکث طولانی، ابدی است و در غیر آن بالأخره پایان‌پذیر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علامه با مذهب اشاعره نزدیک است که آن‌ها نیز خلود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مغنیه، از مفسران بزرگ قرن چهاردهم معتقد است، مفسران ذیل آیۀ شریفه دربارۀ تعلیق خلود بر مشیت الهی دچار اطالۀ کلام شده و وجوه فراوانی را ذکر کرده و معنای آیه را در حد طلسم و متشابهات قرار داده‌اند، حال آن‌که آیه از محکمات و واضحات است؛ و خلاصه‌اش این است که هر شخصی که به واسطۀ گناهی وارد دوزخ شود، قادر بر خروج از آن نیست؛ نه با واسطه و شفیع و یاری‌کننده‌ای و نه با دادن فدیه، ولی اگر خدا بخواهد که او را از آن خارج سازد، آن شخص عاصی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زیرا هیچ چیزی ارادۀ الهی را محدود نمی‌کند و همه‌چیز در نهایت به ارادۀ الهی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سبب خلود مادام، ارادۀ الهی است؛ اگر خداوند اراده نکند، از رأس هیچ عملی صادر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محمدجواد مغنیه، مانند مفسران معاصر اهل‌سنت، نقطۀ ثقل آیه را این نکته می‌داند که خلود گنهکاران در دوزخ به مشیت الهی وابسته است و هر گونه بحث دیگر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اطالۀ کلام می‌داند و وارد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موضع، پس از ملاحظۀ اقوال مفسران امامیه ذیل آیۀ شریفه درمی‌یابیم، امامیه به دلیل نزدیکی آرای کلامی پیرامون خلود با اشاعره، تفسیری مشابه آنان ذیل آیه ارائه کرده‌اند، هرچند تفسیر امامیه به دلیل بهره‌گیری از زلال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منسجم‌تر از تفسیر اشاعره است</w:t>
      </w:r>
      <w:r>
        <w:rPr>
          <w:rFonts w:eastAsia="IRNazanin" w:cs="IRNazanin"/>
          <w:color w:val="111111"/>
          <w:sz w:val="28"/>
          <w:szCs w:val="28"/>
          <w:rtl w:val="true"/>
          <w:lang w:bidi="fa-IR"/>
        </w:rPr>
        <w:t>.</w:t>
      </w:r>
    </w:p>
    <w:p>
      <w:pPr>
        <w:pStyle w:val="Heading3"/>
        <w:numPr>
          <w:ilvl w:val="2"/>
          <w:numId w:val="1"/>
        </w:numPr>
        <w:rPr/>
      </w:pPr>
      <w:bookmarkStart w:id="443" w:name="__RefHeading___Toc2105240_2749589250"/>
      <w:bookmarkStart w:id="444" w:name="_Toc182"/>
      <w:bookmarkEnd w:id="443"/>
      <w:r>
        <w:rPr>
          <w:rtl w:val="true"/>
        </w:rPr>
        <w:t>جمع‌بندی</w:t>
      </w:r>
      <w:bookmarkEnd w:id="444"/>
    </w:p>
    <w:p>
      <w:pPr>
        <w:pStyle w:val="Heading4"/>
        <w:numPr>
          <w:ilvl w:val="3"/>
          <w:numId w:val="1"/>
        </w:numPr>
        <w:rPr/>
      </w:pPr>
      <w:bookmarkStart w:id="445" w:name="__RefHeading___Toc2105242_2749589250"/>
      <w:bookmarkStart w:id="446" w:name="_Toc18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نکاتی که در مسیر پژوهش آشکار گردید عبارتند از</w:t>
      </w:r>
      <w:r>
        <w:rPr>
          <w:rFonts w:eastAsia="IRNazanin" w:cs="IRNazanin"/>
          <w:color w:val="111111"/>
          <w:sz w:val="28"/>
          <w:szCs w:val="28"/>
          <w:rtl w:val="true"/>
          <w:lang w:bidi="fa-IR"/>
        </w:rPr>
        <w:t>:</w:t>
      </w:r>
    </w:p>
    <w:p>
      <w:pPr>
        <w:pStyle w:val="Heading4"/>
        <w:numPr>
          <w:ilvl w:val="3"/>
          <w:numId w:val="1"/>
        </w:numPr>
        <w:rPr/>
      </w:pPr>
      <w:bookmarkStart w:id="447" w:name="__RefHeading___Toc2105244_2749589250"/>
      <w:bookmarkStart w:id="448" w:name="_Toc184"/>
      <w:bookmarkEnd w:id="447"/>
      <w:r>
        <w:rPr/>
        <w:t>1</w:t>
      </w:r>
      <w:r>
        <w:rPr>
          <w:rtl w:val="true"/>
        </w:rPr>
        <w:t>.</w:t>
      </w:r>
      <w:bookmarkEnd w:id="4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بررسی انجام‌شده، صحت ادعای شیخ مفید آشکار گردید که معتقد بود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محمد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امامیه در مسئله خلود هم‌رأی هستند و بالاتفاق به خلود کافران در عذاب و عدم خلود گنهکاران موحد در دوزخ قائلند، اما معتزله در مقابل این‌ها معتقدند که مرتکبینِ گناه کبیره بدون هیچ عفو و گذشتی وارد دوزخ شده و تا ابد مقیم آن خواهند بود</w:t>
      </w:r>
      <w:r>
        <w:rPr>
          <w:rFonts w:eastAsia="IRNazanin" w:cs="IRNazanin"/>
          <w:color w:val="111111"/>
          <w:sz w:val="28"/>
          <w:szCs w:val="28"/>
          <w:rtl w:val="true"/>
          <w:lang w:bidi="fa-IR"/>
        </w:rPr>
        <w:t>.</w:t>
      </w:r>
      <w:bookmarkStart w:id="449" w:name="pg3269_31793"/>
    </w:p>
    <w:p>
      <w:pPr>
        <w:pStyle w:val="Heading4"/>
        <w:numPr>
          <w:ilvl w:val="3"/>
          <w:numId w:val="1"/>
        </w:numPr>
        <w:rPr/>
      </w:pPr>
      <w:bookmarkStart w:id="450" w:name="__RefHeading___Toc2105246_2749589250"/>
      <w:bookmarkStart w:id="451" w:name="_Toc185"/>
      <w:bookmarkEnd w:id="449"/>
      <w:bookmarkEnd w:id="450"/>
      <w:r>
        <w:rPr/>
        <w:t>2</w:t>
      </w:r>
      <w:r>
        <w:rPr>
          <w:rtl w:val="true"/>
        </w:rPr>
        <w:t>.</w:t>
      </w:r>
      <w:bookmarkEnd w:id="451"/>
    </w:p>
    <w:p>
      <w:pPr>
        <w:pStyle w:val="BookText"/>
        <w:rPr/>
      </w:pPr>
      <w:r>
        <w:rPr>
          <w:rFonts w:ascii="IRNazanin" w:hAnsi="IRNazanin" w:eastAsia="IRNazanin"/>
          <w:color w:val="111111"/>
          <w:sz w:val="28"/>
          <w:sz w:val="28"/>
          <w:szCs w:val="28"/>
          <w:rtl w:val="true"/>
          <w:lang w:bidi="fa-IR"/>
        </w:rPr>
        <w:t>اشاعره با وجود این‌که جایگاه خاصی برای عقل در استنباط احکام و معارف از قرآن قائل نیستند، اما دربارۀ عدم خلود، استدلال عقلی را به آیات ضمیمه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ذیل آیه،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می‌کنند که ارتباط وثیقی با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دارد؛ یعنی مسئله خلود را به نحوی معلق به مشیت الهی می‌دانند که گویا هیچ ضابطه‌ای برای آن وجود ندارد و حتی اعمال و کردار افراد، مورد غفلت قرار گرفته و انسان‌ها تحت جبر مطلق الهی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مسئله مشیت الهی در تفاسیر اهل‌سنت، مسئله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پررنگ دیده می‌شود که با مذهب کلامی اشاعره دربارۀ خلود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استدلال عقلی بر عدم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مشیت الهی و شفاعت، سه ضلع مثلثی است که اعتقاد اشاعره دربارۀ خلود را به تصویر می‌کشد که بدون اعتقاد به هیچ گونه حسن و قبح ذاتی و بدون هر گونه ضابطه‌ای قائلند خدا هر آنچه بخواهد، اراده می‌کند و حتی ظلم او به بندگانش قبیح نیست، زیرا آن‌ها ملک طِلق اویند؛ یعنی خلود یا عدم خلود افراد بسته به اعمال آن‌ها در دنیا نیست، بلکه به مشیت الهی و تحت جبر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مسئله شفاعت در تفاسیر امامیه ذیل آیه نیز مشهود است که مبانی این مسئله نزد آنان متفاوت از اشاعره است</w:t>
      </w:r>
      <w:r>
        <w:rPr>
          <w:rFonts w:eastAsia="IRNazanin" w:cs="IRNazanin"/>
          <w:color w:val="111111"/>
          <w:sz w:val="28"/>
          <w:szCs w:val="28"/>
          <w:rtl w:val="true"/>
          <w:lang w:bidi="fa-IR"/>
        </w:rPr>
        <w:t>.</w:t>
      </w:r>
    </w:p>
    <w:p>
      <w:pPr>
        <w:pStyle w:val="Heading4"/>
        <w:numPr>
          <w:ilvl w:val="3"/>
          <w:numId w:val="1"/>
        </w:numPr>
        <w:rPr/>
      </w:pPr>
      <w:bookmarkStart w:id="452" w:name="__RefHeading___Toc2105248_2749589250"/>
      <w:bookmarkStart w:id="453" w:name="_Toc186"/>
      <w:bookmarkEnd w:id="452"/>
      <w:r>
        <w:rPr/>
        <w:t>3</w:t>
      </w:r>
      <w:r>
        <w:rPr>
          <w:rtl w:val="true"/>
        </w:rPr>
        <w:t>.</w:t>
      </w:r>
      <w:bookmarkEnd w:id="453"/>
    </w:p>
    <w:p>
      <w:pPr>
        <w:pStyle w:val="BookText"/>
        <w:rPr/>
      </w:pPr>
      <w:r>
        <w:rPr>
          <w:rFonts w:ascii="IRNazanin" w:hAnsi="IRNazanin" w:eastAsia="IRNazanin"/>
          <w:color w:val="111111"/>
          <w:sz w:val="28"/>
          <w:sz w:val="28"/>
          <w:szCs w:val="28"/>
          <w:rtl w:val="true"/>
          <w:lang w:bidi="fa-IR"/>
        </w:rPr>
        <w:t>تا قرن دهم، تأثیرگذاری جدی آرای کلامی اشاعره بر مفسران اشعری‌مذهب را شاهد هستیم که محل بحث آیه را مستقیماً گنهکاران موحد معرفی می‌کنند و حال آن‌که ظاهر آیه، ساکت از این تخصیص است؛ اما در مفسران قرن چهاردهم به بعد، شاهد هستیم که نقطۀ ثقل آیه را مسئله قدرت مطلقۀ الهی می‌دانند و قائلند استثنای آیه در مقام دفع این توهم است که خلود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ذکر است که این نگاه متفاوت به آیه، در مفسران قرن چهاردهم و پانزدهم شیعه نیز قابل رؤیت است که محتمل است واکنشی به اطالۀ کلام مفسران متقدم ذیل آیه باشد</w:t>
      </w:r>
      <w:r>
        <w:rPr>
          <w:rFonts w:eastAsia="IRNazanin" w:cs="IRNazanin"/>
          <w:color w:val="111111"/>
          <w:sz w:val="28"/>
          <w:szCs w:val="28"/>
          <w:rtl w:val="true"/>
          <w:lang w:bidi="fa-IR"/>
        </w:rPr>
        <w:t>.</w:t>
      </w:r>
    </w:p>
    <w:p>
      <w:pPr>
        <w:pStyle w:val="Heading4"/>
        <w:numPr>
          <w:ilvl w:val="3"/>
          <w:numId w:val="1"/>
        </w:numPr>
        <w:rPr/>
      </w:pPr>
      <w:bookmarkStart w:id="454" w:name="__RefHeading___Toc2105250_2749589250"/>
      <w:bookmarkStart w:id="455" w:name="_Toc187"/>
      <w:bookmarkEnd w:id="454"/>
      <w:r>
        <w:rPr/>
        <w:t>4</w:t>
      </w:r>
      <w:r>
        <w:rPr>
          <w:rtl w:val="true"/>
        </w:rPr>
        <w:t>.</w:t>
      </w:r>
      <w:bookmarkEnd w:id="455"/>
    </w:p>
    <w:p>
      <w:pPr>
        <w:pStyle w:val="BookText"/>
        <w:rPr/>
      </w:pPr>
      <w:r>
        <w:rPr>
          <w:rFonts w:ascii="IRNazanin" w:hAnsi="IRNazanin" w:eastAsia="IRNazanin"/>
          <w:color w:val="111111"/>
          <w:sz w:val="28"/>
          <w:sz w:val="28"/>
          <w:szCs w:val="28"/>
          <w:rtl w:val="true"/>
          <w:lang w:bidi="fa-IR"/>
        </w:rPr>
        <w:t>بزرگان معتزله همچون زمخشری مجبور شده‌اند در تأیید مذهب کلامی‌شان، متعلق استثنای در آیه را تغییر دهند و استثنای از خلود را به استثنای خلود در دوزخ تأویل برده و به انواع عذاب همچون زمهریر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شوند، تا مفرّی برای آن‌ها حاصل شده و ظاهر آیه که عدم خلود را ثابت می‌کند، رها کرده و معتقد شوند گنهکار در عذاب دوزخ خالد نیست، بلکه پس از آن وارد انواع دیگر عذاب می‌شود</w:t>
      </w:r>
      <w:r>
        <w:rPr>
          <w:rFonts w:eastAsia="IRNazanin" w:cs="IRNazanin"/>
          <w:color w:val="111111"/>
          <w:sz w:val="28"/>
          <w:szCs w:val="28"/>
          <w:rtl w:val="true"/>
          <w:lang w:bidi="fa-IR"/>
        </w:rPr>
        <w:t>.</w:t>
      </w:r>
    </w:p>
    <w:p>
      <w:pPr>
        <w:pStyle w:val="Heading4"/>
        <w:numPr>
          <w:ilvl w:val="3"/>
          <w:numId w:val="1"/>
        </w:numPr>
        <w:rPr/>
      </w:pPr>
      <w:bookmarkStart w:id="456" w:name="__RefHeading___Toc2105252_2749589250"/>
      <w:bookmarkStart w:id="457" w:name="_Toc188"/>
      <w:bookmarkEnd w:id="456"/>
      <w:r>
        <w:rPr/>
        <w:t>5</w:t>
      </w:r>
      <w:r>
        <w:rPr>
          <w:rtl w:val="true"/>
        </w:rPr>
        <w:t>.</w:t>
      </w:r>
      <w:bookmarkEnd w:id="4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در استدلال به عدم خلود گنهکاران موحد، آن را با مسئله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داده و استدلال کرده‌اند که بر خداوند قبیح است مؤمنی را که به واسطۀ ایمانش مستحق ثواب است، به واسطۀ گناه کبیره‌ای، خالد در عذاب نماید</w:t>
      </w:r>
      <w:r>
        <w:rPr>
          <w:rFonts w:eastAsia="IRNazanin" w:cs="IRNazanin"/>
          <w:color w:val="111111"/>
          <w:sz w:val="28"/>
          <w:szCs w:val="28"/>
          <w:rtl w:val="true"/>
          <w:lang w:bidi="fa-IR"/>
        </w:rPr>
        <w:t>.</w:t>
      </w:r>
      <w:bookmarkStart w:id="458" w:name="pg3269_31794"/>
    </w:p>
    <w:p>
      <w:pPr>
        <w:pStyle w:val="BookText"/>
        <w:rPr/>
      </w:pPr>
      <w:bookmarkEnd w:id="458"/>
      <w:r>
        <w:rPr>
          <w:rFonts w:ascii="IRNazanin" w:hAnsi="IRNazanin" w:eastAsia="IRNazanin"/>
          <w:color w:val="111111"/>
          <w:sz w:val="28"/>
          <w:sz w:val="28"/>
          <w:szCs w:val="28"/>
          <w:rtl w:val="true"/>
          <w:lang w:bidi="fa-IR"/>
        </w:rPr>
        <w:t>در نهایت می‌توان گفت، بر اساس بررسی‌های تاریخی انجام‌شده، تمامی مفسران تحت تأثیر آرای کلامی مذهب خویش، به تفسیر آیۀ خلود پرداخته‌اند و از آن عدول نداشته‌اند، جز برخی مفسران متأخر اشعری که از اصول کلامی خویش عدول کرده و در بعضی مواضع به عقاید معتزله نزدیک شده و به ثبوت و دوام در دوزخ برای مؤمنان فاسق، معتقد شدند</w:t>
      </w:r>
      <w:r>
        <w:rPr>
          <w:rFonts w:eastAsia="IRNazanin" w:cs="IRNazanin"/>
          <w:color w:val="111111"/>
          <w:sz w:val="28"/>
          <w:szCs w:val="28"/>
          <w:rtl w:val="true"/>
          <w:lang w:bidi="fa-IR"/>
        </w:rPr>
        <w:t>.</w:t>
      </w:r>
    </w:p>
    <w:p>
      <w:pPr>
        <w:pStyle w:val="Heading3"/>
        <w:numPr>
          <w:ilvl w:val="2"/>
          <w:numId w:val="1"/>
        </w:numPr>
        <w:rPr/>
      </w:pPr>
      <w:bookmarkStart w:id="459" w:name="__RefHeading___Toc2105254_2749589250"/>
      <w:bookmarkStart w:id="460" w:name="_Toc189"/>
      <w:bookmarkEnd w:id="459"/>
      <w:r>
        <w:rPr>
          <w:rtl w:val="true"/>
        </w:rPr>
        <w:t>منابع</w:t>
      </w:r>
      <w:bookmarkEnd w:id="460"/>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 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عطیه،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ابن‌أبی‌حاتم،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عربستان، کتابخانه نزار مصطفی الباز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و مختلفه، قم،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ابن‌عطیه اندلسی، عبدالحق بن الغالب،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المحرر الوجیز فی تفسیر الکتاب 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دمشقی، اسماعیل،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شمس‌الدین،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محمدعلی،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المفسرون حیاتهم و منهجهم، تهران،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میرسیدشریف،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المواقف،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عمیره،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ابن‌میثم،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قم،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ماوردی، أبوالحسن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و العیون، بی‌جا،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التنزیل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فی علم الکلام، پاکستان، دار المعارف النعمانیه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الحسان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معوض،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مصر، چاپخانه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موضوعی معاد در 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زمانی قمشه‌ای، قم، إسراء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تسنیم،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اسلامی، قم، إسراء،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قم، نشر اسلامی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ابن‌أبی‌الجمعه،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قم، 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حقایق غوامض التنزیل،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و مقالات، قم، مؤسسه الامام الصادق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القرآن، قم، مؤسسه المام الصادق</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التأویل فی متشابه التنزیل،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بیروت،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ابن‌ابراهیم،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 ـ قاهره، دار الشروق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علی بن حسین،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الشریف المرتضی مسمی بالنفائس التأویل،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احمد موسوی و دیگران، بیروت، 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صدرالدین،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 سالم، محمد و دیگران،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کلمات القرآن الکریم، بیروت ـ دمشق،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دروزه،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الحدیث، قاهره،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أبوعبدالله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مولی محسن،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کتابفروشی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محمد،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محاسن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قراملکی، محمدحسن،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جاودانگی عذاب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اندیشه، ش</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 فی جهنم عند المفسرین و المتکلمان من الفریقین و الفلاسفه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جهانی علوم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بیروت، 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مراغی، احمد بن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المراغی،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الکاشف،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انصاری خویینی،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العقایدیه،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حویش، عمر،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 البلاغه فی تفسیر الکشاف، بغداد، چاپخانه دارالبصری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اند، برگرفته از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مکتبۀ الشامله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61" w:name="pg3269_31796"/>
    </w:p>
    <w:p>
      <w:pPr>
        <w:pStyle w:val="Heading2"/>
        <w:numPr>
          <w:ilvl w:val="1"/>
          <w:numId w:val="1"/>
        </w:numPr>
        <w:rPr/>
      </w:pPr>
      <w:bookmarkStart w:id="462" w:name="__RefHeading___Toc2105256_2749589250"/>
      <w:bookmarkStart w:id="463" w:name="_Toc190"/>
      <w:bookmarkEnd w:id="461"/>
      <w:bookmarkEnd w:id="462"/>
      <w:r>
        <w:rPr>
          <w:rtl w:val="true"/>
        </w:rPr>
        <w:t xml:space="preserve">منابع معرفت از دیدگاه قاضی عبدالجبار معتزلی </w:t>
      </w:r>
      <w:r>
        <w:rPr>
          <w:rtl w:val="true"/>
        </w:rPr>
        <w:t xml:space="preserve">/ </w:t>
      </w:r>
      <w:r>
        <w:rPr>
          <w:rtl w:val="true"/>
        </w:rPr>
        <w:t>حسین سلطانی</w:t>
      </w:r>
      <w:bookmarkEnd w:id="463"/>
    </w:p>
    <w:p>
      <w:pPr>
        <w:pStyle w:val="Heading3"/>
        <w:numPr>
          <w:ilvl w:val="2"/>
          <w:numId w:val="1"/>
        </w:numPr>
        <w:rPr/>
      </w:pPr>
      <w:bookmarkStart w:id="464" w:name="__RefHeading___Toc2105258_2749589250"/>
      <w:bookmarkStart w:id="465" w:name="_Toc19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حسین سلطانی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1395/12/16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1396/02/26</w:t>
      </w:r>
    </w:p>
    <w:p>
      <w:pPr>
        <w:pStyle w:val="Heading3"/>
        <w:numPr>
          <w:ilvl w:val="2"/>
          <w:numId w:val="1"/>
        </w:numPr>
        <w:rPr/>
      </w:pPr>
      <w:bookmarkStart w:id="466" w:name="__RefHeading___Toc2105260_2749589250"/>
      <w:bookmarkStart w:id="467" w:name="_Toc192"/>
      <w:bookmarkEnd w:id="466"/>
      <w:r>
        <w:rPr>
          <w:rtl w:val="true"/>
        </w:rPr>
        <w:t>چکیده</w:t>
      </w:r>
      <w:bookmarkEnd w:id="467"/>
    </w:p>
    <w:p>
      <w:pPr>
        <w:pStyle w:val="BookText"/>
        <w:rPr/>
      </w:pPr>
      <w:r>
        <w:rPr>
          <w:rFonts w:ascii="IRNazanin" w:hAnsi="IRNazanin" w:eastAsia="IRNazanin"/>
          <w:color w:val="111111"/>
          <w:sz w:val="28"/>
          <w:sz w:val="28"/>
          <w:szCs w:val="28"/>
          <w:rtl w:val="true"/>
          <w:lang w:bidi="fa-IR"/>
        </w:rPr>
        <w:t xml:space="preserve">قاضی عبدالجبار از چهره‌های معروف کلام معتزلی است که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کلامی عبدالجبار، مسائل مطرحشده در مباحث علم و معرفت و به طور کلی در مباحث کلامی، دارای ترتیب منطقی و استنتاجی است، به طوری که قضایای قبلی پایه و اساس قضایای بعدی و گزاره‌های بعدی محصول و نتیجۀ گزاره‌های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اندیشه‌های معرفتی و کلامی قاضی، ریشه در یک سلسله منابع معرفتی دارد؛ منابعی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عقل، علوم ضروری، دلیل وحیانی و تقلید که در بین آن‌ها، عقل به معنای قوۀ تفکر نزد قاضی به عنوان منبعی مستقل و ابزاری بسیار مهم برای شناخت مطرح بوده، به طوری که وی تنها راه رسیدن به معرفت خداوند را نظر و تفکر، یعنی همان راه عقل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قاضی، علم به مدرکات که نتیجۀ ادراک حسی است، پیشدرآمد علم ضروری و علم ضروری خود از راه استدلال عقلی، پیشدرآمد علم اکتسابی است</w:t>
      </w:r>
      <w:r>
        <w:rPr>
          <w:rFonts w:eastAsia="IRNazanin" w:cs="IRNazanin"/>
          <w:color w:val="111111"/>
          <w:sz w:val="28"/>
          <w:szCs w:val="28"/>
          <w:rtl w:val="true"/>
          <w:lang w:bidi="fa-IR"/>
        </w:rPr>
        <w:t>.</w:t>
      </w:r>
    </w:p>
    <w:p>
      <w:pPr>
        <w:pStyle w:val="Heading3"/>
        <w:numPr>
          <w:ilvl w:val="2"/>
          <w:numId w:val="1"/>
        </w:numPr>
        <w:rPr/>
      </w:pPr>
      <w:bookmarkStart w:id="468" w:name="__RefHeading___Toc2105262_2749589250"/>
      <w:bookmarkStart w:id="469" w:name="_Toc193"/>
      <w:bookmarkEnd w:id="468"/>
      <w:r>
        <w:rPr>
          <w:rtl w:val="true"/>
        </w:rPr>
        <w:t>واژگان کلیدی</w:t>
      </w:r>
      <w:bookmarkEnd w:id="4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معرفت، عقل، معتزله، قاضی عبدالجبار</w:t>
      </w:r>
      <w:r>
        <w:rPr>
          <w:rFonts w:eastAsia="IRNazanin" w:cs="IRNazanin"/>
          <w:color w:val="111111"/>
          <w:sz w:val="28"/>
          <w:szCs w:val="28"/>
          <w:rtl w:val="true"/>
          <w:lang w:bidi="fa-IR"/>
        </w:rPr>
        <w:t>.</w:t>
      </w:r>
      <w:bookmarkStart w:id="470" w:name="pg3269_31797"/>
    </w:p>
    <w:p>
      <w:pPr>
        <w:pStyle w:val="Heading3"/>
        <w:numPr>
          <w:ilvl w:val="2"/>
          <w:numId w:val="1"/>
        </w:numPr>
        <w:rPr/>
      </w:pPr>
      <w:bookmarkStart w:id="471" w:name="__RefHeading___Toc2105264_2749589250"/>
      <w:bookmarkStart w:id="472" w:name="_Toc194"/>
      <w:bookmarkEnd w:id="470"/>
      <w:bookmarkEnd w:id="471"/>
      <w:r>
        <w:rPr>
          <w:rtl w:val="true"/>
        </w:rPr>
        <w:t>مقدمه</w:t>
      </w:r>
      <w:bookmarkEnd w:id="472"/>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اشکال گوناگون مورد توجه بشر، بهویژه فلاسفه و متکلمان بوده، در عصر حاضر نیز یکی از دغدغه‌های مهمّ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معرفت‌شناسی در جهان اسلام نشان می‌دهد که اندیشمندان مسلمان همواره به اهمیت و ابعاد گوناگون علم و معرفت توجه داشته و به فراخور نیاز، مطالبی در این زمینه ضمن مباحث کلامی و فلسفی خود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معروف است که نگارش‌های مستقل در مباحث شناخت برای اولین بار حدود سه قرن پیش در جهان غرب صورت گرفت و در عالم اسلام سابقه‌ای نداشت، اما مطالعه در آثار متکلمان متقدم، بیان‌گر دغدغۀ جدی ایشان به موضوع معرفت بوده، استخراج و تبیین مطالب غنی اما مغفول ایشان و نشان دادن استحکام و انسجام آن‌ها به صورت تفصیلی و موردی،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موضوعات متعددی که در بحث معرفت‌شناسی مطرح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موضوعات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و به طور کلی معارف بشری از طریق منابعی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منابع بین معرفت دینی و غیردینی مشترک بوده و برخی دیگر تنها به معرفت دینی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استقرا، منابع دست‌یابی به معرفت اعم از دینی و غیردینی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عقل، شهود و مکاشفه، گواهی یا دلیل نقلی، مرجعیت یا تقلید که ابزاری ثانوی است و اعتبار آن از راه عقل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معرفت دینی هم علاوه بر منابع مشترک، منبع اختصاصی وحی را نیز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متکلمان متقدم، اندیشه‌های معرفتی قاضی عبدالجبار، متفکر قرن چهارم هجری حایز اهمیت است، زیرا اندیشۀ وی را می‌توان از اندیشه‌های تأثیرگذار در سده‌های پنجم و ششم هجری دانست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اندیشه‌های کلامی و معرفتی عبدالجبار و مقایسۀ آرای او با آرای اندیشمندان مسلمان و غیرمسلمان، پژوهش‌هایی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پهلوانی‌نژاد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هدایتپناه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دهقانینژاد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نظر‌نژاد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هیچیک از آن‌ها به بررسی منابع معرفت از دیدگاه وی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بررسی منابع معرفت و نسبت آن با یکدیگر از دیدگاه قاضی عبدالجبار خواهد پرداخت</w:t>
      </w:r>
      <w:r>
        <w:rPr>
          <w:rFonts w:eastAsia="IRNazanin" w:cs="IRNazanin"/>
          <w:color w:val="111111"/>
          <w:sz w:val="28"/>
          <w:szCs w:val="28"/>
          <w:rtl w:val="true"/>
          <w:lang w:bidi="fa-IR"/>
        </w:rPr>
        <w:t>.</w:t>
      </w:r>
      <w:bookmarkStart w:id="473" w:name="pg3269_31798"/>
    </w:p>
    <w:p>
      <w:pPr>
        <w:pStyle w:val="Heading3"/>
        <w:numPr>
          <w:ilvl w:val="2"/>
          <w:numId w:val="1"/>
        </w:numPr>
        <w:rPr/>
      </w:pPr>
      <w:bookmarkStart w:id="474" w:name="__RefHeading___Toc2105266_2749589250"/>
      <w:bookmarkStart w:id="475" w:name="_Toc195"/>
      <w:bookmarkEnd w:id="473"/>
      <w:bookmarkEnd w:id="474"/>
      <w:r>
        <w:rPr/>
        <w:t>1</w:t>
      </w:r>
      <w:r>
        <w:rPr>
          <w:rtl w:val="true"/>
        </w:rPr>
        <w:t xml:space="preserve">. </w:t>
      </w:r>
      <w:r>
        <w:rPr>
          <w:rtl w:val="true"/>
        </w:rPr>
        <w:t>حواس ظاهری</w:t>
      </w:r>
      <w:bookmarkEnd w:id="475"/>
    </w:p>
    <w:p>
      <w:pPr>
        <w:pStyle w:val="BookText"/>
        <w:rPr/>
      </w:pPr>
      <w:r>
        <w:rPr>
          <w:rFonts w:ascii="IRNazanin" w:hAnsi="IRNazanin" w:eastAsia="IRNazanin"/>
          <w:color w:val="111111"/>
          <w:sz w:val="28"/>
          <w:sz w:val="28"/>
          <w:szCs w:val="28"/>
          <w:rtl w:val="true"/>
          <w:lang w:bidi="fa-IR"/>
        </w:rPr>
        <w:t xml:space="preserve">از نظر عبدالجبار، اولین شناخت‌ها و ادراکات انسان از راه حواس ظاهری حاصل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و قابل دسترس‌ترین مرتبۀ ادراکی بشر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طریق للعلم بالشیء أوضح من الادراک فمتی تناول الادراک شیئا فقد استغنی فی اثباته عن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راهی آشکارتر از ادراک برای حصول علم نسبت به چیزی نیست، چراکه هرگاه چیزی با ادراک یافت شد در اثباتش نیازمند دلیلی نیست، زیرا نهایت چیزی که مستدل در اثبات چیزی به آن توسل می‌جوید این است که آن را به ادراک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ادراک در عبارت فوق، ادراک حسی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پهلوانی‌نژاد،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قاضی برای روشن شدن مطلب خود می‌آورد نیز قرینه‌ای است بر اینکه منظور وی از ادراک، ادراک حسی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لهذه الجملۀ لم یحتج فی اثبات السواد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سبب، برای اثبات سیاهی به دلیل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سیاهی محسوس و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مراحل ادراکی انسان را سه مرحله می‌داند که متعلق هر یک جدای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علم به مدرکات است که خود نتیجۀ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مقدمه و پیشدرآمدی است برای علوم ضروری که مرحلۀ دوم ادراکات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ضروری نیز از راه نظر عقلی و استدلال، مقدمۀ علوم نظری و اکتسابی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شناخت‌های نظری انسان در طی یک فرایند سهمرحله‌ای بدین ترتیب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ادراک حسی نزد عبدالجبار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همین ادراکات حسی، به برخی شبهات سوفیست‌ها ـ که خود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تجاهل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ـ پاسخ می‌گوید و یا اینکه در اثبات برخی از اصول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ادراکات حسی مدد می‌جوید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منکران معرفت که عبارتند از سوفسطاییان و شکاکان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سوفسطاییان منکر اصل واقعیت بودند و اینگونه می‌پنداشتند که اشیا به خودی خود و ذاتاً حقیقتی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شخص مدرک و انسان معتقد است که با ادراک و اعتقاد خود به آن‌ها وجود داده، در تعیین طبیعت اشیاء و شکلگیری صفات و حالات آن‌ها مؤثر است؛ برای مثال، مدرک گاهی سراب را آب می‌پندارد یا شخصی که مزاج</w:t>
      </w:r>
      <w:bookmarkStart w:id="476" w:name="pg3269_31799"/>
    </w:p>
    <w:p>
      <w:pPr>
        <w:pStyle w:val="BookText"/>
        <w:rPr/>
      </w:pPr>
      <w:bookmarkEnd w:id="476"/>
      <w:r>
        <w:rPr>
          <w:rFonts w:ascii="IRNazanin" w:hAnsi="IRNazanin" w:eastAsia="IRNazanin"/>
          <w:color w:val="111111"/>
          <w:sz w:val="28"/>
          <w:sz w:val="28"/>
          <w:szCs w:val="28"/>
          <w:rtl w:val="true"/>
          <w:lang w:bidi="fa-IR"/>
        </w:rPr>
        <w:t xml:space="preserve">معتدلی دارد، عسل را شیرین می‌یابد و دیگری که مزاج صفراوی دارد، به کام او تلخ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اینگونه می‌گویند که برای ادراک راهی جز حواس نیست و حواس هم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اشیا حقیقت ثابتی ندارند، چراکه بیننده، چیزی را از دور کوچک می‌بیند و همان چیز را از نزدیک بزرگ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با جدا کردن مدرِک از مدرَک و معتقد از متعلق اعتقاد و این‌که اعتقاد او اثری در متعلق اعتقادش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الاعتقاد المعتقد لا یؤثر فیما علیه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این‌که محال بودن نقش مدرِک در وجود و صفات اشیا با علم ضروری و بدیهی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أن العلم بالاستحاله ذلک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ذکر شروط درستی ادراک حسی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واقعیت خارجی را اثبات می‌کند و با اثبات حدوث عالم خارج از طریق ادله‌ای که مبتنی بر شناخت‌های حسی است، برهان حدوث خود را مرتب کرده و بدین ترتیب، وجود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477" w:name="__RefHeading___Toc2105268_2749589250"/>
      <w:bookmarkStart w:id="478" w:name="_Toc196"/>
      <w:bookmarkEnd w:id="477"/>
      <w:r>
        <w:rPr/>
        <w:t>2</w:t>
      </w:r>
      <w:r>
        <w:rPr>
          <w:rtl w:val="true"/>
        </w:rPr>
        <w:t xml:space="preserve">. </w:t>
      </w:r>
      <w:r>
        <w:rPr>
          <w:rtl w:val="true"/>
        </w:rPr>
        <w:t>عقل</w:t>
      </w:r>
      <w:bookmarkEnd w:id="478"/>
    </w:p>
    <w:p>
      <w:pPr>
        <w:pStyle w:val="Heading4"/>
        <w:numPr>
          <w:ilvl w:val="3"/>
          <w:numId w:val="1"/>
        </w:numPr>
        <w:rPr/>
      </w:pPr>
      <w:bookmarkStart w:id="479" w:name="__RefHeading___Toc2105270_2749589250"/>
      <w:bookmarkStart w:id="480" w:name="_Toc197"/>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در اندیشۀ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محصول نظر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انسانی است و نظر هم با عقل صورت می‌گیرد؛ از این رو معتقد است که خداوند باید انسان را مجهز به جهاز عقل کند تا انسان بتواند در سایۀ این نظر و تأمل به معرفت خداوند که هدف اصیل اوست، نایل آید و در پرتو این معرفت نیز نسبت به تکالیف الهی شناخت حاصل کند</w:t>
      </w:r>
      <w:r>
        <w:rPr>
          <w:rFonts w:eastAsia="IRNazanin" w:cs="IRNazanin"/>
          <w:color w:val="111111"/>
          <w:sz w:val="28"/>
          <w:szCs w:val="28"/>
          <w:rtl w:val="true"/>
          <w:lang w:bidi="fa-IR"/>
        </w:rPr>
        <w:t>.</w:t>
      </w:r>
    </w:p>
    <w:p>
      <w:pPr>
        <w:pStyle w:val="Heading4"/>
        <w:numPr>
          <w:ilvl w:val="3"/>
          <w:numId w:val="1"/>
        </w:numPr>
        <w:rPr/>
      </w:pPr>
      <w:bookmarkStart w:id="481" w:name="__RefHeading___Toc2105272_2749589250"/>
      <w:bookmarkStart w:id="482" w:name="_Toc198"/>
      <w:bookmarkEnd w:id="481"/>
      <w:r>
        <w:rPr/>
        <w:t>1</w:t>
      </w:r>
      <w:r>
        <w:rPr>
          <w:rtl w:val="true"/>
        </w:rPr>
        <w:t>ـ</w:t>
      </w:r>
      <w:r>
        <w:rPr/>
        <w:t>2</w:t>
      </w:r>
      <w:r>
        <w:rPr>
          <w:rtl w:val="true"/>
        </w:rPr>
        <w:t xml:space="preserve">. </w:t>
      </w:r>
      <w:r>
        <w:rPr>
          <w:rtl w:val="true"/>
        </w:rPr>
        <w:t>تعریف عقل از دیدگاه عبدالجبار</w:t>
      </w:r>
      <w:bookmarkEnd w:id="4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عقل را همان علم ضروری می‌داند، چراکه تعریف او از عقل با تعریفش از علم ضروری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را این‌چنین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عبارۀ عن القضایا التی تجزم بها دون التأمل و الفکر و هو العلم الذی لا یمکن للعالم نفیه عن نفسه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عبارت است از قضایایی که بدون فکر و نظر، تصدیق و مجزوم می‌گردد و علمی است که نفی آن از عالم به هیچ وجه امکان‌پذیر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پهلوانی‌نژاد،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در تعریف علم ضروری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یحصل فینا لا من قِبَلنا و لا یمکن نفیه عن النفس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ضروری علمی است که بدون این‌که از ناحیۀ ما و با تفکر و نظر باشد، برای ما حاصل است و نفی آن از ما به هیچ وجه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این</w:t>
      </w:r>
    </w:p>
    <w:p>
      <w:pPr>
        <w:pStyle w:val="BookText"/>
        <w:rPr/>
      </w:pPr>
      <w:r>
        <w:rPr>
          <w:rFonts w:ascii="IRNazanin" w:hAnsi="IRNazanin" w:eastAsia="IRNazanin"/>
          <w:color w:val="111111"/>
          <w:sz w:val="28"/>
          <w:sz w:val="28"/>
          <w:szCs w:val="28"/>
          <w:rtl w:val="true"/>
          <w:lang w:bidi="fa-IR"/>
        </w:rPr>
        <w:t>اعتقاد است که این علوم ضروری یا قوۀ عاقله از جانب خداوند در انسان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العلم بذلک الشیء مما لا یکون إلا ضروریّا فلا بدّ مِن أن یخلقه ـ تعالی ـ فیه و ان صحّ کونه مکتسبا حسن من القدیم ـ تعالی ـ أن یمکّنه منه لیصحّ أن یعلم و یُودی ما علمه علی الوجه الذی 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علم به چیزی ضروری باشد، خداوند باید آن را در مکلف ایجاد کند و اگر اکتسابی باشد، بر خداوند است که از طریق قوۀ عاقله به مکلف قدرت کسب آن را بدهد تا آن را آموخته و در راستای تکلیف به کار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عقل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تعدادی از علوم مخصوص است که هرگاه برای مکلف حاصل شود، می‌تواند بر تکلیف و ادای آن به فکر و استدلال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تعاریف مزبور به دست می‌آید که این علوم مخصوص همان دانش‌های ضروری است که پایه و مایۀ علوم اکتسابی به شمار می‌آید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قاضی، با حصول این علوم ضروری در انسان می‌توان او را عاقل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تعقل و تفکر بر اساس علوم ضروری صورت می‌گیرد و انسان خالی الذهن که هیچ نمی‌داند، در واقع معلوماتی ندارد که با تفکر در آن معلومات، به مجهولات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ممکن است در این‌جا مطرح شود این است که عقل به این علوم مخصوص، نیازمند است و در صورتی تعقل صورت می‌گیرد که معلوماتی ضروری وجود داشته باشد؛ بنابراین عقل نمی‌تواند همان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مستشکل می‌خواهد بگوید که عقل، قوۀ عاقله و نیروی ادراکی است که معلومات ضروری و بدیهی را گرفته و بر اساس آن‌ها به تفکر و استدلال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این اشکال این‌گونه پاسخ می‌دهد که در مسئله محتاج و محتاج الیه، محتاج الیه بدون محتاج ممکن است، همان‌گونه که وجود حیات بدون علم امکان‌پذیر است؛ اما محتاج همواره در وجودش به محتاج الیه وابسته و نیازمند است و بدون آن نمی‌تواند موجود شود؛ همان‌طور که علم بدون حیات معنا ندارد و نمی‌توان عالمی را تصور کرد که 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مدعای مستشکل را بپذیریم، به این معنا خواهد بود که کسی عالم به این علوم خاص و ضروری باشد، ولی عاقل نباشد و این خود به منزلۀ ممتنع بودن وجود عقل و حاصل نشدن این علوم ضروری است که در نهایت به تناقض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ایراد مستشکل به قوّت خود باقی است و نمی‌توان عقل را همان علوم ضروری دانست، زیرا عقل، نیرویی ادراکی است که می‌توان با آن بر اساس مقدماتی که علوم ضروری خود یکی از آن مقدمات است، استدلال کرده و به شناخت حقایق دست یافت</w:t>
      </w:r>
      <w:r>
        <w:rPr>
          <w:rFonts w:eastAsia="IRNazanin" w:cs="IRNazanin"/>
          <w:color w:val="111111"/>
          <w:sz w:val="28"/>
          <w:szCs w:val="28"/>
          <w:rtl w:val="true"/>
          <w:lang w:bidi="fa-IR"/>
        </w:rPr>
        <w:t>.</w:t>
      </w:r>
      <w:bookmarkStart w:id="483" w:name="pg3269_31801"/>
    </w:p>
    <w:p>
      <w:pPr>
        <w:pStyle w:val="Heading4"/>
        <w:numPr>
          <w:ilvl w:val="3"/>
          <w:numId w:val="1"/>
        </w:numPr>
        <w:rPr/>
      </w:pPr>
      <w:bookmarkStart w:id="484" w:name="__RefHeading___Toc2105274_2749589250"/>
      <w:bookmarkStart w:id="485" w:name="_Toc199"/>
      <w:bookmarkEnd w:id="483"/>
      <w:bookmarkEnd w:id="484"/>
      <w:r>
        <w:rPr/>
        <w:t>2</w:t>
      </w:r>
      <w:r>
        <w:rPr>
          <w:rtl w:val="true"/>
        </w:rPr>
        <w:t>ـ</w:t>
      </w:r>
      <w:r>
        <w:rPr/>
        <w:t>2</w:t>
      </w:r>
      <w:r>
        <w:rPr>
          <w:rtl w:val="true"/>
        </w:rPr>
        <w:t xml:space="preserve">. </w:t>
      </w:r>
      <w:r>
        <w:rPr>
          <w:rtl w:val="true"/>
        </w:rPr>
        <w:t>جایگاه عقل نزد قاضی عبدالجبار</w:t>
      </w:r>
      <w:bookmarkEnd w:id="485"/>
    </w:p>
    <w:p>
      <w:pPr>
        <w:pStyle w:val="BookText"/>
        <w:rPr/>
      </w:pPr>
      <w:r>
        <w:rPr>
          <w:rFonts w:ascii="IRNazanin" w:hAnsi="IRNazanin" w:eastAsia="IRNazanin"/>
          <w:color w:val="111111"/>
          <w:sz w:val="28"/>
          <w:sz w:val="28"/>
          <w:szCs w:val="28"/>
          <w:rtl w:val="true"/>
          <w:lang w:bidi="fa-IR"/>
        </w:rPr>
        <w:t>عقل در نظام معرفتی قاضی، منبعی مستقل و اصیل و ابزاری بسیار مهم و اساسی برای شناخت به طور عام و در حوزۀ دین به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مانند دیگر معتزلیان بر این باور است که پایۀ دین بر عقلانیت مبتنی است و عقل و دلیل عقلی بر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سمعی مقدم بوده، سزاوار است که دلالت نقل بر دلالت عقل مترتب و متفرع باشد و هرگاه مطلبی با دلیل عقلی ثابت گردید و بین دلالت عقل و نقل تعارضی وجود داشت، باید نقل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مدعای خود را بدین صورت مدلّل می‌سازد که مردم پیش از ورود شرایع و دسترسی به انبیا و آشنایی با معارف الهی، بر اساس حکم عقل تحسین و تقبیح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مطلب مذکور، یعنی تقدم دلیل عقلی بر دلیل نقلی در نظر قاضی، هرگز به معنای تعارض و تقابل بین عقل و نقل نیست، چراکه تمام تلاش او در برقراری نوعی هماهنگی و توافق بین عقل و نقل بوده، برای این منظور دست به تفسیر، توجیه و تأویل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آثار قاضی به صراحت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القرآن إلا ما یوافق طریقه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آنچه در قرآن است، همگی موافق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عقلانی بودن معارف قرآنی،</w:t>
      </w:r>
    </w:p>
    <w:p>
      <w:pPr>
        <w:pStyle w:val="BookText"/>
        <w:rPr/>
      </w:pPr>
      <w:r>
        <w:rPr>
          <w:rFonts w:ascii="IRNazanin" w:hAnsi="IRNazanin" w:eastAsia="IRNazanin"/>
          <w:color w:val="111111"/>
          <w:sz w:val="28"/>
          <w:sz w:val="28"/>
          <w:szCs w:val="28"/>
          <w:rtl w:val="true"/>
          <w:lang w:bidi="fa-IR"/>
        </w:rPr>
        <w:t xml:space="preserve">خود دلیلی است بر این‌که از جانب خداوند آمده است، چراکه دلایل مطرحشده در قرآن، جملگی مؤید و مقبول عقل است و این خود از وجوه اعجاز قرآن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بدین معنی هم نیست که عقل نسبت به نقل، اصل و حاکم بر</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Heading4"/>
        <w:numPr>
          <w:ilvl w:val="3"/>
          <w:numId w:val="1"/>
        </w:numPr>
        <w:rPr/>
      </w:pPr>
      <w:bookmarkStart w:id="486" w:name="__RefHeading___Toc2105276_2749589250"/>
      <w:bookmarkStart w:id="487" w:name="_Toc200"/>
      <w:bookmarkEnd w:id="486"/>
      <w:r>
        <w:rPr/>
        <w:t>3</w:t>
      </w:r>
      <w:r>
        <w:rPr>
          <w:rtl w:val="true"/>
        </w:rPr>
        <w:t>ـ</w:t>
      </w:r>
      <w:r>
        <w:rPr/>
        <w:t>2</w:t>
      </w:r>
      <w:r>
        <w:rPr>
          <w:rtl w:val="true"/>
        </w:rPr>
        <w:t xml:space="preserve">. </w:t>
      </w:r>
      <w:r>
        <w:rPr>
          <w:rtl w:val="true"/>
        </w:rPr>
        <w:t>نسبتِ عقل و دین</w:t>
      </w:r>
      <w:bookmarkEnd w:id="487"/>
    </w:p>
    <w:p>
      <w:pPr>
        <w:pStyle w:val="BookText"/>
        <w:rPr/>
      </w:pPr>
      <w:r>
        <w:rPr>
          <w:rFonts w:ascii="IRNazanin" w:hAnsi="IRNazanin" w:eastAsia="IRNazanin"/>
          <w:color w:val="111111"/>
          <w:sz w:val="28"/>
          <w:sz w:val="28"/>
          <w:szCs w:val="28"/>
          <w:rtl w:val="true"/>
          <w:lang w:bidi="fa-IR"/>
        </w:rPr>
        <w:t>مسئلۀ مهم این است که از نظر معتزله و عبدالجبار، عقل کاشف احکام دینی است یا جاعل آنها؟ به عبارت دیگر، آیا عقل قدرت جعل قانون دینی و انشای حکم اسلامی را دارد یا صرفاً وظیفۀ شناخت و معرفت مجموعۀ دین را بر عهده دارد؟ و خلاصه این‌که، عقل تنها در بعد معرفت‌شناختی دین مؤثر است یا علاوه بر آن در بعد هستی‌شناسی دین نیز دخالت دارد؟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عبدالجبار، راه علم به احکام یا به ضرورت عقل است یا به نصب ادلۀ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حقیقۀ التکلیف اعلام الغیر فی أن له أن یفعل أو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الاعلام یکون بخلق العلم الضروری أو بنصب الادلۀ و أی ذلک کان لا یصح إلا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تکلیف، آگاه کردن تکلیفکننده به شخص مکلف، در مورد اوامر و نواهی است و این آگاهی نیز تنها از جانب خداوند با خلق علم</w:t>
      </w:r>
    </w:p>
    <w:p>
      <w:pPr>
        <w:pStyle w:val="BookText"/>
        <w:rPr/>
      </w:pPr>
      <w:r>
        <w:rPr>
          <w:rFonts w:ascii="IRNazanin" w:hAnsi="IRNazanin" w:eastAsia="IRNazanin"/>
          <w:color w:val="111111"/>
          <w:sz w:val="28"/>
          <w:sz w:val="28"/>
          <w:szCs w:val="28"/>
          <w:rtl w:val="true"/>
          <w:lang w:bidi="fa-IR"/>
        </w:rPr>
        <w:t xml:space="preserve">ضروری یا نصب ادلۀ شرعی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روشنی می‌فهماند که عبدالجبار عقل را کاشف احکام می‌داند نه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نظر عبدالجبار عقل نسبت به جزئیات احکام شرعی کاشف است، اما در حوزۀ اعتقادات و معارف کلی شأنیت حکم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معرفتی قاضی، عقل و استدلال‌های عقلی جایگاهی بس رفیع دارد و موضوع ثابت مرکزی است که نقطۀ مبدأ ثابتی به دست می‌دهد و آن این‌که، آدمی مکلف است برای شناختن خداوند از عقل و استدلال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عقل بدون مدد وحی شایستگی آن را دارد که انسان را به معرفت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کلام عبدالجبار جنبۀ اساسی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این باور است که یکی از نیازهای اساسی و ضروری انسان مکلف، عقل است که خداوند بر اساس علم و حکمت خود، این نعمت بزرگ را در اختیار آدمی قرار داد، چراکه عقل ابزاری است که با آن بسیاری از تکالیف مانند وجوب ردّ امانت و شکر منعم، قبح ظلم و حسن احسان دانسته و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است که تکالیف عقلی و مسئولیت‌های شرعی که با استدلال به دست می‌آید، فهم و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ادلۀ عقلی و شرعی و دست یافتن به شناختی در پی آن، نشانۀ عقل بلکه از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تکالیف الهی به گونه‌ای که استحقاق ثواب و عقاب را داشته باشد، از طریق عقل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قاضی، خطابات شرعی و گزاره‌های دینی را می‌توان به سه دسته تقسیم کرد؛ یک دسته به گونه‌ای است که اگر از سوی شارع خطابی نمی‌شد، مدلول آن با عقل به دست نمی‌آمد، هرچند مغایر عقل هم نیست؛ مانند احکام شرعیه آن هم در جزئیات احکام که اگر دلیل نقلی بر وجوب، شروط و اوقات نماز دلالت نمی‌کرد، عقل قادر به فهم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مطالبی است که هم با عقل قابل فهم است و هم با نقل و خطاب شرعی؛ مثل قابل رؤیت نبودن خداوند که اگر دلیل نقلی بر آن دلالت نداشت، عقل همانطور می‌فهمید که آن دلیل نقلی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هم مدلول‌هایی است که جز با عقل فهمیده نمی‌شود؛ مانند 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این دستۀ اخیر اینچنین استدلال می‌کند که از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یظلم ربّک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عدل و نفی تشبیه به دست نمی‌آید، زیرا تا انسان معرفت و شناخت قبلی به این امور نداشته باشد، حقانیت سخن خداوند و چگونگی استناد به آن را درنمی‌یابد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از آثار خود چنین بیان</w:t>
      </w:r>
      <w:bookmarkStart w:id="488" w:name="pg3269_31803"/>
    </w:p>
    <w:p>
      <w:pPr>
        <w:pStyle w:val="BookText"/>
        <w:rPr/>
      </w:pPr>
      <w:bookmarkEnd w:id="488"/>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 بر عقلیاتی مانند توحید و عدل دلالت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ابتدایی قرآن بر عقلیات،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مجتهد شبستری،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به غیر از بخش احکام جزئی، دیگر حوزه‌های دین، بهویژه حوزۀ اعتقادات را جولانگاه عقل می‌داند و در مقام دفاع، اثبات و استنباط معارف دینی تا آن‌جا که ممکن است، از عقل و استدلال‌های عقلانی مدد می‌گیرد و در صورت عدم وجود دلیل عقلی، به آیه‌ای از قرآن یا حدیثی از سنت که با قرینۀ عقلی مورد نظر خود تفسیر کرده است، استناد می‌کند</w:t>
      </w:r>
      <w:r>
        <w:rPr>
          <w:rFonts w:eastAsia="IRNazanin" w:cs="IRNazanin"/>
          <w:color w:val="111111"/>
          <w:sz w:val="28"/>
          <w:szCs w:val="28"/>
          <w:rtl w:val="true"/>
          <w:lang w:bidi="fa-IR"/>
        </w:rPr>
        <w:t>.</w:t>
      </w:r>
    </w:p>
    <w:p>
      <w:pPr>
        <w:pStyle w:val="Heading4"/>
        <w:numPr>
          <w:ilvl w:val="3"/>
          <w:numId w:val="1"/>
        </w:numPr>
        <w:rPr/>
      </w:pPr>
      <w:bookmarkStart w:id="489" w:name="__RefHeading___Toc2105278_2749589250"/>
      <w:bookmarkStart w:id="490" w:name="_Toc201"/>
      <w:bookmarkEnd w:id="489"/>
      <w:r>
        <w:rPr/>
        <w:t>4</w:t>
      </w:r>
      <w:r>
        <w:rPr>
          <w:rtl w:val="true"/>
        </w:rPr>
        <w:t>ـ</w:t>
      </w:r>
      <w:r>
        <w:rPr/>
        <w:t>2</w:t>
      </w:r>
      <w:r>
        <w:rPr>
          <w:rtl w:val="true"/>
        </w:rPr>
        <w:t xml:space="preserve">. </w:t>
      </w:r>
      <w:r>
        <w:rPr>
          <w:rtl w:val="true"/>
        </w:rPr>
        <w:t>رابطۀ حس و عقل یا علوم حسی و علوم عقلی</w:t>
      </w:r>
      <w:bookmarkEnd w:id="490"/>
    </w:p>
    <w:p>
      <w:pPr>
        <w:pStyle w:val="BookText"/>
        <w:rPr/>
      </w:pPr>
      <w:r>
        <w:rPr>
          <w:rFonts w:ascii="IRNazanin" w:hAnsi="IRNazanin" w:eastAsia="IRNazanin"/>
          <w:color w:val="111111"/>
          <w:sz w:val="28"/>
          <w:sz w:val="28"/>
          <w:szCs w:val="28"/>
          <w:rtl w:val="true"/>
          <w:lang w:bidi="fa-IR"/>
        </w:rPr>
        <w:t xml:space="preserve">از نگاه قاضی، اولین شناخت‌ها از مسیر حواس ظاهری به دست می‌آید و ادراکات حسی، اولین و آشکارترین مرحلۀ معارف بشری است و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اصل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حسی اصل برای علوم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شناخت‌های عقلانی مبتنی بر شناخت‌های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علوم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ضمن مطرح کردن دیدگاه‌های گوناگون دربارۀ ارتباط حس و عقل از حیث داوری که برخی معتقدند حواس بر عقول داوری می‌کند و عده‌ای می‌گویند عقل بر حس حکم می‌راند و دسته‌ای هم منکر این ارتباط هستند، دیدگاه دوم یعنی قضاوت عقل بر حس و داوری علوم عقلی بر شناخت‌های حسی را برمیگزیند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عبدالجبار، اصل بودن و نقش مقدمی داشتن علوم حسّی بر دانستنی‌های عقلانی بدین معنا نیست که در مقام قضاوت هم حقّ داوری را به علوم حسّی بسپاریم، چراکه علوم عقلی اگرچه در تحقق خود در مرتبه‌ای بعد از علوم حواس قرار دارند، ولی از نظر قوّت دلالت و خطاناپذیری بر علوم حسی مقدم است و این عقل است که به داوری می‌نشیند و صحت و سقم داده‌های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دریافت‌های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علی هذا أن یکون العقل قاضیا علی صحۀ العلم بالمدرکات لأن به نعلم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العلوم الادراکیۀ هی القاضیۀ علی العلوم العقلیۀ لأنها أجلی منها و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واجب است که عقل بر درستی دریافت‌های حسی حکمرانی کند، چراکه درستی این دریافت‌ها از طریق عقل دانسته می‌شود و جایز نیست که علوم حسی را عهدهدار قضاوت نسبت به علوم عقلی پنداشت، زیرا علوم عقلی نسبت به علوم حسّی روشنتر و قویتر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491" w:name="pg3269_31804"/>
    </w:p>
    <w:p>
      <w:pPr>
        <w:pStyle w:val="Heading3"/>
        <w:numPr>
          <w:ilvl w:val="2"/>
          <w:numId w:val="1"/>
        </w:numPr>
        <w:rPr/>
      </w:pPr>
      <w:bookmarkStart w:id="492" w:name="__RefHeading___Toc2105280_2749589250"/>
      <w:bookmarkStart w:id="493" w:name="_Toc202"/>
      <w:bookmarkEnd w:id="491"/>
      <w:bookmarkEnd w:id="492"/>
      <w:r>
        <w:rPr/>
        <w:t>3</w:t>
      </w:r>
      <w:r>
        <w:rPr>
          <w:rtl w:val="true"/>
        </w:rPr>
        <w:t xml:space="preserve">. </w:t>
      </w:r>
      <w:r>
        <w:rPr>
          <w:rtl w:val="true"/>
        </w:rPr>
        <w:t>علوم ضروری و حضوری</w:t>
      </w:r>
      <w:bookmarkEnd w:id="493"/>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کلامی و فلسفی متأخران به وجود آمد و قدمای ما قائل به چنین تقسیمی نبوده، اصطلاحات مذکور در نظام کلامی و فلسفی 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کمی دقت در آثار قدما و تقسیمات ایشان از علم می‌توان نتیجه گرفت که آنان علم حضوری را در شمار بدیهیات و ضروریات قرار دادهاند؛ اگرچه در اندیشۀ متأخران، مقسم بدیهی و نظری علم حصولی است که خود قسیم علم حضوری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دهقانی‌نژاد،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در مقام متکلمِ متقدم معتزلیمذهب، ضمن تقسیم علم به ضروری و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علم ضروری به علمی که ضرورتاً و بدون دخالت شخص برای او حاصل می‌شود، علم انسان به حالات نفسانی خود مانند اراده، کراهت، نفرت و برخی دیگر از حالات را در شمار علوم ضروری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متأخران، علم انسان به حالات نفسانی خود را در عداد علوم حضوری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علم بدیهی و ضروری از دیدگاه عبدالجبار شامل علم حضوری نیز می‌گردد</w:t>
      </w:r>
      <w:r>
        <w:rPr>
          <w:rFonts w:eastAsia="IRNazanin" w:cs="IRNazanin"/>
          <w:color w:val="111111"/>
          <w:sz w:val="28"/>
          <w:szCs w:val="28"/>
          <w:rtl w:val="true"/>
          <w:lang w:bidi="fa-IR"/>
        </w:rPr>
        <w:t>.</w:t>
      </w:r>
    </w:p>
    <w:p>
      <w:pPr>
        <w:pStyle w:val="Heading3"/>
        <w:numPr>
          <w:ilvl w:val="2"/>
          <w:numId w:val="1"/>
        </w:numPr>
        <w:rPr/>
      </w:pPr>
      <w:bookmarkStart w:id="494" w:name="__RefHeading___Toc2105282_2749589250"/>
      <w:bookmarkStart w:id="495" w:name="_Toc203"/>
      <w:bookmarkEnd w:id="494"/>
      <w:r>
        <w:rPr/>
        <w:t>4</w:t>
      </w:r>
      <w:r>
        <w:rPr>
          <w:rtl w:val="true"/>
        </w:rPr>
        <w:t xml:space="preserve">. </w:t>
      </w:r>
      <w:r>
        <w:rPr>
          <w:rtl w:val="true"/>
        </w:rPr>
        <w:t>دلیل وحیانی</w:t>
      </w:r>
      <w:bookmarkEnd w:id="495"/>
    </w:p>
    <w:p>
      <w:pPr>
        <w:pStyle w:val="BookText"/>
        <w:rPr/>
      </w:pPr>
      <w:r>
        <w:rPr>
          <w:rFonts w:ascii="IRNazanin" w:hAnsi="IRNazanin" w:eastAsia="IRNazanin"/>
          <w:color w:val="111111"/>
          <w:sz w:val="28"/>
          <w:sz w:val="28"/>
          <w:szCs w:val="28"/>
          <w:rtl w:val="true"/>
          <w:lang w:bidi="fa-IR"/>
        </w:rPr>
        <w:t xml:space="preserve">از دیدگاه قاضی،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 دو دلیل نقلی اند که در کنار اجماع و عقل، دلالت‌های چهارگانه‌ای هستند که در حصول معرفت دینی نقشآفرینی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تعریف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 هو ما إذا نظر الناظر فیه أوصله إلی العلم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راهی است که ناظر با تفکر در آن به مجهول خود دست می‌یابد و نسبت به آن علم پیدا می‌کند، ادله را منحصر در موارد چهارگانۀ مزبور می‌داند، به این جهت که تعریف مذکور تنها بر این چهار مورد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باور قاضی، قیاس و خبر واحد به عنوان دلالت‌هایی بر احکام شرعی، زیرمجموعۀ اجماع یا کتاب یا سنت است؛ بنابراین ذکر آن‌ها به عنوان دلیل مستقل در کنار ادلۀ اربعه، وجهی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ادلۀ نقلی که از نظر قاضی عبارت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پیامبر صلی الله علیه و اله و سلم و گزارش‌های تاریخی است، در معرفتبخشی در حوزۀ دین، قلمروی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کتاب که همان وحی الهی است و هم‌چنین قلمرو سنت پیامبر صلی الله علیه و اله و سلم که سخنی وحیانی و برگرفته از کتاب الهی و منطبق بر آن است، در بخش احکام شرعی است، چراکه این بخش توسط عقل دستیافتنی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قاضی اگرچه کتاب نسبت به عقل اصالت و حاکمیت دارد، اما از آن‌جا که</w:t>
      </w:r>
    </w:p>
    <w:p>
      <w:pPr>
        <w:pStyle w:val="BookText"/>
        <w:rPr/>
      </w:pPr>
      <w:r>
        <w:rPr>
          <w:rFonts w:ascii="IRNazanin" w:hAnsi="IRNazanin" w:eastAsia="IRNazanin"/>
          <w:color w:val="111111"/>
          <w:sz w:val="28"/>
          <w:sz w:val="28"/>
          <w:szCs w:val="28"/>
          <w:rtl w:val="true"/>
          <w:lang w:bidi="fa-IR"/>
        </w:rPr>
        <w:t>عقل نزد او منبعی مستقل تلقی می‌شود، حجیت و دلالت کتاب بر پایۀ عقل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وی حتی محکمات کتاب را نیز باید بر دلیل عقلی عرضه کرد و در صورت ناسازگاری، آن‌ها را تأویل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قاضی در حوزۀ عقلیات که همان اصول اعتقادی دین است، سخن خداوند دلالتی ندارد یا به تعبیر وی دلالتش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عقلیات را نمی‌توان ابتدا از کتاب به دست آورد، بلکه منشأ اصلی این معارف عقل است و دین تنها نقش تنبیهی و تأییدی نسبت به عقل دارد و اصل بودن کتاب هم از همین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تاریخی نیز نزد قاضی بخش مهمی از معرفت، بهویژه معرفت دینی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گزارش‌ها که شامل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 نصوص منقول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 بر اساس دو اصل مورد سنجش و اعتبار قرار می‌گیرند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قهری و ضروری به امور 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مجموعهبرداشت و تلقی کلی از رخدادها و حوادث تاریخی است که در میان آن‌ها حوادث تاریخ اسلام و اخبار و احادیث منقول از پیامبر اکرم صلی الله علیه و اله و سلم از آن‌جا که در تشکیل معرفت دینی بسیار مؤثر است، محل بحث و نزاع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قاضی، این مجموعهبرداشت کلی از حوادث تاریخ اسلام، ترسیمکنندۀ واقعۀ مشهوری است که برای آشنایان با تاریخ و اخبار و احادیث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اخباری را که با این مجموعه هم‌خوانی و هماهنگی ندارند، باطل می‌انگارد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قاضی، شخصی یا عمومی است که هر کدام در مواردی میزان سنجش اخبار و نقد و بررسی گزارش‌های تاریخی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حالِ شخصی میزان است، با توجه به مجموعه اخبار مسلّمی که پیرامون کسی بیان شده و چارچوب شخصیت او را ترسیم کرده، تعریفی خاص از او ارائه کرده و با همین تعریف، اخبار مربوط به او سنجیده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از قاضی سؤال می‌شود که آیا ممکن است دربارۀ حضرت امیر علیه السلام 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صریح از طرف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خلیفۀ اول آن را نپذیرفته است؟ قاضی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 کلی من از خلیفۀ اول،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مواردی هم حال عمومی را ملاک نقد و بررسی گزارش‌های تاریخی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موضوعاتی مانند نصّ بر امامت حضرت علی علیه السلام و نظر و عمل صحابه دربارۀ نص، به همین روش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فهمِ برخاسته از حال، نزد قاضی جایگاه استواری دارد تا جایی که آن را عقلی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هدایتپناه،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179</w:t>
      </w:r>
      <w:r>
        <w:rPr>
          <w:rFonts w:eastAsia="IRNazanin" w:cs="IRNazanin"/>
          <w:color w:val="111111"/>
          <w:sz w:val="28"/>
          <w:szCs w:val="28"/>
          <w:rtl w:val="true"/>
          <w:lang w:bidi="fa-IR"/>
        </w:rPr>
        <w:t>).</w:t>
      </w:r>
      <w:bookmarkStart w:id="496" w:name="pg3269_31806"/>
    </w:p>
    <w:p>
      <w:pPr>
        <w:pStyle w:val="BookText"/>
        <w:rPr/>
      </w:pPr>
      <w:bookmarkEnd w:id="496"/>
      <w:r>
        <w:rPr>
          <w:rFonts w:ascii="IRNazanin" w:hAnsi="IRNazanin" w:eastAsia="IRNazanin"/>
          <w:color w:val="111111"/>
          <w:sz w:val="28"/>
          <w:sz w:val="28"/>
          <w:szCs w:val="28"/>
          <w:rtl w:val="true"/>
          <w:lang w:bidi="fa-IR"/>
        </w:rPr>
        <w:t xml:space="preserve">از آن‌جا که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 عمومی و کلی را از حوادث تاریخی به دست می‌دهد و عده‌ای بر اساس این فهم عمومی به مفاد گزارش یا خبری معتقد می‌شوند، مخالفان این گروه نیز به همین صورت می‌توانند استدلال کنند و فهم کلی دیگری از روایت‌های تاریخی پیدا کنند، و این فراگیر بودن اصل مذکور را با مشکل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قاضی خود متوجه این اشکال بوده و برای پاسخ به آن، قانون و اصل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قهری و ضروری به 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اصلی‌ترین موضوع گفتوگوی قاضی با مخالفانش،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اصل دوم، در روایاتی که شیعه بر پایۀ آن روایات اعتقاد دارد که پیامبر صلی الله علیه و اله و سلم به طور آشکار امیرمؤمنان علیه السلام را به جانشینی خود نصب کرده و این موضوع را به گوش تمام مسلمانان رسانده و آنان نیز بدان علم داشتهاند، خدشه وارد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مطلب صحیح باشد،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 حساس‌ترین موضوعات اسلام است، بنابراین نباید علم به آن منحصر به فرقۀ خاصی باشد، بلکه باید نزد تمام مسلمانان اعم از صحابه، تابعین، علما و محدثان ما و شما، قهری و ضروری باشد، و حال آنکه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هدایتپناه،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اصل دوم قاضی وارد است این است که بر اساس این اصل، همانطوری که علم به نصّ پیامبر صلی الله علیه و اله و سلم بر امامت بلافصل امیرمؤمنان علیه السلام قهری و ضروری است و اگر چنین بوده همۀ مسلمانان باید بدان علم می‌داشتند، علم به عدم نص هم باید قهری و ضروری باشد و اگر نصی بر جانشینی امیرمؤمنان علیه السلام وجود نداشت، باید همۀ مسلمانان اعم از شیعه و سنّی بدان علم می‌داشتند، در حالی که اینگونه نیست</w:t>
      </w:r>
      <w:r>
        <w:rPr>
          <w:rFonts w:eastAsia="IRNazanin" w:cs="IRNazanin"/>
          <w:color w:val="111111"/>
          <w:sz w:val="28"/>
          <w:szCs w:val="28"/>
          <w:rtl w:val="true"/>
          <w:lang w:bidi="fa-IR"/>
        </w:rPr>
        <w:t>.</w:t>
      </w:r>
    </w:p>
    <w:p>
      <w:pPr>
        <w:pStyle w:val="Heading3"/>
        <w:numPr>
          <w:ilvl w:val="2"/>
          <w:numId w:val="1"/>
        </w:numPr>
        <w:rPr/>
      </w:pPr>
      <w:bookmarkStart w:id="497" w:name="__RefHeading___Toc2105284_2749589250"/>
      <w:bookmarkStart w:id="498" w:name="_Toc204"/>
      <w:bookmarkEnd w:id="497"/>
      <w:r>
        <w:rPr/>
        <w:t>5</w:t>
      </w:r>
      <w:r>
        <w:rPr>
          <w:rtl w:val="true"/>
        </w:rPr>
        <w:t xml:space="preserve">. </w:t>
      </w:r>
      <w:r>
        <w:rPr>
          <w:rtl w:val="true"/>
        </w:rPr>
        <w:t>تقلید</w:t>
      </w:r>
      <w:bookmarkEnd w:id="498"/>
    </w:p>
    <w:p>
      <w:pPr>
        <w:pStyle w:val="BookText"/>
        <w:rPr/>
      </w:pPr>
      <w:r>
        <w:rPr>
          <w:rFonts w:ascii="IRNazanin" w:hAnsi="IRNazanin" w:eastAsia="IRNazanin"/>
          <w:color w:val="111111"/>
          <w:sz w:val="28"/>
          <w:sz w:val="28"/>
          <w:szCs w:val="28"/>
          <w:rtl w:val="true"/>
          <w:lang w:bidi="fa-IR"/>
        </w:rPr>
        <w:t xml:space="preserve">تقلید یا مرجعیت که در معرفت‌شناسی منبع یا ابزاری است برای دست‌یابی به معرفت، به معنای استناد به اقوال و آرای صاحبنظران است؛ به عبارت دیگر، تقلید عبارت است از این‌که برای تصدیق گزارهای، به گفتۀ کسی که صلاحیت نظر دادن دارد، استناد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عبدالجبار نیز تقلید پذیرفتن نظر و رأی دیگری است، بدون این‌که از او دلیل و برهانی طلب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تقلید را به عنوان یکی از منابع شناخت در شرعیات و فروع دین می‌پذیرد و معتقد است، در شرعیات برای شخص مقلّد شناخت یقینی و از</w:t>
      </w:r>
      <w:bookmarkStart w:id="499" w:name="pg3269_31807"/>
    </w:p>
    <w:p>
      <w:pPr>
        <w:pStyle w:val="BookText"/>
        <w:rPr/>
      </w:pPr>
      <w:bookmarkEnd w:id="499"/>
      <w:r>
        <w:rPr>
          <w:rFonts w:ascii="IRNazanin" w:hAnsi="IRNazanin" w:eastAsia="IRNazanin"/>
          <w:color w:val="111111"/>
          <w:sz w:val="28"/>
          <w:sz w:val="28"/>
          <w:szCs w:val="28"/>
          <w:rtl w:val="true"/>
          <w:lang w:bidi="fa-IR"/>
        </w:rPr>
        <w:t xml:space="preserve">روی علم و مطابق واقع لازم نیست و حتی کسی که در راستای استنباط شرعیات تلاش و اجتهاد می‌کند هم لازم نیست که همواره به واقع دست یابد؛ از این رو می‌توان به تقلید استناد کرد و آن را معتبر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اعتقادات و اصول دین، توسل به تقلید برای شناخت آن اصول پذیرفتنی نیست، چراکه در علوم و معارف اعتقادی علم و یقین لازم است تا در سایۀ آن علم و یقین، نفس انسان سکونت یافته، به اطمینانی قلبی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یعنی آرامش روح و اطمینان قلب، در تقلید وجود ندارد، زیرا دریافت‌های تقلید برخاسته از فکر و نظر و استدلال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قاضی بر بطلان تقلید این است که هنگام تعارض رأی دو صاحبنظر که هیچیک بر دیگری ترجیحی ندارد و قبول یا ردّ آرای هر دو امکان‌پذیر نیست و شخص مقلد ناگزیر و ضرورتاً باید یک رأی را انتخاب کند، در این انتخاب مردد می‌گردد، چراکه قبول یک طرف و نکول طرف دیگر ترجیح بلا مرجح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قاضی بر بطلان تقلید در حوزۀ اصول عقاید این است که اگر تقلید در این حوزه صحیح بود، صرف اخبار خداوند متعال از اصولی مثل توحید، عدل، نبوت و معاد در قرآن برای پذیرفتن آن‌ها کافی بود و هم‌چنین لازم بود که پیامبر صلی الله علیه و اله و سلم بدون اقامۀ برهان و دلیل، به ادعاهای خود اکتفا کند، در حالی که هم در قرآن و هم در سنت پیامبر صلی الله علیه و اله و سلم به صرف اخبار و گزارش از معارف اعتقادی اکتفا نشده و در پی آن به تعقل، تفکر و تدبّر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500" w:name="__RefHeading___Toc2105286_2749589250"/>
      <w:bookmarkStart w:id="501" w:name="_Toc205"/>
      <w:bookmarkEnd w:id="500"/>
      <w:r>
        <w:rPr>
          <w:rtl w:val="true"/>
        </w:rPr>
        <w:t>نتیجه</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عقلگرای قاعدهنگر مبناگراست؛ دارای مبانی و منابع معرفتی که آرای کلامی و معرفتی او بر این مبانی و منابع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معتبرترین منبع شناخت نزد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شناخت ضرورتاً فعلی انسانی است و عقل همان وسیله‌ای است که این شناخت را برای انسان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لازم است خداوند انسان را به نیروی عقل مجهز کند تا بتواند تکلیف خود را به نحو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همراه ادراکات حسی، مایه‌های اولیۀ نظر و استدلال را تشکیل می‌دهد و این نظر هم عامل کسب علم و معرفت می‌گردد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مراتب ادراکی انسان را سه مرحله می‌داند که متعلق هر یک از این مراتب، جدای از دیگری است و در عین حال میان علوم رابطۀ تنگاتنگی وجود دارد، به گونه‌ای که در نظر او علم</w:t>
      </w:r>
      <w:bookmarkStart w:id="502" w:name="pg3269_31808"/>
    </w:p>
    <w:p>
      <w:pPr>
        <w:pStyle w:val="BookText"/>
        <w:rPr/>
      </w:pPr>
      <w:bookmarkEnd w:id="502"/>
      <w:r>
        <w:rPr>
          <w:rFonts w:ascii="IRNazanin" w:hAnsi="IRNazanin" w:eastAsia="IRNazanin"/>
          <w:color w:val="111111"/>
          <w:sz w:val="28"/>
          <w:sz w:val="28"/>
          <w:szCs w:val="28"/>
          <w:rtl w:val="true"/>
          <w:lang w:bidi="fa-IR"/>
        </w:rPr>
        <w:t>به مدرکات که نتیجۀ ادراک حسی است، پیشدرآمد علم ضروری و علم ضروری خود از راه استدلال عقلی، پیشدرآمد علم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این علوم با یکدیگر، رابطۀ علت با نتیجه است و از آن‌جا که تفکر و تعقل، مرتبه‌ای فوق دو مرتبۀ دیگر است، بنابراین بر آن دو نیز حاکم و ناظر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شناخت نزد عبدالجبار همگی در راستای شکلگیری معرفت دینی، بهویژه معرفت خداوند تنظیم 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می‌توان به تمام موجودات عالم هستی، به نوعی شناخت و معرفت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او، این معرفت از راه‌ها و منابعی که مهم‌ترین آن‌ها عقل است، حاصل می‌گردد</w:t>
      </w:r>
      <w:r>
        <w:rPr>
          <w:rFonts w:eastAsia="IRNazanin" w:cs="IRNazanin"/>
          <w:color w:val="111111"/>
          <w:sz w:val="28"/>
          <w:szCs w:val="28"/>
          <w:rtl w:val="true"/>
          <w:lang w:bidi="fa-IR"/>
        </w:rPr>
        <w:t>.</w:t>
      </w:r>
    </w:p>
    <w:p>
      <w:pPr>
        <w:pStyle w:val="Heading3"/>
        <w:numPr>
          <w:ilvl w:val="2"/>
          <w:numId w:val="1"/>
        </w:numPr>
        <w:rPr/>
      </w:pPr>
      <w:bookmarkStart w:id="503" w:name="__RefHeading___Toc2105288_2749589250"/>
      <w:bookmarkStart w:id="504" w:name="_Toc206"/>
      <w:bookmarkEnd w:id="503"/>
      <w:r>
        <w:rPr>
          <w:rtl w:val="true"/>
        </w:rPr>
        <w:t>منابع</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پهلوانی‌نژاد، محبوبه،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عقل‌گرایی از دیدگاه ملاصدرا و عبدالجبار معتزلی، پایان‌نامه کارشناسی ارشد،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محسن،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فلسفی ـ کلامی، ش</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معرفت‌شناسی در قرآن، قم، اسراء،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محمد،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دینی عقلانیت و منابع، قم، مؤسسه آموزشی پژوهشی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فرود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حکمت و معرفت، ش</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دهقانی‌نژاد، عباس،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شهودگروی اخلاقی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دینی، ش</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همدانی، قاضی،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بیروت، دار احیاء التراث العربی،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الدار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القاهره، مکتبه دارالتراث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الدلائل النبوه، قاهره، دارالمصطفی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هرمنوتیک کتاب و سنت، تهران، طرح نو،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مجید،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مبین، قم، گلستان ادیب،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نظر‌نژاد، نرگس،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اوصاف الهی از دیدگاه قاضی عبدالجبار معتزلی و ویلیام آلستون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دینی، ش</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هدایت‌پناه، محمدرضا،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تاریخی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و حوزه، ش</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bookmarkStart w:id="505" w:name="pg3269_31810"/>
    </w:p>
    <w:p>
      <w:pPr>
        <w:pStyle w:val="Heading2"/>
        <w:numPr>
          <w:ilvl w:val="1"/>
          <w:numId w:val="1"/>
        </w:numPr>
        <w:rPr/>
      </w:pPr>
      <w:bookmarkStart w:id="506" w:name="__RefHeading___Toc2105290_2749589250"/>
      <w:bookmarkStart w:id="507" w:name="_Toc207"/>
      <w:bookmarkEnd w:id="505"/>
      <w:bookmarkEnd w:id="506"/>
      <w:r>
        <w:rPr>
          <w:rtl w:val="true"/>
        </w:rPr>
        <w:t>بررسی تطبیقی مبانی کلامی سید قطب و سلفیه در مباحث توحید و تکفیر</w:t>
      </w:r>
      <w:r>
        <w:rPr>
          <w:rtl w:val="true"/>
        </w:rPr>
        <w:t>/</w:t>
      </w:r>
      <w:r>
        <w:rPr>
          <w:rtl w:val="true"/>
        </w:rPr>
        <w:t>رضا ملازاده یامچی</w:t>
      </w:r>
      <w:r>
        <w:rPr>
          <w:rtl w:val="true"/>
        </w:rPr>
        <w:t>_</w:t>
      </w:r>
      <w:r>
        <w:rPr>
          <w:rtl w:val="true"/>
        </w:rPr>
        <w:t>حمید ایماندار</w:t>
      </w:r>
      <w:bookmarkEnd w:id="507"/>
    </w:p>
    <w:p>
      <w:pPr>
        <w:pStyle w:val="Heading3"/>
        <w:numPr>
          <w:ilvl w:val="2"/>
          <w:numId w:val="1"/>
        </w:numPr>
        <w:rPr/>
      </w:pPr>
      <w:bookmarkStart w:id="508" w:name="__RefHeading___Toc2105292_2749589250"/>
      <w:bookmarkStart w:id="509" w:name="_Toc20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رضا ملازاده یامچی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حمید ایماندار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1395/09/23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1396/02/22</w:t>
      </w:r>
    </w:p>
    <w:p>
      <w:pPr>
        <w:pStyle w:val="Heading3"/>
        <w:numPr>
          <w:ilvl w:val="2"/>
          <w:numId w:val="1"/>
        </w:numPr>
        <w:rPr/>
      </w:pPr>
      <w:bookmarkStart w:id="510" w:name="__RefHeading___Toc2105294_2749589250"/>
      <w:bookmarkStart w:id="511" w:name="_Toc209"/>
      <w:bookmarkEnd w:id="510"/>
      <w:r>
        <w:rPr>
          <w:rtl w:val="true"/>
        </w:rPr>
        <w:t>چکیده</w:t>
      </w:r>
      <w:bookmarkEnd w:id="511"/>
    </w:p>
    <w:p>
      <w:pPr>
        <w:pStyle w:val="BookText"/>
        <w:rPr/>
      </w:pPr>
      <w:r>
        <w:rPr>
          <w:rFonts w:ascii="IRNazanin" w:hAnsi="IRNazanin" w:eastAsia="IRNazanin"/>
          <w:color w:val="111111"/>
          <w:sz w:val="28"/>
          <w:sz w:val="28"/>
          <w:szCs w:val="28"/>
          <w:rtl w:val="true"/>
          <w:lang w:bidi="fa-IR"/>
        </w:rPr>
        <w:t>تفحص در مکتوبات سید قطب، تضادهای عمیق وی با قاطبۀ سلفیۀ سنتی در تبیین مباحثی چون توحید صفاتی را آشکار می‌سازد؛ بهویژه این‌که او در تقابل تام با بنیان‌های توحیدی سلفی‌ها، قائل به جزئیت توحید حاکمیت و تشریع در مفهوم توحید الوهی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نقطۀ عطف مدعیات سید قطب به تأکید وی بر مدخلیت عمل در تکفیر حاکم بغیر ما انزل الله و محکومین وی بازمی‌گردد؛ به گونه‌ای که وی بر خلاف قریب به اتفاق اندیشمندان فریقین، عدم التزام عملی به احکام الهی را قائم مقام استحلال حکم بغیر ما انزل الله پنداشته و به واقع رویکردی تکفیری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راستای تعلیل بیانات تکفیر‌گرایانۀ سید قطب به ناظر بودن بیانات وی بر کفر باطنی اشاره کرده؛ به این معنا که سید به اذعان خود، از صدور حکم فقهی برای کفر اعتقادی در بیانات خود ابا داشته و در عین تحفظ بر حقوق اجتماعی و دینیِ فرد ناقض توحید حاکمیت منبعث از اسلام ظاهری وی، او را همچون اهل نفاق باطناً کافر و مستحق عذاب اخروی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غایت مورد توجه سید از طرح مسئله کفر در تشریع صرفاً انذار جوامع اسلامی و غیر آن‌ها، از پیامدهای التزام به کفر حاکمیتی بوده و سید با طرح کفر باطنی در عین خطیر جلوه دادن عدم التزام به این مفهوم، خود را از تکفیر معین و ظاهری ناقضان توحید حاکمیتی معاف کرده است</w:t>
      </w:r>
      <w:r>
        <w:rPr>
          <w:rFonts w:eastAsia="IRNazanin" w:cs="IRNazanin"/>
          <w:color w:val="111111"/>
          <w:sz w:val="28"/>
          <w:szCs w:val="28"/>
          <w:rtl w:val="true"/>
          <w:lang w:bidi="fa-IR"/>
        </w:rPr>
        <w:t>.</w:t>
      </w:r>
    </w:p>
    <w:p>
      <w:pPr>
        <w:pStyle w:val="Heading3"/>
        <w:numPr>
          <w:ilvl w:val="2"/>
          <w:numId w:val="1"/>
        </w:numPr>
        <w:rPr/>
      </w:pPr>
      <w:bookmarkStart w:id="512" w:name="__RefHeading___Toc2105296_2749589250"/>
      <w:bookmarkStart w:id="513" w:name="_Toc210"/>
      <w:bookmarkEnd w:id="512"/>
      <w:r>
        <w:rPr>
          <w:rtl w:val="true"/>
        </w:rPr>
        <w:t>واژگان کلیدی</w:t>
      </w:r>
      <w:bookmarkEnd w:id="51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تکفیر، سلفیه، سید قطب</w:t>
      </w:r>
      <w:r>
        <w:rPr>
          <w:rFonts w:eastAsia="IRNazanin" w:cs="IRNazanin"/>
          <w:color w:val="111111"/>
          <w:sz w:val="28"/>
          <w:szCs w:val="28"/>
          <w:rtl w:val="true"/>
          <w:lang w:bidi="fa-IR"/>
        </w:rPr>
        <w:t>.</w:t>
      </w:r>
      <w:bookmarkStart w:id="514" w:name="pg3269_31811"/>
    </w:p>
    <w:p>
      <w:pPr>
        <w:pStyle w:val="Heading3"/>
        <w:numPr>
          <w:ilvl w:val="2"/>
          <w:numId w:val="1"/>
        </w:numPr>
        <w:rPr/>
      </w:pPr>
      <w:bookmarkStart w:id="515" w:name="__RefHeading___Toc2105298_2749589250"/>
      <w:bookmarkStart w:id="516" w:name="_Toc211"/>
      <w:bookmarkEnd w:id="514"/>
      <w:bookmarkEnd w:id="515"/>
      <w:r>
        <w:rPr>
          <w:rtl w:val="true"/>
        </w:rPr>
        <w:t>مقدمه</w:t>
      </w:r>
      <w:bookmarkEnd w:id="516"/>
    </w:p>
    <w:p>
      <w:pPr>
        <w:pStyle w:val="BookText"/>
        <w:rPr/>
      </w:pPr>
      <w:r>
        <w:rPr>
          <w:rFonts w:ascii="IRNazanin" w:hAnsi="IRNazanin" w:eastAsia="IRNazanin"/>
          <w:color w:val="111111"/>
          <w:sz w:val="28"/>
          <w:sz w:val="28"/>
          <w:szCs w:val="28"/>
          <w:rtl w:val="true"/>
          <w:lang w:bidi="fa-IR"/>
        </w:rPr>
        <w:t xml:space="preserve">الهام‌گیری فرقه‌های تکفیری عصر حاضر از اندیشه‌های سید قطب غیر قابل انکار است؛ گو این‌که سران گروه‌هایی چون القاعده و سران گروه‌های جهادی مصری التکفیر و الهجره به صراحت به تأثر عمیق خود از اندیشه‌های سید قطب اقرار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فرقه‌های تکفیری، ایشان را به سوء تفهم از مکتوبات سید قطب، بهخصوص در حوزۀ توحید و تکفیر نسبت می‌دهند و با برداشتی نمادین و اعتدالی از آرای سید قطب، آن را به سود تعالی جوامع اسلامی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 آنیم تا تفسیری مقبول و استوار از حقیقت عقیدۀ سید قطب در مقولۀ توحید و تکفیر به عنوان دو مسئله چالشآفرین سلفیۀ جهادی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نوشته‌های سید قطب بر عقاید کلامی سلفیۀ سنتی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نمایندۀ اصلی جریان سلفیۀ معاصر نیز در راستای بررسی تمایزات این دو جریان و تمییز مؤلفه‌های عقیدۀ سید قطب در دو مسئله توحید و تکفیر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مباحثی چون توحید صفاتی و توحید در حاکمیت و تشریع ذیل مسئله توحید از منظر سید قطب و سلفیۀ سنتی بررسی خواهد شد و در حوزۀ تکفیر به عنوان یکی از ملازمات و فروعات مبحث توحید نیز مباحثی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تطبیقی قرار خواهد گرفت تا حقیقتِ باور سید قطب در مسئله توحید و تکفیر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به پاسخ این پرسش خواهیم رسید که استظهار سلفیۀ جهادی همچون گروه القاعده از افکار سید قطب صحیح بوده یا خیر؟ و این‌که اساساً می‌توان سید قطب را واجد تفکری تکفیری برشمرد یا این‌که باید بیانات پرحرارت و طاغوتستیزانۀ سید قطب را بر عطش انقلابی‌گری و اصلاحطلبی وی نسبت به عقبماندگی جوامع اسلامی از حقیقت اسلام حمل کرد؟ هم‌چنان‌که اندیشه‌های عمل‌گرایانۀ وی بر انقلاب اسلامی ایران و برخی رجال آن همچون نواب صفوی نیز تأثیرگذار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517" w:name="__RefHeading___Toc2105300_2749589250"/>
      <w:bookmarkStart w:id="518" w:name="_Toc212"/>
      <w:bookmarkEnd w:id="517"/>
      <w:r>
        <w:rPr/>
        <w:t>1</w:t>
      </w:r>
      <w:r>
        <w:rPr>
          <w:rtl w:val="true"/>
        </w:rPr>
        <w:t xml:space="preserve">. </w:t>
      </w:r>
      <w:r>
        <w:rPr>
          <w:rtl w:val="true"/>
        </w:rPr>
        <w:t>بررسی تطبیقی آرای سید قطب و سلفیه در مسئله توحید</w:t>
      </w:r>
      <w:bookmarkEnd w:id="518"/>
    </w:p>
    <w:p>
      <w:pPr>
        <w:pStyle w:val="Heading4"/>
        <w:numPr>
          <w:ilvl w:val="3"/>
          <w:numId w:val="1"/>
        </w:numPr>
        <w:rPr/>
      </w:pPr>
      <w:bookmarkStart w:id="519" w:name="__RefHeading___Toc2105302_2749589250"/>
      <w:bookmarkStart w:id="520" w:name="_Toc213"/>
      <w:bookmarkEnd w:id="519"/>
      <w:r>
        <w:rPr/>
        <w:t>1</w:t>
      </w:r>
      <w:r>
        <w:rPr>
          <w:rtl w:val="true"/>
        </w:rPr>
        <w:t>ـ</w:t>
      </w:r>
      <w:r>
        <w:rPr/>
        <w:t>1</w:t>
      </w:r>
      <w:r>
        <w:rPr>
          <w:rtl w:val="true"/>
        </w:rPr>
        <w:t xml:space="preserve">. </w:t>
      </w:r>
      <w:r>
        <w:rPr>
          <w:rtl w:val="true"/>
        </w:rPr>
        <w:t>تفسیر سلفیه از صفات خبریۀ الهی</w:t>
      </w:r>
      <w:bookmarkEnd w:id="520"/>
    </w:p>
    <w:p>
      <w:pPr>
        <w:pStyle w:val="Heading5"/>
        <w:numPr>
          <w:ilvl w:val="4"/>
          <w:numId w:val="1"/>
        </w:numPr>
        <w:rPr/>
      </w:pPr>
      <w:bookmarkStart w:id="521" w:name="__RefHeading___Toc2105304_2749589250"/>
      <w:bookmarkStart w:id="522" w:name="_Toc214"/>
      <w:bookmarkEnd w:id="521"/>
      <w:r>
        <w:rPr>
          <w:rtl w:val="true"/>
        </w:rPr>
        <w:t>اشاره</w:t>
      </w:r>
      <w:bookmarkEnd w:id="5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سلفیه، تفسیر منحصربهفردی از صفات خبریۀ الهی ارائه داده‌اند و تلقی خود را یکی از اصول اساسی توحید برمی‌شمارند، به گونه‌ای که هر نوع دخل و تصرف در این برداشت را مخالف توحید اصیل معرفی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برداشتِ خاص</w:t>
      </w:r>
      <w:bookmarkStart w:id="523" w:name="pg3269_31812"/>
    </w:p>
    <w:p>
      <w:pPr>
        <w:pStyle w:val="BookText"/>
        <w:rPr/>
      </w:pPr>
      <w:bookmarkEnd w:id="523"/>
      <w:r>
        <w:rPr>
          <w:rFonts w:ascii="IRNazanin" w:hAnsi="IRNazanin" w:eastAsia="IRNazanin"/>
          <w:color w:val="111111"/>
          <w:sz w:val="28"/>
          <w:sz w:val="28"/>
          <w:szCs w:val="28"/>
          <w:rtl w:val="true"/>
          <w:lang w:bidi="fa-IR"/>
        </w:rPr>
        <w:t xml:space="preserve">در نگاه سلفیون به حدی است که قائلان به دیدگاه‌های دیگر در این مبحث و حتی اشاعرۀ منتسب به اهلسنت را به شدت طرد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بنباز،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سلفیه در تفسیر صفات خبریه که خود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بر چند اصل اساسی استوار است</w:t>
      </w:r>
      <w:r>
        <w:rPr>
          <w:rFonts w:eastAsia="IRNazanin" w:cs="IRNazanin"/>
          <w:color w:val="111111"/>
          <w:sz w:val="28"/>
          <w:szCs w:val="28"/>
          <w:rtl w:val="true"/>
          <w:lang w:bidi="fa-IR"/>
        </w:rPr>
        <w:t>:</w:t>
      </w:r>
    </w:p>
    <w:p>
      <w:pPr>
        <w:pStyle w:val="Heading5"/>
        <w:numPr>
          <w:ilvl w:val="4"/>
          <w:numId w:val="1"/>
        </w:numPr>
        <w:rPr/>
      </w:pPr>
      <w:bookmarkStart w:id="524" w:name="__RefHeading___Toc2105306_2749589250"/>
      <w:bookmarkStart w:id="525" w:name="_Toc215"/>
      <w:bookmarkEnd w:id="524"/>
      <w:r>
        <w:rPr/>
        <w:t>1</w:t>
      </w:r>
      <w:r>
        <w:rPr>
          <w:rtl w:val="true"/>
        </w:rPr>
        <w:t>.</w:t>
      </w:r>
      <w:bookmarkEnd w:id="525"/>
    </w:p>
    <w:p>
      <w:pPr>
        <w:pStyle w:val="BookText"/>
        <w:rPr/>
      </w:pPr>
      <w:r>
        <w:rPr>
          <w:rFonts w:ascii="IRNazanin" w:hAnsi="IRNazanin" w:eastAsia="IRNazanin"/>
          <w:color w:val="111111"/>
          <w:sz w:val="28"/>
          <w:sz w:val="28"/>
          <w:szCs w:val="28"/>
          <w:rtl w:val="true"/>
          <w:lang w:bidi="fa-IR"/>
        </w:rPr>
        <w:t xml:space="preserve">تمامی صفات خبریه مثل استوای خداوند بر عرش، صفات ید وجه و امثال این‌ها باید بر ظواهر این عبارات حمل شوند و عدم اجرای ظواهر، مساوی با تعطیل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بنباز،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علیوی،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اشقر،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5"/>
        <w:numPr>
          <w:ilvl w:val="4"/>
          <w:numId w:val="1"/>
        </w:numPr>
        <w:rPr/>
      </w:pPr>
      <w:bookmarkStart w:id="526" w:name="__RefHeading___Toc2105308_2749589250"/>
      <w:bookmarkStart w:id="527" w:name="_Toc216"/>
      <w:bookmarkEnd w:id="526"/>
      <w:r>
        <w:rPr/>
        <w:t>2</w:t>
      </w:r>
      <w:r>
        <w:rPr>
          <w:rtl w:val="true"/>
        </w:rPr>
        <w:t>.</w:t>
      </w:r>
      <w:bookmarkEnd w:id="527"/>
    </w:p>
    <w:p>
      <w:pPr>
        <w:pStyle w:val="BookText"/>
        <w:rPr/>
      </w:pPr>
      <w:r>
        <w:rPr>
          <w:rFonts w:ascii="IRNazanin" w:hAnsi="IRNazanin" w:eastAsia="IRNazanin"/>
          <w:color w:val="111111"/>
          <w:sz w:val="28"/>
          <w:sz w:val="28"/>
          <w:szCs w:val="28"/>
          <w:rtl w:val="true"/>
          <w:lang w:bidi="fa-IR"/>
        </w:rPr>
        <w:t xml:space="preserve">صفات خبریۀ خداوند، کیفیت دارند و تنها علم به کیفیت آن‌هاست که به علم الهی تفویض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528" w:name="__RefHeading___Toc2105310_2749589250"/>
      <w:bookmarkStart w:id="529" w:name="_Toc217"/>
      <w:bookmarkEnd w:id="528"/>
      <w:r>
        <w:rPr/>
        <w:t>3</w:t>
      </w:r>
      <w:r>
        <w:rPr>
          <w:rtl w:val="true"/>
        </w:rPr>
        <w:t>.</w:t>
      </w:r>
      <w:bookmarkEnd w:id="529"/>
    </w:p>
    <w:p>
      <w:pPr>
        <w:pStyle w:val="BookText"/>
        <w:rPr/>
      </w:pPr>
      <w:r>
        <w:rPr>
          <w:rFonts w:ascii="IRNazanin" w:hAnsi="IRNazanin" w:eastAsia="IRNazanin"/>
          <w:color w:val="111111"/>
          <w:sz w:val="28"/>
          <w:sz w:val="28"/>
          <w:szCs w:val="28"/>
          <w:rtl w:val="true"/>
          <w:lang w:bidi="fa-IR"/>
        </w:rPr>
        <w:t xml:space="preserve">تأویل صفات خبریه، مخالف مکتب سلف صالح بوده و سلف به هیچ عنوان صفات را تأویل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530" w:name="__RefHeading___Toc2105312_2749589250"/>
      <w:bookmarkStart w:id="531" w:name="_Toc218"/>
      <w:bookmarkEnd w:id="530"/>
      <w:r>
        <w:rPr/>
        <w:t>2</w:t>
      </w:r>
      <w:r>
        <w:rPr>
          <w:rtl w:val="true"/>
        </w:rPr>
        <w:t>ـ</w:t>
      </w:r>
      <w:r>
        <w:rPr/>
        <w:t>1</w:t>
      </w:r>
      <w:r>
        <w:rPr>
          <w:rtl w:val="true"/>
        </w:rPr>
        <w:t xml:space="preserve">. </w:t>
      </w:r>
      <w:r>
        <w:rPr>
          <w:rtl w:val="true"/>
        </w:rPr>
        <w:t>تفسیر ذات و صفات الهی در رویکرد کلامی سید قطب</w:t>
      </w:r>
      <w:bookmarkEnd w:id="531"/>
    </w:p>
    <w:p>
      <w:pPr>
        <w:pStyle w:val="BookText"/>
        <w:rPr/>
      </w:pPr>
      <w:r>
        <w:rPr>
          <w:rFonts w:ascii="IRNazanin" w:hAnsi="IRNazanin" w:eastAsia="IRNazanin"/>
          <w:color w:val="111111"/>
          <w:sz w:val="28"/>
          <w:sz w:val="28"/>
          <w:szCs w:val="28"/>
          <w:rtl w:val="true"/>
          <w:lang w:bidi="fa-IR"/>
        </w:rPr>
        <w:t>سید قطب در عرصۀ تفسیر صفات خبریه، به نحوی گسترده به تأویل صفات خبریۀ الهی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استوای ذات الهی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با جدال بر سر چنین متشابهاتی مخالفت ورزیده و ضمن این نقد عام به عموم مکاتب کلامی با کنایه زدن به سلفی‌ها، کیفیت‌پذیری ذات الهی را نفی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موضعی دیگر به صراحت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نهایت سیطره و چیرگی خداوند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تأویلاتی به وفور در صفتی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سید ارائه شده و به همین جهت باید وی را در مبحث صفات جزء مؤوله به حساب آورده و منهج او را در تضاد با اندیشۀ جزمگرای سلفیه در مسئله صفات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التصویر الفنی نیز با استقصای آیات مشتمل بر صفات خبریه، به صراحت هدف از بیاناتی به این سبک در کلام الهی را تعبیری تجسم‌گرایانه از واقعیاتی عمیق می‌داند که اسلوب آن، اصل تنزیه کامل ذات الهی را تأمین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تأویلگرایی سید قطب، سبب انتقادات تند داعیان سلفی‌گری به او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سنانی،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که وی را در زمرۀ 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تعطیل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مدخلی،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bookmarkStart w:id="532" w:name="pg3269_31813"/>
    </w:p>
    <w:p>
      <w:pPr>
        <w:pStyle w:val="BookText"/>
        <w:rPr/>
      </w:pPr>
      <w:bookmarkEnd w:id="532"/>
      <w:r>
        <w:rPr>
          <w:rFonts w:ascii="IRNazanin" w:hAnsi="IRNazanin" w:eastAsia="IRNazanin"/>
          <w:color w:val="111111"/>
          <w:sz w:val="28"/>
          <w:sz w:val="28"/>
          <w:szCs w:val="28"/>
          <w:rtl w:val="true"/>
          <w:lang w:bidi="fa-IR"/>
        </w:rPr>
        <w:t>لذا تنافی موضع سید قطب دربارۀ مسئله تفسیر ذات و صفات الهی به هیچ روی با مکتب مزعوم سلفی‌ها انطباقی ندارد</w:t>
      </w:r>
      <w:r>
        <w:rPr>
          <w:rFonts w:eastAsia="IRNazanin" w:cs="IRNazanin"/>
          <w:color w:val="111111"/>
          <w:sz w:val="28"/>
          <w:szCs w:val="28"/>
          <w:rtl w:val="true"/>
          <w:lang w:bidi="fa-IR"/>
        </w:rPr>
        <w:t>.</w:t>
      </w:r>
    </w:p>
    <w:p>
      <w:pPr>
        <w:pStyle w:val="Heading3"/>
        <w:numPr>
          <w:ilvl w:val="2"/>
          <w:numId w:val="1"/>
        </w:numPr>
        <w:rPr/>
      </w:pPr>
      <w:bookmarkStart w:id="533" w:name="__RefHeading___Toc2105314_2749589250"/>
      <w:bookmarkStart w:id="534" w:name="_Toc219"/>
      <w:bookmarkEnd w:id="533"/>
      <w:r>
        <w:rPr/>
        <w:t>2</w:t>
      </w:r>
      <w:r>
        <w:rPr>
          <w:rtl w:val="true"/>
        </w:rPr>
        <w:t xml:space="preserve">. </w:t>
      </w:r>
      <w:r>
        <w:rPr>
          <w:rtl w:val="true"/>
        </w:rPr>
        <w:t>بررسی تطبیقی تکفیر حاکم بغیر ما انزل الله از منظر سید قطب و سلفیه</w:t>
      </w:r>
      <w:bookmarkEnd w:id="534"/>
    </w:p>
    <w:p>
      <w:pPr>
        <w:pStyle w:val="Heading4"/>
        <w:numPr>
          <w:ilvl w:val="3"/>
          <w:numId w:val="1"/>
        </w:numPr>
        <w:rPr/>
      </w:pPr>
      <w:bookmarkStart w:id="535" w:name="__RefHeading___Toc2105316_2749589250"/>
      <w:bookmarkStart w:id="536" w:name="_Toc220"/>
      <w:bookmarkEnd w:id="535"/>
      <w:r>
        <w:rPr/>
        <w:t>1</w:t>
      </w:r>
      <w:r>
        <w:rPr>
          <w:rtl w:val="true"/>
        </w:rPr>
        <w:t>ـ</w:t>
      </w:r>
      <w:r>
        <w:rPr/>
        <w:t>2</w:t>
      </w:r>
      <w:r>
        <w:rPr>
          <w:rtl w:val="true"/>
        </w:rPr>
        <w:t xml:space="preserve">. </w:t>
      </w:r>
      <w:r>
        <w:rPr>
          <w:rtl w:val="true"/>
        </w:rPr>
        <w:t>تکفیر حاکم بغیر ما انزل الله از منظر سلفیه</w:t>
      </w:r>
      <w:bookmarkEnd w:id="53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 کلامی معمولاً ذیل تفسیر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بغیر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می‌شود؛ به این معنا که حکم کردن بر خلاف آنچه خداوند متعال نازل کرده و نحوۀ تحلیل این مفهوم، اساس شکل‌گیری مسئله توحید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تصریح کرد دیدگاه قاطبۀ مفسران اهلسنت و حتی مفسران منتسب به جریان سلفی‌گری مانند ابن‌کثیر، به گونه‌ای است که برداشت حکم تکفیر حکام و محکومان جوامع اسلامی را برنمی‌تابد و تنها در نوعی تفسیر ارائهشده از آیۀ شریفه، حکم ارتداد افرادی را بیان می‌کند که قضاوت بغیر ما انزل الله را حلال دانسته و نوعی جحد و انکار ضروریات دینی را اظهار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ابنکثیر،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دیدگاه تکفیریون بر این پایه استوار است که جحود و استحلال به صرف عمل جوارحی و نه انکار لسانی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نیز به عنوان یکی از بنیان‌گذاران فکری سلفیه، تفسیری از آیۀ شریفه مذکور ارائه می‌کند که همچون بیان ابن‌کثیر سلفی با مدعای تکفیریون موافقت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و مفاد آیه را مختص به قوم یهود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ابن‌تیمیه حکم بغیر ما انزل الله را صراحتاً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کرده و می‌دانیم که عنوان مذکور به لحاظ استعمال لغوی و وضعی مشتمل بر انکار قلبی و اعتقادی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استعمال لغوی و شرعی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نیازی به تقیید آن‌ها به قیودی چون استحلال عملی و یا لسانی نیست، چراکه در استعمال مطلق هر دو عنوان، مفهوم انکار قلبی و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نقطۀ مقابل، یکی دیگر از محققان مدافع سلفیۀ جهادی کوشیده است اساس کار دانشکده‌های حقوق در وضع قوانین مبتنی بر احکام حقوقی غربی را از مصادیق شرک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خطر در دانشکده‌های حقوق، وضع قوانین ضد اسلامی نیست، بلکه حل و فصل قضاوت‌ها مستمدّ از قانون و نه شریعت اسلامی است؛ در حالی که این امر از مصادیق شرک به خداوند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علما، هدف بنیان‌گذاری</w:t>
      </w:r>
      <w:bookmarkStart w:id="537" w:name="pg3269_31814"/>
    </w:p>
    <w:p>
      <w:pPr>
        <w:pStyle w:val="BookText"/>
        <w:rPr/>
      </w:pPr>
      <w:bookmarkEnd w:id="537"/>
      <w:r>
        <w:rPr>
          <w:rFonts w:ascii="IRNazanin" w:hAnsi="IRNazanin" w:eastAsia="IRNazanin"/>
          <w:color w:val="111111"/>
          <w:sz w:val="28"/>
          <w:sz w:val="28"/>
          <w:szCs w:val="28"/>
          <w:rtl w:val="true"/>
          <w:lang w:bidi="fa-IR"/>
        </w:rPr>
        <w:t>دانشکده‌های حقوق را تربیت افرادی می‌دانند که به تحاکم قوانین وضعی بشری می‌پردازند و در واقع، فارغالتحصیلان حقوق نمادهایی برای جدایی دین از سیاست و حکم بغیر ما انزل الله در جوامع اسلامی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مبرد،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گفت، سلفیان سنتی همچون ابن‌تیمیه و ابن‌کثیر بر خلاف سلفیۀ جهادی، صرفاً به مدخلیت استحلال قلبی در تکفیر حاکم بغیر ما انزل الله معتقدند</w:t>
      </w:r>
      <w:r>
        <w:rPr>
          <w:rFonts w:eastAsia="IRNazanin" w:cs="IRNazanin"/>
          <w:color w:val="111111"/>
          <w:sz w:val="28"/>
          <w:szCs w:val="28"/>
          <w:rtl w:val="true"/>
          <w:lang w:bidi="fa-IR"/>
        </w:rPr>
        <w:t>.</w:t>
      </w:r>
    </w:p>
    <w:p>
      <w:pPr>
        <w:pStyle w:val="Heading4"/>
        <w:numPr>
          <w:ilvl w:val="3"/>
          <w:numId w:val="1"/>
        </w:numPr>
        <w:rPr/>
      </w:pPr>
      <w:bookmarkStart w:id="538" w:name="__RefHeading___Toc2105318_2749589250"/>
      <w:bookmarkStart w:id="539" w:name="_Toc221"/>
      <w:bookmarkEnd w:id="538"/>
      <w:r>
        <w:rPr/>
        <w:t>2</w:t>
      </w:r>
      <w:r>
        <w:rPr>
          <w:rtl w:val="true"/>
        </w:rPr>
        <w:t>ـ</w:t>
      </w:r>
      <w:r>
        <w:rPr/>
        <w:t>2</w:t>
      </w:r>
      <w:r>
        <w:rPr>
          <w:rtl w:val="true"/>
        </w:rPr>
        <w:t xml:space="preserve">. </w:t>
      </w:r>
      <w:r>
        <w:rPr>
          <w:rtl w:val="true"/>
        </w:rPr>
        <w:t>تکفیر حاکم بغیر ما انزل الله از منظر سید قطب</w:t>
      </w:r>
      <w:bookmarkEnd w:id="539"/>
    </w:p>
    <w:p>
      <w:pPr>
        <w:pStyle w:val="Heading5"/>
        <w:numPr>
          <w:ilvl w:val="4"/>
          <w:numId w:val="1"/>
        </w:numPr>
        <w:rPr/>
      </w:pPr>
      <w:bookmarkStart w:id="540" w:name="__RefHeading___Toc2105320_2749589250"/>
      <w:bookmarkStart w:id="541" w:name="_Toc222"/>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 xml:space="preserve">موضع سید قطب دربارۀ مسئله تکفیر به عنوان چالشبرانگیزترین موضوع حول نظریات وی مطرح است؛ بهویژه این‌که بسیاری از شخصیت‌های منتسب به سلفیۀ جهادی در مصر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گروه‌هایی چون القاعده خود را وام‌دار اندیشه‌های وی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اندیشۀ تکفیری مستفاد از مکتوبات سید قطب ذیل مباحث او در تبیین توحید حاکمیت و تشریع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سید تأکید خاصی بر توحید الوهی و ربوبی و لوازم این دو مفهوم نداشته و اساساً تضادهایی عمیق را با قاطبۀ سلفیه در این حوزه رقم زده است؛ در مقابل، تأکید وی بر توحید حاکمیت نیز روی دیگری از سکۀ مخالفت‌های سید با سلفیه است، چراکه سلفی‌ها چیزی جز تقسیم ثلاثی توحید به سه شاخۀ توحید صفاتی، ربوبی و الوهی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زمانی که سخن از توحید حاکمیت می‌شود، همۀ نگاه‌ها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ابوالأعلی مودودی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متأثرین نظریۀ وی معطوف می‌شود؛ اما آنچه مداقه در آرای سید را اجتنابناپذیر کرده، رویکرد عمل‌گرایانه و انقلابی وی در تطبیق توحید حاکمیتی طرحشده از سوی مودودی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هوشنگی و پاکتچی،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این‌که، این مشی عملی به پدیده‌ای خطیر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ختم شده و مصائب بیپایان آن گریبانگیر جوامع اسلامی و غیر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خوانش دقیقی از حقیقت مدعای سید دربارۀ توحید حاکمیتی و حدود و ثغور تکفیر حکم بغیر ما انزل الله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بخش، گزاره‌هایی مهم و کلیدی از سخنان سید در مسئله تکفیر حاکم بغیر ما انزل الله ارائه می‌گردد تا مناط حکم تکفیر از بیانات وی استظهار شود</w:t>
      </w:r>
      <w:r>
        <w:rPr>
          <w:rFonts w:eastAsia="IRNazanin" w:cs="IRNazanin"/>
          <w:color w:val="111111"/>
          <w:sz w:val="28"/>
          <w:szCs w:val="28"/>
          <w:rtl w:val="true"/>
          <w:lang w:bidi="fa-IR"/>
        </w:rPr>
        <w:t>.</w:t>
      </w:r>
    </w:p>
    <w:p>
      <w:pPr>
        <w:pStyle w:val="Heading5"/>
        <w:numPr>
          <w:ilvl w:val="4"/>
          <w:numId w:val="1"/>
        </w:numPr>
        <w:rPr/>
      </w:pPr>
      <w:bookmarkStart w:id="542" w:name="__RefHeading___Toc2105322_2749589250"/>
      <w:bookmarkStart w:id="543" w:name="_Toc223"/>
      <w:bookmarkEnd w:id="542"/>
      <w:r>
        <w:rPr/>
        <w:t>1</w:t>
      </w:r>
      <w:r>
        <w:rPr>
          <w:rtl w:val="true"/>
        </w:rPr>
        <w:t>ـ</w:t>
      </w:r>
      <w:r>
        <w:rPr/>
        <w:t>2</w:t>
      </w:r>
      <w:r>
        <w:rPr>
          <w:rtl w:val="true"/>
        </w:rPr>
        <w:t>ـ</w:t>
      </w:r>
      <w:r>
        <w:rPr/>
        <w:t>2</w:t>
      </w:r>
      <w:r>
        <w:rPr>
          <w:rtl w:val="true"/>
        </w:rPr>
        <w:t xml:space="preserve">. </w:t>
      </w:r>
      <w:r>
        <w:rPr>
          <w:rtl w:val="true"/>
        </w:rPr>
        <w:t>اصالتبخشی به توحید تشریع و حاکمیت در شکل‌گیری توحید</w:t>
      </w:r>
      <w:bookmarkEnd w:id="5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ابتدای تقریر نظریۀ خود در باب تکفیر حاکم بغیر ما انزل الله، تلاش دارد توحید حاکمیتی را ضروری‌ترین جزء توحید الوهی قرار دهد؛ مقدمه‌ای مهم که اساس آن مبتنی بر</w:t>
      </w:r>
      <w:bookmarkStart w:id="544" w:name="pg3269_31815"/>
    </w:p>
    <w:p>
      <w:pPr>
        <w:pStyle w:val="BookText"/>
        <w:rPr/>
      </w:pPr>
      <w:bookmarkEnd w:id="544"/>
      <w:r>
        <w:rPr>
          <w:rFonts w:ascii="IRNazanin" w:hAnsi="IRNazanin" w:eastAsia="IRNazanin"/>
          <w:color w:val="111111"/>
          <w:sz w:val="28"/>
          <w:sz w:val="28"/>
          <w:szCs w:val="28"/>
          <w:rtl w:val="true"/>
          <w:lang w:bidi="fa-IR"/>
        </w:rPr>
        <w:t>نظریات ابوالأعلی مودودی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نکتۀ مهم این است که این مسئله صرفاً در صغریات استدلالی سید قطب در تکفیر حاکم بغیر ما انزل الله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سید اهمیت توحید حاکمیت را اینچنین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مدلول و مفهوم دین را منحصر به اعتقاد و شعائر و مراسم مذهبی میکنند و هر کس را که معتقد به یگانگی خدا و صداقت پیغمبر او باشد و شعائر و مراسم واجب را انجام دهد، داخل در دین خدا میشمارند؛ هرچند پرستش او با اعتراف به حاکمیت غیرخدا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و مفهوم دین خدا ضعیف گردیده و به گونهای درآمده است که در اندیشۀ عموم مردمان، جاهلیت جز بر اعتقاد، شعائر و مراسم مذهبی اطلاق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سید توحید ذاتی، ربوبی و عبادی را در انعقاد اصل اسلام کافی نمی‌داند و بر آن است تا به توحید در تشریع و حاکمیت در موجودیت توحید ناب اصالت بخشد</w:t>
      </w:r>
      <w:r>
        <w:rPr>
          <w:rFonts w:eastAsia="IRNazanin" w:cs="IRNazanin"/>
          <w:color w:val="111111"/>
          <w:sz w:val="28"/>
          <w:szCs w:val="28"/>
          <w:rtl w:val="true"/>
          <w:lang w:bidi="fa-IR"/>
        </w:rPr>
        <w:t>.</w:t>
      </w:r>
    </w:p>
    <w:p>
      <w:pPr>
        <w:pStyle w:val="Heading5"/>
        <w:numPr>
          <w:ilvl w:val="4"/>
          <w:numId w:val="1"/>
        </w:numPr>
        <w:rPr/>
      </w:pPr>
      <w:bookmarkStart w:id="545" w:name="__RefHeading___Toc2105324_2749589250"/>
      <w:bookmarkStart w:id="546" w:name="_Toc224"/>
      <w:bookmarkEnd w:id="545"/>
      <w:r>
        <w:rPr/>
        <w:t>2</w:t>
      </w:r>
      <w:r>
        <w:rPr>
          <w:rtl w:val="true"/>
        </w:rPr>
        <w:t>ـ</w:t>
      </w:r>
      <w:r>
        <w:rPr/>
        <w:t>2</w:t>
      </w:r>
      <w:r>
        <w:rPr>
          <w:rtl w:val="true"/>
        </w:rPr>
        <w:t>ـ</w:t>
      </w:r>
      <w:r>
        <w:rPr/>
        <w:t>2</w:t>
      </w:r>
      <w:r>
        <w:rPr>
          <w:rtl w:val="true"/>
        </w:rPr>
        <w:t xml:space="preserve">. </w:t>
      </w:r>
      <w:r>
        <w:rPr>
          <w:rtl w:val="true"/>
        </w:rPr>
        <w:t>توسعۀ مفهومی و مصداقی توحید حاکمیت به تطبیق شریعت و قوانین وضعی بشری</w:t>
      </w:r>
      <w:bookmarkEnd w:id="546"/>
    </w:p>
    <w:p>
      <w:pPr>
        <w:pStyle w:val="BookText"/>
        <w:rPr/>
      </w:pPr>
      <w:r>
        <w:rPr>
          <w:rFonts w:ascii="IRNazanin" w:hAnsi="IRNazanin" w:eastAsia="IRNazanin"/>
          <w:color w:val="111111"/>
          <w:sz w:val="28"/>
          <w:sz w:val="28"/>
          <w:szCs w:val="28"/>
          <w:rtl w:val="true"/>
          <w:lang w:bidi="fa-IR"/>
        </w:rPr>
        <w:t>بیانات سید قطب در تفسیر فی ظلال القرآن مؤید برداشت خاص نوسلفیان از مفهوم تطبیق شریعت است، به گونه‌ای که وی صرف عمل نکردن به احکام شریعت، هرچند بدون انکار و جحود را از اسباب تکفیر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 تقریر عقیده‌اش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و سردمداران یا شریعت و قانون خدا را بدون کم و کاست مراعات و بدان عمل میکنند که در این صورت در دایرۀ ایمان بوده و مؤمن به شمار می‌آیند و یا اینکه فرماندهان و سردمداران شریعت و قانون دیگری را اجرا میکنند که خدا بدان اجازه نداده و آن را به رسمیت نشناخته است؛ در ایـن صورت کافر، ستمگر و سرکش از فرمان خدا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 یا از فرماندهان و داوران، حکم و قضاوت خدا را در امور زندگانی خود میپذیرند و برمیگیرند که در این صورت مؤمن به شمار میآیند و یا این‌که جز ایـن کار را میکنند و جـز ایـن راه را میسپرند که در این حال، ایشان غیرمؤمن محسوب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قطب در این بیان، بر مصداق تطبیق شریعت به عنوان یکی از لوازم حاکمیت اسلامی زمامداران نیز تأکید خاص کرده است</w:t>
      </w:r>
      <w:r>
        <w:rPr>
          <w:rFonts w:eastAsia="IRNazanin" w:cs="IRNazanin"/>
          <w:color w:val="111111"/>
          <w:sz w:val="28"/>
          <w:szCs w:val="28"/>
          <w:rtl w:val="true"/>
          <w:lang w:bidi="fa-IR"/>
        </w:rPr>
        <w:t>.</w:t>
      </w:r>
    </w:p>
    <w:p>
      <w:pPr>
        <w:pStyle w:val="Heading5"/>
        <w:numPr>
          <w:ilvl w:val="4"/>
          <w:numId w:val="1"/>
        </w:numPr>
        <w:rPr/>
      </w:pPr>
      <w:bookmarkStart w:id="547" w:name="__RefHeading___Toc2105326_2749589250"/>
      <w:bookmarkStart w:id="548" w:name="_Toc225"/>
      <w:bookmarkEnd w:id="547"/>
      <w:r>
        <w:rPr/>
        <w:t>3</w:t>
      </w:r>
      <w:r>
        <w:rPr>
          <w:rtl w:val="true"/>
        </w:rPr>
        <w:t>ـ</w:t>
      </w:r>
      <w:r>
        <w:rPr/>
        <w:t>2</w:t>
      </w:r>
      <w:r>
        <w:rPr>
          <w:rtl w:val="true"/>
        </w:rPr>
        <w:t>ـ</w:t>
      </w:r>
      <w:r>
        <w:rPr/>
        <w:t>2</w:t>
      </w:r>
      <w:r>
        <w:rPr>
          <w:rtl w:val="true"/>
        </w:rPr>
        <w:t xml:space="preserve">. </w:t>
      </w:r>
      <w:r>
        <w:rPr>
          <w:rtl w:val="true"/>
        </w:rPr>
        <w:t>تأکید بر مدخلیت عمل به قوانین بشری در تکفیر حاکم بغیر ما انزل الله و محکومین وی</w:t>
      </w:r>
      <w:bookmarkEnd w:id="548"/>
    </w:p>
    <w:p>
      <w:pPr>
        <w:pStyle w:val="BookText"/>
        <w:rPr/>
      </w:pPr>
      <w:r>
        <w:rPr>
          <w:rFonts w:ascii="IRNazanin" w:hAnsi="IRNazanin" w:eastAsia="IRNazanin"/>
          <w:color w:val="111111"/>
          <w:sz w:val="28"/>
          <w:sz w:val="28"/>
          <w:szCs w:val="28"/>
          <w:rtl w:val="true"/>
          <w:lang w:bidi="fa-IR"/>
        </w:rPr>
        <w:t>با بیان مقدمات سطور پیشین، در این بخش به مهم‌ترین و چالشبرانگیز‌ترین بخش از بیانات سید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 مدعیات سید به تأکید وی بر مدخلیت عمل در تکفیر حاکم بغیر ما انزل الله و محکومین وی بازمی‌گردد؛ امری که از بیانات مطرح سید در سطور پیشین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کاملاً به ذهن متبادر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بر ضد تکفیری بودن بیانات سید قطب تأکید داشته و به تفصیل نیز از این موضع خود دفاع کرده، برخی مکتوبات وی را که مشتمل بر مدخلیت قید عدم رضایت به حکم در تکفیر حاکم بغیر ما انزل الله است، مؤیدی بر مدعای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بهنساوی،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پیش رو، از جملۀ این استنادات به شمار می‌رود؛ جایی که سید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به حکم خدا و پیغمبرش، دلیل ایمان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بودن از داوری خدا و پیغمبرش خبر از استقرار حقیقت ایمان در دل میدهد و نشانۀ رعایت ادب لازم با خدا و با پیغمبر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نمونۀ دیگری از این بیانات سید مطلبی است که وی در تفسیر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حاکمان نیستند که اگر شریعت یزدان را حکمیت ندهند و اجرا نکنند، مؤمن به شمار نیایند، بلکه فرمانبران نیز اگر به فرمان یزدان راضی نباشند و به قوانین او گردن ننهند از دایرۀ ایمان بیرون میافتند، هرچند به زبان ادعای ایمان کنند و خویشتن را مؤمن بنامند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بیانات سید که در سطور پیشین آمد، به صراحت به مدخلیت عمل در جاری کردن حکم تکفیر شهادت می‌دهد؛ لذا این معدود بیانات سید در ذکر رضایت قلبی به عنوان معیار باید بر گفته‌های صریح و پرشمار وی در کفایت عمل به عنوان معیار تکفیر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سید در بیانات مورد استناد بهنساوی اولاً، به صراحت به مدخلیت عمل حاکمان در تکفیر آن‌ها تأکید دارد؛ ثانیاً، قید رضایت و استحلال قلبی صرفاً برای محکومان ذکر شده، چراکه این گروه به نسبت حاکمان کمتر در معرض تشریع و عمل به قوانین وضعی بشری قرار دارند؛ لذا اکتفا به قید رضایت به این علت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بیانات صریحی از سید قطب موجود است که وی مدخلیت عمل به تشریعات غیر الهی را به هر دو طیف حاکم و محکوم نسبت داده است؛ برای نمونه، سید در موضعی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بس بزرگ و زشتی است که پیغمبر صلی الله علیه و اله و سلم خدا را داور گردانند و پیغمبر برابر شریعت و فرمان یزدان برایشان داوری کند و در کنار آن، تورات داشته باشند و شریعت و فرمان یزدان هم در آن باشد، و داوری و قضاوت پیغمبر صلی الله علیه و اله و سلم خدا هم‌خوانی و هم‌سانی با چیزی داشته باشد که در تورات است ـ قطعاً نیز چنین است، زیرا قرآن تصدیقکننده و نگاهبان تورات است ـ؛ سپس بیایند و به تورات و قرآن پشت کنند و روی‌گردان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روگردانی با عدم التزام به داوری و فرمان باشد و یا با عدم رضای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سید از التزام در این بیان، همان عمل به قوانین الهی است و ملاحظه می‌شود وی در بیانی خطاب به عموم، هر دو قید التزام و استحلال را در تکفیر مؤثر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صریح‌ترین بیانات سید که جای هیچگونه تردیدی در حقیقت باور وی در مدخلیت عمل نمی‌گذارد،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یزدان را رها میسازد و نمیپذیرد، زیرا از ویژگی‌ها و مقتضیات الوهیت، حقّ قانون‌گذاری و حاکمیت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برابر چیزی حکم نکند که خدا نازل فرموده و هر کس به چیزی حکم نکند که خدا نـازل فرموده است، قطعاً الوهیت است؛ از سویی، الوهیت خدا را رها میسازد و نمیپذیرد و از دیگر سو، برای خود ادعای حقّ الوهیت و ویژگی‌های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 آن کفر نباشد، پس کفر چیست و کدام است؟ اصلاً ادعای ایمان یا اسلام به زبان چه میارزد؟ مگر نه این است که عمل ـ که نیرومندترین بیان‌گر سخن است ـ وقتی که گویای کفر باشد، از زبان فصیحتر و رسـاتر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موضعی دیگر دوباره بر مدخلیت عمل در تکفیر حاکم بغیر ما انزل الله تأکید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کسانی که برابر چیزی حکم نمیکنند و عمل نمیکنند که یزدان آن را نـازل فرموده است، تـرک الوهیت یزدان سبحان را اعلان میکنند و این الوهیت را خاصّ خدا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چنین الوهیت و عدم اختصاص آن را به یزدان، با عمل و واقعیت زندگی خود اعلان میدارند، اگر هم آن را با زبان نگویند و در گفتار و نوشتارشان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سخن عمل و واقعیت هم تواناتر و فراتر از سخن دهان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قرآن ایشان را به خصال نکوهیدۀ کفر و ظلم و فسق، ننگین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صریح، تردیدی در حقیقت باور سید در مسئله تکفیر حاکم و محکومان مخالف با توحید حاکمیتی نمی‌ماند و در این راستا عمل به قوانین بشری و یا جای‌گزینی این قوانین با تشریعات الهی در انعقاد تکفیر کفایت می‌کند؛ لذا باید گفت، سید بر خلاف قاطبۀ اندیشمندان فریقین و حتی سلفیۀ سنتی، از منحصر بودن این مسئله در استحلال قلبی اِبا کرده و قید التزام عملی نزد وی ضرورتاً با استحلال ملازمت داشته و می‌تواند در صدور حکم تکفیر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الخطیب با ردّ مدعای موافقان سید مبنی بر تناقض ادبیت بیان وی و استنتاج مفهوم تکفیر از آن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سید قطب را به واسطۀ صبغه ادبی بیاناتش، از مسئولیت مفاهیم ارائهشده از سوی وی معذور داشت؛ لذا مفاهیمی که وی تشریح و تئوریزه کرده، با انضمام به یکدیگر صرفاً به مفاهیمی خشونتبار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قرضاوی نیز استدلال موافقان سید مبنی بر ادبیت و نه فقهیت وی را نمی‌پذیرد و معتقد است بر خلاف نظر ایشان، ادیب بودن فرد عاملی جهت وضوح تعابیر و رفع غموض و ابهام در متن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bookmarkStart w:id="549" w:name="pg3269_31818"/>
    </w:p>
    <w:p>
      <w:pPr>
        <w:pStyle w:val="Heading5"/>
        <w:numPr>
          <w:ilvl w:val="4"/>
          <w:numId w:val="1"/>
        </w:numPr>
        <w:rPr/>
      </w:pPr>
      <w:bookmarkStart w:id="550" w:name="__RefHeading___Toc2105328_2749589250"/>
      <w:bookmarkStart w:id="551" w:name="_Toc226"/>
      <w:bookmarkEnd w:id="549"/>
      <w:bookmarkEnd w:id="550"/>
      <w:r>
        <w:rPr/>
        <w:t>4</w:t>
      </w:r>
      <w:r>
        <w:rPr>
          <w:rtl w:val="true"/>
        </w:rPr>
        <w:t>ـ</w:t>
      </w:r>
      <w:r>
        <w:rPr/>
        <w:t>2</w:t>
      </w:r>
      <w:r>
        <w:rPr>
          <w:rtl w:val="true"/>
        </w:rPr>
        <w:t>ـ</w:t>
      </w:r>
      <w:r>
        <w:rPr/>
        <w:t>2</w:t>
      </w:r>
      <w:r>
        <w:rPr>
          <w:rtl w:val="true"/>
        </w:rPr>
        <w:t xml:space="preserve">. </w:t>
      </w:r>
      <w:r>
        <w:rPr>
          <w:rtl w:val="true"/>
        </w:rPr>
        <w:t>بررسی تطبیقی تکفیر حاکم بغیر ما انزل الله از منظر سید قطب و سلفیه</w:t>
      </w:r>
      <w:bookmarkEnd w:id="551"/>
    </w:p>
    <w:p>
      <w:pPr>
        <w:pStyle w:val="BookText"/>
        <w:rPr/>
      </w:pPr>
      <w:r>
        <w:rPr>
          <w:rFonts w:ascii="IRNazanin" w:hAnsi="IRNazanin" w:eastAsia="IRNazanin"/>
          <w:color w:val="111111"/>
          <w:sz w:val="28"/>
          <w:sz w:val="28"/>
          <w:szCs w:val="28"/>
          <w:rtl w:val="true"/>
          <w:lang w:bidi="fa-IR"/>
        </w:rPr>
        <w:t>سید قطب با کافی دانستن عمل به قوانین وضعی و یا عمل نکردن به تشریعات الهی در تکفیر حاکم بغیر ما انزل الله و محکومان وی، به روشنی با قاطبۀ اندیشمندان فریقین و حتی سلفیانی چون ابن‌کثیر و ابن‌تیمیه مخالفت کرده و به واقع مبنایی نو را که از آن بوی تکفیر استشمام می‌شود،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چگونه می‌توان این رویکرد تکفیری سید را تفسیر و توجیه کرد و آیا اساساً مجالی برای این مسئله وجود دارد؟ به باور نگارنده، تفحص در بیانات سید می‌تواند چنین امری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راستای توجیه منصفانۀ رویکرد تکفیری وی تلاش خواهیم کرد</w:t>
      </w:r>
      <w:r>
        <w:rPr>
          <w:rFonts w:eastAsia="IRNazanin" w:cs="IRNazanin"/>
          <w:color w:val="111111"/>
          <w:sz w:val="28"/>
          <w:szCs w:val="28"/>
          <w:rtl w:val="true"/>
          <w:lang w:bidi="fa-IR"/>
        </w:rPr>
        <w:t>.</w:t>
      </w:r>
    </w:p>
    <w:p>
      <w:pPr>
        <w:pStyle w:val="Heading3"/>
        <w:numPr>
          <w:ilvl w:val="2"/>
          <w:numId w:val="1"/>
        </w:numPr>
        <w:rPr/>
      </w:pPr>
      <w:bookmarkStart w:id="552" w:name="__RefHeading___Toc2105330_2749589250"/>
      <w:bookmarkStart w:id="553" w:name="_Toc227"/>
      <w:bookmarkEnd w:id="552"/>
      <w:r>
        <w:rPr/>
        <w:t>3</w:t>
      </w:r>
      <w:r>
        <w:rPr>
          <w:rtl w:val="true"/>
        </w:rPr>
        <w:t xml:space="preserve">. </w:t>
      </w:r>
      <w:r>
        <w:rPr>
          <w:rtl w:val="true"/>
        </w:rPr>
        <w:t>رمزگشایی از بیانات تکفیری سید قطب</w:t>
      </w:r>
      <w:bookmarkEnd w:id="553"/>
    </w:p>
    <w:p>
      <w:pPr>
        <w:pStyle w:val="Heading4"/>
        <w:numPr>
          <w:ilvl w:val="3"/>
          <w:numId w:val="1"/>
        </w:numPr>
        <w:rPr/>
      </w:pPr>
      <w:bookmarkStart w:id="554" w:name="__RefHeading___Toc2105332_2749589250"/>
      <w:bookmarkStart w:id="555" w:name="_Toc228"/>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یکی از توجیهاتی که پس از تسلیم موافقان سید بر اشتمال بیانات وی بر تکفیر منبعث از عمل نکردن به احکام الهی بیان می‌شود، به تمایز وی بین تکفیر مطلق و معین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بهنساوی،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ایشان معتقدند سید صرفاً عمل نکردن به احکام الهی و یا گردن نهادن به قوانین وضعی بشری را، عملی کفرآمیز خوانده و هدف وی کافر خواندن اعیان افراد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می‌گوییم در نهایت با تطبیق مبنای سید در تکفیر با تحقق شرایط و انتفای موانع آن قطعاً افرادی زیادی از حاکمان و محکومان به طور عینی تکفیر خواهند شد؛ به عبارتی، تأکید اندیشمندان فریقین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گسترده از توسعۀ دامنۀ تکفیر می‌کاهد؛ در صورتی که با مبنای مورد نظر سید قطب قطعاً حکم تکفیر مطلق در موارد زیادی به تکفیر معین مبدل خواهد گردید، چراکه از منظر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مقام حقیقت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در اکثر اوقات، مخالفت با شرایع الهی به فسق و معصیت فرد بازمی‌گردد و نه عدم اعتقاد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توجیه موافقان سید نمی‌تواند کارگشا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گفته می شود که مراد سید از کفر حاکم بغیر ما انزل الله، صرفاً کفر عملی و نه اعتقادی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نیز به هیچ روی کارگشا نیست، زیرا بیانات صریح سید ـ که در سطور پیشین آمده ـ به روشنی از مسلمان نبودن چنین افرادی سخن می‌گوید، نه این‌که بگوییم هدف وی از تکفیر صرفاً اشاره به کفر اعتقادی و در نتیجه، تقبیح عمل حاکم و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سید این مسئله را ذیل توحید الوهی مطرح کرده که نشان از صبغۀ اعتقادی بیانات وی دارد، به گونه‌ای که در چهارچوب معیار سید، حکم کفر اعتقادی بر برخی افراد جاری خواهد شد</w:t>
      </w:r>
      <w:r>
        <w:rPr>
          <w:rFonts w:eastAsia="IRNazanin" w:cs="IRNazanin"/>
          <w:color w:val="111111"/>
          <w:sz w:val="28"/>
          <w:szCs w:val="28"/>
          <w:rtl w:val="true"/>
          <w:lang w:bidi="fa-IR"/>
        </w:rPr>
        <w:t>.</w:t>
      </w:r>
      <w:bookmarkStart w:id="556" w:name="pg3269_31819"/>
    </w:p>
    <w:p>
      <w:pPr>
        <w:pStyle w:val="BookText"/>
        <w:rPr/>
      </w:pPr>
      <w:bookmarkEnd w:id="556"/>
      <w:r>
        <w:rPr>
          <w:rFonts w:ascii="IRNazanin" w:hAnsi="IRNazanin" w:eastAsia="IRNazanin"/>
          <w:color w:val="111111"/>
          <w:sz w:val="28"/>
          <w:sz w:val="28"/>
          <w:szCs w:val="28"/>
          <w:rtl w:val="true"/>
          <w:lang w:bidi="fa-IR"/>
        </w:rPr>
        <w:t>در ادامه، به تبیین باور خود در خصوص رمزگشایی از حقیقت باور سید قطب در تکفیر حاکم بغیر ما انزل الله و محکومان وی خواهیم پرداخت</w:t>
      </w:r>
      <w:r>
        <w:rPr>
          <w:rFonts w:eastAsia="IRNazanin" w:cs="IRNazanin"/>
          <w:color w:val="111111"/>
          <w:sz w:val="28"/>
          <w:szCs w:val="28"/>
          <w:rtl w:val="true"/>
          <w:lang w:bidi="fa-IR"/>
        </w:rPr>
        <w:t>.</w:t>
      </w:r>
    </w:p>
    <w:p>
      <w:pPr>
        <w:pStyle w:val="Heading4"/>
        <w:numPr>
          <w:ilvl w:val="3"/>
          <w:numId w:val="1"/>
        </w:numPr>
        <w:rPr/>
      </w:pPr>
      <w:bookmarkStart w:id="557" w:name="__RefHeading___Toc2105334_2749589250"/>
      <w:bookmarkStart w:id="558" w:name="_Toc229"/>
      <w:bookmarkEnd w:id="557"/>
      <w:r>
        <w:rPr/>
        <w:t>1</w:t>
      </w:r>
      <w:r>
        <w:rPr>
          <w:rtl w:val="true"/>
        </w:rPr>
        <w:t>ـ</w:t>
      </w:r>
      <w:r>
        <w:rPr/>
        <w:t>3</w:t>
      </w:r>
      <w:r>
        <w:rPr>
          <w:rtl w:val="true"/>
        </w:rPr>
        <w:t xml:space="preserve">. </w:t>
      </w:r>
      <w:r>
        <w:rPr>
          <w:rtl w:val="true"/>
        </w:rPr>
        <w:t>کلید معمای رویکرد تکفیری سید قطب؛ تمایز بین کفر ظاهری و باطنی</w:t>
      </w:r>
      <w:bookmarkEnd w:id="558"/>
    </w:p>
    <w:p>
      <w:pPr>
        <w:pStyle w:val="BookText"/>
        <w:rPr/>
      </w:pPr>
      <w:r>
        <w:rPr>
          <w:rFonts w:ascii="IRNazanin" w:hAnsi="IRNazanin" w:eastAsia="IRNazanin"/>
          <w:color w:val="111111"/>
          <w:sz w:val="28"/>
          <w:sz w:val="28"/>
          <w:szCs w:val="28"/>
          <w:rtl w:val="true"/>
          <w:lang w:bidi="fa-IR"/>
        </w:rPr>
        <w:t>به باور نگارنده، از خلال بیانات سید می‌توان به حقیقت رویکرد او به مسئله تکفیر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حالی که قاطبۀ جوامع اسلامی و غیر اسلامی را غرق در جهالت می‌داند، به واقع برخی از انواع این جهالت عمیق را به حوزۀ اعتقادی سوق می‌دهد و سعی در تطبیق نظریۀ جاهلیت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قدم نهادن سید در این حوزه مستقیماً به مسئله ایمان، اسلام و کفر مرتبط است و خواه ناخواه باید شاهد اعلام موضع سید در تفهم و مصداقیابی جاهلیت اعتقادی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سید قطب به واقع با طرح مسئله توحید حاکمیت، به نحو گسترده‌ای خود را به میدان خطیر تکفیر مخالفان این مبنا با معیار استحلال قلبی و یا التزام عملی به قوانین غیر الهی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پیشین روشن شد که توجیه بیانات سید به صورت منحصر کردن تکفیر به استحلال قلبی، راه به جایی نخواهد برد؛ گو این‌که طرح مباحثی چون تکفیر مطلق و معین و یا کفر اعتقادی و عملی نیز با وجود صراحت بیان سید در تبیین نظریۀ خود، نارسا و نااستوار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سید قطب صرفاً به تکفیر باطنی حاکمان بغیر ما انزل الله حکم کرده و به این واسطه مسیر جاری کردن احکام کفر و ارتداد ظاهری را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مراد سید از حکم به تکفیر همین حکم به کفر باطنی باشد، بر اساس مبانی فقهی خون، مال و ناموس شخص به واسطۀ نقض نشدن اسلام ظاهری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مؤیداتی برای این احتمال از خلال بیانات سید قابل استظهار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بیانات سید که در چند موضع تفسیرش ذکر شد، تأکید وی به عدم عنایتش به مجادلات فقهی و صدور احکام در این حوزه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نخست این‌که، سید به مفهوم اسلام ظاهری به صراحت باور داشته و از آن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اسلام ظاهری را موجب جاری شدن حقوق اجتماعی فرد به عنوان مسلمان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کرامت و عنایت یزدان مقتضی بوده است که در برابر همۀ اعمال خوبی که انجام دادهاند، بدیشان پاداش دهد و چیزی از پاداش ایشان را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اسلام ظاهری که هنوز با دل‌ها نیامیخته است تا ایمان متقن و مطمئنی گردد، همین اسلام برای پذیرش اعمال خوبشان بس است و اعمالشان ضایع نمیشود و هدر نمیرود، آنگونه که اعمال کافران ضایع میشود و هدر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از اکتفا به اسلام ظاهری در نبرد با کفار سخن گفته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مسلمانان دستور میدهد هنگامی که برای جنگ‌جویی بیرون میروند، به جنگ کسی نپردازند یا او را نکشند تا وضعیت کاملاً برایشان روشن گردد و تحقیق لازم انجام پذیرد و این که به ظاهر حال، یعنی مسلمان بودن طرف اکتفا و بسنده کنند؛ مسلمان بودنی که با واژههایی که از دهان بیرون میآید ثابت میشود، زیرا دلیلی در دست نیست که خلاف واژهها را برساند و عکس ظاهر را ثابت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اصل بحث در زمینۀ توجیه بیانات تکفیری سید بازمی‌گردیم و می‌گوییم سید قطب به صراحت خود را از صدور حکم فقهی در زمینۀ ایمان و کفر بریء می‌داند و به واقع وظیفۀ داعیان اسلامی را صرفاً دعوت و نه قضاوت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 تأکید سید بر این مبنا نشان می‌دهد که وی به تکفیر به مفهوم ظاهری آن معتقد نیست، چراکه کفر ظاهری در مبنای فقهی فریقین با صدور حکم فقهی ملازمت دارد و نمی‌توان گفت شخصی ـ مثلاً ـ به واسطۀ سبّ النبی و یا انکار ضروریات کافر شده و در عین حال به حجت داعی بودن از اجرای حکم ارتداد وی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معتقدیم این تأکید سید بر صبغۀ اعتقادی و نه فقهی بیاناتش، مؤید این مسئله است که وی در کفر حاکمیت و تشریع که دامنۀ بسیار گستردهتر از دیگر اسباب تکفیر در بیان وی دارد، به کفر باطنی نظر داشته و به واقع حاکم و محکوم را به عذاب اخروی منبعث از کفر در تشریع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بیانات سید در این حوزه از این قرارند؛ وی در تعیین مفهوم ایمان و کفر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نمیخواهیم وارد مجادلۀ فقهی دربارۀ حدود و ثغور ایمان، و حدود و ثغور اسلام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و ثغور فقهی است و معاملات شرعی بر آن‌ها استوار و پایدار</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خدمت سورهای هستیم که از حقیقت کار در ترازوی یزدان سخن</w:t>
      </w:r>
    </w:p>
    <w:p>
      <w:pPr>
        <w:pStyle w:val="BookText"/>
        <w:rPr/>
      </w:pPr>
      <w:r>
        <w:rPr>
          <w:rFonts w:ascii="IRNazanin" w:hAnsi="IRNazanin" w:eastAsia="IRNazanin"/>
          <w:color w:val="111111"/>
          <w:sz w:val="28"/>
          <w:sz w:val="28"/>
          <w:szCs w:val="28"/>
          <w:rtl w:val="true"/>
          <w:lang w:bidi="fa-IR"/>
        </w:rPr>
        <w:t>میگوید و بیان میدارد چه کاری در پیشگاه او ارزش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جدای از نمادها و پدیدههای پیدا و هویدایی است که معاملات بر آن‌ها برجا و برپا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وی بر حدود ثغور فقهی و تأثیر آن در معاملات بین افراد، ناظر بر این امر است که وی با جنبۀ اعتقادی مسئله کار دارد؛ در عین حال، در حوزۀ اعتقادی وی با تأکید بر کفر باطنی، خود را از صدور حکم فقهی کفر ظاهری که به سلب حقوق اجتماعی و امنیت جانی فرد بازمی‌گردد، معاف می‌گرداند</w:t>
      </w:r>
      <w:r>
        <w:rPr>
          <w:rFonts w:eastAsia="IRNazanin" w:cs="IRNazanin"/>
          <w:color w:val="111111"/>
          <w:sz w:val="28"/>
          <w:szCs w:val="28"/>
          <w:rtl w:val="true"/>
          <w:lang w:bidi="fa-IR"/>
        </w:rPr>
        <w:t>.</w:t>
      </w:r>
      <w:bookmarkStart w:id="559" w:name="pg3269_31821"/>
    </w:p>
    <w:p>
      <w:pPr>
        <w:pStyle w:val="BookText"/>
        <w:rPr/>
      </w:pPr>
      <w:bookmarkEnd w:id="559"/>
      <w:r>
        <w:rPr>
          <w:rFonts w:ascii="IRNazanin" w:hAnsi="IRNazanin" w:eastAsia="IRNazanin"/>
          <w:color w:val="111111"/>
          <w:sz w:val="28"/>
          <w:sz w:val="28"/>
          <w:szCs w:val="28"/>
          <w:rtl w:val="true"/>
          <w:lang w:bidi="fa-IR"/>
        </w:rPr>
        <w:t>تأکیدات وی بر تلازم بین وجود اسلام و عمل صالح، مؤید این مسئله است که وی به واقع بدون توجه به ظاهری و یا باطنی بودن کفر ـ که به مسئله جاری کردن احکام عملی تکفیر و ارتداد مرتبط است ـ به اثرات سوء کفر، توجه داشته و آن را در راستای پیشروی جامعه به سمت جاهلیت اعتقادی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ایمان را به سان تعریف فقهی آن، تعریف نمیکنیم و صرفاً از سرشت ایمان و از ارزش آن در زندگی سخن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تفسیر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شریفه دستور میدهد از مشرکان دست بدارید و ایشان را نیازارید، اگر مشرکان توبه را برگزیدند و به سوی خدا برگشتند و شعائر و مـراسـم آیین اسـلام را انـجام دادنـد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در این‌جا وارد جدال فقهی درازی شویم که کتاب‌های تفسیر و فقه دربارۀ این نصّ نوشتهاند و سخن را به درازا بکشانیم دربارۀ اینکه اسلام باید دارای چه شرایطی باشد تا اگر کسی آن‌ها را ترک کـرد کافر گردد؟ چه وقت کافر میشود؟ و دربارۀ اینکه چه چیزهایی از اصول و ارکان معروف اسلام از توبهکننده پذیرفته و بسنده میگردد یا پذیرفته و بسنده نمیگردد؟ زیرا گمان نمیبریم که این آیه در صدد بیان چیزی از همۀ این‌ها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ملاحظه می‌شود که سید به شدت از نظر به جنبۀ فقهی مسائل مرتبط با ایمان و کفر اِبا دارد و اساساً معتقد است آیات، ناظر به تبیین کفر باطنی است و نه بیان اسباب نقض اسلام ظاهری که با صدور حکم تکفیر و یا ارتداد ملازمت دارد</w:t>
      </w:r>
      <w:r>
        <w:rPr>
          <w:rFonts w:eastAsia="IRNazanin" w:cs="IRNazanin"/>
          <w:color w:val="111111"/>
          <w:sz w:val="28"/>
          <w:szCs w:val="28"/>
          <w:rtl w:val="true"/>
          <w:lang w:bidi="fa-IR"/>
        </w:rPr>
        <w:t>.</w:t>
      </w:r>
    </w:p>
    <w:p>
      <w:pPr>
        <w:pStyle w:val="Heading4"/>
        <w:numPr>
          <w:ilvl w:val="3"/>
          <w:numId w:val="1"/>
        </w:numPr>
        <w:rPr/>
      </w:pPr>
      <w:bookmarkStart w:id="560" w:name="__RefHeading___Toc2105336_2749589250"/>
      <w:bookmarkStart w:id="561" w:name="_Toc230"/>
      <w:bookmarkEnd w:id="560"/>
      <w:r>
        <w:rPr/>
        <w:t>2</w:t>
      </w:r>
      <w:r>
        <w:rPr>
          <w:rtl w:val="true"/>
        </w:rPr>
        <w:t>ـ</w:t>
      </w:r>
      <w:r>
        <w:rPr/>
        <w:t>3</w:t>
      </w:r>
      <w:r>
        <w:rPr>
          <w:rtl w:val="true"/>
        </w:rPr>
        <w:t xml:space="preserve">. </w:t>
      </w:r>
      <w:r>
        <w:rPr>
          <w:rtl w:val="true"/>
        </w:rPr>
        <w:t>تحلیل برخی بیانات سید قطب دربارۀ ارتداد فرد ناقض توحید حاکمیت</w:t>
      </w:r>
      <w:bookmarkEnd w:id="5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حجم عظیم بیانات سید که به نحو مورد اشاره، قابل تأویل هستند، وی بیاناتی دارد که با تفسیر اخیر ما از حقیقت تکفیر ناقض توحید حاکمیت،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به الوهیت یزدان یگانۀ جهان، انجام شعائر و مراسم بندگی ایزد یکتای سبحان، کرنش بردن و پرستش کردن آفریدگار منّان، پیروی کردن، اطاعت کردن و خضوع و خشوع در برابر فرمان یزدان، در همۀ امور زندگی است و بدون همۀ این معانی و مفاهیم، ورود به اسلام صورت نمیگیرد و اتمام نمیپذیرد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مردمان داده نمیشود و حقوقی که اسلام آن را در جان و مال برایشان در نظر میگیرد بدیشان تعلق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هم‌چنین متوجه سازند که تخلف از یکایک ایـن مدلول‌ها و مفهوم‌ها به منزلۀ تخلف از همۀ</w:t>
      </w:r>
    </w:p>
    <w:p>
      <w:pPr>
        <w:pStyle w:val="BookText"/>
        <w:rPr/>
      </w:pPr>
      <w:r>
        <w:rPr>
          <w:rFonts w:ascii="IRNazanin" w:hAnsi="IRNazanin" w:eastAsia="IRNazanin"/>
          <w:color w:val="111111"/>
          <w:sz w:val="28"/>
          <w:sz w:val="28"/>
          <w:szCs w:val="28"/>
          <w:rtl w:val="true"/>
          <w:lang w:bidi="fa-IR"/>
        </w:rPr>
        <w:t>آن‌هاست، و مردمان را از اسلام بیرون میآورد و به جاهلیت داخل میگرداند و قطعاً ننگ کفر یا داغ شرک، بهرۀ ایشان میکند و بدیشان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سید در نفی حقوق اسلام ظاهری از فرد ناقض توحید حاکمیتی، به واقع امری بر خلاف مدعای وی مبنی بر صادر نکردن حکم فقهی برای افراد است؛ لذا باید این بیان منحصربهفرد سید را به حکم عام وی مبنی بر صادر نکردن حکم فقهی برای ناقض توحید حاکمیتی ارجاع داد و یا اینگونه گفت که وی موافق با قاطبۀ اهلسنت، استحلال قلبی را موجب حکم ارتداد و سلب حقوق دینی می‌داند، اما برای نقض توحید حاکمیت به واسطۀ عمل که دامنۀ وسیعی از حکام و محکومان را در بر می‌گیرد، وی صرفاً به کفر باطنی آن‌ها و حکم به جاری کردن حقوق اسلام ظاهری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موضعی دیگر از تفسیرش با صراحت تمام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مدلول و مفهوم دین و مدلول و مفهوم عبادت در دل مردمان جای گرفته است، اینچنین برداشت کردهاند که عبادت غیر خدا، آن عبادتی کـه انسان‌ها بدان از اسلام بیرون میروند و به جاهلیت داخل</w:t>
      </w:r>
    </w:p>
    <w:p>
      <w:pPr>
        <w:pStyle w:val="BookText"/>
        <w:rPr/>
      </w:pPr>
      <w:r>
        <w:rPr>
          <w:rFonts w:ascii="IRNazanin" w:hAnsi="IRNazanin" w:eastAsia="IRNazanin"/>
          <w:color w:val="111111"/>
          <w:sz w:val="28"/>
          <w:sz w:val="28"/>
          <w:szCs w:val="28"/>
          <w:rtl w:val="true"/>
          <w:lang w:bidi="fa-IR"/>
        </w:rPr>
        <w:t>میشوند، تنها انجام شعائر و مراسم آیینی برای غیرخداست؛ مثل انجام عبادت برای بت‌ها و خداگونهها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زمان از این شکل عبادت دوری گزیند، از شرک و جاهلیت دوری کرده و مسلمان شده است و نباید او را کافر قلمداد کرد و او باید برخوردار از هر آن چیزی شود که مسلمان در جامعۀ اسلامی از آن برخوردار میشود، از قبیل محفوظ و مصون ماندن خون، ناموس و اموال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حقوق مسلمان بر مسلمان؛ این گمانِ پوچی است، و کاستی پذیرفتن و افت کردن است؛ بلکه تبدیل و تغییر مدلول و مفهوم واژۀ عبادت و پرستشی است که مسلمان با آن به دایرۀ اسلام وارد یا از آن خارج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این‌جا بر توحید حاکمیت و تشریع تأکید می‌کند، اما نکته این است که در توضیح مراد خود از توحید تشریعی به معیار تحلیل حرام و تحریم حلال و جا زدن برخی احکام به نام حکم الهی از سوی علمای اهل کتاب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حلال کردن حرام الهی و حرام کردن حلال‌ها به واقع می‌تواند از حقیقت عقیدۀ درونی شخص خبر داده و قائم مقام استحلال قلبی گردد؛ مانند این‌که پاره کردن مصحف شریف نیز عملی است که از منظر فقهای فریقین به علت اخبار از استحلال قلبی این عمل، منجر به ارتداد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در این موضع نیز سید به درستی به سلب حقوق اسلام ظاهری مانند امنیت جان و مال از شخص محلّل محرمات حکم داده است؛ در حالی که وضع قوانین بشری در جامعه نمی‌تواند بدون قول لسانی مبنی بر ترجیح قانون بشری بر تشریع اسلامی از اسباب تکفیر باشد؛ اما بیان شد که سید در این مسئله،</w:t>
      </w:r>
    </w:p>
    <w:p>
      <w:pPr>
        <w:pStyle w:val="BookText"/>
        <w:rPr/>
      </w:pPr>
      <w:r>
        <w:rPr>
          <w:rFonts w:ascii="IRNazanin" w:hAnsi="IRNazanin" w:eastAsia="IRNazanin"/>
          <w:color w:val="111111"/>
          <w:sz w:val="28"/>
          <w:sz w:val="28"/>
          <w:szCs w:val="28"/>
          <w:rtl w:val="true"/>
          <w:lang w:bidi="fa-IR"/>
        </w:rPr>
        <w:t>جمیع اعمال را قائم مقام باور قلبی می‌داند و البته در این مسئله ـ بر خلاف بحث تحریم محرمات ـ مایل به صدور حکم فقهی نبوده و صرفاً حالِ چنین اشخاصی را همچون منافقان می‌داند که واجد اسلام ظاهری و کفر باطنی بوده و مستحق عذاب اخروی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مقبول نبودن چنین تفسیری از حقیقت مدعای سید در خصوص مستثنا بودن مسئله تحریمِ محرمات و مانند آن‌ها از تکفیر منجر به سلب حقوق اسلامی، با منظور کردن باور عمیق وی در صادر نکردن حکم فقهی می‌توان این مورد را به محکمات بیان سید ارجاع داد و به سان تمامی بیانات تکفیری سید، صرفاً وی را معتقد به کفر باطنی ناقضان توحید حاکمیتی در عین برخورداری شخص از حقوق اسلام ظاهری دانست که همچون اهل نفاق، باطناً کافر و مستحق عذاب اخروی بوده، اما جان و مال آن‌ها محفوظ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می‌توان گفت، هرچند بیانات سید در مسئله توحید حاکمیت به واقع با مسئله تکفیر حاکم و محکوم ارتباطی وثیق دارد، اما می‌توان به ناظر بودن بیانات تکفیری وی به کفر باطنی سخن گفت؛ به گونه‌ای که وی را از صدور حکم فقهی تکفیر و ارتداد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غایتِ مورد توجه سید از طرح مسئله کفر در تشریع، صرفاً انذار جوامع اسلامی و غیر آن‌ها از پیامدهای التزام به کفر حاکمیتی بوده و سید با طرح کفر باطنی در عین خطیر جلوه دادن عدم التزام به این مفهوم، خود را از تکفیر معین و ظاهری ناقضان توحید حاکمیتی معاف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می‌توان به تعلیل توسعۀ سید در معاییرِ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حاکمیتی پرداخت و به این باور رسید که تأکید وی بر مدخلیت عمل در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عموم اندیشمندان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منظور داشتن کفر باطنی تناسب دارد؛ این در حالی است که موافقان و مخالفان سید بر آن بوده‌اند که طبق روش عموم علمای فریقین، دست‌کم در بخش‌هایی از مسئله حکم بغیر ما انزل الله، به جنبه‌های فقهی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کلید تفهم حقیقت باور سید به همین بیتوجهی او به جنبۀ فقهی و به تبع آن کفر ظاهری بازمی‌گردد و این مسئله نیز معلول عنایت سید به مسئله برانگیختن جامعه نسبت به لوازم خطیر کفر حاکمیتی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معتقدیم نگاه سید به مسئله توحید حاکمیتی بر خلاف مودودی کاملاً عمل‌گرایانه است، اما سید این عملگرایی را در سایۀ توجه دادن به لوازم فاسد کفر باطنی به حاکمیت مطلق الهی تعریف کرده؛ لیکن گروه‌های تکفیری مشی عملگرای سید را به اشتباه با صبغۀ اعتقادی منجر به صدور حکم فقهی تفسیر کرده‌اند، در حالی که سید اصلاحطلبی اعتقادی خود را با توجه دادن به کفر باطنی و پیامدهای آن در جاهلیت اعتقادی مدرن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موافقان سید نیز در این باره منصفانه عمل نکرده و هر گونه برداشت تکفیری از مکتوبات سید را وجیه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 همین</w:t>
      </w:r>
      <w:bookmarkStart w:id="562" w:name="pg3269_31824"/>
    </w:p>
    <w:p>
      <w:pPr>
        <w:pStyle w:val="BookText"/>
        <w:rPr/>
      </w:pPr>
      <w:bookmarkEnd w:id="562"/>
      <w:r>
        <w:rPr>
          <w:rFonts w:ascii="IRNazanin" w:hAnsi="IRNazanin" w:eastAsia="IRNazanin"/>
          <w:color w:val="111111"/>
          <w:sz w:val="28"/>
          <w:sz w:val="28"/>
          <w:szCs w:val="28"/>
          <w:rtl w:val="true"/>
          <w:lang w:bidi="fa-IR"/>
        </w:rPr>
        <w:t>اتهام کفر باطنی به مسلمین هرچند بدون سلب حقوق اسلام ظاهری از سوی سید، آن هم با مبنایی نااستوار چون توحید حاکمیتی به عنوان مصداقی از شذوذ فکری سید، شایستۀ تقبیح است، چراکه سید می‌توانست همین اصلاحطلبی اعتقادی و اجتماعی پرثمرش را به گونه‌ای مستند به منابع دینی و البته اعتدال‌گرایانه پی‌گیری کند تا سوءبرداشت‌ها و اعمال بدون توجیه تکفیری‌ها، عاملی برای حبط مساعی مأجور و نیکوی وی در اصلاح عملکرد حکام و محکومان جوامع اسلامی نسبت به قوانین و تشریعات الهی قرار نگیرد</w:t>
      </w:r>
      <w:r>
        <w:rPr>
          <w:rFonts w:eastAsia="IRNazanin" w:cs="IRNazanin"/>
          <w:color w:val="111111"/>
          <w:sz w:val="28"/>
          <w:szCs w:val="28"/>
          <w:rtl w:val="true"/>
          <w:lang w:bidi="fa-IR"/>
        </w:rPr>
        <w:t>.</w:t>
      </w:r>
    </w:p>
    <w:p>
      <w:pPr>
        <w:pStyle w:val="Heading3"/>
        <w:numPr>
          <w:ilvl w:val="2"/>
          <w:numId w:val="1"/>
        </w:numPr>
        <w:rPr/>
      </w:pPr>
      <w:bookmarkStart w:id="563" w:name="__RefHeading___Toc2105338_2749589250"/>
      <w:bookmarkStart w:id="564" w:name="_Toc231"/>
      <w:bookmarkEnd w:id="563"/>
      <w:r>
        <w:rPr/>
        <w:t>4</w:t>
      </w:r>
      <w:r>
        <w:rPr>
          <w:rtl w:val="true"/>
        </w:rPr>
        <w:t xml:space="preserve">. </w:t>
      </w:r>
      <w:r>
        <w:rPr>
          <w:rtl w:val="true"/>
        </w:rPr>
        <w:t>بررسی تطبیقی مفهوم‌شناسی ایمان از منظر سید قطب و سلفیه</w:t>
      </w:r>
      <w:bookmarkEnd w:id="564"/>
    </w:p>
    <w:p>
      <w:pPr>
        <w:pStyle w:val="Heading4"/>
        <w:numPr>
          <w:ilvl w:val="3"/>
          <w:numId w:val="1"/>
        </w:numPr>
        <w:rPr/>
      </w:pPr>
      <w:bookmarkStart w:id="565" w:name="__RefHeading___Toc2105340_2749589250"/>
      <w:bookmarkStart w:id="566" w:name="_Toc232"/>
      <w:bookmarkEnd w:id="565"/>
      <w:r>
        <w:rPr/>
        <w:t>1</w:t>
      </w:r>
      <w:r>
        <w:rPr>
          <w:rtl w:val="true"/>
        </w:rPr>
        <w:t>ـ</w:t>
      </w:r>
      <w:r>
        <w:rPr/>
        <w:t>4</w:t>
      </w:r>
      <w:r>
        <w:rPr>
          <w:rtl w:val="true"/>
        </w:rPr>
        <w:t xml:space="preserve">. </w:t>
      </w:r>
      <w:r>
        <w:rPr>
          <w:rtl w:val="true"/>
        </w:rPr>
        <w:t xml:space="preserve">سلفیه و مفهوم‌شناسی </w:t>
      </w:r>
      <w:r>
        <w:rPr>
          <w:rtl w:val="true"/>
        </w:rPr>
        <w:t>«</w:t>
      </w:r>
      <w:r>
        <w:rPr>
          <w:rtl w:val="true"/>
        </w:rPr>
        <w:t>ایمان</w:t>
      </w:r>
      <w:r>
        <w:rPr>
          <w:rtl w:val="true"/>
        </w:rPr>
        <w:t>»</w:t>
      </w:r>
      <w:bookmarkEnd w:id="566"/>
    </w:p>
    <w:p>
      <w:pPr>
        <w:pStyle w:val="BookText"/>
        <w:rPr/>
      </w:pPr>
      <w:r>
        <w:rPr>
          <w:rFonts w:ascii="IRNazanin" w:hAnsi="IRNazanin" w:eastAsia="IRNazanin"/>
          <w:color w:val="111111"/>
          <w:sz w:val="28"/>
          <w:sz w:val="28"/>
          <w:szCs w:val="28"/>
          <w:rtl w:val="true"/>
          <w:lang w:bidi="fa-IR"/>
        </w:rPr>
        <w:t xml:space="preserve">تلقی سلفیه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در قرائت خاص ایشان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عمل به جوارح در صحت و تحقق ایمان، شاخصۀ اصلی و شعار سلفیه در تنقیح این مفهوم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معاشر،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الجزائری،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سلفیۀ جهادی صرف عمل قلبی را در تحقق مفهوم ایمان کافی نمی‌دانند و بر اصل عمل جوارحی تأکید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خضیر،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جالب توجه در این قرائت از مفهوم ایمان، انتساب مخالفان این تلقی از ایمان به تفکر ارجائی از سوی علمای منتسب به جریان تکفیری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آلخضیر،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حوالی،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می‌توان گفت، تکفیریون بر بنیادین بودن نقش عمل جوارحی در تحقق مفهوم ایمان ـ به جای بایستگی عمل جوارحی برای ایمان ـ اصرار دارند که از جهاتی با تفکر خوارج در تعریف ایمان مشابهت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567" w:name="__RefHeading___Toc2105342_2749589250"/>
      <w:bookmarkStart w:id="568" w:name="_Toc233"/>
      <w:bookmarkEnd w:id="567"/>
      <w:r>
        <w:rPr/>
        <w:t>2</w:t>
      </w:r>
      <w:r>
        <w:rPr>
          <w:rtl w:val="true"/>
        </w:rPr>
        <w:t>ـ</w:t>
      </w:r>
      <w:r>
        <w:rPr/>
        <w:t>4</w:t>
      </w:r>
      <w:r>
        <w:rPr>
          <w:rtl w:val="true"/>
        </w:rPr>
        <w:t xml:space="preserve">. </w:t>
      </w:r>
      <w:r>
        <w:rPr>
          <w:rtl w:val="true"/>
        </w:rPr>
        <w:t>مفهوم‌شناسی ایمان از منظر سید قطب</w:t>
      </w:r>
      <w:bookmarkEnd w:id="5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بدون تبعیت از فروعات مورد تأکید سلفی‌ها، توصیف ایمان به تصدیق صرف را جایز ندانسته و انعقاد اصل ایمان را با عمل به لوازم آن ملازم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دین را مجرد تصور عقلی و تصدیق قلبی ندانسته و آن را مترادف با تحکیم منهج الهی در امور بندگان خدا و تحکیم الی الله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معتقد است کسی که به این امر ملتزم نباشد مسلمان نیست، هرچند ادعای اسلام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زبان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و مسائل آن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و گذشته از نماز، همۀ مراسم دینی را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حقیقت ایمان و حقیقت تصدیق دین، دور از اوست؛ هنگامی که این حقیقت ایمان، این حرکت را به دنبال نیاورد، نشانۀ نبودن حقیقت ایمان است</w:t>
      </w:r>
      <w:bookmarkStart w:id="569" w:name="pg3269_31825"/>
    </w:p>
    <w:p>
      <w:pPr>
        <w:pStyle w:val="BookText"/>
        <w:rPr/>
      </w:pPr>
      <w:bookmarkEnd w:id="569"/>
      <w:r>
        <w:rPr>
          <w:rFonts w:ascii="IRNazanin" w:hAnsi="IRNazanin" w:eastAsia="IRNazanin"/>
          <w:color w:val="111111"/>
          <w:sz w:val="28"/>
          <w:sz w:val="28"/>
          <w:szCs w:val="28"/>
          <w:rtl w:val="true"/>
          <w:lang w:bidi="fa-IR"/>
        </w:rPr>
        <w:t>و میرساند که اصلاً ایمانی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تصدیق و باور داشتن به دین و آیین و سزا و جزا، واژهای نیست که با زبان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جایی دیگر ایمان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این است که دل، خدا و پیامبر خدا صلی الله علیه و اله و سلم را تصدیق کند و باور داشته باشد؛ تصدیق و باوری که شک و تردیدی آمیزۀ آن نگردد؛ تصدیق و باوری که ثابت و مطمئن باشد و لرزان و پریشان نگردد، وسوسهها بدان راه نیابد و دل و خرد دربارۀ آن متزلزل و نگران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ایمانی که جهاد با مال و جان در راه یزدان از آن برجوشد و سرچشمه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مدخلیت عمل در ایمان را در مواضع متعددی از تفسیر خود نیز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3973</w:t>
      </w:r>
      <w:r>
        <w:rPr>
          <w:rFonts w:eastAsia="IRNazanin" w:cs="IRNazanin"/>
          <w:color w:val="111111"/>
          <w:sz w:val="28"/>
          <w:szCs w:val="28"/>
          <w:rtl w:val="true"/>
          <w:lang w:bidi="fa-IR"/>
        </w:rPr>
        <w:t>).</w:t>
      </w:r>
    </w:p>
    <w:p>
      <w:pPr>
        <w:pStyle w:val="Heading4"/>
        <w:numPr>
          <w:ilvl w:val="3"/>
          <w:numId w:val="1"/>
        </w:numPr>
        <w:rPr/>
      </w:pPr>
      <w:bookmarkStart w:id="570" w:name="__RefHeading___Toc2105344_2749589250"/>
      <w:bookmarkStart w:id="571" w:name="_Toc234"/>
      <w:bookmarkEnd w:id="570"/>
      <w:r>
        <w:rPr/>
        <w:t>3</w:t>
      </w:r>
      <w:r>
        <w:rPr>
          <w:rtl w:val="true"/>
        </w:rPr>
        <w:t>ـ</w:t>
      </w:r>
      <w:r>
        <w:rPr/>
        <w:t>4</w:t>
      </w:r>
      <w:r>
        <w:rPr>
          <w:rtl w:val="true"/>
        </w:rPr>
        <w:t xml:space="preserve">. </w:t>
      </w:r>
      <w:r>
        <w:rPr>
          <w:rtl w:val="true"/>
        </w:rPr>
        <w:t>بررسی تطبیقی مفهوم‌شناسی ایمان از منظر سید قطب و سلفیه</w:t>
      </w:r>
      <w:bookmarkEnd w:id="571"/>
    </w:p>
    <w:p>
      <w:pPr>
        <w:pStyle w:val="BookText"/>
        <w:rPr/>
      </w:pPr>
      <w:r>
        <w:rPr>
          <w:rFonts w:ascii="IRNazanin" w:hAnsi="IRNazanin" w:eastAsia="IRNazanin"/>
          <w:color w:val="111111"/>
          <w:sz w:val="28"/>
          <w:sz w:val="28"/>
          <w:szCs w:val="28"/>
          <w:rtl w:val="true"/>
          <w:lang w:bidi="fa-IR"/>
        </w:rPr>
        <w:t>باید گفت نظریۀ سید در مفهوم‌شناسی ایمان، متأثر از رویکرد عمل‌گرایانه و اصلاحمحورانه اوست؛ لذا این توافق اجمالی با سلفی‌ها در پذیرش مدخلیت عمل در ایمان را نمی‌توان مؤیدی برای اتباع تامّ وی از منهج سلفیه در تحدید مفهوم ایمان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سید بر قائم مقام بودن عمل از اعتقاد قلبی در مسئله ای چون توحید حاکمیت نیز می‌تواند متأثر از همین تلقی او از مفهوم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مفهوم‌شناسی ایمان، سید با تعریف سلفی از ایمان توافق داشته و عمل را در انعقاد اصل ایمان دخیل می‌داند؛ هرچند رویکرد وی در این تعریف از ایمان، بیش از اتباع تامّ او از راهبردهای سلفیه در تعریف این مفهوم، به منهج عمل‌گرایانۀ وی در برانگیختن توده‌های اجتماعی به سمت ایمان حقیقی بازمی‌گردد</w:t>
      </w:r>
      <w:r>
        <w:rPr>
          <w:rFonts w:eastAsia="IRNazanin" w:cs="IRNazanin"/>
          <w:color w:val="111111"/>
          <w:sz w:val="28"/>
          <w:szCs w:val="28"/>
          <w:rtl w:val="true"/>
          <w:lang w:bidi="fa-IR"/>
        </w:rPr>
        <w:t>.</w:t>
      </w:r>
    </w:p>
    <w:p>
      <w:pPr>
        <w:pStyle w:val="Heading3"/>
        <w:numPr>
          <w:ilvl w:val="2"/>
          <w:numId w:val="1"/>
        </w:numPr>
        <w:rPr/>
      </w:pPr>
      <w:bookmarkStart w:id="572" w:name="__RefHeading___Toc2105346_2749589250"/>
      <w:bookmarkStart w:id="573" w:name="_Toc235"/>
      <w:bookmarkEnd w:id="572"/>
      <w:r>
        <w:rPr>
          <w:rtl w:val="true"/>
        </w:rPr>
        <w:t>نتیجه</w:t>
      </w:r>
      <w:bookmarkEnd w:id="573"/>
    </w:p>
    <w:p>
      <w:pPr>
        <w:pStyle w:val="BookText"/>
        <w:rPr/>
      </w:pPr>
      <w:r>
        <w:rPr>
          <w:rFonts w:ascii="IRNazanin" w:hAnsi="IRNazanin" w:eastAsia="IRNazanin"/>
          <w:color w:val="111111"/>
          <w:sz w:val="28"/>
          <w:sz w:val="28"/>
          <w:szCs w:val="28"/>
          <w:rtl w:val="true"/>
          <w:lang w:bidi="fa-IR"/>
        </w:rPr>
        <w:t>الهام‌گیری فرقه‌های تکفیری عصر حاضر از اندیشه‌های سید قطب غیر قابل انکار است؛ گو این‌که سران گروه‌های تکفیری به صراحت به تأثر عمیق خود از اندیشه‌های سید قطب در حوزۀ تنقیح مفاهیم توحید و تکفیر اقرار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حوزۀ تفسیر صفات خبریۀ ذات الهی، تأویلگرایی سید قطب سبب انتقادات تند داعیان سلفی‌گری به وی شده، به گونه‌ای که وی را در زمرۀ 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تعطیل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لذا وی در این مسئله اساسی، راه خود را از سلفی‌ها جدا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سید قطب به عنوان یکی از شقوق توحید، به شدت از سوی سلفیون سنتی مورد انکار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توحید ذاتی، ربوبی و عبادی را در انعقاد</w:t>
      </w:r>
      <w:bookmarkStart w:id="574" w:name="pg3269_31826"/>
    </w:p>
    <w:p>
      <w:pPr>
        <w:pStyle w:val="BookText"/>
        <w:rPr/>
      </w:pPr>
      <w:bookmarkEnd w:id="574"/>
      <w:r>
        <w:rPr>
          <w:rFonts w:ascii="IRNazanin" w:hAnsi="IRNazanin" w:eastAsia="IRNazanin"/>
          <w:color w:val="111111"/>
          <w:sz w:val="28"/>
          <w:sz w:val="28"/>
          <w:szCs w:val="28"/>
          <w:rtl w:val="true"/>
          <w:lang w:bidi="fa-IR"/>
        </w:rPr>
        <w:t>اصل اسلام کافی نمی‌داند و بر آن است تا به توحید در تشریع و حاکمیت در موجودیت توحید ناب، اصالت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نقطۀ عطف مدعیات سید به تأکید وی بر مدخلیت عمل در تکفیر حاکم بغیر ما انزل الله و محکومان وی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هرچند بیانات سید در مسئله توحید حاکمیت، با مسئله تکفیر حاکم و محکوم ارتباطی وثیق دارد، اما می‌توان به ناظر بودن بیانات تکفیر وی به کفر باطنی سخن گفته، به گونه‌ای که وی را از صدور حکم فقهی تکفیر و ارتداد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غایت مورد توجه سید از طرح مسئله کفر در تشریع، صرفاً انذار جوامع اسلامی و غیر آن‌ها از پیامدهای التزام به کفر حاکمیتی بوده و سید با طرح کفر باطنی در عین خطیر جلوه دادن عدم التزام به این مفهوم، خود را از تکفیر معین و ظاهری ناقضان توحید حاکمیتی معاف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حوزۀ مفهوم‌شناسی ایمان، سید با تعریف سلفی از ایمان توافق داشته و عمل را در انعقاد اصل ایمان دخیل می‌داند؛ هرچند رویکرد وی در این تعریف از ایمان بیش از اتباع تامّ او از راهبردهای سلفیه در تعریف این مفهوم، به منهج عمل‌گرایانۀ وی در برانگیختن توده‌های اجتماعی به سمت ایمان حقیقی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واقع همسو با سلفیۀ جهادی، ناآگاهان به مسئله توحید حاکمیتی را معذور ندانسته و به واقع عدم التزام عملی و یا استحلال قلبی به این اصل را موجب تکفیر می‌داند، اما در مخالفت با قاطبۀ سلفیه صرفاً بر کفر در تشریع و حاکمیت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باور به کفر ناقضان توحید حاکمیتی قائل به ضرورت اجرای لوازم حکم تکفیر و ارتداد در این مسئله نیست و لذا این اشکال به سید وارد است که در صورت تحقق شروط و رفع موانع تکفیری، دلیلی برای عدم صدور حکم شرعی نداریم</w:t>
      </w:r>
      <w:r>
        <w:rPr>
          <w:rFonts w:eastAsia="IRNazanin" w:cs="IRNazanin"/>
          <w:color w:val="111111"/>
          <w:sz w:val="28"/>
          <w:szCs w:val="28"/>
          <w:rtl w:val="true"/>
          <w:lang w:bidi="fa-IR"/>
        </w:rPr>
        <w:t>.</w:t>
      </w:r>
    </w:p>
    <w:p>
      <w:pPr>
        <w:pStyle w:val="Heading3"/>
        <w:numPr>
          <w:ilvl w:val="2"/>
          <w:numId w:val="1"/>
        </w:numPr>
        <w:rPr/>
      </w:pPr>
      <w:bookmarkStart w:id="575" w:name="__RefHeading___Toc2105348_2749589250"/>
      <w:bookmarkStart w:id="576" w:name="_Toc236"/>
      <w:bookmarkEnd w:id="575"/>
      <w:r>
        <w:rPr>
          <w:rtl w:val="true"/>
        </w:rPr>
        <w:t>منابع</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ابو الثناء سید محمود،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عبدالباری عطیة،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خضیر، محمد بن محمود،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الایمان عند السلف و علاقته بالعمل، ریاض، مکتبۀ الرشد، الطبعۀ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 بن عبدالحلیم،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الفتوی الحمویۀ الکبری، الریاض، دار فجر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الاسماء و الصفات،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شیخ الاسلام ابن‌تیمیه، ریاض، دار ابنالجوزی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الفتاوی،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العاصمی، الریاض، مکتبۀ ابن‌تیمیه، الطبعۀ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دارالفکر للطباعة و النشر و التوزیع،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الاشقر، عمر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الله و صفاته فی معتقد اهل السنۀ و الجماعۀ، عمان، دار النفائس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بهنساوی، سالم،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اندیشه تکفیر،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افسری، تهران،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بنباز، عبدالعزیز،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تنبیهات هامۀ علی ما کتبه الشیخ الصابونی، بی جا، البحوث الاسلامیه، العدد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پاکتچی، احمد و حسین هوشنگی،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بنیادگرایی و سلفیه، تهران، دانشگاه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بیروت،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 ابوحاتم،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الحجج السلفیه علی رکنیۀ العمل فی الایمان، بیجا،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ولاء،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عقیدۀ الشهید سید قطب المفتری علیها، قاهره، کتاب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الحوالی، سفر بن عبدالرحمن،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ظاهرة الإرجاء فی الفکر الإسلامی، رسالۀ الدکتوراه جامعة أمالقری، کلیة الشریعة و الدراسات الإسلامیة، قسم الدراسات العلیا الشرعیة، فرع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معتز،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قطب و التکفیر، 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تای تانیث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ام مشکله قراء، قاهره، مکتبۀ مدبولی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الشبل، علی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الایمان عند السلف و مخالفیهم، شبکۀ الالوکه،بی جا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گلسخن،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جاهلیت و اصولگرایی مذهبی سیاسی در اندیشه سید قطب، تهران، احسان،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السنانی، عصام،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برائۀ علماء الامۀ من تزکیۀ اهل البدعۀ و الذمۀ، المدینۀ المنوره، مکتبۀ الفرقان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علیوی، ابنخلیفه،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عقیدۀ السلف و الخلف فی ذات الله و صفاته و افعاله، دمشق، مکتبۀ زید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العماد، عصام،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نو و صحیح در گفت‌وگو با وهابیت،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غریبرضا، تهران، دهکده جهانی آل محمد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اندیشه سیاسی عرب،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سید بن ابراهیم شاذلی،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التصویر الفنی فی القرآن، قاهره، دارالشروق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ظلال القرآن، بیروت ـ قاهره، دارالشروق،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المبرد،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القانون و الحکم بغیر ما انزل الله،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المدخلی، ربیع بن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حقیقۀ دعوۀ اخوان المسلمین،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اضواء إسلامیة علی عقیدة سید قطب، بیجا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الجهل بمسائل الاعتقاد و حکمه، ریاض، دار الوطن</w:t>
      </w:r>
      <w:r>
        <w:rPr>
          <w:rFonts w:eastAsia="IRNazanin" w:cs="IRNazanin"/>
          <w:color w:val="111111"/>
          <w:sz w:val="28"/>
          <w:szCs w:val="28"/>
          <w:rtl w:val="true"/>
          <w:lang w:bidi="fa-IR"/>
        </w:rPr>
        <w:t>.</w:t>
      </w:r>
      <w:bookmarkStart w:id="577" w:name="pg3269_31828"/>
    </w:p>
    <w:p>
      <w:pPr>
        <w:pStyle w:val="Heading2"/>
        <w:numPr>
          <w:ilvl w:val="1"/>
          <w:numId w:val="1"/>
        </w:numPr>
        <w:rPr/>
      </w:pPr>
      <w:bookmarkStart w:id="578" w:name="__RefHeading___Toc2105350_2749589250"/>
      <w:bookmarkStart w:id="579" w:name="_Toc237"/>
      <w:bookmarkEnd w:id="577"/>
      <w:bookmarkEnd w:id="578"/>
      <w:r>
        <w:rPr>
          <w:rtl w:val="true"/>
        </w:rPr>
        <w:t>خلاصة المقالات باللغة العربیة</w:t>
      </w:r>
      <w:bookmarkEnd w:id="579"/>
    </w:p>
    <w:p>
      <w:pPr>
        <w:pStyle w:val="Heading3"/>
        <w:numPr>
          <w:ilvl w:val="2"/>
          <w:numId w:val="1"/>
        </w:numPr>
        <w:rPr/>
      </w:pPr>
      <w:bookmarkStart w:id="580" w:name="__RefHeading___Toc2105352_2749589250"/>
      <w:bookmarkStart w:id="581" w:name="_Toc238"/>
      <w:bookmarkEnd w:id="580"/>
      <w:r>
        <w:rPr>
          <w:rtl w:val="true"/>
        </w:rPr>
        <w:t>منزلة المکاتبات الرضویة فی حل المعضلات الکلامیة للإمامیة</w:t>
      </w:r>
      <w:r>
        <w:rPr>
          <w:rtl w:val="true"/>
        </w:rPr>
        <w:t>/</w:t>
      </w:r>
      <w:r>
        <w:rPr>
          <w:rtl w:val="true"/>
        </w:rPr>
        <w:t>مهدی غلامعلی</w:t>
      </w:r>
      <w:bookmarkEnd w:id="581"/>
    </w:p>
    <w:p>
      <w:pPr>
        <w:pStyle w:val="Heading4"/>
        <w:numPr>
          <w:ilvl w:val="3"/>
          <w:numId w:val="1"/>
        </w:numPr>
        <w:rPr/>
      </w:pPr>
      <w:bookmarkStart w:id="582" w:name="__RefHeading___Toc2105354_2749589250"/>
      <w:bookmarkStart w:id="583" w:name="_Toc239"/>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 xml:space="preserve">وصلت الینا الکثیر من مکاتبات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للإجابة علی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منزلة المکاتبات الکلامیة للإمام الرضا علیه السلام بین مجموع مکاتباته علیه السلام ؟ و ما هی المعضلات التی تناولتها هذه المکاتبات بشکل أوسع؟ اتضح بعد التتبع أن ما یقارب ربع مکاتباته علیه السلام تتناول المسائل الکلامیة الرائجة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درسناها توصلنا إلی أن أهم المعضلات الکلامیة فی النصف الثانی من القرن الثانی تتبلور ضمن المحورین الرئیسیین التالیین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 الشبهات المتعلقة بالتوحید هی التشبیه و التجسیم و رؤیة الباری تعالی، کما أنّ أهم الشبهات المتعلقة بالإمامة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علامات الإمام المعصوم، و الشبهات التی أثارها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فقد حاول الإمام الرضا علیه السلام فی هذه المکاتبات حلّ المعضلات المذکورة بأربع أسالیب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و الإعجاز، و الذمّ، و الاستدلال</w:t>
      </w:r>
      <w:r>
        <w:rPr>
          <w:rFonts w:eastAsia="IRNazanin" w:cs="IRNazanin"/>
          <w:color w:val="111111"/>
          <w:sz w:val="28"/>
          <w:szCs w:val="28"/>
          <w:rtl w:val="true"/>
          <w:lang w:bidi="fa-IR"/>
        </w:rPr>
        <w:t>.</w:t>
      </w:r>
    </w:p>
    <w:p>
      <w:pPr>
        <w:pStyle w:val="Heading4"/>
        <w:numPr>
          <w:ilvl w:val="3"/>
          <w:numId w:val="1"/>
        </w:numPr>
        <w:rPr/>
      </w:pPr>
      <w:bookmarkStart w:id="584" w:name="__RefHeading___Toc2105356_2749589250"/>
      <w:bookmarkStart w:id="585" w:name="_Toc240"/>
      <w:bookmarkEnd w:id="584"/>
      <w:r>
        <w:rPr>
          <w:rtl w:val="true"/>
        </w:rPr>
        <w:t>الألفاظ المحوریة</w:t>
      </w:r>
      <w:bookmarkEnd w:id="5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الرضا علیه السلام ، المکاتبات، الأحادیث الکلامیة، الشبهات الکلامیة، المعضلات الاعتقادیة عند الشیعة</w:t>
      </w:r>
      <w:r>
        <w:rPr>
          <w:rFonts w:eastAsia="IRNazanin" w:cs="IRNazanin"/>
          <w:color w:val="111111"/>
          <w:sz w:val="28"/>
          <w:szCs w:val="28"/>
          <w:rtl w:val="true"/>
          <w:lang w:bidi="fa-IR"/>
        </w:rPr>
        <w:t>.</w:t>
      </w:r>
      <w:bookmarkStart w:id="586" w:name="pg3269_31829"/>
    </w:p>
    <w:p>
      <w:pPr>
        <w:pStyle w:val="Heading3"/>
        <w:numPr>
          <w:ilvl w:val="2"/>
          <w:numId w:val="1"/>
        </w:numPr>
        <w:rPr/>
      </w:pPr>
      <w:bookmarkStart w:id="587" w:name="__RefHeading___Toc2105358_2749589250"/>
      <w:bookmarkStart w:id="588" w:name="_Toc241"/>
      <w:bookmarkEnd w:id="586"/>
      <w:bookmarkEnd w:id="587"/>
      <w:r>
        <w:rPr>
          <w:rtl w:val="true"/>
        </w:rPr>
        <w:t>التعالیم التعبدیة فی فکر الشیخ المفید، ماهیة، مبانی، و منهج الفهم</w:t>
      </w:r>
      <w:r>
        <w:rPr>
          <w:rtl w:val="true"/>
        </w:rPr>
        <w:t>/</w:t>
      </w:r>
      <w:r>
        <w:rPr>
          <w:rtl w:val="true"/>
        </w:rPr>
        <w:t>علی راد</w:t>
      </w:r>
      <w:r>
        <w:rPr>
          <w:rtl w:val="true"/>
        </w:rPr>
        <w:t>_</w:t>
      </w:r>
      <w:r>
        <w:rPr>
          <w:rtl w:val="true"/>
        </w:rPr>
        <w:t>معصومة الرضوانی</w:t>
      </w:r>
      <w:bookmarkEnd w:id="588"/>
    </w:p>
    <w:p>
      <w:pPr>
        <w:pStyle w:val="Heading4"/>
        <w:numPr>
          <w:ilvl w:val="3"/>
          <w:numId w:val="1"/>
        </w:numPr>
        <w:rPr/>
      </w:pPr>
      <w:bookmarkStart w:id="589" w:name="__RefHeading___Toc2105360_2749589250"/>
      <w:bookmarkStart w:id="590" w:name="_Toc242"/>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التعالیم التعبدیة فی نطاق العقائد هی ما لا یعجز العقل بمفرده الکشف عنها و إثباتها، و لهذا فإن المصدر الرئیسی لهذه العقائد هو الوحی و النقل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التعالیم وجود واضح و ملموس فی العقائد الشیعیة، فقد استعرضت هذه التعالیم مساحة واسعة من جزئیات التوحید و النبوة و الإمامة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فهم التعالیم التعبدیة و التی تتمثل فی مرحلة الأخذ و الکشف و مرحلة التبیین و التفسیر، هی محل خلاف بین المتکلمین، فسلک البعض منهج التسلیم لما ورد فیها، بینما سلک آخرون نهج التعقل و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الأثناء یحاول الشیخ المفید أن یسلک منهجاً متوسطاً بینهما من خلال اعتماد علی 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العقل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المعرفة الدینیة اکتسابیة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مرحلة الکشف عن هذه التعالیم هو یسلّم للنقل بعد تقییمه عقلیاً، و فی مرحلة الفهم یستمدّ من کلا المصدرین فی تفسیر هذه التعالیم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تشیر نتائج البحث إلی أنه یمیل للجانب العقلی بشکل أکثر، و یعتمد علی العقل بالحد الأقصی، و ذلک من خلال دراسة اعتماده علی المصدرین المذکورین</w:t>
      </w:r>
      <w:r>
        <w:rPr>
          <w:rFonts w:eastAsia="IRNazanin" w:cs="IRNazanin"/>
          <w:color w:val="111111"/>
          <w:sz w:val="28"/>
          <w:szCs w:val="28"/>
          <w:rtl w:val="true"/>
          <w:lang w:bidi="fa-IR"/>
        </w:rPr>
        <w:t>.</w:t>
      </w:r>
    </w:p>
    <w:p>
      <w:pPr>
        <w:pStyle w:val="Heading4"/>
        <w:numPr>
          <w:ilvl w:val="3"/>
          <w:numId w:val="1"/>
        </w:numPr>
        <w:rPr/>
      </w:pPr>
      <w:bookmarkStart w:id="591" w:name="__RefHeading___Toc2105362_2749589250"/>
      <w:bookmarkStart w:id="592" w:name="_Toc243"/>
      <w:bookmarkEnd w:id="591"/>
      <w:r>
        <w:rPr>
          <w:rtl w:val="true"/>
        </w:rPr>
        <w:t>الألفاظ المحوریة</w:t>
      </w:r>
      <w:bookmarkEnd w:id="5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التعالیم التعبدیة، منهج المتکلمین، التعقل، التعبد، الشیخ المفید</w:t>
      </w:r>
      <w:r>
        <w:rPr>
          <w:rFonts w:eastAsia="IRNazanin" w:cs="IRNazanin"/>
          <w:color w:val="111111"/>
          <w:sz w:val="28"/>
          <w:szCs w:val="28"/>
          <w:rtl w:val="true"/>
          <w:lang w:bidi="fa-IR"/>
        </w:rPr>
        <w:t>.</w:t>
      </w:r>
      <w:bookmarkStart w:id="593" w:name="pg3269_31830"/>
    </w:p>
    <w:p>
      <w:pPr>
        <w:pStyle w:val="Heading3"/>
        <w:numPr>
          <w:ilvl w:val="2"/>
          <w:numId w:val="1"/>
        </w:numPr>
        <w:rPr/>
      </w:pPr>
      <w:bookmarkStart w:id="594" w:name="__RefHeading___Toc2105364_2749589250"/>
      <w:bookmarkStart w:id="595" w:name="_Toc244"/>
      <w:bookmarkEnd w:id="593"/>
      <w:bookmarkEnd w:id="594"/>
      <w:r>
        <w:rPr>
          <w:rtl w:val="true"/>
        </w:rPr>
        <w:t>معنی و ماهیة الروح فی القرآن من منظار تفسیر مناهج البیان</w:t>
      </w:r>
      <w:r>
        <w:rPr>
          <w:rtl w:val="true"/>
        </w:rPr>
        <w:t>/</w:t>
      </w:r>
      <w:r>
        <w:rPr>
          <w:rtl w:val="true"/>
        </w:rPr>
        <w:t>مهدی باغبان الخطیبی</w:t>
      </w:r>
      <w:r>
        <w:rPr>
          <w:rtl w:val="true"/>
        </w:rPr>
        <w:t>_</w:t>
      </w:r>
      <w:r>
        <w:rPr>
          <w:rtl w:val="true"/>
        </w:rPr>
        <w:t>محمدتقی السبحانی</w:t>
      </w:r>
      <w:bookmarkEnd w:id="595"/>
    </w:p>
    <w:p>
      <w:pPr>
        <w:pStyle w:val="Heading4"/>
        <w:numPr>
          <w:ilvl w:val="3"/>
          <w:numId w:val="1"/>
        </w:numPr>
        <w:rPr/>
      </w:pPr>
      <w:bookmarkStart w:id="596" w:name="__RefHeading___Toc2105366_2749589250"/>
      <w:bookmarkStart w:id="597" w:name="_Toc245"/>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 xml:space="preserve">وقع الکلام فی تسعة عشر آیة من آیات القرآن الکریم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المفسرون و المتکلمون الإسلامیون منذ قدیم الأیام لکیفیة ارتباط الروح بالانسان و الملائکة، و وظائفها و آثارها، مضافاً الی البحث عن تجردها أو مادیتها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النظریة الرائجة هی أن للروح مصادیق عدیدة فی القرآن؛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الانسانیة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یری آیة الله محمد باقر الملکی المیانجی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الآیات المذکورة بتمامها لا تشیر للنفس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التفسیر بروح القدس هو المحور الذی یجمع الآیات المذکورة أجمع، و أن الاستدلال بالآیات المشار الیها علی تجرد الروح عارٍ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المحور الآخر الذی تناوله هذا التفسیر هو تبیین الشأن العلمی لروح القدس و کیفیة ارتباطه بحامله، و تحلیل منزلته فی النبوة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تجاوزنا الدلالة الظاهریة للآیات المذکورة فإن روایات أهل البیت علیهم السلام تعدّ مصدراً مهماً لهذا المفسر فی التفسیر المذکور</w:t>
      </w:r>
      <w:r>
        <w:rPr>
          <w:rFonts w:eastAsia="IRNazanin" w:cs="IRNazanin"/>
          <w:color w:val="111111"/>
          <w:sz w:val="28"/>
          <w:szCs w:val="28"/>
          <w:rtl w:val="true"/>
          <w:lang w:bidi="fa-IR"/>
        </w:rPr>
        <w:t>.</w:t>
      </w:r>
    </w:p>
    <w:p>
      <w:pPr>
        <w:pStyle w:val="Heading4"/>
        <w:numPr>
          <w:ilvl w:val="3"/>
          <w:numId w:val="1"/>
        </w:numPr>
        <w:rPr/>
      </w:pPr>
      <w:bookmarkStart w:id="598" w:name="__RefHeading___Toc2105368_2749589250"/>
      <w:bookmarkStart w:id="599" w:name="_Toc246"/>
      <w:bookmarkEnd w:id="598"/>
      <w:r>
        <w:rPr>
          <w:rtl w:val="true"/>
        </w:rPr>
        <w:t>الألفاظ المحوریة</w:t>
      </w:r>
      <w:bookmarkEnd w:id="5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القدس، عرش العلم، النبوة، الولایة، تفسیر مناهج البیان</w:t>
      </w:r>
      <w:bookmarkStart w:id="600" w:name="pg3269_31831"/>
    </w:p>
    <w:p>
      <w:pPr>
        <w:pStyle w:val="Heading3"/>
        <w:numPr>
          <w:ilvl w:val="2"/>
          <w:numId w:val="1"/>
        </w:numPr>
        <w:rPr/>
      </w:pPr>
      <w:bookmarkStart w:id="601" w:name="__RefHeading___Toc2105370_2749589250"/>
      <w:bookmarkStart w:id="602" w:name="_Toc247"/>
      <w:bookmarkEnd w:id="600"/>
      <w:bookmarkEnd w:id="601"/>
      <w:r>
        <w:rPr>
          <w:rtl w:val="true"/>
        </w:rPr>
        <w:t xml:space="preserve">الأرضیة التاریخیة و العلمیة لنزعة الشریف المرتضی لنظریة </w:t>
      </w:r>
      <w:r>
        <w:rPr>
          <w:rtl w:val="true"/>
        </w:rPr>
        <w:t>«</w:t>
      </w:r>
      <w:r>
        <w:rPr>
          <w:rtl w:val="true"/>
        </w:rPr>
        <w:t>الصرفة</w:t>
      </w:r>
      <w:r>
        <w:rPr>
          <w:rtl w:val="true"/>
        </w:rPr>
        <w:t>»/</w:t>
      </w:r>
      <w:r>
        <w:rPr>
          <w:rtl w:val="true"/>
        </w:rPr>
        <w:t>امیر احمد نجاد</w:t>
      </w:r>
      <w:r>
        <w:rPr>
          <w:rtl w:val="true"/>
        </w:rPr>
        <w:t>_</w:t>
      </w:r>
      <w:r>
        <w:rPr>
          <w:rtl w:val="true"/>
        </w:rPr>
        <w:t>عاطفة محمدزادة</w:t>
      </w:r>
      <w:bookmarkEnd w:id="602"/>
    </w:p>
    <w:p>
      <w:pPr>
        <w:pStyle w:val="Heading4"/>
        <w:numPr>
          <w:ilvl w:val="3"/>
          <w:numId w:val="1"/>
        </w:numPr>
        <w:rPr/>
      </w:pPr>
      <w:bookmarkStart w:id="603" w:name="__RefHeading___Toc2105372_2749589250"/>
      <w:bookmarkStart w:id="604" w:name="_Toc248"/>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 xml:space="preserve">السید المرتضی الادیب و المتکلم الشیعی المعروف هو من القائلین بنظریة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هذه النظریة بمقتضی متطلبات المحیط الذی کان فیه و مع علمه بخصائص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عوامل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أزمة إشکالات الیهود و المسیح غیر العرب فی بحث اعجاز القرآن، و الأبحاث الکلامیة للمدارس الاسلامیة المختلفة لبیان وجوه الإعجاز، و إتاحة أجواء حرة لأمثال هذه الأبحاث، تمثل أهم العوامل التاریخیة لاختیاره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لتأملات السید الأدبیة و الکلامیة ـ أعم من لزوم الاعتماد علی المعاییر غیر الذوقیة فی تقییم و تقدیر بلاغة القرآن ـ و صعوبة إفهامه، و امتناع منافسة القرآن فی تقریرات الاعجاز البیانی و عمومیة الفهم فی نظریة الصرفة کان لها دور بالغ فی اختیاره لهذه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یحاول ـ و من خلال دراسة مناشئ طرح هذه النظریة فی عصر السید المرتضی و الأرضیة التاریخیة و العلمیة لهذه النظریة ـ أن یحلل نهجه المذکور</w:t>
      </w:r>
      <w:r>
        <w:rPr>
          <w:rFonts w:eastAsia="IRNazanin" w:cs="IRNazanin"/>
          <w:color w:val="111111"/>
          <w:sz w:val="28"/>
          <w:szCs w:val="28"/>
          <w:rtl w:val="true"/>
          <w:lang w:bidi="fa-IR"/>
        </w:rPr>
        <w:t>.</w:t>
      </w:r>
    </w:p>
    <w:p>
      <w:pPr>
        <w:pStyle w:val="Heading4"/>
        <w:numPr>
          <w:ilvl w:val="3"/>
          <w:numId w:val="1"/>
        </w:numPr>
        <w:rPr/>
      </w:pPr>
      <w:bookmarkStart w:id="605" w:name="__RefHeading___Toc2105374_2749589250"/>
      <w:bookmarkStart w:id="606" w:name="_Toc249"/>
      <w:bookmarkEnd w:id="605"/>
      <w:r>
        <w:rPr>
          <w:rtl w:val="true"/>
        </w:rPr>
        <w:t>الألفاظ المحوریة</w:t>
      </w:r>
      <w:bookmarkEnd w:id="60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الصرفة، السید المرتضی، اعجاز القرآن، نهج</w:t>
      </w:r>
      <w:r>
        <w:rPr>
          <w:rFonts w:eastAsia="IRNazanin" w:cs="IRNazanin"/>
          <w:color w:val="111111"/>
          <w:sz w:val="28"/>
          <w:szCs w:val="28"/>
          <w:rtl w:val="true"/>
          <w:lang w:bidi="fa-IR"/>
        </w:rPr>
        <w:t>.</w:t>
      </w:r>
      <w:bookmarkStart w:id="607" w:name="pg3269_31832"/>
    </w:p>
    <w:p>
      <w:pPr>
        <w:pStyle w:val="Heading3"/>
        <w:numPr>
          <w:ilvl w:val="2"/>
          <w:numId w:val="1"/>
        </w:numPr>
        <w:rPr/>
      </w:pPr>
      <w:bookmarkStart w:id="608" w:name="__RefHeading___Toc2105376_2749589250"/>
      <w:bookmarkStart w:id="609" w:name="_Toc250"/>
      <w:bookmarkEnd w:id="607"/>
      <w:bookmarkEnd w:id="608"/>
      <w:r>
        <w:rPr>
          <w:rtl w:val="true"/>
        </w:rPr>
        <w:t>دراسة تاریخیة لانعکاس المبانی الکلامیة للمفسرین فی تفسیر آیة الخلود</w:t>
      </w:r>
      <w:r>
        <w:rPr>
          <w:rtl w:val="true"/>
        </w:rPr>
        <w:t>/</w:t>
      </w:r>
      <w:r>
        <w:rPr>
          <w:rtl w:val="true"/>
        </w:rPr>
        <w:t>شهربانو حاجی امیری</w:t>
      </w:r>
      <w:r>
        <w:rPr>
          <w:rtl w:val="true"/>
        </w:rPr>
        <w:t>_</w:t>
      </w:r>
      <w:r>
        <w:rPr>
          <w:rtl w:val="true"/>
        </w:rPr>
        <w:t>ابراهیم نصرالله بور علمداری</w:t>
      </w:r>
      <w:bookmarkEnd w:id="609"/>
    </w:p>
    <w:p>
      <w:pPr>
        <w:pStyle w:val="Heading4"/>
        <w:numPr>
          <w:ilvl w:val="3"/>
          <w:numId w:val="1"/>
        </w:numPr>
        <w:rPr/>
      </w:pPr>
      <w:bookmarkStart w:id="610" w:name="__RefHeading___Toc2105378_2749589250"/>
      <w:bookmarkStart w:id="611" w:name="_Toc251"/>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 xml:space="preserve">ذکرت مسألة الخلود مقرونة باستثناء المشیئة الالهیة فی الآیة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 الشریفة، و قد اتفق المفسرون علی خلود الکفار فی نار جهنم، و اختلفوا فی خلود أهل الکبائر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الأصلی الذی یجیب عنه هذا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تفسیر الأشاعرة و المعتزلة و الإمامیة لهذه الآیة متأثر بالمبانی الکلامیة التی یعتمدونها، أم أنهم عدلوا أحیاناً فی تفسیرها عن هذه المبانی؟ البحث الحاضر یبین أن مفسری الأشاعرة و المعتزلة و الإمامیة قد تأثروا بالمبانی الکلامیة فی تفسیر هذه الآیة علی مدی القرون السالفة، فمفسروا الأشاعرة منذ القدیم وحتی القرن العاشر متأثرون بمبانیهم الکلامیة تماماً، و أما المتأخرون منهم ومن کان فی القرنین الثالث عشر و الرابع عشر فقد عدلوا عن مقالة القدماء و فسروا الآیة فی إطار جدید</w:t>
      </w:r>
      <w:r>
        <w:rPr>
          <w:rFonts w:eastAsia="IRNazanin" w:cs="IRNazanin"/>
          <w:color w:val="111111"/>
          <w:sz w:val="28"/>
          <w:szCs w:val="28"/>
          <w:rtl w:val="true"/>
          <w:lang w:bidi="fa-IR"/>
        </w:rPr>
        <w:t>.</w:t>
      </w:r>
    </w:p>
    <w:p>
      <w:pPr>
        <w:pStyle w:val="Heading4"/>
        <w:numPr>
          <w:ilvl w:val="3"/>
          <w:numId w:val="1"/>
        </w:numPr>
        <w:rPr/>
      </w:pPr>
      <w:bookmarkStart w:id="612" w:name="__RefHeading___Toc2105380_2749589250"/>
      <w:bookmarkStart w:id="613" w:name="_Toc252"/>
      <w:bookmarkEnd w:id="612"/>
      <w:r>
        <w:rPr>
          <w:rtl w:val="true"/>
        </w:rPr>
        <w:t>الألفاظ المحوریة</w:t>
      </w:r>
      <w:bookmarkEnd w:id="6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الخلود، الأشاعرة، المعتزلة، الإمامیة، أهل الکبائر</w:t>
      </w:r>
      <w:r>
        <w:rPr>
          <w:rFonts w:eastAsia="IRNazanin" w:cs="IRNazanin"/>
          <w:color w:val="111111"/>
          <w:sz w:val="28"/>
          <w:szCs w:val="28"/>
          <w:rtl w:val="true"/>
          <w:lang w:bidi="fa-IR"/>
        </w:rPr>
        <w:t>.</w:t>
      </w:r>
      <w:bookmarkStart w:id="614" w:name="pg3269_31833"/>
    </w:p>
    <w:p>
      <w:pPr>
        <w:pStyle w:val="Heading3"/>
        <w:numPr>
          <w:ilvl w:val="2"/>
          <w:numId w:val="1"/>
        </w:numPr>
        <w:rPr/>
      </w:pPr>
      <w:bookmarkStart w:id="615" w:name="__RefHeading___Toc2105382_2749589250"/>
      <w:bookmarkStart w:id="616" w:name="_Toc253"/>
      <w:bookmarkEnd w:id="614"/>
      <w:bookmarkEnd w:id="615"/>
      <w:r>
        <w:rPr>
          <w:rtl w:val="true"/>
        </w:rPr>
        <w:t>مصادر المعرفة من منظار القاضی عبد الجبار المعتزلی</w:t>
      </w:r>
      <w:r>
        <w:rPr>
          <w:rtl w:val="true"/>
        </w:rPr>
        <w:t>/</w:t>
      </w:r>
      <w:r>
        <w:rPr>
          <w:rtl w:val="true"/>
        </w:rPr>
        <w:t>حسین السلطانی</w:t>
      </w:r>
      <w:bookmarkEnd w:id="616"/>
    </w:p>
    <w:p>
      <w:pPr>
        <w:pStyle w:val="Heading4"/>
        <w:numPr>
          <w:ilvl w:val="3"/>
          <w:numId w:val="1"/>
        </w:numPr>
        <w:rPr/>
      </w:pPr>
      <w:bookmarkStart w:id="617" w:name="__RefHeading___Toc2105384_2749589250"/>
      <w:bookmarkStart w:id="618" w:name="_Toc254"/>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 xml:space="preserve">القاضی عبد الجبار من الوجوه الکلامیة المعروفة للمعتزلة، و له آراء جدیرة بالالتفات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للمسائل المطروحة فی المنظومة الکلامیة للقاضی عبد الجبار نظم منطقی و استنتاج، بحیث نجد المسائل المطروحة أولاً بمنزلة الأساس للمسائل اللاحقة، و المسائل المطروحة لاحقاً بمثابة النتائج للمسائل المطروحة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الأفکار المعرفیة للقاضی عبد الجبار تمتدّ جذورها فی عدد من مصادر المعرفة؛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 الظاهریة، العقل، العلوم الضروریة، الأدلة الوحیانیة،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منظاره یمتاز العقل ـ بمعنی القوة الفکریة ـ من بین مصادر المعرفة بکونه مصدراً مستقلاً، و أداة مهمة جداً للمعرفة، بحیث یری أن الطریق الوحید لمعرفة الله سبحانه هو التفکر و سلوک طریق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یری أن العلم بالمدرکات ـ و الذی هو نتاج الإدراک الحسی ـ هو المفتاح للعلم الضروری، و أن العلم الضروری ـ الذی هو نتاج الاستدلال العقلی ـ مفتاح للعلم الاکتسابی</w:t>
      </w:r>
      <w:r>
        <w:rPr>
          <w:rFonts w:eastAsia="IRNazanin" w:cs="IRNazanin"/>
          <w:color w:val="111111"/>
          <w:sz w:val="28"/>
          <w:szCs w:val="28"/>
          <w:rtl w:val="true"/>
          <w:lang w:bidi="fa-IR"/>
        </w:rPr>
        <w:t>.</w:t>
      </w:r>
    </w:p>
    <w:p>
      <w:pPr>
        <w:pStyle w:val="Heading4"/>
        <w:numPr>
          <w:ilvl w:val="3"/>
          <w:numId w:val="1"/>
        </w:numPr>
        <w:rPr/>
      </w:pPr>
      <w:bookmarkStart w:id="619" w:name="__RefHeading___Toc2105386_2749589250"/>
      <w:bookmarkStart w:id="620" w:name="_Toc255"/>
      <w:bookmarkEnd w:id="619"/>
      <w:r>
        <w:rPr>
          <w:rtl w:val="true"/>
        </w:rPr>
        <w:t>الألفاظ المحوریة</w:t>
      </w:r>
      <w:bookmarkEnd w:id="6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المعرفة، العقل، المعتزلة، القاضی عبد الجبار</w:t>
      </w:r>
      <w:r>
        <w:rPr>
          <w:rFonts w:eastAsia="IRNazanin" w:cs="IRNazanin"/>
          <w:color w:val="111111"/>
          <w:sz w:val="28"/>
          <w:szCs w:val="28"/>
          <w:rtl w:val="true"/>
          <w:lang w:bidi="fa-IR"/>
        </w:rPr>
        <w:t>.</w:t>
      </w:r>
      <w:bookmarkStart w:id="621" w:name="pg3269_31834"/>
    </w:p>
    <w:p>
      <w:pPr>
        <w:pStyle w:val="Heading3"/>
        <w:numPr>
          <w:ilvl w:val="2"/>
          <w:numId w:val="1"/>
        </w:numPr>
        <w:rPr/>
      </w:pPr>
      <w:bookmarkStart w:id="622" w:name="__RefHeading___Toc2105388_2749589250"/>
      <w:bookmarkStart w:id="623" w:name="_Toc256"/>
      <w:bookmarkEnd w:id="621"/>
      <w:bookmarkEnd w:id="622"/>
      <w:r>
        <w:rPr>
          <w:rtl w:val="true"/>
        </w:rPr>
        <w:t>دراسة مقارنة لمبانی السید قطب و السلفیة فی أبحاث الوحید و التکفیر</w:t>
      </w:r>
      <w:r>
        <w:rPr>
          <w:rtl w:val="true"/>
        </w:rPr>
        <w:t>/</w:t>
      </w:r>
      <w:r>
        <w:rPr>
          <w:rtl w:val="true"/>
        </w:rPr>
        <w:t>رضا ملازاده الیامجی</w:t>
      </w:r>
      <w:r>
        <w:rPr>
          <w:rtl w:val="true"/>
        </w:rPr>
        <w:t>_</w:t>
      </w:r>
      <w:r>
        <w:rPr>
          <w:rtl w:val="true"/>
        </w:rPr>
        <w:t>حمید ایمان دار</w:t>
      </w:r>
      <w:bookmarkEnd w:id="623"/>
    </w:p>
    <w:p>
      <w:pPr>
        <w:pStyle w:val="Heading4"/>
        <w:numPr>
          <w:ilvl w:val="3"/>
          <w:numId w:val="1"/>
        </w:numPr>
        <w:rPr/>
      </w:pPr>
      <w:bookmarkStart w:id="624" w:name="__RefHeading___Toc2105390_2749589250"/>
      <w:bookmarkStart w:id="625" w:name="_Toc257"/>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إن الفحص فی کتابات السید قطب یکشف عن مخالفته العمیقة مع عموم السلفیة التقلیدیة فی بیان أبحاث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فإنه فی مفهوم التوحید الألهی قائل بجزئیة توحید الحاکمیة و التشریع، و هو علی النقیض من الأسس التوحیدیة للسلفیة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الأثناء نجد أن منعطف ادعاءات السید قطب یتمثل فی تأکیده علی مدخلیة العمل فی تکفیر الحاکم بغیر ما أنزل الله، بحیث یری أن عدم الالتزام العملی بالأحکام الإلهیة یقوم مقام استحلال الحکم بغیر ما انزل الله، و بهذا فقد نهج منهجاً تکفیریاً، و هو علی خلاف ما ذهب الیه أغلب علماء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الحاضر و من أجل تبدید التصریحات التکفیریة للسید قطب یری أنها ناظرة للکفر الباطنی؛ بمعنی أنه لم یصدر حکماً فقهیاً بکفر هؤلاء، و فی الوقت ذاته و للحفاظ علی الحقوق الاجتماعیة و الدینیة للفرد الناقض لتوحید الحاکمیة الناتجة عن إسلامه الظاهر، یراه نظیر المنافقین و أنه کافر باطناً و یستحق العذاب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فإن غایة السید قطب من طرح مسألة الکفر فی التشریع هی إنذار المجتمع الإسلامی و غیره من عواقب الالتزام بالکفر الحاکمی، فمن خلال طرحه للکفر الباطنی یحاول بیان خطورة الالتزام بهذا المفهوم، و فی الوقت ذاته فقد أعفی نفسه من تکفیرهم</w:t>
      </w:r>
      <w:r>
        <w:rPr>
          <w:rFonts w:eastAsia="IRNazanin" w:cs="IRNazanin"/>
          <w:color w:val="111111"/>
          <w:sz w:val="28"/>
          <w:szCs w:val="28"/>
          <w:rtl w:val="true"/>
          <w:lang w:bidi="fa-IR"/>
        </w:rPr>
        <w:t>.</w:t>
      </w:r>
    </w:p>
    <w:p>
      <w:pPr>
        <w:pStyle w:val="Heading4"/>
        <w:numPr>
          <w:ilvl w:val="3"/>
          <w:numId w:val="1"/>
        </w:numPr>
        <w:rPr/>
      </w:pPr>
      <w:bookmarkStart w:id="626" w:name="__RefHeading___Toc2105392_2749589250"/>
      <w:bookmarkStart w:id="627" w:name="_Toc258"/>
      <w:bookmarkEnd w:id="626"/>
      <w:r>
        <w:rPr>
          <w:rtl w:val="true"/>
        </w:rPr>
        <w:t>الألفاظ المحوریة</w:t>
      </w:r>
      <w:bookmarkEnd w:id="6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 التکفیر، السلفیة، السید قطب</w:t>
      </w:r>
      <w:r>
        <w:rPr>
          <w:rFonts w:eastAsia="IRNazanin" w:cs="IRNazanin"/>
          <w:color w:val="111111"/>
          <w:sz w:val="28"/>
          <w:szCs w:val="28"/>
          <w:rtl w:val="true"/>
          <w:lang w:bidi="fa-IR"/>
        </w:rPr>
        <w:t>.</w:t>
      </w:r>
      <w:bookmarkStart w:id="628" w:name="pg3269_31835"/>
    </w:p>
    <w:p>
      <w:pPr>
        <w:pStyle w:val="Heading2"/>
        <w:numPr>
          <w:ilvl w:val="1"/>
          <w:numId w:val="1"/>
        </w:numPr>
        <w:rPr/>
      </w:pPr>
      <w:bookmarkStart w:id="629" w:name="__RefHeading___Toc2105394_2749589250"/>
      <w:bookmarkStart w:id="630" w:name="_Toc259"/>
      <w:bookmarkEnd w:id="628"/>
      <w:bookmarkEnd w:id="629"/>
      <w:r>
        <w:rPr/>
        <w:t>Abstracts</w:t>
      </w:r>
      <w:bookmarkEnd w:id="630"/>
    </w:p>
    <w:p>
      <w:pPr>
        <w:pStyle w:val="Heading3"/>
        <w:numPr>
          <w:ilvl w:val="2"/>
          <w:numId w:val="1"/>
        </w:numPr>
        <w:rPr/>
      </w:pPr>
      <w:bookmarkStart w:id="631" w:name="__RefHeading___Toc2105396_2749589250"/>
      <w:bookmarkStart w:id="632" w:name="_Toc260"/>
      <w:bookmarkEnd w:id="631"/>
      <w:r>
        <w:rPr/>
        <w:t>A Comparative Study of the Theological Bases of Sayyed Qutb and the Salafiyyah in the Discussions of Monotheism and Excommunication</w:t>
      </w:r>
      <w:bookmarkEnd w:id="632"/>
    </w:p>
    <w:p>
      <w:pPr>
        <w:pStyle w:val="Heading4"/>
        <w:numPr>
          <w:ilvl w:val="3"/>
          <w:numId w:val="1"/>
        </w:numPr>
        <w:rPr/>
      </w:pPr>
      <w:bookmarkStart w:id="633" w:name="__RefHeading___Toc2105398_2749589250"/>
      <w:bookmarkStart w:id="634" w:name="_Toc261"/>
      <w:bookmarkEnd w:id="633"/>
      <w:r>
        <w:rPr/>
        <w:t>Point</w:t>
      </w:r>
      <w:bookmarkEnd w:id="634"/>
    </w:p>
    <w:p>
      <w:pPr>
        <w:pStyle w:val="BookText"/>
        <w:rPr/>
      </w:pPr>
      <w:r>
        <w:rPr>
          <w:rFonts w:eastAsia="Times New Roman" w:cs="Times New Roman" w:ascii="Times New Roman" w:hAnsi="Times New Roman"/>
          <w:color w:val="111111"/>
          <w:sz w:val="28"/>
          <w:szCs w:val="28"/>
          <w:lang w:val="en-US" w:bidi="en-US"/>
        </w:rPr>
        <w:t>Investigation in Sayyed Qutb's writings reveals his deep conflicts with majority of the traditional Salafiyyah in explaining topics such as attributes monotheism. By a complete contradiction to the Salafis monotheistic foundations, he regards monotheism in sovereignty and legislation as the component of the concept of monotheism. Meanwhile, the most important point of Sayyed Qutb's claims turns to his emphasis on the involvement of acts in the excommunication (takfir) of one who rules according to what Allah does not revealed and the excommunication of the people who are ruled by him. Unlike the vast majority of thinkers of the two major Muslim sects, he imagined not practically committing of the divine commands as the replacement of commanding according to what Allah does not revealed and, indeed, he contributed an excommunication (takfiri) approach. In order to explain Sayyed Qutb's excommunication (takfiri) statements, this writing shows that his statement refers to the esoteric infidelity in that although he refuses of issuing a jurisprudential statement for belief excommunication and, on the basis of the nominal Islam of one who contradicts monotheism in sovereignty, he emphasizes on the social and religious rights of him, he considers him as an esoteric infidel and as deserving of otherworldly punishment just like the Hypocrites (Monafiqun). In other words, Sayyed's purpose of putting forward the issue of excommunication in legislation was only to warn the Muslim and non-Muslim societies against the consequences of infidelity in sovereignty monotheism and, by putting forward the issue of esoteric infidelity, at the same time he marked not committing to this concept, he kept himself away from stating against the contradictors of sovereignty monotheism as determined and external infidels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105400_2749589250"/>
      <w:bookmarkStart w:id="636" w:name="_Toc262"/>
      <w:bookmarkEnd w:id="635"/>
      <w:r>
        <w:rPr/>
        <w:t>Keywords</w:t>
      </w:r>
      <w:bookmarkEnd w:id="636"/>
    </w:p>
    <w:p>
      <w:pPr>
        <w:pStyle w:val="BookText"/>
        <w:rPr/>
      </w:pPr>
      <w:r>
        <w:rPr>
          <w:rFonts w:eastAsia="Times New Roman" w:cs="Times New Roman" w:ascii="Times New Roman" w:hAnsi="Times New Roman"/>
          <w:color w:val="111111"/>
          <w:sz w:val="28"/>
          <w:szCs w:val="28"/>
          <w:lang w:val="en-US" w:bidi="en-US"/>
        </w:rPr>
        <w:t>monotheism, excommunication (takfir), Salafiyyah, Sayyed Qutb</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637" w:name="pg3269_31836"/>
    </w:p>
    <w:p>
      <w:pPr>
        <w:pStyle w:val="Heading3"/>
        <w:numPr>
          <w:ilvl w:val="2"/>
          <w:numId w:val="1"/>
        </w:numPr>
        <w:rPr/>
      </w:pPr>
      <w:bookmarkStart w:id="638" w:name="__RefHeading___Toc2105402_2749589250"/>
      <w:bookmarkStart w:id="639" w:name="_Toc263"/>
      <w:bookmarkEnd w:id="637"/>
      <w:bookmarkEnd w:id="638"/>
      <w:r>
        <w:rPr/>
        <w:t>The Sources of Knowledge According Qazi Abd ul-Jabbar al-Mu'tazili</w:t>
      </w:r>
      <w:bookmarkEnd w:id="639"/>
    </w:p>
    <w:p>
      <w:pPr>
        <w:pStyle w:val="Heading4"/>
        <w:numPr>
          <w:ilvl w:val="3"/>
          <w:numId w:val="1"/>
        </w:numPr>
        <w:rPr/>
      </w:pPr>
      <w:bookmarkStart w:id="640" w:name="__RefHeading___Toc2105404_2749589250"/>
      <w:bookmarkStart w:id="641" w:name="_Toc264"/>
      <w:bookmarkEnd w:id="640"/>
      <w:r>
        <w:rPr/>
        <w:t>Point</w:t>
      </w:r>
      <w:bookmarkEnd w:id="641"/>
    </w:p>
    <w:p>
      <w:pPr>
        <w:pStyle w:val="BookText"/>
        <w:rPr/>
      </w:pPr>
      <w:r>
        <w:rPr>
          <w:rFonts w:eastAsia="Times New Roman" w:cs="Times New Roman" w:ascii="Times New Roman" w:hAnsi="Times New Roman"/>
          <w:color w:val="111111"/>
          <w:sz w:val="28"/>
          <w:szCs w:val="28"/>
          <w:lang w:val="en-US" w:bidi="en-US"/>
        </w:rPr>
        <w:t>Qazi Abd ul-Jabbar is a famous figure in the Mu'tazilite Kalam which has considerable opinions on "epistemology". In Abdu l-Jabbar's theological system, the discussed issues in the knowledge and epistemology and generally the theological discussions are of deductive and logical sequence so that the pervious propositions are the bases for the next ones and the next propositions are the consequences and results of the previous. The epistemological and theological thoughts of Qazi are rooted in a chain of knowledge sources such as apparent senses, reason, essential knowledge, revelation and imitation, among which reason as the faculty of thinking according to him is an independent source and a very important instrument for knowledge so that he regards contemplation and thinking, that is the way of reason, as the only way to gain the knowledge of God. From Qazi's point of view, knowledge of the perceived affairs, which is the result of the sense perception, is a prologue for the essential knowledge and the essential knowledge itself by reason argumentation is a prologue for the acquired knowledge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2105406_2749589250"/>
      <w:bookmarkStart w:id="643" w:name="_Toc265"/>
      <w:bookmarkEnd w:id="642"/>
      <w:r>
        <w:rPr/>
        <w:t>Keywords</w:t>
      </w:r>
      <w:bookmarkEnd w:id="643"/>
    </w:p>
    <w:p>
      <w:pPr>
        <w:pStyle w:val="BookText"/>
        <w:rPr/>
      </w:pPr>
      <w:r>
        <w:rPr>
          <w:rFonts w:eastAsia="Times New Roman" w:cs="Times New Roman" w:ascii="Times New Roman" w:hAnsi="Times New Roman"/>
          <w:color w:val="111111"/>
          <w:sz w:val="28"/>
          <w:szCs w:val="28"/>
          <w:lang w:val="en-US" w:bidi="en-US"/>
        </w:rPr>
        <w:t>the sources of knowledge, reason, the Mu'tazilah, Qazi Abd ul-Jabbar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644" w:name="pg3269_31837"/>
    </w:p>
    <w:p>
      <w:pPr>
        <w:pStyle w:val="Heading3"/>
        <w:numPr>
          <w:ilvl w:val="2"/>
          <w:numId w:val="1"/>
        </w:numPr>
        <w:rPr/>
      </w:pPr>
      <w:bookmarkStart w:id="645" w:name="__RefHeading___Toc2105408_2749589250"/>
      <w:bookmarkStart w:id="646" w:name="_Toc266"/>
      <w:bookmarkEnd w:id="644"/>
      <w:bookmarkEnd w:id="645"/>
      <w:r>
        <w:rPr/>
        <w:t>Historical Examination of the Reflection of the Exegetes' Theological Bases in Interpretation of the "Verse of Immortality</w:t>
      </w:r>
      <w:r>
        <w:rPr>
          <w:rtl w:val="true"/>
        </w:rPr>
        <w:t>"</w:t>
      </w:r>
      <w:bookmarkEnd w:id="646"/>
    </w:p>
    <w:p>
      <w:pPr>
        <w:pStyle w:val="Heading4"/>
        <w:numPr>
          <w:ilvl w:val="3"/>
          <w:numId w:val="1"/>
        </w:numPr>
        <w:rPr/>
      </w:pPr>
      <w:bookmarkStart w:id="647" w:name="__RefHeading___Toc2105410_2749589250"/>
      <w:bookmarkStart w:id="648" w:name="_Toc267"/>
      <w:bookmarkEnd w:id="647"/>
      <w:r>
        <w:rPr/>
        <w:t>Point</w:t>
      </w:r>
      <w:bookmarkEnd w:id="648"/>
    </w:p>
    <w:p>
      <w:pPr>
        <w:pStyle w:val="BookText"/>
        <w:rPr/>
      </w:pPr>
      <w:r>
        <w:rPr>
          <w:rFonts w:eastAsia="Times New Roman" w:cs="Times New Roman" w:ascii="Times New Roman" w:hAnsi="Times New Roman"/>
          <w:color w:val="111111"/>
          <w:sz w:val="28"/>
          <w:szCs w:val="28"/>
          <w:lang w:val="en-US" w:bidi="en-US"/>
        </w:rPr>
        <w:t>The issue of "immortality" in the 107th verse of the "Hud" Surah has been accompanied by the Divine Providence that about that verse the Muslim exegetes all agreed about the eternity of the nonbelievers in the Hell, but the eternity of the sinners of the believers in Hell is a topic of difference. The question of the present article is that whether the Ash'arite, Mu'tazilite and Imami exegetes were influenced by their theological Schools to interpret the verse of immortality (Hud: 107) or they ignored the principles of their theological Schools in some cases. The present research shows that the Imami and Mu'tazilite exegetes were influenced by their theological Schools in different historical centuries from the past to the present. The early Ash'arite exegetes until the tenth century AH interpreted the verse with a complete influence of their theological School, but the later Ash'ari exegetes in their thirteenth and fourteenth centuries AH left the common interpretation among the Ash'arites in their books and interpreted the verse in a new framework</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2105412_2749589250"/>
      <w:bookmarkStart w:id="650" w:name="_Toc268"/>
      <w:bookmarkEnd w:id="649"/>
      <w:r>
        <w:rPr/>
        <w:t>Keywords</w:t>
      </w:r>
      <w:bookmarkEnd w:id="65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immortality, Ash'arite, Mu'tazilite, Imami, sinners of the big sins</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651" w:name="pg3269_31838"/>
    </w:p>
    <w:p>
      <w:pPr>
        <w:pStyle w:val="Heading3"/>
        <w:numPr>
          <w:ilvl w:val="2"/>
          <w:numId w:val="1"/>
        </w:numPr>
        <w:rPr/>
      </w:pPr>
      <w:bookmarkStart w:id="652" w:name="__RefHeading___Toc2105414_2749589250"/>
      <w:bookmarkStart w:id="653" w:name="_Toc269"/>
      <w:bookmarkEnd w:id="651"/>
      <w:bookmarkEnd w:id="652"/>
      <w:r>
        <w:rPr/>
        <w:t>The Historical and Scientific Backgrounds of al-Sharif al-Murtaza Inclination to the Theory of "Sarfah</w:t>
      </w:r>
      <w:r>
        <w:rPr>
          <w:rtl w:val="true"/>
        </w:rPr>
        <w:t>"</w:t>
      </w:r>
      <w:bookmarkEnd w:id="653"/>
    </w:p>
    <w:p>
      <w:pPr>
        <w:pStyle w:val="Heading4"/>
        <w:numPr>
          <w:ilvl w:val="3"/>
          <w:numId w:val="1"/>
        </w:numPr>
        <w:rPr/>
      </w:pPr>
      <w:bookmarkStart w:id="654" w:name="__RefHeading___Toc2105416_2749589250"/>
      <w:bookmarkStart w:id="655" w:name="_Toc270"/>
      <w:bookmarkEnd w:id="654"/>
      <w:r>
        <w:rPr/>
        <w:t>Point</w:t>
      </w:r>
      <w:bookmarkEnd w:id="655"/>
    </w:p>
    <w:p>
      <w:pPr>
        <w:pStyle w:val="BookText"/>
        <w:rPr/>
      </w:pPr>
      <w:r>
        <w:rPr>
          <w:rFonts w:eastAsia="Times New Roman" w:cs="Times New Roman" w:ascii="Times New Roman" w:hAnsi="Times New Roman"/>
          <w:color w:val="111111"/>
          <w:sz w:val="28"/>
          <w:szCs w:val="28"/>
          <w:lang w:val="en-US" w:bidi="en-US"/>
        </w:rPr>
        <w:t>Al-Sharif al-Murtazs, a famous Shi'a literary and theologian, believes in the theory of "Sarfah" (Dissuade). According the environmental conditions and by awareness of the characteristics of the theory of "Sarfah", he had chosen it. Addressing the crisis of the problem of non-Arab Jews and Christians in discussing the miracle of the Qur'an, the Islamic Schools theological discussions in explanation of forms of miracle and creating a free space for this kind of disputes are amongst the most important historical factors for choosing this theory by him. Al-Murtaza's literary and theological contemplations including the need to rely on non-personal-taste criteria in measuring rhetoric of the Qur'an, the complexity of explaining the impossibility of bringing a similar for the Qur'an in the expressive miraculous explanations and the universality of understandability of Sarfah had also a significant effect in choosing the theory of Sarfah by him. In addition to examine the origins of this theory's being discussed in al-Sharif al-Murtaza's time, the present writing tries to analyze the historical and scientific backgrounds of his approach</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2105418_2749589250"/>
      <w:bookmarkStart w:id="657" w:name="_Toc271"/>
      <w:bookmarkEnd w:id="656"/>
      <w:r>
        <w:rPr/>
        <w:t>Keywords</w:t>
      </w:r>
      <w:bookmarkEnd w:id="657"/>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Sarfah (Dissuade), al-Sharif al-Murtaza, the Qur'an's miracle, approach</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658" w:name="pg3269_31839"/>
    </w:p>
    <w:p>
      <w:pPr>
        <w:pStyle w:val="Heading3"/>
        <w:numPr>
          <w:ilvl w:val="2"/>
          <w:numId w:val="1"/>
        </w:numPr>
        <w:rPr/>
      </w:pPr>
      <w:bookmarkStart w:id="659" w:name="__RefHeading___Toc2105420_2749589250"/>
      <w:bookmarkStart w:id="660" w:name="_Toc272"/>
      <w:bookmarkEnd w:id="658"/>
      <w:bookmarkEnd w:id="659"/>
      <w:r>
        <w:rPr/>
        <w:t>The Meaning and Nature of Spirit in the Qur'an According to Tafsīr Manāhej al-Bayān</w:t>
      </w:r>
      <w:bookmarkEnd w:id="660"/>
    </w:p>
    <w:p>
      <w:pPr>
        <w:pStyle w:val="Heading4"/>
        <w:numPr>
          <w:ilvl w:val="3"/>
          <w:numId w:val="1"/>
        </w:numPr>
        <w:rPr/>
      </w:pPr>
      <w:bookmarkStart w:id="661" w:name="__RefHeading___Toc2105422_2749589250"/>
      <w:bookmarkStart w:id="662" w:name="_Toc273"/>
      <w:bookmarkEnd w:id="661"/>
      <w:r>
        <w:rPr/>
        <w:t>Point</w:t>
      </w:r>
      <w:bookmarkEnd w:id="662"/>
    </w:p>
    <w:p>
      <w:pPr>
        <w:pStyle w:val="BookText"/>
        <w:rPr/>
      </w:pPr>
      <w:r>
        <w:rPr>
          <w:rFonts w:eastAsia="Times New Roman" w:cs="Times New Roman" w:ascii="Times New Roman" w:hAnsi="Times New Roman"/>
          <w:color w:val="111111"/>
          <w:sz w:val="28"/>
          <w:szCs w:val="28"/>
          <w:lang w:val="en-US" w:bidi="en-US"/>
        </w:rPr>
        <w:t>The Spirit and its attributes are mentioned in nineteen verses of the Holy Qur'an. The nature and cases of spirit, the way of spirit's relation with humans and angels, its functions and works as well as the spirit being material or immaterial were disputed between the Muslim exegetes and theologians from a long time. According the common viewpoint, spirit is of various cases including the human reasoning soul, but from the viewpoint of Ayatullah MuhammadBagher Maleki Miyanaji none of these verses indicates the human soul. This theory considers the interpretation of spirit to the Holy Spirit as unifying all the verses relating to spirit and regards arguing by these verses for immateriality of spirit as empty of reason. Explanation of the knowledge place of spirit, its ontological relation with the carriers of this spirit and the analysis of its place in prophecy and guardianship (wilayah) are another attempt in this semantic attempt. Aside from the apparent signification of the verses, Ahl ul-Bayt's narrations are an important documentary for this exegete to interpret the spirit to the Holy Spirit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2105424_2749589250"/>
      <w:bookmarkStart w:id="664" w:name="_Toc274"/>
      <w:bookmarkEnd w:id="663"/>
      <w:r>
        <w:rPr/>
        <w:t>Keywords</w:t>
      </w:r>
      <w:bookmarkEnd w:id="664"/>
    </w:p>
    <w:p>
      <w:pPr>
        <w:pStyle w:val="BookText"/>
        <w:rPr/>
      </w:pPr>
      <w:r>
        <w:rPr>
          <w:rFonts w:eastAsia="Times New Roman" w:cs="Times New Roman" w:ascii="Times New Roman" w:hAnsi="Times New Roman"/>
          <w:color w:val="111111"/>
          <w:sz w:val="28"/>
          <w:szCs w:val="28"/>
          <w:lang w:val="en-US" w:bidi="en-US"/>
        </w:rPr>
        <w:t>the Holy Spirit, the throne of knowledge, prophecy and guardianship (wilayah), Tafsīr Manāhej al-Bayān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665" w:name="pg3269_31840"/>
    </w:p>
    <w:p>
      <w:pPr>
        <w:pStyle w:val="Heading3"/>
        <w:numPr>
          <w:ilvl w:val="2"/>
          <w:numId w:val="1"/>
        </w:numPr>
        <w:rPr/>
      </w:pPr>
      <w:bookmarkStart w:id="666" w:name="__RefHeading___Toc2105426_2749589250"/>
      <w:bookmarkStart w:id="667" w:name="_Toc275"/>
      <w:bookmarkEnd w:id="665"/>
      <w:bookmarkEnd w:id="666"/>
      <w:r>
        <w:rPr/>
        <w:t>Dogmatic Teachings in the Theological Thoughts of al-Sheikh al-Mufīd; Nature, Bases and Understanding Method</w:t>
      </w:r>
      <w:bookmarkEnd w:id="667"/>
    </w:p>
    <w:p>
      <w:pPr>
        <w:pStyle w:val="Heading4"/>
        <w:numPr>
          <w:ilvl w:val="3"/>
          <w:numId w:val="1"/>
        </w:numPr>
        <w:rPr/>
      </w:pPr>
      <w:bookmarkStart w:id="668" w:name="__RefHeading___Toc2105428_2749589250"/>
      <w:bookmarkStart w:id="669" w:name="_Toc276"/>
      <w:bookmarkEnd w:id="668"/>
      <w:r>
        <w:rPr/>
        <w:t>Point</w:t>
      </w:r>
      <w:bookmarkEnd w:id="669"/>
    </w:p>
    <w:p>
      <w:pPr>
        <w:pStyle w:val="BookText"/>
        <w:rPr/>
      </w:pPr>
      <w:r>
        <w:rPr>
          <w:rFonts w:eastAsia="Times New Roman" w:cs="Times New Roman" w:ascii="Times New Roman" w:hAnsi="Times New Roman"/>
          <w:color w:val="111111"/>
          <w:sz w:val="28"/>
          <w:szCs w:val="28"/>
          <w:lang w:val="en-US" w:bidi="en-US"/>
        </w:rPr>
        <w:t>The dogmatic teachings (al-ta'alim al-ta'abbodiyyah) in the belief realm are beliefs that the human intellect lonely cannot understand and prove them. Thus the only source for these beliefs is revelation and authentic religious narrations. The dogmatic teachings are of considerable presence in the Shi'i beliefs and offer a vast amount of the details of monotheism, prophecy, Imamate and resurrection. Understanding of the dogmatic teachings, which includes the phase of receiving and discovering and the phase of explanation and exegesis, was a matter of dispute among the Shi'i theologians; some have chosen the way of dogmatism (al-ta'abbod) and acquiesce (al-taslim) toward them and some have offered the way of reasoning and contemplation. In this regard, by accepting the bases of "reason's need to narration" and "acquired religious knowledge", al-Sheikh al-Mufīd tries to take a way between literalism and rationalism so that, in the receiving phase of these teachings, he accepts the narration after rational examination and, in the understanding phase, he uses both sources of reason and narration. The present research concluded that considering the way al-Sheikh al-Mufīd uses the sources, his approach towards the method of reasoning and taking into account the maximum use of reason is more inclined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2105430_2749589250"/>
      <w:bookmarkStart w:id="671" w:name="_Toc277"/>
      <w:bookmarkEnd w:id="670"/>
      <w:r>
        <w:rPr/>
        <w:t>Keywords</w:t>
      </w:r>
      <w:bookmarkEnd w:id="671"/>
    </w:p>
    <w:p>
      <w:pPr>
        <w:pStyle w:val="BookText"/>
        <w:rPr/>
      </w:pPr>
      <w:r>
        <w:rPr>
          <w:rFonts w:eastAsia="Times New Roman" w:cs="Times New Roman" w:ascii="Times New Roman" w:hAnsi="Times New Roman"/>
          <w:color w:val="111111"/>
          <w:sz w:val="28"/>
          <w:szCs w:val="28"/>
          <w:lang w:val="en-US" w:bidi="en-US"/>
        </w:rPr>
        <w:t>dogmatic teachings, theologians' method, non-rational, irrational, Sheikh al-Mufīd</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672" w:name="pg3269_31841"/>
    </w:p>
    <w:p>
      <w:pPr>
        <w:pStyle w:val="Heading3"/>
        <w:numPr>
          <w:ilvl w:val="2"/>
          <w:numId w:val="1"/>
        </w:numPr>
        <w:rPr/>
      </w:pPr>
      <w:bookmarkStart w:id="673" w:name="__RefHeading___Toc2105432_2749589250"/>
      <w:bookmarkStart w:id="674" w:name="_Toc278"/>
      <w:bookmarkEnd w:id="672"/>
      <w:bookmarkEnd w:id="673"/>
      <w:r>
        <w:rPr/>
        <w:t>The Place of Imam al-Reza's Letters in Solving the Imāmīyyah Kalāmī Dilemmas</w:t>
      </w:r>
      <w:bookmarkEnd w:id="674"/>
    </w:p>
    <w:p>
      <w:pPr>
        <w:pStyle w:val="Heading4"/>
        <w:numPr>
          <w:ilvl w:val="3"/>
          <w:numId w:val="1"/>
        </w:numPr>
        <w:rPr/>
      </w:pPr>
      <w:bookmarkStart w:id="675" w:name="__RefHeading___Toc2105434_2749589250"/>
      <w:bookmarkStart w:id="676" w:name="_Toc279"/>
      <w:bookmarkEnd w:id="675"/>
      <w:r>
        <w:rPr/>
        <w:t>Point</w:t>
      </w:r>
      <w:bookmarkEnd w:id="676"/>
    </w:p>
    <w:p>
      <w:pPr>
        <w:pStyle w:val="BookText"/>
        <w:rPr/>
      </w:pPr>
      <w:r>
        <w:rPr>
          <w:rFonts w:eastAsia="Times New Roman" w:cs="Times New Roman" w:ascii="Times New Roman" w:hAnsi="Times New Roman"/>
          <w:color w:val="111111"/>
          <w:sz w:val="28"/>
          <w:szCs w:val="28"/>
          <w:lang w:val="en-US" w:bidi="en-US"/>
        </w:rPr>
        <w:t>There had been left many writings by Imam al-Reza (AS). This research has been organized to answer this question that what is the place of the letters of Imam al-Reza (AS) among his writings and which Kalāmī problems are paid attention to in these writings. After case examination and analysis of the collection of the eighth Imam's writings, it has got been cleared that nearly a quarter of all of his writings are devoted to the common theological issues at that time. By examining the Kalāmī letters of Imam al-Reza (AS), the present study, concluded that the most important problems in the Imāmīyyah beliefs in the second half of the 2nd century AH were two themes of "monotheism" and "Imamate". Anthropomorphism (tashbih), embodiment (tajsim) and the vision of God (ru'yat ul-llah) were the most important monotheistic misgivings, and the qualities and signs of the infallible Imam and the Wakifiyyah misgivings were also the most important Shi'a dilemmas in the issue of Imamate. On the other hand, by sending letters to the Shi'a scholars, the eighth Imam (AS) has proceeded to resolve the Imāmīyyah problems in four ways of guidance, miracles, critiques and discussions</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2105436_2749589250"/>
      <w:bookmarkStart w:id="678" w:name="_Toc280"/>
      <w:bookmarkEnd w:id="677"/>
      <w:r>
        <w:rPr/>
        <w:t>Keywords</w:t>
      </w:r>
      <w:bookmarkEnd w:id="678"/>
    </w:p>
    <w:p>
      <w:pPr>
        <w:pStyle w:val="BookText"/>
        <w:rPr/>
      </w:pPr>
      <w:r>
        <w:rPr>
          <w:rFonts w:eastAsia="Times New Roman" w:cs="Times New Roman" w:ascii="Times New Roman" w:hAnsi="Times New Roman"/>
          <w:color w:val="111111"/>
          <w:sz w:val="28"/>
          <w:szCs w:val="28"/>
          <w:lang w:val="en-US" w:bidi="en-US"/>
        </w:rPr>
        <w:t>Imam al-Reza (AS), writings, Kalāmī Hadiths, Kalāmī misgivings, the Shi'a belief problems</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679" w:name="pg3269_31843"/>
    </w:p>
    <w:p>
      <w:pPr>
        <w:pStyle w:val="Heading3"/>
        <w:numPr>
          <w:ilvl w:val="2"/>
          <w:numId w:val="1"/>
        </w:numPr>
        <w:rPr/>
      </w:pPr>
      <w:bookmarkStart w:id="680" w:name="__RefHeading___Toc2105438_2749589250"/>
      <w:bookmarkStart w:id="681" w:name="_Toc281"/>
      <w:bookmarkEnd w:id="679"/>
      <w:bookmarkEnd w:id="680"/>
      <w:r>
        <w:rPr/>
        <w:t>Tahqīqāt-e Kalāmi</w:t>
      </w:r>
      <w:bookmarkEnd w:id="681"/>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Vol.5, No.16, April-June 2017</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Price: 100/000 Rials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قرآن و حدیث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مرکز پژوهش‌های اسلامی آستان قدس رضوی 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احمدی میانجی در پایان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احمدی میانجی،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خط که در آن زمان مرسوم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الکافی نیز این روایت آمده، ولی مکتوب بودن آن گزارش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مسائل گوناگونی داشته که از امام علیه السلام بپرسد و سؤالات را می‌نویسد، ولی مسئله سلاح را فراموش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علیه السلام که به دستش می‌رسد، می‌بیند که آن حضرت مسئله سلاح را هم متذکر شده‌اند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علوم قرآن و حدیث پردیس فارابی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Ali.rad@ut.ac.ir</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کلام امامیه، پردیس فارابی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Rezvani.m92@ut.ac.ir</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و پژوهش‌گر مؤسسه معارف اهلبیت علیه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پژوهشگاه علوم و فرهنگ اسلامی و عضو انجمن کلام اسلامی حوزه علمیه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sobhani.mt@gmail.com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لازم است که اساس این دیدگاه بر محور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تعابیر قرآنی همسو با 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أَنْتُمْ أَشَدُّ خَلْقاً أَمِ السَّماءُ بَناها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سَمْکَها فَسَوَّاها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خَلَقَکَ فَسَوَّاکَ فَعَدَلَکَ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وَ 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کانَ عَلَقَةً فَخَلَقَ فَسَوَّی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فَأَرْسَلْنا إِلَیْها رُوحَنا فَتَمَثَّلَ لَها بَشَراً سَوِیًّا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علوم قرآن و حدیث 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amirahmadnezhad@outlook.com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پردیس فارابی دانشگاه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at.mohammadzadeh@ut.ac.ir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و حضیض معتزله و تأثیر آن در زندگی عمومی مسلمانان، مخالفت روزافزون شیعه با عرضه نظریه رقیب سیاسی که برای نظریه نبوت نتایجی به همراه داشت و تفاخر عرب‌ها به زبان و کتابشان در فضایی آمیخته با شک‌گرایی و رقابت‌های قومی و ادبی، از تحولات عمده قرن سوم در جامعه اسلامی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دانشگاه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علوم اسلامی امام صادق علیه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تعابیری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 بخارجین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سوره های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مُسْلِمٌ فِی الصَّحِیحِ بِالْإِسْنَادِ عَنْ أَبِیسَعِیدٍ الْخُدْرِیِّ قَالَ 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أَهْلُ الْجَنَّةِ الْجَنَّةَ وَ أَهْلُ النَّارِ النَّارَ قِیلَ یَا أَهْلَ الْجَنَّةِ فَیُشْرِفُونَ وَ یَنْظُرُونَ وَ قِیلَ یَا أَهْلَ النَّارِ فَیُشْرِفُونَ وَ یَنْظُرُونَ فَیُجَاءُ بِالْمَوْتِ کَأَنَّهُ کَبْشٌ أَمْلَحُ فَیُقَالُ لَهُمْ تَعْرِفُونَ الْمَوْتَ فَیَقُولُونَ هُوَ هَذَا وَ کُلٌّ قَدْ عَرَفَهُ قَالَ فَیُقَدَّمُ وَ یُذْبَحُ ثُمَّ یُقَالُ یَا أَهْلَ الْجَنَّةِ خُلُودٌ فَلَا مَوْتَ وَ یَا أَهْلَ النَّارِ خُلُودٌ فَلَا مَوْتَ قَالَ وَ ذَلِکَ قَوْلُهُ وَ أَنْذِرْهُمْ یَوْمَ الْحَسْرَةِ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ابنمیثم بحرانی، از علمای قرن هفتم هجری امامیه نیز نظری مشابه سید رضی دارد و با ادلهای معتقد است جنت و نار در آینده خلق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و مذهب کلامی تمامی مفسران در این پژوهش، از کتاب المفسرون حیاتهم و منهجهم نوشته محمدعلی ایازی اخذ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سید مرتضی در برخی منابع، متکلم معتزلی معرفی شده، اما در برخی نوشتههایش اعتقادات معتزلی را نقد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نوشتار، او را به عنوان متکلم و مفسر امامی مورد مطالعه قرار دادهایم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حوزه علمیه اصفهان و کارشناس ارشد فلسفه و کلام 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soltanihbh@gmail.com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فردوسی مشهد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دکتری دانشگاه فردوسی مشهد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39216</Words>
  <Characters>163937</Characters>
  <CharactersWithSpaces>202234</CharactersWithSpaces>
  <Paragraphs>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2026-08-17T21:50:40Z</dcterms:created>
  <dc:creator>ghaemiyeh.com</dc:creator>
  <dc:description/>
  <dc:language>en-US</dc:language>
  <cp:lastModifiedBy/>
  <dcterms:modified xsi:type="dcterms:W3CDTF">2026-08-18T01:20:45Z</dcterms:modified>
  <cp:revision>1</cp:revision>
  <dc:subject/>
  <dc:title>فصلنامه تحقیقات کلامی شماره 16</dc:title>
</cp:coreProperties>
</file>

<file path=docProps/custom.xml><?xml version="1.0" encoding="utf-8"?>
<Properties xmlns="http://schemas.openxmlformats.org/officeDocument/2006/custom-properties" xmlns:vt="http://schemas.openxmlformats.org/officeDocument/2006/docPropsVTypes"/>
</file>