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تحقیقات کلامی شماره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6415_1395250215">
            <w:r>
              <w:rPr>
                <w:webHidden/>
                <w:rStyle w:val="IndexLink"/>
                <w:rtl w:val="true"/>
              </w:rPr>
              <w:t>مشخصات فصلنامه</w:t>
            </w:r>
            <w:r>
              <w:rPr>
                <w:rStyle w:val="IndexLink"/>
                <w:rtl w:val="true"/>
              </w:rPr>
              <w:tab/>
            </w:r>
            <w:r>
              <w:rPr>
                <w:rStyle w:val="IndexLink"/>
              </w:rPr>
              <w:t>8</w:t>
            </w:r>
          </w:hyperlink>
        </w:p>
        <w:p>
          <w:pPr>
            <w:pStyle w:val="Contents2"/>
            <w:tabs>
              <w:tab w:val="clear" w:pos="8743"/>
              <w:tab w:val="right" w:pos="9026" w:leader="dot"/>
            </w:tabs>
            <w:rPr/>
          </w:pPr>
          <w:hyperlink w:anchor="__RefHeading___Toc506417_1395250215">
            <w:r>
              <w:rPr>
                <w:webHidden/>
                <w:rStyle w:val="IndexLink"/>
                <w:rtl w:val="true"/>
              </w:rPr>
              <w:t>رتبه علمی فصلنامه</w:t>
            </w:r>
            <w:r>
              <w:rPr>
                <w:rStyle w:val="IndexLink"/>
                <w:rtl w:val="true"/>
              </w:rPr>
              <w:tab/>
            </w:r>
            <w:r>
              <w:rPr>
                <w:rStyle w:val="IndexLink"/>
              </w:rPr>
              <w:t>8</w:t>
            </w:r>
          </w:hyperlink>
        </w:p>
        <w:p>
          <w:pPr>
            <w:pStyle w:val="Contents2"/>
            <w:tabs>
              <w:tab w:val="clear" w:pos="8743"/>
              <w:tab w:val="right" w:pos="9026" w:leader="dot"/>
            </w:tabs>
            <w:rPr/>
          </w:pPr>
          <w:hyperlink w:anchor="__RefHeading___Toc506419_1395250215">
            <w:r>
              <w:rPr>
                <w:webHidden/>
                <w:rStyle w:val="IndexLink"/>
                <w:rtl w:val="true"/>
              </w:rPr>
              <w:t>راهنمای نویسندگان</w:t>
            </w:r>
            <w:r>
              <w:rPr>
                <w:rStyle w:val="IndexLink"/>
                <w:rtl w:val="true"/>
              </w:rPr>
              <w:tab/>
            </w:r>
            <w:r>
              <w:rPr>
                <w:rStyle w:val="IndexLink"/>
              </w:rPr>
              <w:t>10</w:t>
            </w:r>
          </w:hyperlink>
        </w:p>
        <w:p>
          <w:pPr>
            <w:pStyle w:val="Contents2"/>
            <w:tabs>
              <w:tab w:val="clear" w:pos="8743"/>
              <w:tab w:val="right" w:pos="9026" w:leader="dot"/>
            </w:tabs>
            <w:rPr/>
          </w:pPr>
          <w:hyperlink w:anchor="__RefHeading___Toc506421_1395250215">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506423_1395250215">
            <w:r>
              <w:rPr>
                <w:webHidden/>
                <w:rStyle w:val="IndexLink"/>
                <w:rtl w:val="true"/>
              </w:rPr>
              <w:t>سخن مدیر مسئول</w:t>
            </w:r>
            <w:r>
              <w:rPr>
                <w:rStyle w:val="IndexLink"/>
                <w:rtl w:val="true"/>
              </w:rPr>
              <w:tab/>
            </w:r>
            <w:r>
              <w:rPr>
                <w:rStyle w:val="IndexLink"/>
              </w:rPr>
              <w:t>12</w:t>
            </w:r>
          </w:hyperlink>
        </w:p>
        <w:p>
          <w:pPr>
            <w:pStyle w:val="Contents2"/>
            <w:tabs>
              <w:tab w:val="clear" w:pos="8743"/>
              <w:tab w:val="right" w:pos="9026" w:leader="dot"/>
            </w:tabs>
            <w:rPr/>
          </w:pPr>
          <w:hyperlink w:anchor="__RefHeading___Toc506425_1395250215">
            <w:r>
              <w:rPr>
                <w:webHidden/>
                <w:rStyle w:val="IndexLink"/>
                <w:rtl w:val="true"/>
              </w:rPr>
              <w:t>سخن سردبیر</w:t>
            </w:r>
            <w:r>
              <w:rPr>
                <w:rStyle w:val="IndexLink"/>
                <w:rtl w:val="true"/>
              </w:rPr>
              <w:tab/>
            </w:r>
            <w:r>
              <w:rPr>
                <w:rStyle w:val="IndexLink"/>
              </w:rPr>
              <w:t>13</w:t>
            </w:r>
          </w:hyperlink>
        </w:p>
        <w:p>
          <w:pPr>
            <w:pStyle w:val="Contents2"/>
            <w:tabs>
              <w:tab w:val="clear" w:pos="8743"/>
              <w:tab w:val="right" w:pos="9026" w:leader="dot"/>
            </w:tabs>
            <w:rPr/>
          </w:pPr>
          <w:hyperlink w:anchor="__RefHeading___Toc506427_1395250215">
            <w:r>
              <w:rPr>
                <w:webHidden/>
                <w:rStyle w:val="IndexLink"/>
                <w:rtl w:val="true"/>
              </w:rPr>
              <w:t>نخستین واجب اعتقادی</w:t>
            </w:r>
            <w:r>
              <w:rPr>
                <w:rStyle w:val="IndexLink"/>
                <w:rtl w:val="true"/>
              </w:rPr>
              <w:t xml:space="preserve">/ </w:t>
            </w:r>
            <w:r>
              <w:rPr>
                <w:rStyle w:val="IndexLink"/>
                <w:rtl w:val="true"/>
              </w:rPr>
              <w:t>رضا برنجکار، مهدی نصرتیان اهور</w:t>
            </w:r>
            <w:r>
              <w:rPr>
                <w:rStyle w:val="IndexLink"/>
                <w:rtl w:val="true"/>
              </w:rPr>
              <w:tab/>
            </w:r>
            <w:r>
              <w:rPr>
                <w:rStyle w:val="IndexLink"/>
              </w:rPr>
              <w:t>15</w:t>
            </w:r>
          </w:hyperlink>
        </w:p>
        <w:p>
          <w:pPr>
            <w:pStyle w:val="Contents3"/>
            <w:tabs>
              <w:tab w:val="clear" w:pos="8459"/>
              <w:tab w:val="right" w:pos="9026" w:leader="dot"/>
            </w:tabs>
            <w:rPr/>
          </w:pPr>
          <w:hyperlink w:anchor="__RefHeading___Toc506429_1395250215">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506431_1395250215">
            <w:r>
              <w:rPr>
                <w:webHidden/>
                <w:rStyle w:val="IndexLink"/>
                <w:rtl w:val="true"/>
              </w:rPr>
              <w:t>چکیده</w:t>
            </w:r>
            <w:r>
              <w:rPr>
                <w:rStyle w:val="IndexLink"/>
                <w:rtl w:val="true"/>
              </w:rPr>
              <w:tab/>
            </w:r>
            <w:r>
              <w:rPr>
                <w:rStyle w:val="IndexLink"/>
              </w:rPr>
              <w:t>15</w:t>
            </w:r>
          </w:hyperlink>
        </w:p>
        <w:p>
          <w:pPr>
            <w:pStyle w:val="Contents3"/>
            <w:tabs>
              <w:tab w:val="clear" w:pos="8459"/>
              <w:tab w:val="right" w:pos="9026" w:leader="dot"/>
            </w:tabs>
            <w:rPr/>
          </w:pPr>
          <w:hyperlink w:anchor="__RefHeading___Toc506433_1395250215">
            <w:r>
              <w:rPr>
                <w:webHidden/>
                <w:rStyle w:val="IndexLink"/>
                <w:rtl w:val="true"/>
              </w:rPr>
              <w:t>واژگان کلیدی</w:t>
            </w:r>
            <w:r>
              <w:rPr>
                <w:rStyle w:val="IndexLink"/>
                <w:rtl w:val="true"/>
              </w:rPr>
              <w:tab/>
            </w:r>
            <w:r>
              <w:rPr>
                <w:rStyle w:val="IndexLink"/>
              </w:rPr>
              <w:t>15</w:t>
            </w:r>
          </w:hyperlink>
        </w:p>
        <w:p>
          <w:pPr>
            <w:pStyle w:val="Contents3"/>
            <w:tabs>
              <w:tab w:val="clear" w:pos="8459"/>
              <w:tab w:val="right" w:pos="9026" w:leader="dot"/>
            </w:tabs>
            <w:rPr/>
          </w:pPr>
          <w:hyperlink w:anchor="__RefHeading___Toc506435_1395250215">
            <w:r>
              <w:rPr>
                <w:webHidden/>
                <w:rStyle w:val="IndexLink"/>
                <w:rtl w:val="true"/>
              </w:rPr>
              <w:t>مقدمه</w:t>
            </w:r>
            <w:r>
              <w:rPr>
                <w:rStyle w:val="IndexLink"/>
                <w:rtl w:val="true"/>
              </w:rPr>
              <w:tab/>
            </w:r>
            <w:r>
              <w:rPr>
                <w:rStyle w:val="IndexLink"/>
              </w:rPr>
              <w:t>16</w:t>
            </w:r>
          </w:hyperlink>
        </w:p>
        <w:p>
          <w:pPr>
            <w:pStyle w:val="Contents3"/>
            <w:tabs>
              <w:tab w:val="clear" w:pos="8459"/>
              <w:tab w:val="right" w:pos="9026" w:leader="dot"/>
            </w:tabs>
            <w:rPr/>
          </w:pPr>
          <w:hyperlink w:anchor="__RefHeading___Toc506437_1395250215">
            <w:r>
              <w:rPr>
                <w:webHidden/>
                <w:rStyle w:val="IndexLink"/>
                <w:rtl w:val="true"/>
              </w:rPr>
              <w:t>نظریه نخست</w:t>
            </w:r>
            <w:r>
              <w:rPr>
                <w:rStyle w:val="IndexLink"/>
                <w:rtl w:val="true"/>
              </w:rPr>
              <w:t xml:space="preserve">: </w:t>
            </w:r>
            <w:r>
              <w:rPr>
                <w:rStyle w:val="IndexLink"/>
                <w:rtl w:val="true"/>
              </w:rPr>
              <w:t>شک</w:t>
            </w:r>
            <w:r>
              <w:rPr>
                <w:rStyle w:val="IndexLink"/>
                <w:rtl w:val="true"/>
              </w:rPr>
              <w:tab/>
            </w:r>
            <w:r>
              <w:rPr>
                <w:rStyle w:val="IndexLink"/>
              </w:rPr>
              <w:t>16</w:t>
            </w:r>
          </w:hyperlink>
        </w:p>
        <w:p>
          <w:pPr>
            <w:pStyle w:val="Contents4"/>
            <w:tabs>
              <w:tab w:val="clear" w:pos="8176"/>
              <w:tab w:val="right" w:pos="9026" w:leader="dot"/>
            </w:tabs>
            <w:rPr/>
          </w:pPr>
          <w:hyperlink w:anchor="__RefHeading___Toc506439_1395250215">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506441_1395250215">
            <w:r>
              <w:rPr>
                <w:webHidden/>
                <w:rStyle w:val="IndexLink"/>
                <w:rtl w:val="true"/>
              </w:rPr>
              <w:t>نقد و بررسی</w:t>
            </w:r>
            <w:r>
              <w:rPr>
                <w:rStyle w:val="IndexLink"/>
                <w:rtl w:val="true"/>
              </w:rPr>
              <w:tab/>
            </w:r>
            <w:r>
              <w:rPr>
                <w:rStyle w:val="IndexLink"/>
              </w:rPr>
              <w:t>16</w:t>
            </w:r>
          </w:hyperlink>
        </w:p>
        <w:p>
          <w:pPr>
            <w:pStyle w:val="Contents3"/>
            <w:tabs>
              <w:tab w:val="clear" w:pos="8459"/>
              <w:tab w:val="right" w:pos="9026" w:leader="dot"/>
            </w:tabs>
            <w:rPr/>
          </w:pPr>
          <w:hyperlink w:anchor="__RefHeading___Toc506443_1395250215">
            <w:r>
              <w:rPr>
                <w:webHidden/>
                <w:rStyle w:val="IndexLink"/>
                <w:rtl w:val="true"/>
              </w:rPr>
              <w:t>نظریه دوم</w:t>
            </w:r>
            <w:r>
              <w:rPr>
                <w:rStyle w:val="IndexLink"/>
                <w:rtl w:val="true"/>
              </w:rPr>
              <w:t xml:space="preserve">: </w:t>
            </w:r>
            <w:r>
              <w:rPr>
                <w:rStyle w:val="IndexLink"/>
                <w:rtl w:val="true"/>
              </w:rPr>
              <w:t>قصد و اراده</w:t>
            </w:r>
            <w:r>
              <w:rPr>
                <w:rStyle w:val="IndexLink"/>
                <w:rtl w:val="true"/>
              </w:rPr>
              <w:tab/>
            </w:r>
            <w:r>
              <w:rPr>
                <w:rStyle w:val="IndexLink"/>
              </w:rPr>
              <w:t>18</w:t>
            </w:r>
          </w:hyperlink>
        </w:p>
        <w:p>
          <w:pPr>
            <w:pStyle w:val="Contents4"/>
            <w:tabs>
              <w:tab w:val="clear" w:pos="8176"/>
              <w:tab w:val="right" w:pos="9026" w:leader="dot"/>
            </w:tabs>
            <w:rPr/>
          </w:pPr>
          <w:hyperlink w:anchor="__RefHeading___Toc506445_1395250215">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506447_1395250215">
            <w:r>
              <w:rPr>
                <w:webHidden/>
                <w:rStyle w:val="IndexLink"/>
                <w:rtl w:val="true"/>
              </w:rPr>
              <w:t>نقد و بررسی</w:t>
            </w:r>
            <w:r>
              <w:rPr>
                <w:rStyle w:val="IndexLink"/>
                <w:rtl w:val="true"/>
              </w:rPr>
              <w:tab/>
            </w:r>
            <w:r>
              <w:rPr>
                <w:rStyle w:val="IndexLink"/>
              </w:rPr>
              <w:t>18</w:t>
            </w:r>
          </w:hyperlink>
        </w:p>
        <w:p>
          <w:pPr>
            <w:pStyle w:val="Contents3"/>
            <w:tabs>
              <w:tab w:val="clear" w:pos="8459"/>
              <w:tab w:val="right" w:pos="9026" w:leader="dot"/>
            </w:tabs>
            <w:rPr/>
          </w:pPr>
          <w:hyperlink w:anchor="__RefHeading___Toc506449_1395250215">
            <w:r>
              <w:rPr>
                <w:webHidden/>
                <w:rStyle w:val="IndexLink"/>
                <w:rtl w:val="true"/>
              </w:rPr>
              <w:t>نظریه سوم</w:t>
            </w:r>
            <w:r>
              <w:rPr>
                <w:rStyle w:val="IndexLink"/>
                <w:rtl w:val="true"/>
              </w:rPr>
              <w:t xml:space="preserve">: </w:t>
            </w:r>
            <w:r>
              <w:rPr>
                <w:rStyle w:val="IndexLink"/>
                <w:rtl w:val="true"/>
              </w:rPr>
              <w:t>نظر و استدلال عقلی</w:t>
            </w:r>
            <w:r>
              <w:rPr>
                <w:rStyle w:val="IndexLink"/>
                <w:rtl w:val="true"/>
              </w:rPr>
              <w:tab/>
            </w:r>
            <w:r>
              <w:rPr>
                <w:rStyle w:val="IndexLink"/>
              </w:rPr>
              <w:t>19</w:t>
            </w:r>
          </w:hyperlink>
        </w:p>
        <w:p>
          <w:pPr>
            <w:pStyle w:val="Contents4"/>
            <w:tabs>
              <w:tab w:val="clear" w:pos="8176"/>
              <w:tab w:val="right" w:pos="9026" w:leader="dot"/>
            </w:tabs>
            <w:rPr/>
          </w:pPr>
          <w:hyperlink w:anchor="__RefHeading___Toc506451_1395250215">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506453_1395250215">
            <w:r>
              <w:rPr>
                <w:webHidden/>
                <w:rStyle w:val="IndexLink"/>
                <w:rtl w:val="true"/>
              </w:rPr>
              <w:t>دلایل وجوب مقدمی نظر</w:t>
            </w:r>
            <w:r>
              <w:rPr>
                <w:rStyle w:val="IndexLink"/>
                <w:rtl w:val="true"/>
              </w:rPr>
              <w:tab/>
            </w:r>
            <w:r>
              <w:rPr>
                <w:rStyle w:val="IndexLink"/>
              </w:rPr>
              <w:t>20</w:t>
            </w:r>
          </w:hyperlink>
        </w:p>
        <w:p>
          <w:pPr>
            <w:pStyle w:val="Contents5"/>
            <w:tabs>
              <w:tab w:val="clear" w:pos="7892"/>
              <w:tab w:val="right" w:pos="9026" w:leader="dot"/>
            </w:tabs>
            <w:rPr/>
          </w:pPr>
          <w:hyperlink w:anchor="__RefHeading___Toc506455_1395250215">
            <w:r>
              <w:rPr>
                <w:webHidden/>
                <w:rStyle w:val="IndexLink"/>
                <w:rtl w:val="true"/>
              </w:rPr>
              <w:t>الف</w:t>
            </w:r>
            <w:r>
              <w:rPr>
                <w:rStyle w:val="IndexLink"/>
                <w:rtl w:val="true"/>
              </w:rPr>
              <w:t xml:space="preserve">. </w:t>
            </w:r>
            <w:r>
              <w:rPr>
                <w:rStyle w:val="IndexLink"/>
                <w:rtl w:val="true"/>
              </w:rPr>
              <w:t>دلایل عقلی</w:t>
            </w:r>
            <w:r>
              <w:rPr>
                <w:rStyle w:val="IndexLink"/>
                <w:rtl w:val="true"/>
              </w:rPr>
              <w:tab/>
            </w:r>
            <w:r>
              <w:rPr>
                <w:rStyle w:val="IndexLink"/>
              </w:rPr>
              <w:t>20</w:t>
            </w:r>
          </w:hyperlink>
        </w:p>
        <w:p>
          <w:pPr>
            <w:pStyle w:val="Contents6"/>
            <w:tabs>
              <w:tab w:val="clear" w:pos="7609"/>
              <w:tab w:val="right" w:pos="9026" w:leader="dot"/>
            </w:tabs>
            <w:rPr/>
          </w:pPr>
          <w:hyperlink w:anchor="__RefHeading___Toc506457_1395250215">
            <w:r>
              <w:rPr>
                <w:webHidden/>
                <w:rStyle w:val="IndexLink"/>
              </w:rPr>
              <w:t>1</w:t>
            </w:r>
            <w:r>
              <w:rPr>
                <w:rStyle w:val="IndexLink"/>
                <w:rtl w:val="true"/>
              </w:rPr>
              <w:t>.</w:t>
            </w:r>
            <w:r>
              <w:rPr>
                <w:rStyle w:val="IndexLink"/>
                <w:rtl w:val="true"/>
              </w:rPr>
              <w:t>دفع ضرر محتمل</w:t>
            </w:r>
            <w:r>
              <w:rPr>
                <w:rStyle w:val="IndexLink"/>
                <w:rtl w:val="true"/>
              </w:rPr>
              <w:tab/>
            </w:r>
            <w:r>
              <w:rPr>
                <w:rStyle w:val="IndexLink"/>
              </w:rPr>
              <w:t>20</w:t>
            </w:r>
          </w:hyperlink>
        </w:p>
        <w:p>
          <w:pPr>
            <w:pStyle w:val="Contents6"/>
            <w:tabs>
              <w:tab w:val="clear" w:pos="7609"/>
              <w:tab w:val="right" w:pos="9026" w:leader="dot"/>
            </w:tabs>
            <w:rPr/>
          </w:pPr>
          <w:hyperlink w:anchor="__RefHeading___Toc506459_1395250215">
            <w:r>
              <w:rPr>
                <w:webHidden/>
                <w:rStyle w:val="IndexLink"/>
              </w:rPr>
              <w:t>2</w:t>
            </w:r>
            <w:r>
              <w:rPr>
                <w:rStyle w:val="IndexLink"/>
                <w:rtl w:val="true"/>
              </w:rPr>
              <w:t xml:space="preserve">. </w:t>
            </w:r>
            <w:r>
              <w:rPr>
                <w:rStyle w:val="IndexLink"/>
                <w:rtl w:val="true"/>
              </w:rPr>
              <w:t>افحام پیامبران در تبلیغ دین</w:t>
            </w:r>
            <w:r>
              <w:rPr>
                <w:rStyle w:val="IndexLink"/>
                <w:rtl w:val="true"/>
              </w:rPr>
              <w:tab/>
            </w:r>
            <w:r>
              <w:rPr>
                <w:rStyle w:val="IndexLink"/>
              </w:rPr>
              <w:t>20</w:t>
            </w:r>
          </w:hyperlink>
        </w:p>
        <w:p>
          <w:pPr>
            <w:pStyle w:val="Contents6"/>
            <w:tabs>
              <w:tab w:val="clear" w:pos="7609"/>
              <w:tab w:val="right" w:pos="9026" w:leader="dot"/>
            </w:tabs>
            <w:rPr/>
          </w:pPr>
          <w:hyperlink w:anchor="__RefHeading___Toc506461_1395250215">
            <w:r>
              <w:rPr>
                <w:webHidden/>
                <w:rStyle w:val="IndexLink"/>
              </w:rPr>
              <w:t>3</w:t>
            </w:r>
            <w:r>
              <w:rPr>
                <w:rStyle w:val="IndexLink"/>
                <w:rtl w:val="true"/>
              </w:rPr>
              <w:t xml:space="preserve">. </w:t>
            </w:r>
            <w:r>
              <w:rPr>
                <w:rStyle w:val="IndexLink"/>
                <w:rtl w:val="true"/>
              </w:rPr>
              <w:t>وجوب شکر منعم</w:t>
            </w:r>
            <w:r>
              <w:rPr>
                <w:rStyle w:val="IndexLink"/>
                <w:rtl w:val="true"/>
              </w:rPr>
              <w:tab/>
            </w:r>
            <w:r>
              <w:rPr>
                <w:rStyle w:val="IndexLink"/>
              </w:rPr>
              <w:t>21</w:t>
            </w:r>
          </w:hyperlink>
        </w:p>
        <w:p>
          <w:pPr>
            <w:pStyle w:val="Contents5"/>
            <w:tabs>
              <w:tab w:val="clear" w:pos="7892"/>
              <w:tab w:val="right" w:pos="9026" w:leader="dot"/>
            </w:tabs>
            <w:rPr/>
          </w:pPr>
          <w:hyperlink w:anchor="__RefHeading___Toc506463_1395250215">
            <w:r>
              <w:rPr>
                <w:webHidden/>
                <w:rStyle w:val="IndexLink"/>
                <w:rtl w:val="true"/>
              </w:rPr>
              <w:t>ب</w:t>
            </w:r>
            <w:r>
              <w:rPr>
                <w:rStyle w:val="IndexLink"/>
                <w:rtl w:val="true"/>
              </w:rPr>
              <w:t xml:space="preserve">. </w:t>
            </w:r>
            <w:r>
              <w:rPr>
                <w:rStyle w:val="IndexLink"/>
                <w:rtl w:val="true"/>
              </w:rPr>
              <w:t>دلایل نقلی</w:t>
            </w:r>
            <w:r>
              <w:rPr>
                <w:rStyle w:val="IndexLink"/>
                <w:rtl w:val="true"/>
              </w:rPr>
              <w:tab/>
            </w:r>
            <w:r>
              <w:rPr>
                <w:rStyle w:val="IndexLink"/>
              </w:rPr>
              <w:t>21</w:t>
            </w:r>
          </w:hyperlink>
        </w:p>
        <w:p>
          <w:pPr>
            <w:pStyle w:val="Contents6"/>
            <w:tabs>
              <w:tab w:val="clear" w:pos="7609"/>
              <w:tab w:val="right" w:pos="9026" w:leader="dot"/>
            </w:tabs>
            <w:rPr/>
          </w:pPr>
          <w:hyperlink w:anchor="__RefHeading___Toc506465_1395250215">
            <w:r>
              <w:rPr>
                <w:webHidden/>
                <w:rStyle w:val="IndexLink"/>
              </w:rPr>
              <w:t>1</w:t>
            </w:r>
            <w:r>
              <w:rPr>
                <w:rStyle w:val="IndexLink"/>
                <w:rtl w:val="true"/>
              </w:rPr>
              <w:t xml:space="preserve">. </w:t>
            </w:r>
            <w:r>
              <w:rPr>
                <w:rStyle w:val="IndexLink"/>
                <w:rtl w:val="true"/>
              </w:rPr>
              <w:t>نصوص دینی</w:t>
            </w:r>
            <w:r>
              <w:rPr>
                <w:rStyle w:val="IndexLink"/>
                <w:rtl w:val="true"/>
              </w:rPr>
              <w:tab/>
            </w:r>
            <w:r>
              <w:rPr>
                <w:rStyle w:val="IndexLink"/>
              </w:rPr>
              <w:t>21</w:t>
            </w:r>
          </w:hyperlink>
        </w:p>
        <w:p>
          <w:pPr>
            <w:pStyle w:val="Contents6"/>
            <w:tabs>
              <w:tab w:val="clear" w:pos="7609"/>
              <w:tab w:val="right" w:pos="9026" w:leader="dot"/>
            </w:tabs>
            <w:rPr/>
          </w:pPr>
          <w:hyperlink w:anchor="__RefHeading___Toc506467_1395250215">
            <w:r>
              <w:rPr>
                <w:webHidden/>
                <w:rStyle w:val="IndexLink"/>
              </w:rPr>
              <w:t>2</w:t>
            </w:r>
            <w:r>
              <w:rPr>
                <w:rStyle w:val="IndexLink"/>
                <w:rtl w:val="true"/>
              </w:rPr>
              <w:t>.</w:t>
            </w:r>
            <w:r>
              <w:rPr>
                <w:rStyle w:val="IndexLink"/>
                <w:rtl w:val="true"/>
              </w:rPr>
              <w:t>اجماع</w:t>
            </w:r>
            <w:r>
              <w:rPr>
                <w:rStyle w:val="IndexLink"/>
                <w:rtl w:val="true"/>
              </w:rPr>
              <w:tab/>
            </w:r>
            <w:r>
              <w:rPr>
                <w:rStyle w:val="IndexLink"/>
              </w:rPr>
              <w:t>22</w:t>
            </w:r>
          </w:hyperlink>
        </w:p>
        <w:p>
          <w:pPr>
            <w:pStyle w:val="Contents4"/>
            <w:tabs>
              <w:tab w:val="clear" w:pos="8176"/>
              <w:tab w:val="right" w:pos="9026" w:leader="dot"/>
            </w:tabs>
            <w:rPr/>
          </w:pPr>
          <w:hyperlink w:anchor="__RefHeading___Toc506469_1395250215">
            <w:r>
              <w:rPr>
                <w:webHidden/>
                <w:rStyle w:val="IndexLink"/>
                <w:rtl w:val="true"/>
              </w:rPr>
              <w:t>نقد و بررسی</w:t>
            </w:r>
            <w:r>
              <w:rPr>
                <w:rStyle w:val="IndexLink"/>
                <w:rtl w:val="true"/>
              </w:rPr>
              <w:tab/>
            </w:r>
            <w:r>
              <w:rPr>
                <w:rStyle w:val="IndexLink"/>
              </w:rPr>
              <w:t>22</w:t>
            </w:r>
          </w:hyperlink>
        </w:p>
        <w:p>
          <w:pPr>
            <w:pStyle w:val="Contents3"/>
            <w:tabs>
              <w:tab w:val="clear" w:pos="8459"/>
              <w:tab w:val="right" w:pos="9026" w:leader="dot"/>
            </w:tabs>
            <w:rPr/>
          </w:pPr>
          <w:hyperlink w:anchor="__RefHeading___Toc506471_1395250215">
            <w:r>
              <w:rPr>
                <w:webHidden/>
                <w:rStyle w:val="IndexLink"/>
                <w:rtl w:val="true"/>
              </w:rPr>
              <w:t>نظریه چهارم</w:t>
            </w:r>
            <w:r>
              <w:rPr>
                <w:rStyle w:val="IndexLink"/>
                <w:rtl w:val="true"/>
              </w:rPr>
              <w:t xml:space="preserve">: </w:t>
            </w:r>
            <w:r>
              <w:rPr>
                <w:rStyle w:val="IndexLink"/>
                <w:rtl w:val="true"/>
              </w:rPr>
              <w:t>معرفت الله</w:t>
            </w:r>
            <w:r>
              <w:rPr>
                <w:rStyle w:val="IndexLink"/>
                <w:rtl w:val="true"/>
              </w:rPr>
              <w:tab/>
            </w:r>
            <w:r>
              <w:rPr>
                <w:rStyle w:val="IndexLink"/>
              </w:rPr>
              <w:t>23</w:t>
            </w:r>
          </w:hyperlink>
        </w:p>
        <w:p>
          <w:pPr>
            <w:pStyle w:val="Contents4"/>
            <w:tabs>
              <w:tab w:val="clear" w:pos="8176"/>
              <w:tab w:val="right" w:pos="9026" w:leader="dot"/>
            </w:tabs>
            <w:rPr/>
          </w:pPr>
          <w:hyperlink w:anchor="__RefHeading___Toc506473_1395250215">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506475_1395250215">
            <w:r>
              <w:rPr>
                <w:webHidden/>
                <w:rStyle w:val="IndexLink"/>
                <w:rtl w:val="true"/>
              </w:rPr>
              <w:t>دلایل وجوب معرفت الله</w:t>
            </w:r>
            <w:r>
              <w:rPr>
                <w:rStyle w:val="IndexLink"/>
                <w:rtl w:val="true"/>
              </w:rPr>
              <w:tab/>
            </w:r>
            <w:r>
              <w:rPr>
                <w:rStyle w:val="IndexLink"/>
              </w:rPr>
              <w:t>23</w:t>
            </w:r>
          </w:hyperlink>
        </w:p>
        <w:p>
          <w:pPr>
            <w:pStyle w:val="Contents5"/>
            <w:tabs>
              <w:tab w:val="clear" w:pos="7892"/>
              <w:tab w:val="right" w:pos="9026" w:leader="dot"/>
            </w:tabs>
            <w:rPr/>
          </w:pPr>
          <w:hyperlink w:anchor="__RefHeading___Toc506477_1395250215">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506479_1395250215">
            <w:r>
              <w:rPr>
                <w:webHidden/>
                <w:rStyle w:val="IndexLink"/>
              </w:rPr>
              <w:t>1</w:t>
            </w:r>
            <w:r>
              <w:rPr>
                <w:rStyle w:val="IndexLink"/>
                <w:rtl w:val="true"/>
              </w:rPr>
              <w:t xml:space="preserve"> . </w:t>
            </w:r>
            <w:r>
              <w:rPr>
                <w:rStyle w:val="IndexLink"/>
                <w:rtl w:val="true"/>
              </w:rPr>
              <w:t>وجوب شکر منعم</w:t>
            </w:r>
            <w:r>
              <w:rPr>
                <w:rStyle w:val="IndexLink"/>
                <w:rtl w:val="true"/>
              </w:rPr>
              <w:tab/>
            </w:r>
            <w:r>
              <w:rPr>
                <w:rStyle w:val="IndexLink"/>
              </w:rPr>
              <w:t>23</w:t>
            </w:r>
          </w:hyperlink>
        </w:p>
        <w:p>
          <w:pPr>
            <w:pStyle w:val="Contents5"/>
            <w:tabs>
              <w:tab w:val="clear" w:pos="7892"/>
              <w:tab w:val="right" w:pos="9026" w:leader="dot"/>
            </w:tabs>
            <w:rPr/>
          </w:pPr>
          <w:hyperlink w:anchor="__RefHeading___Toc506481_1395250215">
            <w:r>
              <w:rPr>
                <w:webHidden/>
                <w:rStyle w:val="IndexLink"/>
              </w:rPr>
              <w:t>2</w:t>
            </w:r>
            <w:r>
              <w:rPr>
                <w:rStyle w:val="IndexLink"/>
                <w:rtl w:val="true"/>
              </w:rPr>
              <w:t xml:space="preserve"> . </w:t>
            </w:r>
            <w:r>
              <w:rPr>
                <w:rStyle w:val="IndexLink"/>
                <w:rtl w:val="true"/>
              </w:rPr>
              <w:t>دفع ضرر محتمل</w:t>
            </w:r>
            <w:r>
              <w:rPr>
                <w:rStyle w:val="IndexLink"/>
                <w:rtl w:val="true"/>
              </w:rPr>
              <w:tab/>
            </w:r>
            <w:r>
              <w:rPr>
                <w:rStyle w:val="IndexLink"/>
              </w:rPr>
              <w:t>24</w:t>
            </w:r>
          </w:hyperlink>
        </w:p>
        <w:p>
          <w:pPr>
            <w:pStyle w:val="Contents5"/>
            <w:tabs>
              <w:tab w:val="clear" w:pos="7892"/>
              <w:tab w:val="right" w:pos="9026" w:leader="dot"/>
            </w:tabs>
            <w:rPr/>
          </w:pPr>
          <w:hyperlink w:anchor="__RefHeading___Toc506483_1395250215">
            <w:r>
              <w:rPr>
                <w:webHidden/>
                <w:rStyle w:val="IndexLink"/>
              </w:rPr>
              <w:t>3</w:t>
            </w:r>
            <w:r>
              <w:rPr>
                <w:rStyle w:val="IndexLink"/>
                <w:rtl w:val="true"/>
              </w:rPr>
              <w:t xml:space="preserve"> . </w:t>
            </w:r>
            <w:r>
              <w:rPr>
                <w:rStyle w:val="IndexLink"/>
                <w:rtl w:val="true"/>
              </w:rPr>
              <w:t>نصوص</w:t>
            </w:r>
            <w:r>
              <w:rPr>
                <w:rStyle w:val="IndexLink"/>
                <w:rtl w:val="true"/>
              </w:rPr>
              <w:tab/>
            </w:r>
            <w:r>
              <w:rPr>
                <w:rStyle w:val="IndexLink"/>
              </w:rPr>
              <w:t>24</w:t>
            </w:r>
          </w:hyperlink>
        </w:p>
        <w:p>
          <w:pPr>
            <w:pStyle w:val="Contents5"/>
            <w:tabs>
              <w:tab w:val="clear" w:pos="7892"/>
              <w:tab w:val="right" w:pos="9026" w:leader="dot"/>
            </w:tabs>
            <w:rPr/>
          </w:pPr>
          <w:hyperlink w:anchor="__RefHeading___Toc506485_1395250215">
            <w:r>
              <w:rPr>
                <w:webHidden/>
                <w:rStyle w:val="IndexLink"/>
              </w:rPr>
              <w:t>4</w:t>
            </w:r>
            <w:r>
              <w:rPr>
                <w:rStyle w:val="IndexLink"/>
                <w:rtl w:val="true"/>
              </w:rPr>
              <w:t xml:space="preserve"> . </w:t>
            </w:r>
            <w:r>
              <w:rPr>
                <w:rStyle w:val="IndexLink"/>
                <w:rtl w:val="true"/>
              </w:rPr>
              <w:t>اجماع</w:t>
            </w:r>
            <w:r>
              <w:rPr>
                <w:rStyle w:val="IndexLink"/>
                <w:rtl w:val="true"/>
              </w:rPr>
              <w:tab/>
            </w:r>
            <w:r>
              <w:rPr>
                <w:rStyle w:val="IndexLink"/>
              </w:rPr>
              <w:t>24</w:t>
            </w:r>
          </w:hyperlink>
        </w:p>
        <w:p>
          <w:pPr>
            <w:pStyle w:val="Contents4"/>
            <w:tabs>
              <w:tab w:val="clear" w:pos="8176"/>
              <w:tab w:val="right" w:pos="9026" w:leader="dot"/>
            </w:tabs>
            <w:rPr/>
          </w:pPr>
          <w:hyperlink w:anchor="__RefHeading___Toc506487_1395250215">
            <w:r>
              <w:rPr>
                <w:webHidden/>
                <w:rStyle w:val="IndexLink"/>
                <w:rtl w:val="true"/>
              </w:rPr>
              <w:t>نقد و برسی</w:t>
            </w:r>
            <w:r>
              <w:rPr>
                <w:rStyle w:val="IndexLink"/>
                <w:rtl w:val="true"/>
              </w:rPr>
              <w:tab/>
            </w:r>
            <w:r>
              <w:rPr>
                <w:rStyle w:val="IndexLink"/>
              </w:rPr>
              <w:t>24</w:t>
            </w:r>
          </w:hyperlink>
        </w:p>
        <w:p>
          <w:pPr>
            <w:pStyle w:val="Contents3"/>
            <w:tabs>
              <w:tab w:val="clear" w:pos="8459"/>
              <w:tab w:val="right" w:pos="9026" w:leader="dot"/>
            </w:tabs>
            <w:rPr/>
          </w:pPr>
          <w:hyperlink w:anchor="__RefHeading___Toc506489_1395250215">
            <w:r>
              <w:rPr>
                <w:webHidden/>
                <w:rStyle w:val="IndexLink"/>
                <w:rtl w:val="true"/>
              </w:rPr>
              <w:t>نظریه پنجم</w:t>
            </w:r>
            <w:r>
              <w:rPr>
                <w:rStyle w:val="IndexLink"/>
                <w:rtl w:val="true"/>
              </w:rPr>
              <w:t xml:space="preserve">: </w:t>
            </w:r>
            <w:r>
              <w:rPr>
                <w:rStyle w:val="IndexLink"/>
                <w:rtl w:val="true"/>
              </w:rPr>
              <w:t>تفصیل</w:t>
            </w:r>
            <w:r>
              <w:rPr>
                <w:rStyle w:val="IndexLink"/>
                <w:rtl w:val="true"/>
              </w:rPr>
              <w:tab/>
            </w:r>
            <w:r>
              <w:rPr>
                <w:rStyle w:val="IndexLink"/>
              </w:rPr>
              <w:t>25</w:t>
            </w:r>
          </w:hyperlink>
        </w:p>
        <w:p>
          <w:pPr>
            <w:pStyle w:val="Contents3"/>
            <w:tabs>
              <w:tab w:val="clear" w:pos="8459"/>
              <w:tab w:val="right" w:pos="9026" w:leader="dot"/>
            </w:tabs>
            <w:rPr/>
          </w:pPr>
          <w:hyperlink w:anchor="__RefHeading___Toc506491_1395250215">
            <w:r>
              <w:rPr>
                <w:webHidden/>
                <w:rStyle w:val="IndexLink"/>
                <w:rtl w:val="true"/>
              </w:rPr>
              <w:t>نظریه مختار</w:t>
            </w:r>
            <w:r>
              <w:rPr>
                <w:rStyle w:val="IndexLink"/>
                <w:rtl w:val="true"/>
              </w:rPr>
              <w:tab/>
            </w:r>
            <w:r>
              <w:rPr>
                <w:rStyle w:val="IndexLink"/>
              </w:rPr>
              <w:t>25</w:t>
            </w:r>
          </w:hyperlink>
        </w:p>
        <w:p>
          <w:pPr>
            <w:pStyle w:val="Contents3"/>
            <w:tabs>
              <w:tab w:val="clear" w:pos="8459"/>
              <w:tab w:val="right" w:pos="9026" w:leader="dot"/>
            </w:tabs>
            <w:rPr/>
          </w:pPr>
          <w:hyperlink w:anchor="__RefHeading___Toc506493_1395250215">
            <w:r>
              <w:rPr>
                <w:webHidden/>
                <w:rStyle w:val="IndexLink"/>
                <w:rtl w:val="true"/>
              </w:rPr>
              <w:t>منابع</w:t>
            </w:r>
            <w:r>
              <w:rPr>
                <w:rStyle w:val="IndexLink"/>
                <w:rtl w:val="true"/>
              </w:rPr>
              <w:tab/>
            </w:r>
            <w:r>
              <w:rPr>
                <w:rStyle w:val="IndexLink"/>
              </w:rPr>
              <w:t>26</w:t>
            </w:r>
          </w:hyperlink>
        </w:p>
        <w:p>
          <w:pPr>
            <w:pStyle w:val="Contents2"/>
            <w:tabs>
              <w:tab w:val="clear" w:pos="8743"/>
              <w:tab w:val="right" w:pos="9026" w:leader="dot"/>
            </w:tabs>
            <w:rPr/>
          </w:pPr>
          <w:hyperlink w:anchor="__RefHeading___Toc506495_1395250215">
            <w:r>
              <w:rPr>
                <w:webHidden/>
                <w:rStyle w:val="IndexLink"/>
                <w:rtl w:val="true"/>
              </w:rPr>
              <w:t>گستره معنایی حکمت الهی در کلام امامیه</w:t>
            </w:r>
            <w:r>
              <w:rPr>
                <w:rStyle w:val="IndexLink"/>
                <w:rtl w:val="true"/>
              </w:rPr>
              <w:t xml:space="preserve">/ </w:t>
            </w:r>
            <w:r>
              <w:rPr>
                <w:rStyle w:val="IndexLink"/>
                <w:rtl w:val="true"/>
              </w:rPr>
              <w:t>سیدمحمود موسوی، محمد رنجبرحسینی</w:t>
            </w:r>
            <w:r>
              <w:rPr>
                <w:rStyle w:val="IndexLink"/>
                <w:rtl w:val="true"/>
              </w:rPr>
              <w:tab/>
            </w:r>
            <w:r>
              <w:rPr>
                <w:rStyle w:val="IndexLink"/>
              </w:rPr>
              <w:t>29</w:t>
            </w:r>
          </w:hyperlink>
        </w:p>
        <w:p>
          <w:pPr>
            <w:pStyle w:val="Contents3"/>
            <w:tabs>
              <w:tab w:val="clear" w:pos="8459"/>
              <w:tab w:val="right" w:pos="9026" w:leader="dot"/>
            </w:tabs>
            <w:rPr/>
          </w:pPr>
          <w:hyperlink w:anchor="__RefHeading___Toc506497_1395250215">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506499_1395250215">
            <w:r>
              <w:rPr>
                <w:webHidden/>
                <w:rStyle w:val="IndexLink"/>
                <w:rtl w:val="true"/>
              </w:rPr>
              <w:t>چکیده</w:t>
            </w:r>
            <w:r>
              <w:rPr>
                <w:rStyle w:val="IndexLink"/>
                <w:rtl w:val="true"/>
              </w:rPr>
              <w:tab/>
            </w:r>
            <w:r>
              <w:rPr>
                <w:rStyle w:val="IndexLink"/>
              </w:rPr>
              <w:t>29</w:t>
            </w:r>
          </w:hyperlink>
        </w:p>
        <w:p>
          <w:pPr>
            <w:pStyle w:val="Contents3"/>
            <w:tabs>
              <w:tab w:val="clear" w:pos="8459"/>
              <w:tab w:val="right" w:pos="9026" w:leader="dot"/>
            </w:tabs>
            <w:rPr/>
          </w:pPr>
          <w:hyperlink w:anchor="__RefHeading___Toc506501_1395250215">
            <w:r>
              <w:rPr>
                <w:webHidden/>
                <w:rStyle w:val="IndexLink"/>
                <w:rtl w:val="true"/>
              </w:rPr>
              <w:t>واژگان کلیدی</w:t>
            </w:r>
            <w:r>
              <w:rPr>
                <w:rStyle w:val="IndexLink"/>
                <w:rtl w:val="true"/>
              </w:rPr>
              <w:tab/>
            </w:r>
            <w:r>
              <w:rPr>
                <w:rStyle w:val="IndexLink"/>
              </w:rPr>
              <w:t>29</w:t>
            </w:r>
          </w:hyperlink>
        </w:p>
        <w:p>
          <w:pPr>
            <w:pStyle w:val="Contents3"/>
            <w:tabs>
              <w:tab w:val="clear" w:pos="8459"/>
              <w:tab w:val="right" w:pos="9026" w:leader="dot"/>
            </w:tabs>
            <w:rPr/>
          </w:pPr>
          <w:hyperlink w:anchor="__RefHeading___Toc506503_1395250215">
            <w:r>
              <w:rPr>
                <w:webHidden/>
                <w:rStyle w:val="IndexLink"/>
                <w:rtl w:val="true"/>
              </w:rPr>
              <w:t>درآمد</w:t>
            </w:r>
            <w:r>
              <w:rPr>
                <w:rStyle w:val="IndexLink"/>
                <w:rtl w:val="true"/>
              </w:rPr>
              <w:tab/>
            </w:r>
            <w:r>
              <w:rPr>
                <w:rStyle w:val="IndexLink"/>
              </w:rPr>
              <w:t>30</w:t>
            </w:r>
          </w:hyperlink>
        </w:p>
        <w:p>
          <w:pPr>
            <w:pStyle w:val="Contents3"/>
            <w:tabs>
              <w:tab w:val="clear" w:pos="8459"/>
              <w:tab w:val="right" w:pos="9026" w:leader="dot"/>
            </w:tabs>
            <w:rPr/>
          </w:pPr>
          <w:hyperlink w:anchor="__RefHeading___Toc506505_1395250215">
            <w:r>
              <w:rPr>
                <w:webHidden/>
                <w:rStyle w:val="IndexLink"/>
                <w:rtl w:val="true"/>
              </w:rPr>
              <w:t>حکمت</w:t>
            </w:r>
            <w:r>
              <w:rPr>
                <w:rStyle w:val="IndexLink"/>
                <w:rtl w:val="true"/>
              </w:rPr>
              <w:tab/>
            </w:r>
            <w:r>
              <w:rPr>
                <w:rStyle w:val="IndexLink"/>
              </w:rPr>
              <w:t>30</w:t>
            </w:r>
          </w:hyperlink>
        </w:p>
        <w:p>
          <w:pPr>
            <w:pStyle w:val="Contents4"/>
            <w:tabs>
              <w:tab w:val="clear" w:pos="8176"/>
              <w:tab w:val="right" w:pos="9026" w:leader="dot"/>
            </w:tabs>
            <w:rPr/>
          </w:pPr>
          <w:hyperlink w:anchor="__RefHeading___Toc506507_1395250215">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506509_1395250215">
            <w:r>
              <w:rPr>
                <w:webHidden/>
                <w:rStyle w:val="IndexLink"/>
                <w:rtl w:val="true"/>
              </w:rPr>
              <w:t>الف</w:t>
            </w:r>
            <w:r>
              <w:rPr>
                <w:rStyle w:val="IndexLink"/>
                <w:rtl w:val="true"/>
              </w:rPr>
              <w:t xml:space="preserve">. </w:t>
            </w:r>
            <w:r>
              <w:rPr>
                <w:rStyle w:val="IndexLink"/>
                <w:rtl w:val="true"/>
              </w:rPr>
              <w:t>حکمت به معنای اجتناب از از فعل قبیح و اخلال در امر واجب</w:t>
            </w:r>
            <w:r>
              <w:rPr>
                <w:rStyle w:val="IndexLink"/>
                <w:rtl w:val="true"/>
              </w:rPr>
              <w:tab/>
            </w:r>
            <w:r>
              <w:rPr>
                <w:rStyle w:val="IndexLink"/>
              </w:rPr>
              <w:t>31</w:t>
            </w:r>
          </w:hyperlink>
        </w:p>
        <w:p>
          <w:pPr>
            <w:pStyle w:val="Contents5"/>
            <w:tabs>
              <w:tab w:val="clear" w:pos="7892"/>
              <w:tab w:val="right" w:pos="9026" w:leader="dot"/>
            </w:tabs>
            <w:rPr/>
          </w:pPr>
          <w:hyperlink w:anchor="__RefHeading___Toc506511_1395250215">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506513_1395250215">
            <w:r>
              <w:rPr>
                <w:webHidden/>
                <w:rStyle w:val="IndexLink"/>
                <w:rtl w:val="true"/>
              </w:rPr>
              <w:t>ظلم</w:t>
            </w:r>
            <w:r>
              <w:rPr>
                <w:rStyle w:val="IndexLink"/>
                <w:rtl w:val="true"/>
              </w:rPr>
              <w:tab/>
            </w:r>
            <w:r>
              <w:rPr>
                <w:rStyle w:val="IndexLink"/>
              </w:rPr>
              <w:t>32</w:t>
            </w:r>
          </w:hyperlink>
        </w:p>
        <w:p>
          <w:pPr>
            <w:pStyle w:val="Contents5"/>
            <w:tabs>
              <w:tab w:val="clear" w:pos="7892"/>
              <w:tab w:val="right" w:pos="9026" w:leader="dot"/>
            </w:tabs>
            <w:rPr/>
          </w:pPr>
          <w:hyperlink w:anchor="__RefHeading___Toc506515_1395250215">
            <w:r>
              <w:rPr>
                <w:webHidden/>
                <w:rStyle w:val="IndexLink"/>
                <w:rtl w:val="true"/>
              </w:rPr>
              <w:t>عبث بودن</w:t>
            </w:r>
            <w:r>
              <w:rPr>
                <w:rStyle w:val="IndexLink"/>
                <w:rtl w:val="true"/>
              </w:rPr>
              <w:tab/>
            </w:r>
            <w:r>
              <w:rPr>
                <w:rStyle w:val="IndexLink"/>
              </w:rPr>
              <w:t>33</w:t>
            </w:r>
          </w:hyperlink>
        </w:p>
        <w:p>
          <w:pPr>
            <w:pStyle w:val="Contents5"/>
            <w:tabs>
              <w:tab w:val="clear" w:pos="7892"/>
              <w:tab w:val="right" w:pos="9026" w:leader="dot"/>
            </w:tabs>
            <w:rPr/>
          </w:pPr>
          <w:hyperlink w:anchor="__RefHeading___Toc506517_1395250215">
            <w:r>
              <w:rPr>
                <w:webHidden/>
                <w:rStyle w:val="IndexLink"/>
                <w:rtl w:val="true"/>
              </w:rPr>
              <w:t>نقض غرض</w:t>
            </w:r>
            <w:r>
              <w:rPr>
                <w:rStyle w:val="IndexLink"/>
                <w:rtl w:val="true"/>
              </w:rPr>
              <w:tab/>
            </w:r>
            <w:r>
              <w:rPr>
                <w:rStyle w:val="IndexLink"/>
              </w:rPr>
              <w:t>34</w:t>
            </w:r>
          </w:hyperlink>
        </w:p>
        <w:p>
          <w:pPr>
            <w:pStyle w:val="Contents5"/>
            <w:tabs>
              <w:tab w:val="clear" w:pos="7892"/>
              <w:tab w:val="right" w:pos="9026" w:leader="dot"/>
            </w:tabs>
            <w:rPr/>
          </w:pPr>
          <w:hyperlink w:anchor="__RefHeading___Toc506519_1395250215">
            <w:r>
              <w:rPr>
                <w:webHidden/>
                <w:rStyle w:val="IndexLink"/>
                <w:rtl w:val="true"/>
              </w:rPr>
              <w:t>کذب</w:t>
            </w:r>
            <w:r>
              <w:rPr>
                <w:rStyle w:val="IndexLink"/>
                <w:rtl w:val="true"/>
              </w:rPr>
              <w:tab/>
            </w:r>
            <w:r>
              <w:rPr>
                <w:rStyle w:val="IndexLink"/>
              </w:rPr>
              <w:t>35</w:t>
            </w:r>
          </w:hyperlink>
        </w:p>
        <w:p>
          <w:pPr>
            <w:pStyle w:val="Contents6"/>
            <w:tabs>
              <w:tab w:val="clear" w:pos="7609"/>
              <w:tab w:val="right" w:pos="9026" w:leader="dot"/>
            </w:tabs>
            <w:rPr/>
          </w:pPr>
          <w:hyperlink w:anchor="__RefHeading___Toc506521_1395250215">
            <w:r>
              <w:rPr>
                <w:webHidden/>
                <w:rStyle w:val="IndexLink"/>
                <w:rtl w:val="true"/>
              </w:rPr>
              <w:t>اشاره</w:t>
            </w:r>
            <w:r>
              <w:rPr>
                <w:rStyle w:val="IndexLink"/>
                <w:rtl w:val="true"/>
              </w:rPr>
              <w:tab/>
            </w:r>
            <w:r>
              <w:rPr>
                <w:rStyle w:val="IndexLink"/>
              </w:rPr>
              <w:t>35</w:t>
            </w:r>
          </w:hyperlink>
        </w:p>
        <w:p>
          <w:pPr>
            <w:pStyle w:val="Contents6"/>
            <w:tabs>
              <w:tab w:val="clear" w:pos="7609"/>
              <w:tab w:val="right" w:pos="9026" w:leader="dot"/>
            </w:tabs>
            <w:rPr/>
          </w:pPr>
          <w:hyperlink w:anchor="__RefHeading___Toc506523_1395250215">
            <w:r>
              <w:rPr>
                <w:webHidden/>
                <w:rStyle w:val="IndexLink"/>
                <w:rtl w:val="true"/>
              </w:rPr>
              <w:t>براهین متکلمان امامیه</w:t>
            </w:r>
            <w:r>
              <w:rPr>
                <w:rStyle w:val="IndexLink"/>
                <w:rtl w:val="true"/>
              </w:rPr>
              <w:tab/>
            </w:r>
            <w:r>
              <w:rPr>
                <w:rStyle w:val="IndexLink"/>
              </w:rPr>
              <w:t>36</w:t>
            </w:r>
          </w:hyperlink>
        </w:p>
        <w:p>
          <w:pPr>
            <w:pStyle w:val="Contents6"/>
            <w:tabs>
              <w:tab w:val="clear" w:pos="7609"/>
              <w:tab w:val="right" w:pos="9026" w:leader="dot"/>
            </w:tabs>
            <w:rPr/>
          </w:pPr>
          <w:hyperlink w:anchor="__RefHeading___Toc506525_1395250215">
            <w:r>
              <w:rPr>
                <w:webHidden/>
                <w:rStyle w:val="IndexLink"/>
                <w:rtl w:val="true"/>
              </w:rPr>
              <w:t>اشاره</w:t>
            </w:r>
            <w:r>
              <w:rPr>
                <w:rStyle w:val="IndexLink"/>
                <w:rtl w:val="true"/>
              </w:rPr>
              <w:tab/>
            </w:r>
            <w:r>
              <w:rPr>
                <w:rStyle w:val="IndexLink"/>
              </w:rPr>
              <w:t>36</w:t>
            </w:r>
          </w:hyperlink>
        </w:p>
        <w:p>
          <w:pPr>
            <w:pStyle w:val="Contents6"/>
            <w:tabs>
              <w:tab w:val="clear" w:pos="7609"/>
              <w:tab w:val="right" w:pos="9026" w:leader="dot"/>
            </w:tabs>
            <w:rPr/>
          </w:pPr>
          <w:hyperlink w:anchor="__RefHeading___Toc506527_1395250215">
            <w:r>
              <w:rPr>
                <w:webHidden/>
                <w:rStyle w:val="IndexLink"/>
              </w:rPr>
              <w:t>1</w:t>
            </w:r>
            <w:r>
              <w:rPr>
                <w:rStyle w:val="IndexLink"/>
                <w:rtl w:val="true"/>
              </w:rPr>
              <w:t xml:space="preserve"> . </w:t>
            </w:r>
            <w:r>
              <w:rPr>
                <w:rStyle w:val="IndexLink"/>
                <w:rtl w:val="true"/>
              </w:rPr>
              <w:t>حکمت خداوند</w:t>
            </w:r>
            <w:r>
              <w:rPr>
                <w:rStyle w:val="IndexLink"/>
                <w:rtl w:val="true"/>
              </w:rPr>
              <w:tab/>
            </w:r>
            <w:r>
              <w:rPr>
                <w:rStyle w:val="IndexLink"/>
              </w:rPr>
              <w:t>36</w:t>
            </w:r>
          </w:hyperlink>
        </w:p>
        <w:p>
          <w:pPr>
            <w:pStyle w:val="Contents6"/>
            <w:tabs>
              <w:tab w:val="clear" w:pos="7609"/>
              <w:tab w:val="right" w:pos="9026" w:leader="dot"/>
            </w:tabs>
            <w:rPr/>
          </w:pPr>
          <w:hyperlink w:anchor="__RefHeading___Toc506529_1395250215">
            <w:r>
              <w:rPr>
                <w:webHidden/>
                <w:rStyle w:val="IndexLink"/>
              </w:rPr>
              <w:t>2</w:t>
            </w:r>
            <w:r>
              <w:rPr>
                <w:rStyle w:val="IndexLink"/>
                <w:rtl w:val="true"/>
              </w:rPr>
              <w:t xml:space="preserve">. </w:t>
            </w:r>
            <w:r>
              <w:rPr>
                <w:rStyle w:val="IndexLink"/>
                <w:rtl w:val="true"/>
              </w:rPr>
              <w:t>استغنا و علم خداوند</w:t>
            </w:r>
            <w:r>
              <w:rPr>
                <w:rStyle w:val="IndexLink"/>
                <w:rtl w:val="true"/>
              </w:rPr>
              <w:tab/>
            </w:r>
            <w:r>
              <w:rPr>
                <w:rStyle w:val="IndexLink"/>
              </w:rPr>
              <w:t>36</w:t>
            </w:r>
          </w:hyperlink>
        </w:p>
        <w:p>
          <w:pPr>
            <w:pStyle w:val="Contents4"/>
            <w:tabs>
              <w:tab w:val="clear" w:pos="8176"/>
              <w:tab w:val="right" w:pos="9026" w:leader="dot"/>
            </w:tabs>
            <w:rPr/>
          </w:pPr>
          <w:hyperlink w:anchor="__RefHeading___Toc506531_1395250215">
            <w:r>
              <w:rPr>
                <w:webHidden/>
                <w:rStyle w:val="IndexLink"/>
                <w:rtl w:val="true"/>
              </w:rPr>
              <w:t xml:space="preserve">ب </w:t>
            </w:r>
            <w:r>
              <w:rPr>
                <w:rStyle w:val="IndexLink"/>
                <w:rtl w:val="true"/>
              </w:rPr>
              <w:t xml:space="preserve">. </w:t>
            </w:r>
            <w:r>
              <w:rPr>
                <w:rStyle w:val="IndexLink"/>
                <w:rtl w:val="true"/>
              </w:rPr>
              <w:t>حکمت به معنای اتقان صنع</w:t>
            </w:r>
            <w:r>
              <w:rPr>
                <w:rStyle w:val="IndexLink"/>
                <w:rtl w:val="true"/>
              </w:rPr>
              <w:tab/>
            </w:r>
            <w:r>
              <w:rPr>
                <w:rStyle w:val="IndexLink"/>
              </w:rPr>
              <w:t>36</w:t>
            </w:r>
          </w:hyperlink>
        </w:p>
        <w:p>
          <w:pPr>
            <w:pStyle w:val="Contents4"/>
            <w:tabs>
              <w:tab w:val="clear" w:pos="8176"/>
              <w:tab w:val="right" w:pos="9026" w:leader="dot"/>
            </w:tabs>
            <w:rPr/>
          </w:pPr>
          <w:hyperlink w:anchor="__RefHeading___Toc506533_1395250215">
            <w:r>
              <w:rPr>
                <w:webHidden/>
                <w:rStyle w:val="IndexLink"/>
                <w:rtl w:val="true"/>
              </w:rPr>
              <w:t>ج</w:t>
            </w:r>
            <w:r>
              <w:rPr>
                <w:rStyle w:val="IndexLink"/>
                <w:rtl w:val="true"/>
              </w:rPr>
              <w:t xml:space="preserve">. </w:t>
            </w:r>
            <w:r>
              <w:rPr>
                <w:rStyle w:val="IndexLink"/>
                <w:rtl w:val="true"/>
              </w:rPr>
              <w:t>حکمت به معنای معرفت به حقایق اشیا</w:t>
            </w:r>
            <w:r>
              <w:rPr>
                <w:rStyle w:val="IndexLink"/>
                <w:rtl w:val="true"/>
              </w:rPr>
              <w:tab/>
            </w:r>
            <w:r>
              <w:rPr>
                <w:rStyle w:val="IndexLink"/>
              </w:rPr>
              <w:t>38</w:t>
            </w:r>
          </w:hyperlink>
        </w:p>
        <w:p>
          <w:pPr>
            <w:pStyle w:val="Contents3"/>
            <w:tabs>
              <w:tab w:val="clear" w:pos="8459"/>
              <w:tab w:val="right" w:pos="9026" w:leader="dot"/>
            </w:tabs>
            <w:rPr/>
          </w:pPr>
          <w:hyperlink w:anchor="__RefHeading___Toc506535_1395250215">
            <w:r>
              <w:rPr>
                <w:webHidden/>
                <w:rStyle w:val="IndexLink"/>
                <w:rtl w:val="true"/>
              </w:rPr>
              <w:t>نتیجه گیری</w:t>
            </w:r>
            <w:r>
              <w:rPr>
                <w:rStyle w:val="IndexLink"/>
                <w:rtl w:val="true"/>
              </w:rPr>
              <w:tab/>
            </w:r>
            <w:r>
              <w:rPr>
                <w:rStyle w:val="IndexLink"/>
              </w:rPr>
              <w:t>38</w:t>
            </w:r>
          </w:hyperlink>
        </w:p>
        <w:p>
          <w:pPr>
            <w:pStyle w:val="Contents3"/>
            <w:tabs>
              <w:tab w:val="clear" w:pos="8459"/>
              <w:tab w:val="right" w:pos="9026" w:leader="dot"/>
            </w:tabs>
            <w:rPr/>
          </w:pPr>
          <w:hyperlink w:anchor="__RefHeading___Toc506537_1395250215">
            <w:r>
              <w:rPr>
                <w:webHidden/>
                <w:rStyle w:val="IndexLink"/>
                <w:rtl w:val="true"/>
              </w:rPr>
              <w:t>منابع</w:t>
            </w:r>
            <w:r>
              <w:rPr>
                <w:rStyle w:val="IndexLink"/>
                <w:rtl w:val="true"/>
              </w:rPr>
              <w:tab/>
            </w:r>
            <w:r>
              <w:rPr>
                <w:rStyle w:val="IndexLink"/>
              </w:rPr>
              <w:t>40</w:t>
            </w:r>
          </w:hyperlink>
        </w:p>
        <w:p>
          <w:pPr>
            <w:pStyle w:val="Contents2"/>
            <w:tabs>
              <w:tab w:val="clear" w:pos="8743"/>
              <w:tab w:val="right" w:pos="9026" w:leader="dot"/>
            </w:tabs>
            <w:rPr/>
          </w:pPr>
          <w:hyperlink w:anchor="__RefHeading___Toc506539_1395250215">
            <w:r>
              <w:rPr>
                <w:webHidden/>
                <w:rStyle w:val="IndexLink"/>
                <w:rtl w:val="true"/>
              </w:rPr>
              <w:t>ابان بن تغلب؛ متکلمی از تبار محدثان امامی</w:t>
            </w:r>
            <w:r>
              <w:rPr>
                <w:rStyle w:val="IndexLink"/>
                <w:rtl w:val="true"/>
              </w:rPr>
              <w:t xml:space="preserve">/ </w:t>
            </w:r>
            <w:r>
              <w:rPr>
                <w:rStyle w:val="IndexLink"/>
                <w:rtl w:val="true"/>
              </w:rPr>
              <w:t>محمد جاودان، حسین منصوری</w:t>
            </w:r>
            <w:r>
              <w:rPr>
                <w:rStyle w:val="IndexLink"/>
                <w:rtl w:val="true"/>
              </w:rPr>
              <w:t>¬</w:t>
            </w:r>
            <w:r>
              <w:rPr>
                <w:rStyle w:val="IndexLink"/>
                <w:rtl w:val="true"/>
              </w:rPr>
              <w:t>راد</w:t>
            </w:r>
            <w:r>
              <w:rPr>
                <w:rStyle w:val="IndexLink"/>
                <w:rtl w:val="true"/>
              </w:rPr>
              <w:tab/>
            </w:r>
            <w:r>
              <w:rPr>
                <w:rStyle w:val="IndexLink"/>
              </w:rPr>
              <w:t>45</w:t>
            </w:r>
          </w:hyperlink>
        </w:p>
        <w:p>
          <w:pPr>
            <w:pStyle w:val="Contents3"/>
            <w:tabs>
              <w:tab w:val="clear" w:pos="8459"/>
              <w:tab w:val="right" w:pos="9026" w:leader="dot"/>
            </w:tabs>
            <w:rPr/>
          </w:pPr>
          <w:hyperlink w:anchor="__RefHeading___Toc506541_1395250215">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506543_1395250215">
            <w:r>
              <w:rPr>
                <w:webHidden/>
                <w:rStyle w:val="IndexLink"/>
                <w:rtl w:val="true"/>
              </w:rPr>
              <w:t>چکیده</w:t>
            </w:r>
            <w:r>
              <w:rPr>
                <w:rStyle w:val="IndexLink"/>
                <w:rtl w:val="true"/>
              </w:rPr>
              <w:tab/>
            </w:r>
            <w:r>
              <w:rPr>
                <w:rStyle w:val="IndexLink"/>
              </w:rPr>
              <w:t>45</w:t>
            </w:r>
          </w:hyperlink>
        </w:p>
        <w:p>
          <w:pPr>
            <w:pStyle w:val="Contents3"/>
            <w:tabs>
              <w:tab w:val="clear" w:pos="8459"/>
              <w:tab w:val="right" w:pos="9026" w:leader="dot"/>
            </w:tabs>
            <w:rPr/>
          </w:pPr>
          <w:hyperlink w:anchor="__RefHeading___Toc506545_1395250215">
            <w:r>
              <w:rPr>
                <w:webHidden/>
                <w:rStyle w:val="IndexLink"/>
                <w:rtl w:val="true"/>
              </w:rPr>
              <w:t>واژگان کلیدی</w:t>
            </w:r>
            <w:r>
              <w:rPr>
                <w:rStyle w:val="IndexLink"/>
                <w:rtl w:val="true"/>
              </w:rPr>
              <w:tab/>
            </w:r>
            <w:r>
              <w:rPr>
                <w:rStyle w:val="IndexLink"/>
              </w:rPr>
              <w:t>45</w:t>
            </w:r>
          </w:hyperlink>
        </w:p>
        <w:p>
          <w:pPr>
            <w:pStyle w:val="Contents3"/>
            <w:tabs>
              <w:tab w:val="clear" w:pos="8459"/>
              <w:tab w:val="right" w:pos="9026" w:leader="dot"/>
            </w:tabs>
            <w:rPr/>
          </w:pPr>
          <w:hyperlink w:anchor="__RefHeading___Toc506547_1395250215">
            <w:r>
              <w:rPr>
                <w:webHidden/>
                <w:rStyle w:val="IndexLink"/>
                <w:rtl w:val="true"/>
              </w:rPr>
              <w:t>مقدمه</w:t>
            </w:r>
            <w:r>
              <w:rPr>
                <w:rStyle w:val="IndexLink"/>
                <w:rtl w:val="true"/>
              </w:rPr>
              <w:tab/>
            </w:r>
            <w:r>
              <w:rPr>
                <w:rStyle w:val="IndexLink"/>
              </w:rPr>
              <w:t>46</w:t>
            </w:r>
          </w:hyperlink>
        </w:p>
        <w:p>
          <w:pPr>
            <w:pStyle w:val="Contents3"/>
            <w:tabs>
              <w:tab w:val="clear" w:pos="8459"/>
              <w:tab w:val="right" w:pos="9026" w:leader="dot"/>
            </w:tabs>
            <w:rPr/>
          </w:pPr>
          <w:hyperlink w:anchor="__RefHeading___Toc506549_1395250215">
            <w:r>
              <w:rPr>
                <w:webHidden/>
                <w:rStyle w:val="IndexLink"/>
                <w:rtl w:val="true"/>
              </w:rPr>
              <w:t>مهم ترین جریان‌های کلامی کوفه در دوران ابان بن تغلب</w:t>
            </w:r>
            <w:r>
              <w:rPr>
                <w:rStyle w:val="IndexLink"/>
                <w:rtl w:val="true"/>
              </w:rPr>
              <w:tab/>
            </w:r>
            <w:r>
              <w:rPr>
                <w:rStyle w:val="IndexLink"/>
              </w:rPr>
              <w:t>47</w:t>
            </w:r>
          </w:hyperlink>
        </w:p>
        <w:p>
          <w:pPr>
            <w:pStyle w:val="Contents3"/>
            <w:tabs>
              <w:tab w:val="clear" w:pos="8459"/>
              <w:tab w:val="right" w:pos="9026" w:leader="dot"/>
            </w:tabs>
            <w:rPr/>
          </w:pPr>
          <w:hyperlink w:anchor="__RefHeading___Toc506551_1395250215">
            <w:r>
              <w:rPr>
                <w:webHidden/>
                <w:rStyle w:val="IndexLink"/>
                <w:rtl w:val="true"/>
              </w:rPr>
              <w:t>زیست‌نامه ابان بن تغلب</w:t>
            </w:r>
            <w:r>
              <w:rPr>
                <w:rStyle w:val="IndexLink"/>
                <w:rtl w:val="true"/>
              </w:rPr>
              <w:tab/>
            </w:r>
            <w:r>
              <w:rPr>
                <w:rStyle w:val="IndexLink"/>
              </w:rPr>
              <w:t>48</w:t>
            </w:r>
          </w:hyperlink>
        </w:p>
        <w:p>
          <w:pPr>
            <w:pStyle w:val="Contents3"/>
            <w:tabs>
              <w:tab w:val="clear" w:pos="8459"/>
              <w:tab w:val="right" w:pos="9026" w:leader="dot"/>
            </w:tabs>
            <w:rPr/>
          </w:pPr>
          <w:hyperlink w:anchor="__RefHeading___Toc506553_1395250215">
            <w:r>
              <w:rPr>
                <w:webHidden/>
                <w:rStyle w:val="IndexLink"/>
                <w:rtl w:val="true"/>
              </w:rPr>
              <w:t>فراوانی روایت های اعتقادی و اسامی آثار ایشان</w:t>
            </w:r>
            <w:r>
              <w:rPr>
                <w:rStyle w:val="IndexLink"/>
                <w:rtl w:val="true"/>
              </w:rPr>
              <w:tab/>
            </w:r>
            <w:r>
              <w:rPr>
                <w:rStyle w:val="IndexLink"/>
              </w:rPr>
              <w:t>50</w:t>
            </w:r>
          </w:hyperlink>
        </w:p>
        <w:p>
          <w:pPr>
            <w:pStyle w:val="Contents4"/>
            <w:tabs>
              <w:tab w:val="clear" w:pos="8176"/>
              <w:tab w:val="right" w:pos="9026" w:leader="dot"/>
            </w:tabs>
            <w:rPr/>
          </w:pPr>
          <w:hyperlink w:anchor="__RefHeading___Toc506555_1395250215">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506557_1395250215">
            <w:r>
              <w:rPr>
                <w:webHidden/>
                <w:rStyle w:val="IndexLink"/>
              </w:rPr>
              <w:t>1</w:t>
            </w:r>
            <w:r>
              <w:rPr>
                <w:rStyle w:val="IndexLink"/>
                <w:rtl w:val="true"/>
              </w:rPr>
              <w:t>.</w:t>
            </w:r>
            <w:r>
              <w:rPr>
                <w:rStyle w:val="IndexLink"/>
                <w:rtl w:val="true"/>
              </w:rPr>
              <w:t>ابان بن تغلب می گوید</w:t>
            </w:r>
            <w:r>
              <w:rPr>
                <w:rStyle w:val="IndexLink"/>
                <w:rtl w:val="true"/>
              </w:rPr>
              <w:t>:</w:t>
              <w:tab/>
            </w:r>
            <w:r>
              <w:rPr>
                <w:rStyle w:val="IndexLink"/>
              </w:rPr>
              <w:t>50</w:t>
            </w:r>
          </w:hyperlink>
        </w:p>
        <w:p>
          <w:pPr>
            <w:pStyle w:val="Contents4"/>
            <w:tabs>
              <w:tab w:val="clear" w:pos="8176"/>
              <w:tab w:val="right" w:pos="9026" w:leader="dot"/>
            </w:tabs>
            <w:rPr/>
          </w:pPr>
          <w:hyperlink w:anchor="__RefHeading___Toc506559_1395250215">
            <w:r>
              <w:rPr>
                <w:webHidden/>
                <w:rStyle w:val="IndexLink"/>
              </w:rPr>
              <w:t>2</w:t>
            </w:r>
            <w:r>
              <w:rPr>
                <w:rStyle w:val="IndexLink"/>
                <w:rtl w:val="true"/>
              </w:rPr>
              <w:t>.</w:t>
            </w:r>
            <w:r>
              <w:rPr>
                <w:rStyle w:val="IndexLink"/>
                <w:rtl w:val="true"/>
              </w:rPr>
              <w:t>ابان بن تغلب می گوید به امام صادق</w:t>
            </w:r>
            <w:r>
              <w:rPr>
                <w:rStyle w:val="IndexLink"/>
              </w:rPr>
              <w:t>7</w:t>
            </w:r>
            <w:r>
              <w:rPr>
                <w:rStyle w:val="IndexLink"/>
                <w:rtl w:val="true"/>
              </w:rPr>
              <w:t>عرض شد</w:t>
            </w:r>
            <w:r>
              <w:rPr>
                <w:rStyle w:val="IndexLink"/>
                <w:rtl w:val="true"/>
              </w:rPr>
              <w:t>:</w:t>
              <w:tab/>
            </w:r>
            <w:r>
              <w:rPr>
                <w:rStyle w:val="IndexLink"/>
              </w:rPr>
              <w:t>50</w:t>
            </w:r>
          </w:hyperlink>
        </w:p>
        <w:p>
          <w:pPr>
            <w:pStyle w:val="Contents3"/>
            <w:tabs>
              <w:tab w:val="clear" w:pos="8459"/>
              <w:tab w:val="right" w:pos="9026" w:leader="dot"/>
            </w:tabs>
            <w:rPr/>
          </w:pPr>
          <w:hyperlink w:anchor="__RefHeading___Toc506561_1395250215">
            <w:r>
              <w:rPr>
                <w:webHidden/>
                <w:rStyle w:val="IndexLink"/>
                <w:rtl w:val="true"/>
              </w:rPr>
              <w:t>پرسش و پاسخ‌های کلامی</w:t>
            </w:r>
            <w:r>
              <w:rPr>
                <w:rStyle w:val="IndexLink"/>
                <w:rtl w:val="true"/>
              </w:rPr>
              <w:tab/>
            </w:r>
            <w:r>
              <w:rPr>
                <w:rStyle w:val="IndexLink"/>
              </w:rPr>
              <w:t>51</w:t>
            </w:r>
          </w:hyperlink>
        </w:p>
        <w:p>
          <w:pPr>
            <w:pStyle w:val="Contents3"/>
            <w:tabs>
              <w:tab w:val="clear" w:pos="8459"/>
              <w:tab w:val="right" w:pos="9026" w:leader="dot"/>
            </w:tabs>
            <w:rPr/>
          </w:pPr>
          <w:hyperlink w:anchor="__RefHeading___Toc506563_1395250215">
            <w:r>
              <w:rPr>
                <w:webHidden/>
                <w:rStyle w:val="IndexLink"/>
                <w:rtl w:val="true"/>
              </w:rPr>
              <w:t>توان رویارویی با خصم</w:t>
            </w:r>
            <w:r>
              <w:rPr>
                <w:rStyle w:val="IndexLink"/>
                <w:rtl w:val="true"/>
              </w:rPr>
              <w:tab/>
            </w:r>
            <w:r>
              <w:rPr>
                <w:rStyle w:val="IndexLink"/>
              </w:rPr>
              <w:t>52</w:t>
            </w:r>
          </w:hyperlink>
        </w:p>
        <w:p>
          <w:pPr>
            <w:pStyle w:val="Contents3"/>
            <w:tabs>
              <w:tab w:val="clear" w:pos="8459"/>
              <w:tab w:val="right" w:pos="9026" w:leader="dot"/>
            </w:tabs>
            <w:rPr/>
          </w:pPr>
          <w:hyperlink w:anchor="__RefHeading___Toc506565_1395250215">
            <w:r>
              <w:rPr>
                <w:webHidden/>
                <w:rStyle w:val="IndexLink"/>
                <w:rtl w:val="true"/>
              </w:rPr>
              <w:t>بهره وری عالمانه از فرصت ها</w:t>
            </w:r>
            <w:r>
              <w:rPr>
                <w:rStyle w:val="IndexLink"/>
                <w:rtl w:val="true"/>
              </w:rPr>
              <w:tab/>
            </w:r>
            <w:r>
              <w:rPr>
                <w:rStyle w:val="IndexLink"/>
              </w:rPr>
              <w:t>53</w:t>
            </w:r>
          </w:hyperlink>
        </w:p>
        <w:p>
          <w:pPr>
            <w:pStyle w:val="Contents3"/>
            <w:tabs>
              <w:tab w:val="clear" w:pos="8459"/>
              <w:tab w:val="right" w:pos="9026" w:leader="dot"/>
            </w:tabs>
            <w:rPr/>
          </w:pPr>
          <w:hyperlink w:anchor="__RefHeading___Toc506567_1395250215">
            <w:r>
              <w:rPr>
                <w:webHidden/>
                <w:rStyle w:val="IndexLink"/>
                <w:rtl w:val="true"/>
              </w:rPr>
              <w:t>برآیند شخصیت کلامی او در منابع اهل سنت</w:t>
            </w:r>
            <w:r>
              <w:rPr>
                <w:rStyle w:val="IndexLink"/>
                <w:rtl w:val="true"/>
              </w:rPr>
              <w:tab/>
            </w:r>
            <w:r>
              <w:rPr>
                <w:rStyle w:val="IndexLink"/>
              </w:rPr>
              <w:t>54</w:t>
            </w:r>
          </w:hyperlink>
        </w:p>
        <w:p>
          <w:pPr>
            <w:pStyle w:val="Contents3"/>
            <w:tabs>
              <w:tab w:val="clear" w:pos="8459"/>
              <w:tab w:val="right" w:pos="9026" w:leader="dot"/>
            </w:tabs>
            <w:rPr/>
          </w:pPr>
          <w:hyperlink w:anchor="__RefHeading___Toc506569_1395250215">
            <w:r>
              <w:rPr>
                <w:webHidden/>
                <w:rStyle w:val="IndexLink"/>
                <w:rtl w:val="true"/>
              </w:rPr>
              <w:t>جمع‌بندی</w:t>
            </w:r>
            <w:r>
              <w:rPr>
                <w:rStyle w:val="IndexLink"/>
                <w:rtl w:val="true"/>
              </w:rPr>
              <w:tab/>
            </w:r>
            <w:r>
              <w:rPr>
                <w:rStyle w:val="IndexLink"/>
              </w:rPr>
              <w:t>56</w:t>
            </w:r>
          </w:hyperlink>
        </w:p>
        <w:p>
          <w:pPr>
            <w:pStyle w:val="Contents3"/>
            <w:tabs>
              <w:tab w:val="clear" w:pos="8459"/>
              <w:tab w:val="right" w:pos="9026" w:leader="dot"/>
            </w:tabs>
            <w:rPr/>
          </w:pPr>
          <w:hyperlink w:anchor="__RefHeading___Toc506571_1395250215">
            <w:r>
              <w:rPr>
                <w:webHidden/>
                <w:rStyle w:val="IndexLink"/>
                <w:rtl w:val="true"/>
              </w:rPr>
              <w:t>منابع</w:t>
            </w:r>
            <w:r>
              <w:rPr>
                <w:rStyle w:val="IndexLink"/>
                <w:rtl w:val="true"/>
              </w:rPr>
              <w:tab/>
            </w:r>
            <w:r>
              <w:rPr>
                <w:rStyle w:val="IndexLink"/>
              </w:rPr>
              <w:t>58</w:t>
            </w:r>
          </w:hyperlink>
        </w:p>
        <w:p>
          <w:pPr>
            <w:pStyle w:val="Contents2"/>
            <w:tabs>
              <w:tab w:val="clear" w:pos="8743"/>
              <w:tab w:val="right" w:pos="9026" w:leader="dot"/>
            </w:tabs>
            <w:rPr/>
          </w:pPr>
          <w:hyperlink w:anchor="__RefHeading___Toc506573_1395250215">
            <w:r>
              <w:rPr>
                <w:webHidden/>
                <w:rStyle w:val="IndexLink"/>
                <w:rtl w:val="true"/>
              </w:rPr>
              <w:t>امامیه‌پژوهی در منابع فرقه‌نگاری اهل‌سنت</w:t>
            </w:r>
            <w:r>
              <w:rPr>
                <w:rStyle w:val="IndexLink"/>
                <w:rtl w:val="true"/>
              </w:rPr>
              <w:t xml:space="preserve">/ </w:t>
            </w:r>
            <w:r>
              <w:rPr>
                <w:rStyle w:val="IndexLink"/>
                <w:rtl w:val="true"/>
              </w:rPr>
              <w:t>محمدجواد نجفی، نرگس بهشتی</w:t>
            </w:r>
            <w:r>
              <w:rPr>
                <w:rStyle w:val="IndexLink"/>
                <w:rtl w:val="true"/>
              </w:rPr>
              <w:tab/>
            </w:r>
            <w:r>
              <w:rPr>
                <w:rStyle w:val="IndexLink"/>
              </w:rPr>
              <w:t>61</w:t>
            </w:r>
          </w:hyperlink>
        </w:p>
        <w:p>
          <w:pPr>
            <w:pStyle w:val="Contents3"/>
            <w:tabs>
              <w:tab w:val="clear" w:pos="8459"/>
              <w:tab w:val="right" w:pos="9026" w:leader="dot"/>
            </w:tabs>
            <w:rPr/>
          </w:pPr>
          <w:hyperlink w:anchor="__RefHeading___Toc506575_1395250215">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506577_1395250215">
            <w:r>
              <w:rPr>
                <w:webHidden/>
                <w:rStyle w:val="IndexLink"/>
                <w:rtl w:val="true"/>
              </w:rPr>
              <w:t>چکیده</w:t>
            </w:r>
            <w:r>
              <w:rPr>
                <w:rStyle w:val="IndexLink"/>
                <w:rtl w:val="true"/>
              </w:rPr>
              <w:tab/>
            </w:r>
            <w:r>
              <w:rPr>
                <w:rStyle w:val="IndexLink"/>
              </w:rPr>
              <w:t>62</w:t>
            </w:r>
          </w:hyperlink>
        </w:p>
        <w:p>
          <w:pPr>
            <w:pStyle w:val="Contents3"/>
            <w:tabs>
              <w:tab w:val="clear" w:pos="8459"/>
              <w:tab w:val="right" w:pos="9026" w:leader="dot"/>
            </w:tabs>
            <w:rPr/>
          </w:pPr>
          <w:hyperlink w:anchor="__RefHeading___Toc506579_1395250215">
            <w:r>
              <w:rPr>
                <w:webHidden/>
                <w:rStyle w:val="IndexLink"/>
                <w:rtl w:val="true"/>
              </w:rPr>
              <w:t>واژگان کلیدی</w:t>
            </w:r>
            <w:r>
              <w:rPr>
                <w:rStyle w:val="IndexLink"/>
                <w:rtl w:val="true"/>
              </w:rPr>
              <w:tab/>
            </w:r>
            <w:r>
              <w:rPr>
                <w:rStyle w:val="IndexLink"/>
              </w:rPr>
              <w:t>62</w:t>
            </w:r>
          </w:hyperlink>
        </w:p>
        <w:p>
          <w:pPr>
            <w:pStyle w:val="Contents3"/>
            <w:tabs>
              <w:tab w:val="clear" w:pos="8459"/>
              <w:tab w:val="right" w:pos="9026" w:leader="dot"/>
            </w:tabs>
            <w:rPr/>
          </w:pPr>
          <w:hyperlink w:anchor="__RefHeading___Toc506581_1395250215">
            <w:r>
              <w:rPr>
                <w:webHidden/>
                <w:rStyle w:val="IndexLink"/>
                <w:rtl w:val="true"/>
              </w:rPr>
              <w:t>در‌آمد</w:t>
            </w:r>
            <w:r>
              <w:rPr>
                <w:rStyle w:val="IndexLink"/>
                <w:rtl w:val="true"/>
              </w:rPr>
              <w:tab/>
            </w:r>
            <w:r>
              <w:rPr>
                <w:rStyle w:val="IndexLink"/>
              </w:rPr>
              <w:t>63</w:t>
            </w:r>
          </w:hyperlink>
        </w:p>
        <w:p>
          <w:pPr>
            <w:pStyle w:val="Contents3"/>
            <w:tabs>
              <w:tab w:val="clear" w:pos="8459"/>
              <w:tab w:val="right" w:pos="9026" w:leader="dot"/>
            </w:tabs>
            <w:rPr/>
          </w:pPr>
          <w:hyperlink w:anchor="__RefHeading___Toc506583_1395250215">
            <w:r>
              <w:rPr>
                <w:webHidden/>
                <w:rStyle w:val="IndexLink"/>
                <w:rtl w:val="true"/>
              </w:rPr>
              <w:t>اسفراینی و التبصیر</w:t>
            </w:r>
            <w:r>
              <w:rPr>
                <w:rStyle w:val="IndexLink"/>
                <w:rtl w:val="true"/>
              </w:rPr>
              <w:tab/>
            </w:r>
            <w:r>
              <w:rPr>
                <w:rStyle w:val="IndexLink"/>
              </w:rPr>
              <w:t>63</w:t>
            </w:r>
          </w:hyperlink>
        </w:p>
        <w:p>
          <w:pPr>
            <w:pStyle w:val="Contents3"/>
            <w:tabs>
              <w:tab w:val="clear" w:pos="8459"/>
              <w:tab w:val="right" w:pos="9026" w:leader="dot"/>
            </w:tabs>
            <w:rPr/>
          </w:pPr>
          <w:hyperlink w:anchor="__RefHeading___Toc506585_1395250215">
            <w:r>
              <w:rPr>
                <w:webHidden/>
                <w:rStyle w:val="IndexLink"/>
                <w:rtl w:val="true"/>
              </w:rPr>
              <w:t>روش‌شناسی اسفراینی در بررسی فرق اسلامی</w:t>
            </w:r>
            <w:r>
              <w:rPr>
                <w:rStyle w:val="IndexLink"/>
                <w:rtl w:val="true"/>
              </w:rPr>
              <w:tab/>
            </w:r>
            <w:r>
              <w:rPr>
                <w:rStyle w:val="IndexLink"/>
              </w:rPr>
              <w:t>66</w:t>
            </w:r>
          </w:hyperlink>
        </w:p>
        <w:p>
          <w:pPr>
            <w:pStyle w:val="Contents4"/>
            <w:tabs>
              <w:tab w:val="clear" w:pos="8176"/>
              <w:tab w:val="right" w:pos="9026" w:leader="dot"/>
            </w:tabs>
            <w:rPr/>
          </w:pPr>
          <w:hyperlink w:anchor="__RefHeading___Toc506587_1395250215">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506589_1395250215">
            <w:r>
              <w:rPr>
                <w:webHidden/>
                <w:rStyle w:val="IndexLink"/>
              </w:rPr>
              <w:t>1</w:t>
            </w:r>
            <w:r>
              <w:rPr>
                <w:rStyle w:val="IndexLink"/>
                <w:rtl w:val="true"/>
              </w:rPr>
              <w:t xml:space="preserve">. </w:t>
            </w:r>
            <w:r>
              <w:rPr>
                <w:rStyle w:val="IndexLink"/>
                <w:rtl w:val="true"/>
              </w:rPr>
              <w:t>معیار مسلمانی و نامسلمانی برای تقسیم امت</w:t>
            </w:r>
            <w:r>
              <w:rPr>
                <w:rStyle w:val="IndexLink"/>
                <w:rtl w:val="true"/>
              </w:rPr>
              <w:tab/>
            </w:r>
            <w:r>
              <w:rPr>
                <w:rStyle w:val="IndexLink"/>
              </w:rPr>
              <w:t>68</w:t>
            </w:r>
          </w:hyperlink>
        </w:p>
        <w:p>
          <w:pPr>
            <w:pStyle w:val="Contents4"/>
            <w:tabs>
              <w:tab w:val="clear" w:pos="8176"/>
              <w:tab w:val="right" w:pos="9026" w:leader="dot"/>
            </w:tabs>
            <w:rPr/>
          </w:pPr>
          <w:hyperlink w:anchor="__RefHeading___Toc506591_1395250215">
            <w:r>
              <w:rPr>
                <w:webHidden/>
                <w:rStyle w:val="IndexLink"/>
              </w:rPr>
              <w:t>2</w:t>
            </w:r>
            <w:r>
              <w:rPr>
                <w:rStyle w:val="IndexLink"/>
                <w:rtl w:val="true"/>
              </w:rPr>
              <w:t xml:space="preserve">. </w:t>
            </w:r>
            <w:r>
              <w:rPr>
                <w:rStyle w:val="IndexLink"/>
                <w:rtl w:val="true"/>
              </w:rPr>
              <w:t>مبنا و ملاک افتراق در کلان فرقه‌ها</w:t>
            </w:r>
            <w:r>
              <w:rPr>
                <w:rStyle w:val="IndexLink"/>
                <w:rtl w:val="true"/>
              </w:rPr>
              <w:tab/>
            </w:r>
            <w:r>
              <w:rPr>
                <w:rStyle w:val="IndexLink"/>
              </w:rPr>
              <w:t>68</w:t>
            </w:r>
          </w:hyperlink>
        </w:p>
        <w:p>
          <w:pPr>
            <w:pStyle w:val="Contents4"/>
            <w:tabs>
              <w:tab w:val="clear" w:pos="8176"/>
              <w:tab w:val="right" w:pos="9026" w:leader="dot"/>
            </w:tabs>
            <w:rPr/>
          </w:pPr>
          <w:hyperlink w:anchor="__RefHeading___Toc506593_1395250215">
            <w:r>
              <w:rPr>
                <w:webHidden/>
                <w:rStyle w:val="IndexLink"/>
              </w:rPr>
              <w:t>3</w:t>
            </w:r>
            <w:r>
              <w:rPr>
                <w:rStyle w:val="IndexLink"/>
                <w:rtl w:val="true"/>
              </w:rPr>
              <w:t xml:space="preserve">. </w:t>
            </w:r>
            <w:r>
              <w:rPr>
                <w:rStyle w:val="IndexLink"/>
                <w:rtl w:val="true"/>
              </w:rPr>
              <w:t>ملاک افتراق در فرقه‌های ذیل هر کلان فرقه</w:t>
            </w:r>
            <w:r>
              <w:rPr>
                <w:rStyle w:val="IndexLink"/>
                <w:rtl w:val="true"/>
              </w:rPr>
              <w:tab/>
            </w:r>
            <w:r>
              <w:rPr>
                <w:rStyle w:val="IndexLink"/>
              </w:rPr>
              <w:t>69</w:t>
            </w:r>
          </w:hyperlink>
        </w:p>
        <w:p>
          <w:pPr>
            <w:pStyle w:val="Contents3"/>
            <w:tabs>
              <w:tab w:val="clear" w:pos="8459"/>
              <w:tab w:val="right" w:pos="9026" w:leader="dot"/>
            </w:tabs>
            <w:rPr/>
          </w:pPr>
          <w:hyperlink w:anchor="__RefHeading___Toc506595_1395250215">
            <w:r>
              <w:rPr>
                <w:webHidden/>
                <w:rStyle w:val="IndexLink"/>
                <w:rtl w:val="true"/>
              </w:rPr>
              <w:t>شیعه امامیه در التبصیر</w:t>
            </w:r>
            <w:r>
              <w:rPr>
                <w:rStyle w:val="IndexLink"/>
                <w:rtl w:val="true"/>
              </w:rPr>
              <w:tab/>
            </w:r>
            <w:r>
              <w:rPr>
                <w:rStyle w:val="IndexLink"/>
              </w:rPr>
              <w:t>70</w:t>
            </w:r>
          </w:hyperlink>
        </w:p>
        <w:p>
          <w:pPr>
            <w:pStyle w:val="Contents4"/>
            <w:tabs>
              <w:tab w:val="clear" w:pos="8176"/>
              <w:tab w:val="right" w:pos="9026" w:leader="dot"/>
            </w:tabs>
            <w:rPr/>
          </w:pPr>
          <w:hyperlink w:anchor="__RefHeading___Toc506597_1395250215">
            <w:r>
              <w:rPr>
                <w:webHidden/>
                <w:rStyle w:val="IndexLink"/>
                <w:rtl w:val="true"/>
              </w:rPr>
              <w:t>الف</w:t>
            </w:r>
            <w:r>
              <w:rPr>
                <w:rStyle w:val="IndexLink"/>
                <w:rtl w:val="true"/>
              </w:rPr>
              <w:t xml:space="preserve">. </w:t>
            </w:r>
            <w:r>
              <w:rPr>
                <w:rStyle w:val="IndexLink"/>
                <w:rtl w:val="true"/>
              </w:rPr>
              <w:t>واژه‌شناسی شیعه امامیه</w:t>
            </w:r>
            <w:r>
              <w:rPr>
                <w:rStyle w:val="IndexLink"/>
                <w:rtl w:val="true"/>
              </w:rPr>
              <w:tab/>
            </w:r>
            <w:r>
              <w:rPr>
                <w:rStyle w:val="IndexLink"/>
              </w:rPr>
              <w:t>70</w:t>
            </w:r>
          </w:hyperlink>
        </w:p>
        <w:p>
          <w:pPr>
            <w:pStyle w:val="Contents5"/>
            <w:tabs>
              <w:tab w:val="clear" w:pos="7892"/>
              <w:tab w:val="right" w:pos="9026" w:leader="dot"/>
            </w:tabs>
            <w:rPr/>
          </w:pPr>
          <w:hyperlink w:anchor="__RefHeading___Toc506599_1395250215">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506601_1395250215">
            <w:r>
              <w:rPr>
                <w:webHidden/>
                <w:rStyle w:val="IndexLink"/>
              </w:rPr>
              <w:t>1</w:t>
            </w:r>
            <w:r>
              <w:rPr>
                <w:rStyle w:val="IndexLink"/>
                <w:rtl w:val="true"/>
              </w:rPr>
              <w:t xml:space="preserve">. </w:t>
            </w:r>
            <w:r>
              <w:rPr>
                <w:rStyle w:val="IndexLink"/>
                <w:rtl w:val="true"/>
              </w:rPr>
              <w:t>شیعه</w:t>
            </w:r>
            <w:r>
              <w:rPr>
                <w:rStyle w:val="IndexLink"/>
                <w:rtl w:val="true"/>
              </w:rPr>
              <w:tab/>
            </w:r>
            <w:r>
              <w:rPr>
                <w:rStyle w:val="IndexLink"/>
              </w:rPr>
              <w:t>70</w:t>
            </w:r>
          </w:hyperlink>
        </w:p>
        <w:p>
          <w:pPr>
            <w:pStyle w:val="Contents5"/>
            <w:tabs>
              <w:tab w:val="clear" w:pos="7892"/>
              <w:tab w:val="right" w:pos="9026" w:leader="dot"/>
            </w:tabs>
            <w:rPr/>
          </w:pPr>
          <w:hyperlink w:anchor="__RefHeading___Toc506603_1395250215">
            <w:r>
              <w:rPr>
                <w:webHidden/>
                <w:rStyle w:val="IndexLink"/>
              </w:rPr>
              <w:t>2</w:t>
            </w:r>
            <w:r>
              <w:rPr>
                <w:rStyle w:val="IndexLink"/>
                <w:rtl w:val="true"/>
              </w:rPr>
              <w:t xml:space="preserve">. </w:t>
            </w:r>
            <w:r>
              <w:rPr>
                <w:rStyle w:val="IndexLink"/>
                <w:rtl w:val="true"/>
              </w:rPr>
              <w:t>روافض</w:t>
            </w:r>
            <w:r>
              <w:rPr>
                <w:rStyle w:val="IndexLink"/>
                <w:rtl w:val="true"/>
              </w:rPr>
              <w:tab/>
            </w:r>
            <w:r>
              <w:rPr>
                <w:rStyle w:val="IndexLink"/>
              </w:rPr>
              <w:t>72</w:t>
            </w:r>
          </w:hyperlink>
        </w:p>
        <w:p>
          <w:pPr>
            <w:pStyle w:val="Contents5"/>
            <w:tabs>
              <w:tab w:val="clear" w:pos="7892"/>
              <w:tab w:val="right" w:pos="9026" w:leader="dot"/>
            </w:tabs>
            <w:rPr/>
          </w:pPr>
          <w:hyperlink w:anchor="__RefHeading___Toc506605_1395250215">
            <w:r>
              <w:rPr>
                <w:webHidden/>
                <w:rStyle w:val="IndexLink"/>
              </w:rPr>
              <w:t>3</w:t>
            </w:r>
            <w:r>
              <w:rPr>
                <w:rStyle w:val="IndexLink"/>
                <w:rtl w:val="true"/>
              </w:rPr>
              <w:t xml:space="preserve">. </w:t>
            </w:r>
            <w:r>
              <w:rPr>
                <w:rStyle w:val="IndexLink"/>
                <w:rtl w:val="true"/>
              </w:rPr>
              <w:t>امامیه</w:t>
            </w:r>
            <w:r>
              <w:rPr>
                <w:rStyle w:val="IndexLink"/>
                <w:rtl w:val="true"/>
              </w:rPr>
              <w:tab/>
            </w:r>
            <w:r>
              <w:rPr>
                <w:rStyle w:val="IndexLink"/>
              </w:rPr>
              <w:t>73</w:t>
            </w:r>
          </w:hyperlink>
        </w:p>
        <w:p>
          <w:pPr>
            <w:pStyle w:val="Contents5"/>
            <w:tabs>
              <w:tab w:val="clear" w:pos="7892"/>
              <w:tab w:val="right" w:pos="9026" w:leader="dot"/>
            </w:tabs>
            <w:rPr/>
          </w:pPr>
          <w:hyperlink w:anchor="__RefHeading___Toc506607_1395250215">
            <w:r>
              <w:rPr>
                <w:webHidden/>
                <w:rStyle w:val="IndexLink"/>
              </w:rPr>
              <w:t>4</w:t>
            </w:r>
            <w:r>
              <w:rPr>
                <w:rStyle w:val="IndexLink"/>
                <w:rtl w:val="true"/>
              </w:rPr>
              <w:t xml:space="preserve">. </w:t>
            </w:r>
            <w:r>
              <w:rPr>
                <w:rStyle w:val="IndexLink"/>
                <w:rtl w:val="true"/>
              </w:rPr>
              <w:t>قطعیه</w:t>
            </w:r>
            <w:r>
              <w:rPr>
                <w:rStyle w:val="IndexLink"/>
                <w:rtl w:val="true"/>
              </w:rPr>
              <w:tab/>
            </w:r>
            <w:r>
              <w:rPr>
                <w:rStyle w:val="IndexLink"/>
              </w:rPr>
              <w:t>73</w:t>
            </w:r>
          </w:hyperlink>
        </w:p>
        <w:p>
          <w:pPr>
            <w:pStyle w:val="Contents5"/>
            <w:tabs>
              <w:tab w:val="clear" w:pos="7892"/>
              <w:tab w:val="right" w:pos="9026" w:leader="dot"/>
            </w:tabs>
            <w:rPr/>
          </w:pPr>
          <w:hyperlink w:anchor="__RefHeading___Toc506609_1395250215">
            <w:r>
              <w:rPr>
                <w:webHidden/>
                <w:rStyle w:val="IndexLink"/>
              </w:rPr>
              <w:t>5</w:t>
            </w:r>
            <w:r>
              <w:rPr>
                <w:rStyle w:val="IndexLink"/>
                <w:rtl w:val="true"/>
              </w:rPr>
              <w:t xml:space="preserve">. </w:t>
            </w:r>
            <w:r>
              <w:rPr>
                <w:rStyle w:val="IndexLink"/>
                <w:rtl w:val="true"/>
              </w:rPr>
              <w:t>اثنی عشریه</w:t>
            </w:r>
            <w:r>
              <w:rPr>
                <w:rStyle w:val="IndexLink"/>
                <w:rtl w:val="true"/>
              </w:rPr>
              <w:tab/>
            </w:r>
            <w:r>
              <w:rPr>
                <w:rStyle w:val="IndexLink"/>
              </w:rPr>
              <w:t>74</w:t>
            </w:r>
          </w:hyperlink>
        </w:p>
        <w:p>
          <w:pPr>
            <w:pStyle w:val="Contents4"/>
            <w:tabs>
              <w:tab w:val="clear" w:pos="8176"/>
              <w:tab w:val="right" w:pos="9026" w:leader="dot"/>
            </w:tabs>
            <w:rPr/>
          </w:pPr>
          <w:hyperlink w:anchor="__RefHeading___Toc506611_1395250215">
            <w:r>
              <w:rPr>
                <w:webHidden/>
                <w:rStyle w:val="IndexLink"/>
                <w:rtl w:val="true"/>
              </w:rPr>
              <w:t>ب</w:t>
            </w:r>
            <w:r>
              <w:rPr>
                <w:rStyle w:val="IndexLink"/>
                <w:rtl w:val="true"/>
              </w:rPr>
              <w:t xml:space="preserve">. </w:t>
            </w:r>
            <w:r>
              <w:rPr>
                <w:rStyle w:val="IndexLink"/>
                <w:rtl w:val="true"/>
              </w:rPr>
              <w:t>پیدایش شیعه</w:t>
            </w:r>
            <w:r>
              <w:rPr>
                <w:rStyle w:val="IndexLink"/>
                <w:rtl w:val="true"/>
              </w:rPr>
              <w:tab/>
            </w:r>
            <w:r>
              <w:rPr>
                <w:rStyle w:val="IndexLink"/>
              </w:rPr>
              <w:t>74</w:t>
            </w:r>
          </w:hyperlink>
        </w:p>
        <w:p>
          <w:pPr>
            <w:pStyle w:val="Contents4"/>
            <w:tabs>
              <w:tab w:val="clear" w:pos="8176"/>
              <w:tab w:val="right" w:pos="9026" w:leader="dot"/>
            </w:tabs>
            <w:rPr/>
          </w:pPr>
          <w:hyperlink w:anchor="__RefHeading___Toc506613_1395250215">
            <w:r>
              <w:rPr>
                <w:webHidden/>
                <w:rStyle w:val="IndexLink"/>
                <w:rtl w:val="true"/>
              </w:rPr>
              <w:t>ج</w:t>
            </w:r>
            <w:r>
              <w:rPr>
                <w:rStyle w:val="IndexLink"/>
                <w:rtl w:val="true"/>
              </w:rPr>
              <w:t xml:space="preserve">. </w:t>
            </w:r>
            <w:r>
              <w:rPr>
                <w:rStyle w:val="IndexLink"/>
                <w:rtl w:val="true"/>
              </w:rPr>
              <w:t>فرقه‌شناسی شیعه امامیه</w:t>
            </w:r>
            <w:r>
              <w:rPr>
                <w:rStyle w:val="IndexLink"/>
                <w:rtl w:val="true"/>
              </w:rPr>
              <w:tab/>
            </w:r>
            <w:r>
              <w:rPr>
                <w:rStyle w:val="IndexLink"/>
              </w:rPr>
              <w:t>75</w:t>
            </w:r>
          </w:hyperlink>
        </w:p>
        <w:p>
          <w:pPr>
            <w:pStyle w:val="Contents4"/>
            <w:tabs>
              <w:tab w:val="clear" w:pos="8176"/>
              <w:tab w:val="right" w:pos="9026" w:leader="dot"/>
            </w:tabs>
            <w:rPr/>
          </w:pPr>
          <w:hyperlink w:anchor="__RefHeading___Toc506615_1395250215">
            <w:r>
              <w:rPr>
                <w:webHidden/>
                <w:rStyle w:val="IndexLink"/>
                <w:rtl w:val="true"/>
              </w:rPr>
              <w:t>د</w:t>
            </w:r>
            <w:r>
              <w:rPr>
                <w:rStyle w:val="IndexLink"/>
                <w:rtl w:val="true"/>
              </w:rPr>
              <w:t xml:space="preserve">. </w:t>
            </w:r>
            <w:r>
              <w:rPr>
                <w:rStyle w:val="IndexLink"/>
                <w:rtl w:val="true"/>
              </w:rPr>
              <w:t>باورها و اعتقادهای امامیه</w:t>
            </w:r>
            <w:r>
              <w:rPr>
                <w:rStyle w:val="IndexLink"/>
                <w:rtl w:val="true"/>
              </w:rPr>
              <w:tab/>
            </w:r>
            <w:r>
              <w:rPr>
                <w:rStyle w:val="IndexLink"/>
              </w:rPr>
              <w:t>76</w:t>
            </w:r>
          </w:hyperlink>
        </w:p>
        <w:p>
          <w:pPr>
            <w:pStyle w:val="Contents4"/>
            <w:tabs>
              <w:tab w:val="clear" w:pos="8176"/>
              <w:tab w:val="right" w:pos="9026" w:leader="dot"/>
            </w:tabs>
            <w:rPr/>
          </w:pPr>
          <w:hyperlink w:anchor="__RefHeading___Toc506617_1395250215">
            <w:r>
              <w:rPr>
                <w:webHidden/>
                <w:rStyle w:val="IndexLink"/>
                <w:rtl w:val="true"/>
              </w:rPr>
              <w:t>ز</w:t>
            </w:r>
            <w:r>
              <w:rPr>
                <w:rStyle w:val="IndexLink"/>
                <w:rtl w:val="true"/>
              </w:rPr>
              <w:t xml:space="preserve">. </w:t>
            </w:r>
            <w:r>
              <w:rPr>
                <w:rStyle w:val="IndexLink"/>
                <w:rtl w:val="true"/>
              </w:rPr>
              <w:t>رابطه امامیه با غلات</w:t>
            </w:r>
            <w:r>
              <w:rPr>
                <w:rStyle w:val="IndexLink"/>
                <w:rtl w:val="true"/>
              </w:rPr>
              <w:tab/>
            </w:r>
            <w:r>
              <w:rPr>
                <w:rStyle w:val="IndexLink"/>
              </w:rPr>
              <w:t>80</w:t>
            </w:r>
          </w:hyperlink>
        </w:p>
        <w:p>
          <w:pPr>
            <w:pStyle w:val="Contents4"/>
            <w:tabs>
              <w:tab w:val="clear" w:pos="8176"/>
              <w:tab w:val="right" w:pos="9026" w:leader="dot"/>
            </w:tabs>
            <w:rPr/>
          </w:pPr>
          <w:hyperlink w:anchor="__RefHeading___Toc506619_1395250215">
            <w:r>
              <w:rPr>
                <w:webHidden/>
                <w:rStyle w:val="IndexLink"/>
                <w:rtl w:val="true"/>
              </w:rPr>
              <w:t>ح</w:t>
            </w:r>
            <w:r>
              <w:rPr>
                <w:rStyle w:val="IndexLink"/>
                <w:rtl w:val="true"/>
              </w:rPr>
              <w:t xml:space="preserve">. </w:t>
            </w:r>
            <w:r>
              <w:rPr>
                <w:rStyle w:val="IndexLink"/>
                <w:rtl w:val="true"/>
              </w:rPr>
              <w:t>فرقه ناجیه</w:t>
            </w:r>
            <w:r>
              <w:rPr>
                <w:rStyle w:val="IndexLink"/>
                <w:rtl w:val="true"/>
              </w:rPr>
              <w:tab/>
            </w:r>
            <w:r>
              <w:rPr>
                <w:rStyle w:val="IndexLink"/>
              </w:rPr>
              <w:t>81</w:t>
            </w:r>
          </w:hyperlink>
        </w:p>
        <w:p>
          <w:pPr>
            <w:pStyle w:val="Contents3"/>
            <w:tabs>
              <w:tab w:val="clear" w:pos="8459"/>
              <w:tab w:val="right" w:pos="9026" w:leader="dot"/>
            </w:tabs>
            <w:rPr/>
          </w:pPr>
          <w:hyperlink w:anchor="__RefHeading___Toc506621_1395250215">
            <w:r>
              <w:rPr>
                <w:webHidden/>
                <w:rStyle w:val="IndexLink"/>
                <w:rtl w:val="true"/>
              </w:rPr>
              <w:t>نتیجه گیری</w:t>
            </w:r>
            <w:r>
              <w:rPr>
                <w:rStyle w:val="IndexLink"/>
                <w:rtl w:val="true"/>
              </w:rPr>
              <w:tab/>
            </w:r>
            <w:r>
              <w:rPr>
                <w:rStyle w:val="IndexLink"/>
              </w:rPr>
              <w:t>82</w:t>
            </w:r>
          </w:hyperlink>
        </w:p>
        <w:p>
          <w:pPr>
            <w:pStyle w:val="Contents3"/>
            <w:tabs>
              <w:tab w:val="clear" w:pos="8459"/>
              <w:tab w:val="right" w:pos="9026" w:leader="dot"/>
            </w:tabs>
            <w:rPr/>
          </w:pPr>
          <w:hyperlink w:anchor="__RefHeading___Toc506623_1395250215">
            <w:r>
              <w:rPr>
                <w:webHidden/>
                <w:rStyle w:val="IndexLink"/>
                <w:rtl w:val="true"/>
              </w:rPr>
              <w:t>منابع</w:t>
            </w:r>
            <w:r>
              <w:rPr>
                <w:rStyle w:val="IndexLink"/>
                <w:rtl w:val="true"/>
              </w:rPr>
              <w:tab/>
            </w:r>
            <w:r>
              <w:rPr>
                <w:rStyle w:val="IndexLink"/>
              </w:rPr>
              <w:t>83</w:t>
            </w:r>
          </w:hyperlink>
        </w:p>
        <w:p>
          <w:pPr>
            <w:pStyle w:val="Contents2"/>
            <w:tabs>
              <w:tab w:val="clear" w:pos="8743"/>
              <w:tab w:val="right" w:pos="9026" w:leader="dot"/>
            </w:tabs>
            <w:rPr/>
          </w:pPr>
          <w:hyperlink w:anchor="__RefHeading___Toc506625_1395250215">
            <w:r>
              <w:rPr>
                <w:webHidden/>
                <w:rStyle w:val="IndexLink"/>
                <w:rtl w:val="true"/>
              </w:rPr>
              <w:t>تطور نظریه اشاعره درباره رؤیت خدا</w:t>
            </w:r>
            <w:r>
              <w:rPr>
                <w:rStyle w:val="IndexLink"/>
                <w:rtl w:val="true"/>
              </w:rPr>
              <w:t xml:space="preserve">/ </w:t>
            </w:r>
            <w:r>
              <w:rPr>
                <w:rStyle w:val="IndexLink"/>
                <w:rtl w:val="true"/>
              </w:rPr>
              <w:t>محمدجواد نجفی، نرگس بهشتی</w:t>
            </w:r>
            <w:r>
              <w:rPr>
                <w:rStyle w:val="IndexLink"/>
                <w:rtl w:val="true"/>
              </w:rPr>
              <w:tab/>
            </w:r>
            <w:r>
              <w:rPr>
                <w:rStyle w:val="IndexLink"/>
              </w:rPr>
              <w:t>85</w:t>
            </w:r>
          </w:hyperlink>
        </w:p>
        <w:p>
          <w:pPr>
            <w:pStyle w:val="Contents3"/>
            <w:tabs>
              <w:tab w:val="clear" w:pos="8459"/>
              <w:tab w:val="right" w:pos="9026" w:leader="dot"/>
            </w:tabs>
            <w:rPr/>
          </w:pPr>
          <w:hyperlink w:anchor="__RefHeading___Toc506627_1395250215">
            <w:r>
              <w:rPr>
                <w:webHidden/>
                <w:rStyle w:val="IndexLink"/>
                <w:rtl w:val="true"/>
              </w:rPr>
              <w:t>اشاره</w:t>
            </w:r>
            <w:r>
              <w:rPr>
                <w:rStyle w:val="IndexLink"/>
                <w:rtl w:val="true"/>
              </w:rPr>
              <w:t>:</w:t>
              <w:tab/>
            </w:r>
            <w:r>
              <w:rPr>
                <w:rStyle w:val="IndexLink"/>
              </w:rPr>
              <w:t>85</w:t>
            </w:r>
          </w:hyperlink>
        </w:p>
        <w:p>
          <w:pPr>
            <w:pStyle w:val="Contents3"/>
            <w:tabs>
              <w:tab w:val="clear" w:pos="8459"/>
              <w:tab w:val="right" w:pos="9026" w:leader="dot"/>
            </w:tabs>
            <w:rPr/>
          </w:pPr>
          <w:hyperlink w:anchor="__RefHeading___Toc506629_1395250215">
            <w:r>
              <w:rPr>
                <w:webHidden/>
                <w:rStyle w:val="IndexLink"/>
                <w:rtl w:val="true"/>
              </w:rPr>
              <w:t>چکیده</w:t>
            </w:r>
            <w:r>
              <w:rPr>
                <w:rStyle w:val="IndexLink"/>
                <w:rtl w:val="true"/>
              </w:rPr>
              <w:tab/>
            </w:r>
            <w:r>
              <w:rPr>
                <w:rStyle w:val="IndexLink"/>
              </w:rPr>
              <w:t>85</w:t>
            </w:r>
          </w:hyperlink>
        </w:p>
        <w:p>
          <w:pPr>
            <w:pStyle w:val="Contents3"/>
            <w:tabs>
              <w:tab w:val="clear" w:pos="8459"/>
              <w:tab w:val="right" w:pos="9026" w:leader="dot"/>
            </w:tabs>
            <w:rPr/>
          </w:pPr>
          <w:hyperlink w:anchor="__RefHeading___Toc506631_1395250215">
            <w:r>
              <w:rPr>
                <w:webHidden/>
                <w:rStyle w:val="IndexLink"/>
                <w:rtl w:val="true"/>
              </w:rPr>
              <w:t>واژگان کلیدی</w:t>
            </w:r>
            <w:r>
              <w:rPr>
                <w:rStyle w:val="IndexLink"/>
                <w:rtl w:val="true"/>
              </w:rPr>
              <w:tab/>
            </w:r>
            <w:r>
              <w:rPr>
                <w:rStyle w:val="IndexLink"/>
              </w:rPr>
              <w:t>85</w:t>
            </w:r>
          </w:hyperlink>
        </w:p>
        <w:p>
          <w:pPr>
            <w:pStyle w:val="Contents3"/>
            <w:tabs>
              <w:tab w:val="clear" w:pos="8459"/>
              <w:tab w:val="right" w:pos="9026" w:leader="dot"/>
            </w:tabs>
            <w:rPr/>
          </w:pPr>
          <w:hyperlink w:anchor="__RefHeading___Toc506633_1395250215">
            <w:r>
              <w:rPr>
                <w:webHidden/>
                <w:rStyle w:val="IndexLink"/>
                <w:rtl w:val="true"/>
              </w:rPr>
              <w:t>پیش گفتار</w:t>
            </w:r>
            <w:r>
              <w:rPr>
                <w:rStyle w:val="IndexLink"/>
                <w:rtl w:val="true"/>
              </w:rPr>
              <w:tab/>
            </w:r>
            <w:r>
              <w:rPr>
                <w:rStyle w:val="IndexLink"/>
              </w:rPr>
              <w:t>86</w:t>
            </w:r>
          </w:hyperlink>
        </w:p>
        <w:p>
          <w:pPr>
            <w:pStyle w:val="Contents3"/>
            <w:tabs>
              <w:tab w:val="clear" w:pos="8459"/>
              <w:tab w:val="right" w:pos="9026" w:leader="dot"/>
            </w:tabs>
            <w:rPr/>
          </w:pPr>
          <w:hyperlink w:anchor="__RefHeading___Toc506635_1395250215">
            <w:r>
              <w:rPr>
                <w:webHidden/>
                <w:rStyle w:val="IndexLink"/>
                <w:rtl w:val="true"/>
              </w:rPr>
              <w:t>رؤیت در دیدگاه اشعری</w:t>
            </w:r>
            <w:r>
              <w:rPr>
                <w:rStyle w:val="IndexLink"/>
                <w:rtl w:val="true"/>
              </w:rPr>
              <w:tab/>
            </w:r>
            <w:r>
              <w:rPr>
                <w:rStyle w:val="IndexLink"/>
              </w:rPr>
              <w:t>88</w:t>
            </w:r>
          </w:hyperlink>
        </w:p>
        <w:p>
          <w:pPr>
            <w:pStyle w:val="Contents3"/>
            <w:tabs>
              <w:tab w:val="clear" w:pos="8459"/>
              <w:tab w:val="right" w:pos="9026" w:leader="dot"/>
            </w:tabs>
            <w:rPr/>
          </w:pPr>
          <w:hyperlink w:anchor="__RefHeading___Toc506637_1395250215">
            <w:r>
              <w:rPr>
                <w:webHidden/>
                <w:rStyle w:val="IndexLink"/>
                <w:rtl w:val="true"/>
              </w:rPr>
              <w:t>رؤیت در دیدگاه علمای متاخر اشاعره</w:t>
            </w:r>
            <w:r>
              <w:rPr>
                <w:rStyle w:val="IndexLink"/>
                <w:rtl w:val="true"/>
              </w:rPr>
              <w:tab/>
            </w:r>
            <w:r>
              <w:rPr>
                <w:rStyle w:val="IndexLink"/>
              </w:rPr>
              <w:t>89</w:t>
            </w:r>
          </w:hyperlink>
        </w:p>
        <w:p>
          <w:pPr>
            <w:pStyle w:val="Contents4"/>
            <w:tabs>
              <w:tab w:val="clear" w:pos="8176"/>
              <w:tab w:val="right" w:pos="9026" w:leader="dot"/>
            </w:tabs>
            <w:rPr/>
          </w:pPr>
          <w:hyperlink w:anchor="__RefHeading___Toc506639_1395250215">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506641_1395250215">
            <w:r>
              <w:rPr>
                <w:webHidden/>
                <w:rStyle w:val="IndexLink"/>
                <w:rtl w:val="true"/>
              </w:rPr>
              <w:t>الف</w:t>
            </w:r>
            <w:r>
              <w:rPr>
                <w:rStyle w:val="IndexLink"/>
                <w:rtl w:val="true"/>
              </w:rPr>
              <w:t xml:space="preserve">. </w:t>
            </w:r>
            <w:r>
              <w:rPr>
                <w:rStyle w:val="IndexLink"/>
                <w:rtl w:val="true"/>
              </w:rPr>
              <w:t xml:space="preserve">از عصر اشعری تا عصر غزالی </w:t>
            </w:r>
            <w:r>
              <w:rPr>
                <w:rStyle w:val="IndexLink"/>
                <w:rtl w:val="true"/>
              </w:rPr>
              <w:t>...</w:t>
              <w:tab/>
            </w:r>
            <w:r>
              <w:rPr>
                <w:rStyle w:val="IndexLink"/>
              </w:rPr>
              <w:t>92</w:t>
            </w:r>
          </w:hyperlink>
        </w:p>
        <w:p>
          <w:pPr>
            <w:pStyle w:val="Contents4"/>
            <w:tabs>
              <w:tab w:val="clear" w:pos="8176"/>
              <w:tab w:val="right" w:pos="9026" w:leader="dot"/>
            </w:tabs>
            <w:rPr/>
          </w:pPr>
          <w:hyperlink w:anchor="__RefHeading___Toc506643_1395250215">
            <w:r>
              <w:rPr>
                <w:webHidden/>
                <w:rStyle w:val="IndexLink"/>
                <w:rtl w:val="true"/>
              </w:rPr>
              <w:t xml:space="preserve">ب </w:t>
            </w:r>
            <w:r>
              <w:rPr>
                <w:rStyle w:val="IndexLink"/>
                <w:rtl w:val="true"/>
              </w:rPr>
              <w:t xml:space="preserve">. </w:t>
            </w:r>
            <w:r>
              <w:rPr>
                <w:rStyle w:val="IndexLink"/>
                <w:rtl w:val="true"/>
              </w:rPr>
              <w:t xml:space="preserve">غزالی گامی به سوی تاویل نهاد و </w:t>
            </w:r>
            <w:r>
              <w:rPr>
                <w:rStyle w:val="IndexLink"/>
                <w:rtl w:val="true"/>
              </w:rPr>
              <w:t>...</w:t>
              <w:tab/>
            </w:r>
            <w:r>
              <w:rPr>
                <w:rStyle w:val="IndexLink"/>
              </w:rPr>
              <w:t>92</w:t>
            </w:r>
          </w:hyperlink>
        </w:p>
        <w:p>
          <w:pPr>
            <w:pStyle w:val="Contents4"/>
            <w:tabs>
              <w:tab w:val="clear" w:pos="8176"/>
              <w:tab w:val="right" w:pos="9026" w:leader="dot"/>
            </w:tabs>
            <w:rPr/>
          </w:pPr>
          <w:hyperlink w:anchor="__RefHeading___Toc506645_1395250215">
            <w:r>
              <w:rPr>
                <w:webHidden/>
                <w:rStyle w:val="IndexLink"/>
                <w:rtl w:val="true"/>
              </w:rPr>
              <w:t>ج</w:t>
            </w:r>
            <w:r>
              <w:rPr>
                <w:rStyle w:val="IndexLink"/>
                <w:rtl w:val="true"/>
              </w:rPr>
              <w:t xml:space="preserve">. </w:t>
            </w:r>
            <w:r>
              <w:rPr>
                <w:rStyle w:val="IndexLink"/>
                <w:rtl w:val="true"/>
              </w:rPr>
              <w:t>در این مرحله سر انجام فخررازی رؤیت را کشف تام دانست</w:t>
            </w:r>
            <w:r>
              <w:rPr>
                <w:rStyle w:val="IndexLink"/>
                <w:rtl w:val="true"/>
              </w:rPr>
              <w:t>......</w:t>
              <w:tab/>
            </w:r>
            <w:r>
              <w:rPr>
                <w:rStyle w:val="IndexLink"/>
              </w:rPr>
              <w:t>93</w:t>
            </w:r>
          </w:hyperlink>
        </w:p>
        <w:p>
          <w:pPr>
            <w:pStyle w:val="Contents3"/>
            <w:tabs>
              <w:tab w:val="clear" w:pos="8459"/>
              <w:tab w:val="right" w:pos="9026" w:leader="dot"/>
            </w:tabs>
            <w:rPr/>
          </w:pPr>
          <w:hyperlink w:anchor="__RefHeading___Toc506647_1395250215">
            <w:r>
              <w:rPr>
                <w:webHidden/>
                <w:rStyle w:val="IndexLink"/>
                <w:rtl w:val="true"/>
              </w:rPr>
              <w:t>رؤیت از دید فخررازی</w:t>
            </w:r>
            <w:r>
              <w:rPr>
                <w:rStyle w:val="IndexLink"/>
                <w:rtl w:val="true"/>
              </w:rPr>
              <w:tab/>
            </w:r>
            <w:r>
              <w:rPr>
                <w:rStyle w:val="IndexLink"/>
              </w:rPr>
              <w:t>93</w:t>
            </w:r>
          </w:hyperlink>
        </w:p>
        <w:p>
          <w:pPr>
            <w:pStyle w:val="Contents4"/>
            <w:tabs>
              <w:tab w:val="clear" w:pos="8176"/>
              <w:tab w:val="right" w:pos="9026" w:leader="dot"/>
            </w:tabs>
            <w:rPr/>
          </w:pPr>
          <w:hyperlink w:anchor="__RefHeading___Toc506649_1395250215">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506651_1395250215">
            <w:r>
              <w:rPr>
                <w:webHidden/>
                <w:rStyle w:val="IndexLink"/>
              </w:rPr>
              <w:t>1</w:t>
            </w:r>
            <w:r>
              <w:rPr>
                <w:rStyle w:val="IndexLink"/>
                <w:rtl w:val="true"/>
              </w:rPr>
              <w:t xml:space="preserve">. </w:t>
            </w:r>
            <w:r>
              <w:rPr>
                <w:rStyle w:val="IndexLink"/>
                <w:rtl w:val="true"/>
              </w:rPr>
              <w:t>خدا فی حد ذاته، قابل رؤیت است</w:t>
            </w:r>
            <w:r>
              <w:rPr>
                <w:rStyle w:val="IndexLink"/>
                <w:rtl w:val="true"/>
              </w:rPr>
              <w:tab/>
            </w:r>
            <w:r>
              <w:rPr>
                <w:rStyle w:val="IndexLink"/>
              </w:rPr>
              <w:t>93</w:t>
            </w:r>
          </w:hyperlink>
        </w:p>
        <w:p>
          <w:pPr>
            <w:pStyle w:val="Contents4"/>
            <w:tabs>
              <w:tab w:val="clear" w:pos="8176"/>
              <w:tab w:val="right" w:pos="9026" w:leader="dot"/>
            </w:tabs>
            <w:rPr/>
          </w:pPr>
          <w:hyperlink w:anchor="__RefHeading___Toc506653_1395250215">
            <w:r>
              <w:rPr>
                <w:webHidden/>
                <w:rStyle w:val="IndexLink"/>
              </w:rPr>
              <w:t>2</w:t>
            </w:r>
            <w:r>
              <w:rPr>
                <w:rStyle w:val="IndexLink"/>
                <w:rtl w:val="true"/>
              </w:rPr>
              <w:t xml:space="preserve">. </w:t>
            </w:r>
            <w:r>
              <w:rPr>
                <w:rStyle w:val="IndexLink"/>
                <w:rtl w:val="true"/>
              </w:rPr>
              <w:t>رؤیت با حس ششم</w:t>
            </w:r>
            <w:r>
              <w:rPr>
                <w:rStyle w:val="IndexLink"/>
                <w:rtl w:val="true"/>
              </w:rPr>
              <w:tab/>
            </w:r>
            <w:r>
              <w:rPr>
                <w:rStyle w:val="IndexLink"/>
              </w:rPr>
              <w:t>94</w:t>
            </w:r>
          </w:hyperlink>
        </w:p>
        <w:p>
          <w:pPr>
            <w:pStyle w:val="Contents4"/>
            <w:tabs>
              <w:tab w:val="clear" w:pos="8176"/>
              <w:tab w:val="right" w:pos="9026" w:leader="dot"/>
            </w:tabs>
            <w:rPr/>
          </w:pPr>
          <w:hyperlink w:anchor="__RefHeading___Toc506655_1395250215">
            <w:r>
              <w:rPr>
                <w:webHidden/>
                <w:rStyle w:val="IndexLink"/>
              </w:rPr>
              <w:t>3</w:t>
            </w:r>
            <w:r>
              <w:rPr>
                <w:rStyle w:val="IndexLink"/>
                <w:rtl w:val="true"/>
              </w:rPr>
              <w:t>.</w:t>
            </w:r>
            <w:r>
              <w:rPr>
                <w:rStyle w:val="IndexLink"/>
                <w:rtl w:val="true"/>
              </w:rPr>
              <w:t>رد دلایل عقلی اثبات رؤیت خدا</w:t>
            </w:r>
            <w:r>
              <w:rPr>
                <w:rStyle w:val="IndexLink"/>
                <w:rtl w:val="true"/>
              </w:rPr>
              <w:tab/>
            </w:r>
            <w:r>
              <w:rPr>
                <w:rStyle w:val="IndexLink"/>
              </w:rPr>
              <w:t>95</w:t>
            </w:r>
          </w:hyperlink>
        </w:p>
        <w:p>
          <w:pPr>
            <w:pStyle w:val="Contents4"/>
            <w:tabs>
              <w:tab w:val="clear" w:pos="8176"/>
              <w:tab w:val="right" w:pos="9026" w:leader="dot"/>
            </w:tabs>
            <w:rPr/>
          </w:pPr>
          <w:hyperlink w:anchor="__RefHeading___Toc506657_1395250215">
            <w:r>
              <w:rPr>
                <w:webHidden/>
                <w:rStyle w:val="IndexLink"/>
              </w:rPr>
              <w:t>4</w:t>
            </w:r>
            <w:r>
              <w:rPr>
                <w:rStyle w:val="IndexLink"/>
                <w:rtl w:val="true"/>
              </w:rPr>
              <w:t xml:space="preserve">. </w:t>
            </w:r>
            <w:r>
              <w:rPr>
                <w:rStyle w:val="IndexLink"/>
                <w:rtl w:val="true"/>
              </w:rPr>
              <w:t>سمعی بودن مساله رؤیت</w:t>
            </w:r>
            <w:r>
              <w:rPr>
                <w:rStyle w:val="IndexLink"/>
                <w:rtl w:val="true"/>
              </w:rPr>
              <w:tab/>
            </w:r>
            <w:r>
              <w:rPr>
                <w:rStyle w:val="IndexLink"/>
              </w:rPr>
              <w:t>96</w:t>
            </w:r>
          </w:hyperlink>
        </w:p>
        <w:p>
          <w:pPr>
            <w:pStyle w:val="Contents4"/>
            <w:tabs>
              <w:tab w:val="clear" w:pos="8176"/>
              <w:tab w:val="right" w:pos="9026" w:leader="dot"/>
            </w:tabs>
            <w:rPr/>
          </w:pPr>
          <w:hyperlink w:anchor="__RefHeading___Toc506659_1395250215">
            <w:r>
              <w:rPr>
                <w:webHidden/>
                <w:rStyle w:val="IndexLink"/>
              </w:rPr>
              <w:t>5</w:t>
            </w:r>
            <w:r>
              <w:rPr>
                <w:rStyle w:val="IndexLink"/>
                <w:rtl w:val="true"/>
              </w:rPr>
              <w:t xml:space="preserve">. </w:t>
            </w:r>
            <w:r>
              <w:rPr>
                <w:rStyle w:val="IndexLink"/>
                <w:rtl w:val="true"/>
              </w:rPr>
              <w:t>کیفیت رؤیت خدا</w:t>
            </w:r>
            <w:r>
              <w:rPr>
                <w:rStyle w:val="IndexLink"/>
                <w:rtl w:val="true"/>
              </w:rPr>
              <w:tab/>
            </w:r>
            <w:r>
              <w:rPr>
                <w:rStyle w:val="IndexLink"/>
              </w:rPr>
              <w:t>97</w:t>
            </w:r>
          </w:hyperlink>
        </w:p>
        <w:p>
          <w:pPr>
            <w:pStyle w:val="Contents3"/>
            <w:tabs>
              <w:tab w:val="clear" w:pos="8459"/>
              <w:tab w:val="right" w:pos="9026" w:leader="dot"/>
            </w:tabs>
            <w:rPr/>
          </w:pPr>
          <w:hyperlink w:anchor="__RefHeading___Toc506661_1395250215">
            <w:r>
              <w:rPr>
                <w:webHidden/>
                <w:rStyle w:val="IndexLink"/>
                <w:rtl w:val="true"/>
              </w:rPr>
              <w:t>منشأ تغییر در نظریه فخر رازی</w:t>
            </w:r>
            <w:r>
              <w:rPr>
                <w:rStyle w:val="IndexLink"/>
                <w:rtl w:val="true"/>
              </w:rPr>
              <w:tab/>
            </w:r>
            <w:r>
              <w:rPr>
                <w:rStyle w:val="IndexLink"/>
              </w:rPr>
              <w:t>98</w:t>
            </w:r>
          </w:hyperlink>
        </w:p>
        <w:p>
          <w:pPr>
            <w:pStyle w:val="Contents4"/>
            <w:tabs>
              <w:tab w:val="clear" w:pos="8176"/>
              <w:tab w:val="right" w:pos="9026" w:leader="dot"/>
            </w:tabs>
            <w:rPr/>
          </w:pPr>
          <w:hyperlink w:anchor="__RefHeading___Toc506663_1395250215">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506665_1395250215">
            <w:r>
              <w:rPr>
                <w:webHidden/>
                <w:rStyle w:val="IndexLink"/>
                <w:rtl w:val="true"/>
              </w:rPr>
              <w:t>الف</w:t>
            </w:r>
            <w:r>
              <w:rPr>
                <w:rStyle w:val="IndexLink"/>
                <w:rtl w:val="true"/>
              </w:rPr>
              <w:t xml:space="preserve">. </w:t>
            </w:r>
            <w:r>
              <w:rPr>
                <w:rStyle w:val="IndexLink"/>
                <w:rtl w:val="true"/>
              </w:rPr>
              <w:t>عقل گرایی و تحولات تأویل گرایانه اشاعره در طول تاریخ</w:t>
            </w:r>
            <w:r>
              <w:rPr>
                <w:rStyle w:val="IndexLink"/>
                <w:rtl w:val="true"/>
              </w:rPr>
              <w:tab/>
            </w:r>
            <w:r>
              <w:rPr>
                <w:rStyle w:val="IndexLink"/>
              </w:rPr>
              <w:t>98</w:t>
            </w:r>
          </w:hyperlink>
        </w:p>
        <w:p>
          <w:pPr>
            <w:pStyle w:val="Contents4"/>
            <w:tabs>
              <w:tab w:val="clear" w:pos="8176"/>
              <w:tab w:val="right" w:pos="9026" w:leader="dot"/>
            </w:tabs>
            <w:rPr/>
          </w:pPr>
          <w:hyperlink w:anchor="__RefHeading___Toc506667_1395250215">
            <w:r>
              <w:rPr>
                <w:webHidden/>
                <w:rStyle w:val="IndexLink"/>
                <w:rtl w:val="true"/>
              </w:rPr>
              <w:t>ب</w:t>
            </w:r>
            <w:r>
              <w:rPr>
                <w:rStyle w:val="IndexLink"/>
                <w:rtl w:val="true"/>
              </w:rPr>
              <w:t xml:space="preserve">. </w:t>
            </w:r>
            <w:r>
              <w:rPr>
                <w:rStyle w:val="IndexLink"/>
                <w:rtl w:val="true"/>
              </w:rPr>
              <w:t>تحولات روحی فخر رازی</w:t>
            </w:r>
            <w:r>
              <w:rPr>
                <w:rStyle w:val="IndexLink"/>
                <w:rtl w:val="true"/>
              </w:rPr>
              <w:tab/>
            </w:r>
            <w:r>
              <w:rPr>
                <w:rStyle w:val="IndexLink"/>
              </w:rPr>
              <w:t>100</w:t>
            </w:r>
          </w:hyperlink>
        </w:p>
        <w:p>
          <w:pPr>
            <w:pStyle w:val="Contents4"/>
            <w:tabs>
              <w:tab w:val="clear" w:pos="8176"/>
              <w:tab w:val="right" w:pos="9026" w:leader="dot"/>
            </w:tabs>
            <w:rPr/>
          </w:pPr>
          <w:hyperlink w:anchor="__RefHeading___Toc506669_1395250215">
            <w:r>
              <w:rPr>
                <w:webHidden/>
                <w:rStyle w:val="IndexLink"/>
                <w:rtl w:val="true"/>
              </w:rPr>
              <w:t>ج</w:t>
            </w:r>
            <w:r>
              <w:rPr>
                <w:rStyle w:val="IndexLink"/>
                <w:rtl w:val="true"/>
              </w:rPr>
              <w:t xml:space="preserve">. </w:t>
            </w:r>
            <w:r>
              <w:rPr>
                <w:rStyle w:val="IndexLink"/>
                <w:rtl w:val="true"/>
              </w:rPr>
              <w:t>شرایط تاریخی</w:t>
            </w:r>
            <w:r>
              <w:rPr>
                <w:rStyle w:val="IndexLink"/>
                <w:rtl w:val="true"/>
              </w:rPr>
              <w:tab/>
            </w:r>
            <w:r>
              <w:rPr>
                <w:rStyle w:val="IndexLink"/>
              </w:rPr>
              <w:t>100</w:t>
            </w:r>
          </w:hyperlink>
        </w:p>
        <w:p>
          <w:pPr>
            <w:pStyle w:val="Contents4"/>
            <w:tabs>
              <w:tab w:val="clear" w:pos="8176"/>
              <w:tab w:val="right" w:pos="9026" w:leader="dot"/>
            </w:tabs>
            <w:rPr/>
          </w:pPr>
          <w:hyperlink w:anchor="__RefHeading___Toc506671_1395250215">
            <w:r>
              <w:rPr>
                <w:webHidden/>
                <w:rStyle w:val="IndexLink"/>
                <w:rtl w:val="true"/>
              </w:rPr>
              <w:t>د</w:t>
            </w:r>
            <w:r>
              <w:rPr>
                <w:rStyle w:val="IndexLink"/>
                <w:rtl w:val="true"/>
              </w:rPr>
              <w:t xml:space="preserve">. </w:t>
            </w:r>
            <w:r>
              <w:rPr>
                <w:rStyle w:val="IndexLink"/>
                <w:rtl w:val="true"/>
              </w:rPr>
              <w:t>حقیقت جویی</w:t>
            </w:r>
            <w:r>
              <w:rPr>
                <w:rStyle w:val="IndexLink"/>
                <w:rtl w:val="true"/>
              </w:rPr>
              <w:tab/>
            </w:r>
            <w:r>
              <w:rPr>
                <w:rStyle w:val="IndexLink"/>
              </w:rPr>
              <w:t>101</w:t>
            </w:r>
          </w:hyperlink>
        </w:p>
        <w:p>
          <w:pPr>
            <w:pStyle w:val="Contents3"/>
            <w:tabs>
              <w:tab w:val="clear" w:pos="8459"/>
              <w:tab w:val="right" w:pos="9026" w:leader="dot"/>
            </w:tabs>
            <w:rPr/>
          </w:pPr>
          <w:hyperlink w:anchor="__RefHeading___Toc506673_1395250215">
            <w:r>
              <w:rPr>
                <w:webHidden/>
                <w:rStyle w:val="IndexLink"/>
                <w:rtl w:val="true"/>
              </w:rPr>
              <w:t>نتیجه گیری</w:t>
            </w:r>
            <w:r>
              <w:rPr>
                <w:rStyle w:val="IndexLink"/>
                <w:rtl w:val="true"/>
              </w:rPr>
              <w:tab/>
            </w:r>
            <w:r>
              <w:rPr>
                <w:rStyle w:val="IndexLink"/>
              </w:rPr>
              <w:t>103</w:t>
            </w:r>
          </w:hyperlink>
        </w:p>
        <w:p>
          <w:pPr>
            <w:pStyle w:val="Contents3"/>
            <w:tabs>
              <w:tab w:val="clear" w:pos="8459"/>
              <w:tab w:val="right" w:pos="9026" w:leader="dot"/>
            </w:tabs>
            <w:rPr/>
          </w:pPr>
          <w:hyperlink w:anchor="__RefHeading___Toc506675_1395250215">
            <w:r>
              <w:rPr>
                <w:webHidden/>
                <w:rStyle w:val="IndexLink"/>
                <w:rtl w:val="true"/>
              </w:rPr>
              <w:t>منابع</w:t>
            </w:r>
            <w:r>
              <w:rPr>
                <w:rStyle w:val="IndexLink"/>
                <w:rtl w:val="true"/>
              </w:rPr>
              <w:tab/>
            </w:r>
            <w:r>
              <w:rPr>
                <w:rStyle w:val="IndexLink"/>
              </w:rPr>
              <w:t>104</w:t>
            </w:r>
          </w:hyperlink>
        </w:p>
        <w:p>
          <w:pPr>
            <w:pStyle w:val="Contents2"/>
            <w:tabs>
              <w:tab w:val="clear" w:pos="8743"/>
              <w:tab w:val="right" w:pos="9026" w:leader="dot"/>
            </w:tabs>
            <w:rPr/>
          </w:pPr>
          <w:hyperlink w:anchor="__RefHeading___Toc506677_1395250215">
            <w:r>
              <w:rPr>
                <w:webHidden/>
                <w:rStyle w:val="IndexLink"/>
                <w:rtl w:val="true"/>
              </w:rPr>
              <w:t>ترجیح بلا مرجح و اختیار</w:t>
            </w:r>
            <w:r>
              <w:rPr>
                <w:rStyle w:val="IndexLink"/>
                <w:rtl w:val="true"/>
              </w:rPr>
              <w:t xml:space="preserve">/ </w:t>
            </w:r>
            <w:r>
              <w:rPr>
                <w:rStyle w:val="IndexLink"/>
                <w:rtl w:val="true"/>
              </w:rPr>
              <w:t>احمد حیدرپور</w:t>
            </w:r>
            <w:r>
              <w:rPr>
                <w:rStyle w:val="IndexLink"/>
                <w:rtl w:val="true"/>
              </w:rPr>
              <w:tab/>
            </w:r>
            <w:r>
              <w:rPr>
                <w:rStyle w:val="IndexLink"/>
              </w:rPr>
              <w:t>107</w:t>
            </w:r>
          </w:hyperlink>
        </w:p>
        <w:p>
          <w:pPr>
            <w:pStyle w:val="Contents3"/>
            <w:tabs>
              <w:tab w:val="clear" w:pos="8459"/>
              <w:tab w:val="right" w:pos="9026" w:leader="dot"/>
            </w:tabs>
            <w:rPr/>
          </w:pPr>
          <w:hyperlink w:anchor="__RefHeading___Toc506679_1395250215">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506681_1395250215">
            <w:r>
              <w:rPr>
                <w:webHidden/>
                <w:rStyle w:val="IndexLink"/>
                <w:rtl w:val="true"/>
              </w:rPr>
              <w:t>چکیده</w:t>
            </w:r>
            <w:r>
              <w:rPr>
                <w:rStyle w:val="IndexLink"/>
                <w:rtl w:val="true"/>
              </w:rPr>
              <w:tab/>
            </w:r>
            <w:r>
              <w:rPr>
                <w:rStyle w:val="IndexLink"/>
              </w:rPr>
              <w:t>107</w:t>
            </w:r>
          </w:hyperlink>
        </w:p>
        <w:p>
          <w:pPr>
            <w:pStyle w:val="Contents3"/>
            <w:tabs>
              <w:tab w:val="clear" w:pos="8459"/>
              <w:tab w:val="right" w:pos="9026" w:leader="dot"/>
            </w:tabs>
            <w:rPr/>
          </w:pPr>
          <w:hyperlink w:anchor="__RefHeading___Toc506683_1395250215">
            <w:r>
              <w:rPr>
                <w:webHidden/>
                <w:rStyle w:val="IndexLink"/>
                <w:rtl w:val="true"/>
              </w:rPr>
              <w:t>واژگان کلیدی</w:t>
            </w:r>
            <w:r>
              <w:rPr>
                <w:rStyle w:val="IndexLink"/>
                <w:rtl w:val="true"/>
              </w:rPr>
              <w:tab/>
            </w:r>
            <w:r>
              <w:rPr>
                <w:rStyle w:val="IndexLink"/>
              </w:rPr>
              <w:t>107</w:t>
            </w:r>
          </w:hyperlink>
        </w:p>
        <w:p>
          <w:pPr>
            <w:pStyle w:val="Contents3"/>
            <w:tabs>
              <w:tab w:val="clear" w:pos="8459"/>
              <w:tab w:val="right" w:pos="9026" w:leader="dot"/>
            </w:tabs>
            <w:rPr/>
          </w:pPr>
          <w:hyperlink w:anchor="__RefHeading___Toc506685_1395250215">
            <w:r>
              <w:rPr>
                <w:webHidden/>
                <w:rStyle w:val="IndexLink"/>
                <w:rtl w:val="true"/>
              </w:rPr>
              <w:t>مفهوم شناسی موضوع</w:t>
            </w:r>
            <w:r>
              <w:rPr>
                <w:rStyle w:val="IndexLink"/>
                <w:rtl w:val="true"/>
              </w:rPr>
              <w:tab/>
            </w:r>
            <w:r>
              <w:rPr>
                <w:rStyle w:val="IndexLink"/>
              </w:rPr>
              <w:t>108</w:t>
            </w:r>
          </w:hyperlink>
        </w:p>
        <w:p>
          <w:pPr>
            <w:pStyle w:val="Contents3"/>
            <w:tabs>
              <w:tab w:val="clear" w:pos="8459"/>
              <w:tab w:val="right" w:pos="9026" w:leader="dot"/>
            </w:tabs>
            <w:rPr/>
          </w:pPr>
          <w:hyperlink w:anchor="__RefHeading___Toc506687_1395250215">
            <w:r>
              <w:rPr>
                <w:webHidden/>
                <w:rStyle w:val="IndexLink"/>
                <w:rtl w:val="true"/>
              </w:rPr>
              <w:t>معنای ترجیح بلامرجح</w:t>
            </w:r>
            <w:r>
              <w:rPr>
                <w:rStyle w:val="IndexLink"/>
                <w:rtl w:val="true"/>
              </w:rPr>
              <w:tab/>
            </w:r>
            <w:r>
              <w:rPr>
                <w:rStyle w:val="IndexLink"/>
              </w:rPr>
              <w:t>108</w:t>
            </w:r>
          </w:hyperlink>
        </w:p>
        <w:p>
          <w:pPr>
            <w:pStyle w:val="Contents4"/>
            <w:tabs>
              <w:tab w:val="clear" w:pos="8176"/>
              <w:tab w:val="right" w:pos="9026" w:leader="dot"/>
            </w:tabs>
            <w:rPr/>
          </w:pPr>
          <w:hyperlink w:anchor="__RefHeading___Toc506689_1395250215">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506691_1395250215">
            <w:r>
              <w:rPr>
                <w:webHidden/>
                <w:rStyle w:val="IndexLink"/>
              </w:rPr>
              <w:t>1</w:t>
            </w:r>
            <w:r>
              <w:rPr>
                <w:rStyle w:val="IndexLink"/>
                <w:rtl w:val="true"/>
              </w:rPr>
              <w:t>.</w:t>
            </w:r>
            <w:r>
              <w:rPr>
                <w:rStyle w:val="IndexLink"/>
                <w:rtl w:val="true"/>
              </w:rPr>
              <w:t xml:space="preserve">رجحان دادن فاعل مختار </w:t>
            </w:r>
            <w:r>
              <w:rPr>
                <w:rStyle w:val="IndexLink"/>
                <w:rtl w:val="true"/>
              </w:rPr>
              <w:t>(</w:t>
            </w:r>
            <w:r>
              <w:rPr>
                <w:rStyle w:val="IndexLink"/>
                <w:rtl w:val="true"/>
              </w:rPr>
              <w:t>انتخاب</w:t>
            </w:r>
            <w:r>
              <w:rPr>
                <w:rStyle w:val="IndexLink"/>
                <w:rtl w:val="true"/>
              </w:rPr>
              <w:t xml:space="preserve">) </w:t>
            </w:r>
            <w:r>
              <w:rPr>
                <w:rStyle w:val="IndexLink"/>
                <w:rtl w:val="true"/>
              </w:rPr>
              <w:t xml:space="preserve">بر </w:t>
            </w:r>
            <w:r>
              <w:rPr>
                <w:rStyle w:val="IndexLink"/>
                <w:rtl w:val="true"/>
              </w:rPr>
              <w:t>...</w:t>
              <w:tab/>
            </w:r>
            <w:r>
              <w:rPr>
                <w:rStyle w:val="IndexLink"/>
              </w:rPr>
              <w:t>108</w:t>
            </w:r>
          </w:hyperlink>
        </w:p>
        <w:p>
          <w:pPr>
            <w:pStyle w:val="Contents4"/>
            <w:tabs>
              <w:tab w:val="clear" w:pos="8176"/>
              <w:tab w:val="right" w:pos="9026" w:leader="dot"/>
            </w:tabs>
            <w:rPr/>
          </w:pPr>
          <w:hyperlink w:anchor="__RefHeading___Toc506693_1395250215">
            <w:r>
              <w:rPr>
                <w:webHidden/>
                <w:rStyle w:val="IndexLink"/>
              </w:rPr>
              <w:t>2</w:t>
            </w:r>
            <w:r>
              <w:rPr>
                <w:rStyle w:val="IndexLink"/>
                <w:rtl w:val="true"/>
              </w:rPr>
              <w:t>.</w:t>
            </w:r>
            <w:r>
              <w:rPr>
                <w:rStyle w:val="IndexLink"/>
                <w:rtl w:val="true"/>
              </w:rPr>
              <w:t>رجحان دادن و ایجاد یکی از چند</w:t>
            </w:r>
            <w:r>
              <w:rPr>
                <w:rStyle w:val="IndexLink"/>
                <w:rtl w:val="true"/>
              </w:rPr>
              <w:t>...</w:t>
              <w:tab/>
            </w:r>
            <w:r>
              <w:rPr>
                <w:rStyle w:val="IndexLink"/>
              </w:rPr>
              <w:t>108</w:t>
            </w:r>
          </w:hyperlink>
        </w:p>
        <w:p>
          <w:pPr>
            <w:pStyle w:val="Contents4"/>
            <w:tabs>
              <w:tab w:val="clear" w:pos="8176"/>
              <w:tab w:val="right" w:pos="9026" w:leader="dot"/>
            </w:tabs>
            <w:rPr/>
          </w:pPr>
          <w:hyperlink w:anchor="__RefHeading___Toc506695_1395250215">
            <w:r>
              <w:rPr>
                <w:webHidden/>
                <w:rStyle w:val="IndexLink"/>
              </w:rPr>
              <w:t>3</w:t>
            </w:r>
            <w:r>
              <w:rPr>
                <w:rStyle w:val="IndexLink"/>
                <w:rtl w:val="true"/>
              </w:rPr>
              <w:t>.</w:t>
            </w:r>
            <w:r>
              <w:rPr>
                <w:rStyle w:val="IndexLink"/>
                <w:rtl w:val="true"/>
              </w:rPr>
              <w:t>تحقق ممکن بدون علت تامه ای که آن را ایجاد کند</w:t>
            </w:r>
            <w:r>
              <w:rPr>
                <w:rStyle w:val="IndexLink"/>
                <w:rtl w:val="true"/>
              </w:rPr>
              <w:t>....</w:t>
              <w:tab/>
            </w:r>
            <w:r>
              <w:rPr>
                <w:rStyle w:val="IndexLink"/>
              </w:rPr>
              <w:t>108</w:t>
            </w:r>
          </w:hyperlink>
        </w:p>
        <w:p>
          <w:pPr>
            <w:pStyle w:val="Contents4"/>
            <w:tabs>
              <w:tab w:val="clear" w:pos="8176"/>
              <w:tab w:val="right" w:pos="9026" w:leader="dot"/>
            </w:tabs>
            <w:rPr/>
          </w:pPr>
          <w:hyperlink w:anchor="__RefHeading___Toc506697_1395250215">
            <w:r>
              <w:rPr>
                <w:webHidden/>
                <w:rStyle w:val="IndexLink"/>
              </w:rPr>
              <w:t>4</w:t>
            </w:r>
            <w:r>
              <w:rPr>
                <w:rStyle w:val="IndexLink"/>
                <w:rtl w:val="true"/>
              </w:rPr>
              <w:t>.</w:t>
            </w:r>
            <w:r>
              <w:rPr>
                <w:rStyle w:val="IndexLink"/>
                <w:rtl w:val="true"/>
              </w:rPr>
              <w:t>صدور معلول از یکی از دو علتی</w:t>
            </w:r>
            <w:r>
              <w:rPr>
                <w:rStyle w:val="IndexLink"/>
                <w:rtl w:val="true"/>
              </w:rPr>
              <w:t>...</w:t>
              <w:tab/>
            </w:r>
            <w:r>
              <w:rPr>
                <w:rStyle w:val="IndexLink"/>
              </w:rPr>
              <w:t>109</w:t>
            </w:r>
          </w:hyperlink>
        </w:p>
        <w:p>
          <w:pPr>
            <w:pStyle w:val="Contents4"/>
            <w:tabs>
              <w:tab w:val="clear" w:pos="8176"/>
              <w:tab w:val="right" w:pos="9026" w:leader="dot"/>
            </w:tabs>
            <w:rPr/>
          </w:pPr>
          <w:hyperlink w:anchor="__RefHeading___Toc506699_1395250215">
            <w:r>
              <w:rPr>
                <w:webHidden/>
                <w:rStyle w:val="IndexLink"/>
              </w:rPr>
              <w:t>5</w:t>
            </w:r>
            <w:r>
              <w:rPr>
                <w:rStyle w:val="IndexLink"/>
                <w:rtl w:val="true"/>
              </w:rPr>
              <w:t>.</w:t>
            </w:r>
            <w:r>
              <w:rPr>
                <w:rStyle w:val="IndexLink"/>
                <w:rtl w:val="true"/>
              </w:rPr>
              <w:t xml:space="preserve">تحقق یکی از دو امر </w:t>
            </w:r>
            <w:r>
              <w:rPr>
                <w:rStyle w:val="IndexLink"/>
                <w:rtl w:val="true"/>
              </w:rPr>
              <w:t>...</w:t>
              <w:tab/>
            </w:r>
            <w:r>
              <w:rPr>
                <w:rStyle w:val="IndexLink"/>
              </w:rPr>
              <w:t>109</w:t>
            </w:r>
          </w:hyperlink>
        </w:p>
        <w:p>
          <w:pPr>
            <w:pStyle w:val="Contents4"/>
            <w:tabs>
              <w:tab w:val="clear" w:pos="8176"/>
              <w:tab w:val="right" w:pos="9026" w:leader="dot"/>
            </w:tabs>
            <w:rPr/>
          </w:pPr>
          <w:hyperlink w:anchor="__RefHeading___Toc506701_1395250215">
            <w:r>
              <w:rPr>
                <w:webHidden/>
                <w:rStyle w:val="IndexLink"/>
              </w:rPr>
              <w:t>6</w:t>
            </w:r>
            <w:r>
              <w:rPr>
                <w:rStyle w:val="IndexLink"/>
                <w:rtl w:val="true"/>
              </w:rPr>
              <w:t>.</w:t>
            </w:r>
            <w:r>
              <w:rPr>
                <w:rStyle w:val="IndexLink"/>
                <w:rtl w:val="true"/>
              </w:rPr>
              <w:t>حکم به رجحان یکی از دو شیء مساوی، بدون مرجح که این بر دو قسم است؛</w:t>
            </w:r>
            <w:r>
              <w:rPr>
                <w:rStyle w:val="IndexLink"/>
                <w:rtl w:val="true"/>
              </w:rPr>
              <w:tab/>
            </w:r>
            <w:r>
              <w:rPr>
                <w:rStyle w:val="IndexLink"/>
              </w:rPr>
              <w:t>109</w:t>
            </w:r>
          </w:hyperlink>
        </w:p>
        <w:p>
          <w:pPr>
            <w:pStyle w:val="Contents4"/>
            <w:tabs>
              <w:tab w:val="clear" w:pos="8176"/>
              <w:tab w:val="right" w:pos="9026" w:leader="dot"/>
            </w:tabs>
            <w:rPr/>
          </w:pPr>
          <w:hyperlink w:anchor="__RefHeading___Toc506703_1395250215">
            <w:r>
              <w:rPr>
                <w:webHidden/>
                <w:rStyle w:val="IndexLink"/>
              </w:rPr>
              <w:t>7</w:t>
            </w:r>
            <w:r>
              <w:rPr>
                <w:rStyle w:val="IndexLink"/>
                <w:rtl w:val="true"/>
              </w:rPr>
              <w:t>.</w:t>
            </w:r>
            <w:r>
              <w:rPr>
                <w:rStyle w:val="IndexLink"/>
                <w:rtl w:val="true"/>
              </w:rPr>
              <w:t>تحقق ممکن در یکی از زمان ها</w:t>
            </w:r>
            <w:r>
              <w:rPr>
                <w:rStyle w:val="IndexLink"/>
                <w:rtl w:val="true"/>
              </w:rPr>
              <w:t>...</w:t>
              <w:tab/>
            </w:r>
            <w:r>
              <w:rPr>
                <w:rStyle w:val="IndexLink"/>
              </w:rPr>
              <w:t>109</w:t>
            </w:r>
          </w:hyperlink>
        </w:p>
        <w:p>
          <w:pPr>
            <w:pStyle w:val="Contents4"/>
            <w:tabs>
              <w:tab w:val="clear" w:pos="8176"/>
              <w:tab w:val="right" w:pos="9026" w:leader="dot"/>
            </w:tabs>
            <w:rPr/>
          </w:pPr>
          <w:hyperlink w:anchor="__RefHeading___Toc506705_1395250215">
            <w:r>
              <w:rPr>
                <w:webHidden/>
                <w:rStyle w:val="IndexLink"/>
              </w:rPr>
              <w:t>8</w:t>
            </w:r>
            <w:r>
              <w:rPr>
                <w:rStyle w:val="IndexLink"/>
                <w:rtl w:val="true"/>
              </w:rPr>
              <w:t>.</w:t>
            </w:r>
            <w:r>
              <w:rPr>
                <w:rStyle w:val="IndexLink"/>
                <w:rtl w:val="true"/>
              </w:rPr>
              <w:t>رجحان دادن خداوند به خلق عالم در</w:t>
            </w:r>
            <w:r>
              <w:rPr>
                <w:rStyle w:val="IndexLink"/>
                <w:rtl w:val="true"/>
              </w:rPr>
              <w:t>...</w:t>
              <w:tab/>
            </w:r>
            <w:r>
              <w:rPr>
                <w:rStyle w:val="IndexLink"/>
              </w:rPr>
              <w:t>109</w:t>
            </w:r>
          </w:hyperlink>
        </w:p>
        <w:p>
          <w:pPr>
            <w:pStyle w:val="Contents3"/>
            <w:tabs>
              <w:tab w:val="clear" w:pos="8459"/>
              <w:tab w:val="right" w:pos="9026" w:leader="dot"/>
            </w:tabs>
            <w:rPr/>
          </w:pPr>
          <w:hyperlink w:anchor="__RefHeading___Toc506707_1395250215">
            <w:r>
              <w:rPr>
                <w:webHidden/>
                <w:rStyle w:val="IndexLink"/>
                <w:rtl w:val="true"/>
              </w:rPr>
              <w:t>معنای اختیار</w:t>
            </w:r>
            <w:r>
              <w:rPr>
                <w:rStyle w:val="IndexLink"/>
                <w:rtl w:val="true"/>
              </w:rPr>
              <w:tab/>
            </w:r>
            <w:r>
              <w:rPr>
                <w:rStyle w:val="IndexLink"/>
              </w:rPr>
              <w:t>110</w:t>
            </w:r>
          </w:hyperlink>
        </w:p>
        <w:p>
          <w:pPr>
            <w:pStyle w:val="Contents4"/>
            <w:tabs>
              <w:tab w:val="clear" w:pos="8176"/>
              <w:tab w:val="right" w:pos="9026" w:leader="dot"/>
            </w:tabs>
            <w:rPr/>
          </w:pPr>
          <w:hyperlink w:anchor="__RefHeading___Toc506709_1395250215">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506711_1395250215">
            <w:r>
              <w:rPr>
                <w:webHidden/>
                <w:rStyle w:val="IndexLink"/>
              </w:rPr>
              <w:t>1</w:t>
            </w:r>
            <w:r>
              <w:rPr>
                <w:rStyle w:val="IndexLink"/>
                <w:rtl w:val="true"/>
              </w:rPr>
              <w:t>.</w:t>
            </w:r>
            <w:r>
              <w:rPr>
                <w:rStyle w:val="IndexLink"/>
                <w:rtl w:val="true"/>
              </w:rPr>
              <w:t>امکان فعل و ترک</w:t>
            </w:r>
            <w:r>
              <w:rPr>
                <w:rStyle w:val="IndexLink"/>
                <w:rtl w:val="true"/>
              </w:rPr>
              <w:tab/>
            </w:r>
            <w:r>
              <w:rPr>
                <w:rStyle w:val="IndexLink"/>
              </w:rPr>
              <w:t>110</w:t>
            </w:r>
          </w:hyperlink>
        </w:p>
        <w:p>
          <w:pPr>
            <w:pStyle w:val="Contents4"/>
            <w:tabs>
              <w:tab w:val="clear" w:pos="8176"/>
              <w:tab w:val="right" w:pos="9026" w:leader="dot"/>
            </w:tabs>
            <w:rPr/>
          </w:pPr>
          <w:hyperlink w:anchor="__RefHeading___Toc506713_1395250215">
            <w:r>
              <w:rPr>
                <w:webHidden/>
                <w:rStyle w:val="IndexLink"/>
              </w:rPr>
              <w:t>2</w:t>
            </w:r>
            <w:r>
              <w:rPr>
                <w:rStyle w:val="IndexLink"/>
                <w:rtl w:val="true"/>
              </w:rPr>
              <w:t>.</w:t>
            </w:r>
            <w:r>
              <w:rPr>
                <w:rStyle w:val="IndexLink"/>
                <w:rtl w:val="true"/>
              </w:rPr>
              <w:t>تأثیر خواست فاعل در فعل خود</w:t>
            </w:r>
            <w:r>
              <w:rPr>
                <w:rStyle w:val="IndexLink"/>
                <w:rtl w:val="true"/>
              </w:rPr>
              <w:tab/>
            </w:r>
            <w:r>
              <w:rPr>
                <w:rStyle w:val="IndexLink"/>
              </w:rPr>
              <w:t>111</w:t>
            </w:r>
          </w:hyperlink>
        </w:p>
        <w:p>
          <w:pPr>
            <w:pStyle w:val="Contents4"/>
            <w:tabs>
              <w:tab w:val="clear" w:pos="8176"/>
              <w:tab w:val="right" w:pos="9026" w:leader="dot"/>
            </w:tabs>
            <w:rPr/>
          </w:pPr>
          <w:hyperlink w:anchor="__RefHeading___Toc506715_1395250215">
            <w:r>
              <w:rPr>
                <w:webHidden/>
                <w:rStyle w:val="IndexLink"/>
              </w:rPr>
              <w:t>3</w:t>
            </w:r>
            <w:r>
              <w:rPr>
                <w:rStyle w:val="IndexLink"/>
                <w:rtl w:val="true"/>
              </w:rPr>
              <w:t>.</w:t>
            </w:r>
            <w:r>
              <w:rPr>
                <w:rStyle w:val="IndexLink"/>
                <w:rtl w:val="true"/>
              </w:rPr>
              <w:t>تأثیر خواست فاعل در فعلش بدون فشار عوامل بیرونی</w:t>
            </w:r>
            <w:r>
              <w:rPr>
                <w:rStyle w:val="IndexLink"/>
                <w:rtl w:val="true"/>
              </w:rPr>
              <w:tab/>
            </w:r>
            <w:r>
              <w:rPr>
                <w:rStyle w:val="IndexLink"/>
              </w:rPr>
              <w:t>112</w:t>
            </w:r>
          </w:hyperlink>
        </w:p>
        <w:p>
          <w:pPr>
            <w:pStyle w:val="Contents4"/>
            <w:tabs>
              <w:tab w:val="clear" w:pos="8176"/>
              <w:tab w:val="right" w:pos="9026" w:leader="dot"/>
            </w:tabs>
            <w:rPr/>
          </w:pPr>
          <w:hyperlink w:anchor="__RefHeading___Toc506717_1395250215">
            <w:r>
              <w:rPr>
                <w:webHidden/>
                <w:rStyle w:val="IndexLink"/>
              </w:rPr>
              <w:t>4</w:t>
            </w:r>
            <w:r>
              <w:rPr>
                <w:rStyle w:val="IndexLink"/>
                <w:rtl w:val="true"/>
              </w:rPr>
              <w:t>.</w:t>
            </w:r>
            <w:r>
              <w:rPr>
                <w:rStyle w:val="IndexLink"/>
                <w:rtl w:val="true"/>
              </w:rPr>
              <w:t>انتخاب یکی از دو یا چند راه پیش روی موجود مختار</w:t>
            </w:r>
            <w:r>
              <w:rPr>
                <w:rStyle w:val="IndexLink"/>
                <w:rtl w:val="true"/>
              </w:rPr>
              <w:tab/>
            </w:r>
            <w:r>
              <w:rPr>
                <w:rStyle w:val="IndexLink"/>
              </w:rPr>
              <w:t>112</w:t>
            </w:r>
          </w:hyperlink>
        </w:p>
        <w:p>
          <w:pPr>
            <w:pStyle w:val="Contents3"/>
            <w:tabs>
              <w:tab w:val="clear" w:pos="8459"/>
              <w:tab w:val="right" w:pos="9026" w:leader="dot"/>
            </w:tabs>
            <w:rPr/>
          </w:pPr>
          <w:hyperlink w:anchor="__RefHeading___Toc506719_1395250215">
            <w:r>
              <w:rPr>
                <w:webHidden/>
                <w:rStyle w:val="IndexLink"/>
                <w:rtl w:val="true"/>
              </w:rPr>
              <w:t>رابطه دو معنای کلامی و فلسفی اختیار</w:t>
            </w:r>
            <w:r>
              <w:rPr>
                <w:rStyle w:val="IndexLink"/>
                <w:rtl w:val="true"/>
              </w:rPr>
              <w:tab/>
            </w:r>
            <w:r>
              <w:rPr>
                <w:rStyle w:val="IndexLink"/>
              </w:rPr>
              <w:t>114</w:t>
            </w:r>
          </w:hyperlink>
        </w:p>
        <w:p>
          <w:pPr>
            <w:pStyle w:val="Contents3"/>
            <w:tabs>
              <w:tab w:val="clear" w:pos="8459"/>
              <w:tab w:val="right" w:pos="9026" w:leader="dot"/>
            </w:tabs>
            <w:rPr/>
          </w:pPr>
          <w:hyperlink w:anchor="__RefHeading___Toc506721_1395250215">
            <w:r>
              <w:rPr>
                <w:webHidden/>
                <w:rStyle w:val="IndexLink"/>
                <w:rtl w:val="true"/>
              </w:rPr>
              <w:t>استحاله یا امکان ترجیح بلامرجح</w:t>
            </w:r>
            <w:r>
              <w:rPr>
                <w:rStyle w:val="IndexLink"/>
                <w:rtl w:val="true"/>
              </w:rPr>
              <w:tab/>
            </w:r>
            <w:r>
              <w:rPr>
                <w:rStyle w:val="IndexLink"/>
              </w:rPr>
              <w:t>114</w:t>
            </w:r>
          </w:hyperlink>
        </w:p>
        <w:p>
          <w:pPr>
            <w:pStyle w:val="Contents3"/>
            <w:tabs>
              <w:tab w:val="clear" w:pos="8459"/>
              <w:tab w:val="right" w:pos="9026" w:leader="dot"/>
            </w:tabs>
            <w:rPr/>
          </w:pPr>
          <w:hyperlink w:anchor="__RefHeading___Toc506723_1395250215">
            <w:r>
              <w:rPr>
                <w:webHidden/>
                <w:rStyle w:val="IndexLink"/>
                <w:rtl w:val="true"/>
              </w:rPr>
              <w:t>دلیل معتقدان به استحاله ترجیح بلامرجح</w:t>
            </w:r>
            <w:r>
              <w:rPr>
                <w:rStyle w:val="IndexLink"/>
                <w:rtl w:val="true"/>
              </w:rPr>
              <w:tab/>
            </w:r>
            <w:r>
              <w:rPr>
                <w:rStyle w:val="IndexLink"/>
              </w:rPr>
              <w:t>117</w:t>
            </w:r>
          </w:hyperlink>
        </w:p>
        <w:p>
          <w:pPr>
            <w:pStyle w:val="Contents4"/>
            <w:tabs>
              <w:tab w:val="clear" w:pos="8176"/>
              <w:tab w:val="right" w:pos="9026" w:leader="dot"/>
            </w:tabs>
            <w:rPr/>
          </w:pPr>
          <w:hyperlink w:anchor="__RefHeading___Toc506725_1395250215">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506727_1395250215">
            <w:r>
              <w:rPr>
                <w:webHidden/>
                <w:rStyle w:val="IndexLink"/>
                <w:rtl w:val="true"/>
              </w:rPr>
              <w:t>الف</w:t>
            </w:r>
            <w:r>
              <w:rPr>
                <w:rStyle w:val="IndexLink"/>
                <w:rtl w:val="true"/>
              </w:rPr>
              <w:t xml:space="preserve">. </w:t>
            </w:r>
            <w:r>
              <w:rPr>
                <w:rStyle w:val="IndexLink"/>
                <w:rtl w:val="true"/>
              </w:rPr>
              <w:t>اگر دو فعل از جهت مصلحت و مفسده مساوی باشند فاعلیت فاعل نسبت به هر دو فعل، مساوی و بالقوه است</w:t>
            </w:r>
            <w:r>
              <w:rPr>
                <w:rStyle w:val="IndexLink"/>
                <w:rtl w:val="true"/>
              </w:rPr>
              <w:t>.</w:t>
              <w:tab/>
            </w:r>
            <w:r>
              <w:rPr>
                <w:rStyle w:val="IndexLink"/>
              </w:rPr>
              <w:t>117</w:t>
            </w:r>
          </w:hyperlink>
        </w:p>
        <w:p>
          <w:pPr>
            <w:pStyle w:val="Contents4"/>
            <w:tabs>
              <w:tab w:val="clear" w:pos="8176"/>
              <w:tab w:val="right" w:pos="9026" w:leader="dot"/>
            </w:tabs>
            <w:rPr/>
          </w:pPr>
          <w:hyperlink w:anchor="__RefHeading___Toc506729_1395250215">
            <w:r>
              <w:rPr>
                <w:webHidden/>
                <w:rStyle w:val="IndexLink"/>
                <w:rtl w:val="true"/>
              </w:rPr>
              <w:t>ب</w:t>
            </w:r>
            <w:r>
              <w:rPr>
                <w:rStyle w:val="IndexLink"/>
                <w:rtl w:val="true"/>
              </w:rPr>
              <w:t xml:space="preserve">. </w:t>
            </w:r>
            <w:r>
              <w:rPr>
                <w:rStyle w:val="IndexLink"/>
                <w:rtl w:val="true"/>
              </w:rPr>
              <w:t>اگر فاعلیت فاعل نسبت به دو فعل، مساوی و بالقوه باشد، تبدیل فاعلیت بالقوه به فاعلیت بالفعل نسبت به هر یک از دو فعل، علت و مرجح ندارد</w:t>
            </w:r>
            <w:r>
              <w:rPr>
                <w:rStyle w:val="IndexLink"/>
                <w:rtl w:val="true"/>
              </w:rPr>
              <w:t>.</w:t>
              <w:tab/>
            </w:r>
            <w:r>
              <w:rPr>
                <w:rStyle w:val="IndexLink"/>
              </w:rPr>
              <w:t>117</w:t>
            </w:r>
          </w:hyperlink>
        </w:p>
        <w:p>
          <w:pPr>
            <w:pStyle w:val="Contents4"/>
            <w:tabs>
              <w:tab w:val="clear" w:pos="8176"/>
              <w:tab w:val="right" w:pos="9026" w:leader="dot"/>
            </w:tabs>
            <w:rPr/>
          </w:pPr>
          <w:hyperlink w:anchor="__RefHeading___Toc506731_1395250215">
            <w:r>
              <w:rPr>
                <w:webHidden/>
                <w:rStyle w:val="IndexLink"/>
                <w:rtl w:val="true"/>
              </w:rPr>
              <w:t>ج</w:t>
            </w:r>
            <w:r>
              <w:rPr>
                <w:rStyle w:val="IndexLink"/>
                <w:rtl w:val="true"/>
              </w:rPr>
              <w:t xml:space="preserve">. </w:t>
            </w:r>
            <w:r>
              <w:rPr>
                <w:rStyle w:val="IndexLink"/>
                <w:rtl w:val="true"/>
              </w:rPr>
              <w:t>اگر تبدیل فاعلیت بالقوه به فاعلیت بالفعل نسبت به هر یک از دو فعل، علت و مرجح ندارد و فاعلیت بالفعل نسبت به هر کدام از دو فعل حاصل شود، ترجح بلامرجح محقق شده است</w:t>
            </w:r>
            <w:r>
              <w:rPr>
                <w:rStyle w:val="IndexLink"/>
                <w:rtl w:val="true"/>
              </w:rPr>
              <w:t>.</w:t>
              <w:tab/>
            </w:r>
            <w:r>
              <w:rPr>
                <w:rStyle w:val="IndexLink"/>
              </w:rPr>
              <w:t>117</w:t>
            </w:r>
          </w:hyperlink>
        </w:p>
        <w:p>
          <w:pPr>
            <w:pStyle w:val="Contents4"/>
            <w:tabs>
              <w:tab w:val="clear" w:pos="8176"/>
              <w:tab w:val="right" w:pos="9026" w:leader="dot"/>
            </w:tabs>
            <w:rPr/>
          </w:pPr>
          <w:hyperlink w:anchor="__RefHeading___Toc506733_1395250215">
            <w:r>
              <w:rPr>
                <w:webHidden/>
                <w:rStyle w:val="IndexLink"/>
                <w:rtl w:val="true"/>
              </w:rPr>
              <w:t>د</w:t>
            </w:r>
            <w:r>
              <w:rPr>
                <w:rStyle w:val="IndexLink"/>
                <w:rtl w:val="true"/>
              </w:rPr>
              <w:t xml:space="preserve">. </w:t>
            </w:r>
            <w:r>
              <w:rPr>
                <w:rStyle w:val="IndexLink"/>
                <w:rtl w:val="true"/>
              </w:rPr>
              <w:t>ترجح بلامرجح محال است</w:t>
            </w:r>
            <w:r>
              <w:rPr>
                <w:rStyle w:val="IndexLink"/>
                <w:rtl w:val="true"/>
              </w:rPr>
              <w:t>.</w:t>
              <w:tab/>
            </w:r>
            <w:r>
              <w:rPr>
                <w:rStyle w:val="IndexLink"/>
              </w:rPr>
              <w:t>117</w:t>
            </w:r>
          </w:hyperlink>
        </w:p>
        <w:p>
          <w:pPr>
            <w:pStyle w:val="Contents4"/>
            <w:tabs>
              <w:tab w:val="clear" w:pos="8176"/>
              <w:tab w:val="right" w:pos="9026" w:leader="dot"/>
            </w:tabs>
            <w:rPr/>
          </w:pPr>
          <w:hyperlink w:anchor="__RefHeading___Toc506735_1395250215">
            <w:r>
              <w:rPr>
                <w:webHidden/>
                <w:rStyle w:val="IndexLink"/>
                <w:rtl w:val="true"/>
              </w:rPr>
              <w:t>هـ</w:t>
            </w:r>
            <w:r>
              <w:rPr>
                <w:rStyle w:val="IndexLink"/>
                <w:rtl w:val="true"/>
              </w:rPr>
              <w:t xml:space="preserve">. </w:t>
            </w:r>
            <w:r>
              <w:rPr>
                <w:rStyle w:val="IndexLink"/>
                <w:rtl w:val="true"/>
              </w:rPr>
              <w:t>پس این امر محال است که تبدیل فاعلیت بالقوه به فاعلیت بالفعل نسبت به هر یک از دو فعل، علت و مرجح نداشته باشد و فاعلیت بالفعل نسبت به یکی از دو فعل حاصل شود</w:t>
            </w:r>
            <w:r>
              <w:rPr>
                <w:rStyle w:val="IndexLink"/>
                <w:rtl w:val="true"/>
              </w:rPr>
              <w:t>.</w:t>
              <w:tab/>
            </w:r>
            <w:r>
              <w:rPr>
                <w:rStyle w:val="IndexLink"/>
              </w:rPr>
              <w:t>117</w:t>
            </w:r>
          </w:hyperlink>
        </w:p>
        <w:p>
          <w:pPr>
            <w:pStyle w:val="Contents4"/>
            <w:tabs>
              <w:tab w:val="clear" w:pos="8176"/>
              <w:tab w:val="right" w:pos="9026" w:leader="dot"/>
            </w:tabs>
            <w:rPr/>
          </w:pPr>
          <w:hyperlink w:anchor="__RefHeading___Toc506737_1395250215">
            <w:r>
              <w:rPr>
                <w:webHidden/>
                <w:rStyle w:val="IndexLink"/>
                <w:rtl w:val="true"/>
              </w:rPr>
              <w:t>و</w:t>
            </w:r>
            <w:r>
              <w:rPr>
                <w:rStyle w:val="IndexLink"/>
                <w:rtl w:val="true"/>
              </w:rPr>
              <w:t xml:space="preserve">. </w:t>
            </w:r>
            <w:r>
              <w:rPr>
                <w:rStyle w:val="IndexLink"/>
                <w:rtl w:val="true"/>
              </w:rPr>
              <w:t>تبدیل فاعلیت بالقوه به فاعلیت بالفعل نسبت به هر کدام از دو فعل مساوی در فاعل مختار را ترجیح بلامرجح می نامند</w:t>
            </w:r>
            <w:r>
              <w:rPr>
                <w:rStyle w:val="IndexLink"/>
                <w:rtl w:val="true"/>
              </w:rPr>
              <w:t>.</w:t>
              <w:tab/>
            </w:r>
            <w:r>
              <w:rPr>
                <w:rStyle w:val="IndexLink"/>
              </w:rPr>
              <w:t>117</w:t>
            </w:r>
          </w:hyperlink>
        </w:p>
        <w:p>
          <w:pPr>
            <w:pStyle w:val="Contents4"/>
            <w:tabs>
              <w:tab w:val="clear" w:pos="8176"/>
              <w:tab w:val="right" w:pos="9026" w:leader="dot"/>
            </w:tabs>
            <w:rPr/>
          </w:pPr>
          <w:hyperlink w:anchor="__RefHeading___Toc506739_1395250215">
            <w:r>
              <w:rPr>
                <w:webHidden/>
                <w:rStyle w:val="IndexLink"/>
                <w:rtl w:val="true"/>
              </w:rPr>
              <w:t>ز</w:t>
            </w:r>
            <w:r>
              <w:rPr>
                <w:rStyle w:val="IndexLink"/>
                <w:rtl w:val="true"/>
              </w:rPr>
              <w:t xml:space="preserve">. </w:t>
            </w:r>
            <w:r>
              <w:rPr>
                <w:rStyle w:val="IndexLink"/>
                <w:rtl w:val="true"/>
              </w:rPr>
              <w:t>پس ترجیح بلامرجح محال است</w:t>
            </w:r>
            <w:r>
              <w:rPr>
                <w:rStyle w:val="IndexLink"/>
                <w:rtl w:val="true"/>
              </w:rPr>
              <w:t>.</w:t>
              <w:tab/>
            </w:r>
            <w:r>
              <w:rPr>
                <w:rStyle w:val="IndexLink"/>
              </w:rPr>
              <w:t>118</w:t>
            </w:r>
          </w:hyperlink>
        </w:p>
        <w:p>
          <w:pPr>
            <w:pStyle w:val="Contents5"/>
            <w:tabs>
              <w:tab w:val="clear" w:pos="7892"/>
              <w:tab w:val="right" w:pos="9026" w:leader="dot"/>
            </w:tabs>
            <w:rPr/>
          </w:pPr>
          <w:hyperlink w:anchor="__RefHeading___Toc506741_1395250215">
            <w:r>
              <w:rPr>
                <w:webHidden/>
                <w:rStyle w:val="IndexLink"/>
                <w:rtl w:val="true"/>
              </w:rPr>
              <w:t>فیلسوفان در مسأله مرجع یعنی در مورد اراده یکی از دو فعل مساوی که از افعال مباشری نفس است نیز استدلالی شبیه به آنچه گذشت اقامه می کنندکه صورت منطقی آن چنین است</w:t>
            </w:r>
            <w:r>
              <w:rPr>
                <w:rStyle w:val="IndexLink"/>
                <w:rtl w:val="true"/>
              </w:rPr>
              <w:t>:</w:t>
              <w:tab/>
            </w:r>
            <w:r>
              <w:rPr>
                <w:rStyle w:val="IndexLink"/>
              </w:rPr>
              <w:t>118</w:t>
            </w:r>
          </w:hyperlink>
        </w:p>
        <w:p>
          <w:pPr>
            <w:pStyle w:val="Contents6"/>
            <w:tabs>
              <w:tab w:val="clear" w:pos="7609"/>
              <w:tab w:val="right" w:pos="9026" w:leader="dot"/>
            </w:tabs>
            <w:rPr/>
          </w:pPr>
          <w:hyperlink w:anchor="__RefHeading___Toc506743_1395250215">
            <w:r>
              <w:rPr>
                <w:webHidden/>
                <w:rStyle w:val="IndexLink"/>
                <w:rtl w:val="true"/>
              </w:rPr>
              <w:t>الف</w:t>
            </w:r>
            <w:r>
              <w:rPr>
                <w:rStyle w:val="IndexLink"/>
                <w:rtl w:val="true"/>
              </w:rPr>
              <w:t xml:space="preserve">. </w:t>
            </w:r>
            <w:r>
              <w:rPr>
                <w:rStyle w:val="IndexLink"/>
                <w:rtl w:val="true"/>
              </w:rPr>
              <w:t>اگر دو فعل از جهت مصلحت و مفسده مساوی باشند نسبت تعلق اراده فاعل به هر یک از دو فعل مساوی است</w:t>
            </w:r>
            <w:r>
              <w:rPr>
                <w:rStyle w:val="IndexLink"/>
                <w:rtl w:val="true"/>
              </w:rPr>
              <w:t>.</w:t>
              <w:tab/>
            </w:r>
            <w:r>
              <w:rPr>
                <w:rStyle w:val="IndexLink"/>
              </w:rPr>
              <w:t>118</w:t>
            </w:r>
          </w:hyperlink>
        </w:p>
        <w:p>
          <w:pPr>
            <w:pStyle w:val="Contents6"/>
            <w:tabs>
              <w:tab w:val="clear" w:pos="7609"/>
              <w:tab w:val="right" w:pos="9026" w:leader="dot"/>
            </w:tabs>
            <w:rPr/>
          </w:pPr>
          <w:hyperlink w:anchor="__RefHeading___Toc506745_1395250215">
            <w:r>
              <w:rPr>
                <w:webHidden/>
                <w:rStyle w:val="IndexLink"/>
                <w:rtl w:val="true"/>
              </w:rPr>
              <w:t>ب</w:t>
            </w:r>
            <w:r>
              <w:rPr>
                <w:rStyle w:val="IndexLink"/>
                <w:rtl w:val="true"/>
              </w:rPr>
              <w:t xml:space="preserve">: </w:t>
            </w:r>
            <w:r>
              <w:rPr>
                <w:rStyle w:val="IndexLink"/>
                <w:rtl w:val="true"/>
              </w:rPr>
              <w:t>اگر نسبت تعلق اراده به هر یک از دو فعل مساوی باشد ولی تعلق اراده به یکی از دو فعل حاصل شود، ترجح بلامرجح محقق شده است</w:t>
            </w:r>
            <w:r>
              <w:rPr>
                <w:rStyle w:val="IndexLink"/>
                <w:rtl w:val="true"/>
              </w:rPr>
              <w:t>.</w:t>
              <w:tab/>
            </w:r>
            <w:r>
              <w:rPr>
                <w:rStyle w:val="IndexLink"/>
              </w:rPr>
              <w:t>118</w:t>
            </w:r>
          </w:hyperlink>
        </w:p>
        <w:p>
          <w:pPr>
            <w:pStyle w:val="Contents6"/>
            <w:tabs>
              <w:tab w:val="clear" w:pos="7609"/>
              <w:tab w:val="right" w:pos="9026" w:leader="dot"/>
            </w:tabs>
            <w:rPr/>
          </w:pPr>
          <w:hyperlink w:anchor="__RefHeading___Toc506747_1395250215">
            <w:r>
              <w:rPr>
                <w:webHidden/>
                <w:rStyle w:val="IndexLink"/>
                <w:rtl w:val="true"/>
              </w:rPr>
              <w:t>ج</w:t>
            </w:r>
            <w:r>
              <w:rPr>
                <w:rStyle w:val="IndexLink"/>
                <w:rtl w:val="true"/>
              </w:rPr>
              <w:t xml:space="preserve">. </w:t>
            </w:r>
            <w:r>
              <w:rPr>
                <w:rStyle w:val="IndexLink"/>
                <w:rtl w:val="true"/>
              </w:rPr>
              <w:t>ترجح بلامرجح محال است</w:t>
            </w:r>
            <w:r>
              <w:rPr>
                <w:rStyle w:val="IndexLink"/>
                <w:rtl w:val="true"/>
              </w:rPr>
              <w:t>.</w:t>
              <w:tab/>
            </w:r>
            <w:r>
              <w:rPr>
                <w:rStyle w:val="IndexLink"/>
              </w:rPr>
              <w:t>118</w:t>
            </w:r>
          </w:hyperlink>
        </w:p>
        <w:p>
          <w:pPr>
            <w:pStyle w:val="Contents6"/>
            <w:tabs>
              <w:tab w:val="clear" w:pos="7609"/>
              <w:tab w:val="right" w:pos="9026" w:leader="dot"/>
            </w:tabs>
            <w:rPr/>
          </w:pPr>
          <w:hyperlink w:anchor="__RefHeading___Toc506749_1395250215">
            <w:r>
              <w:rPr>
                <w:webHidden/>
                <w:rStyle w:val="IndexLink"/>
                <w:rtl w:val="true"/>
              </w:rPr>
              <w:t>د</w:t>
            </w:r>
            <w:r>
              <w:rPr>
                <w:rStyle w:val="IndexLink"/>
                <w:rtl w:val="true"/>
              </w:rPr>
              <w:t xml:space="preserve">. </w:t>
            </w:r>
            <w:r>
              <w:rPr>
                <w:rStyle w:val="IndexLink"/>
                <w:rtl w:val="true"/>
              </w:rPr>
              <w:t>پس محال است که نسبت تعلق اراده به هر یک از دو فعل مساوی باشد و تعلق اراده حاصل شود</w:t>
            </w:r>
            <w:r>
              <w:rPr>
                <w:rStyle w:val="IndexLink"/>
                <w:rtl w:val="true"/>
              </w:rPr>
              <w:t>.</w:t>
              <w:tab/>
            </w:r>
            <w:r>
              <w:rPr>
                <w:rStyle w:val="IndexLink"/>
              </w:rPr>
              <w:t>118</w:t>
            </w:r>
          </w:hyperlink>
        </w:p>
        <w:p>
          <w:pPr>
            <w:pStyle w:val="Contents6"/>
            <w:tabs>
              <w:tab w:val="clear" w:pos="7609"/>
              <w:tab w:val="right" w:pos="9026" w:leader="dot"/>
            </w:tabs>
            <w:rPr/>
          </w:pPr>
          <w:hyperlink w:anchor="__RefHeading___Toc506751_1395250215">
            <w:r>
              <w:rPr>
                <w:webHidden/>
                <w:rStyle w:val="IndexLink"/>
                <w:rtl w:val="true"/>
              </w:rPr>
              <w:t xml:space="preserve">ﻫ </w:t>
            </w:r>
            <w:r>
              <w:rPr>
                <w:rStyle w:val="IndexLink"/>
                <w:rtl w:val="true"/>
              </w:rPr>
              <w:t xml:space="preserve">. </w:t>
            </w:r>
            <w:r>
              <w:rPr>
                <w:rStyle w:val="IndexLink"/>
                <w:rtl w:val="true"/>
              </w:rPr>
              <w:t>تعلق اراده فاعل به یکی از دو فعل مساوی را در اصطلاح ترجیح بلامرجح می نامند</w:t>
            </w:r>
            <w:r>
              <w:rPr>
                <w:rStyle w:val="IndexLink"/>
                <w:rtl w:val="true"/>
              </w:rPr>
              <w:t>.</w:t>
              <w:tab/>
            </w:r>
            <w:r>
              <w:rPr>
                <w:rStyle w:val="IndexLink"/>
              </w:rPr>
              <w:t>118</w:t>
            </w:r>
          </w:hyperlink>
        </w:p>
        <w:p>
          <w:pPr>
            <w:pStyle w:val="Contents6"/>
            <w:tabs>
              <w:tab w:val="clear" w:pos="7609"/>
              <w:tab w:val="right" w:pos="9026" w:leader="dot"/>
            </w:tabs>
            <w:rPr/>
          </w:pPr>
          <w:hyperlink w:anchor="__RefHeading___Toc506753_1395250215">
            <w:r>
              <w:rPr>
                <w:webHidden/>
                <w:rStyle w:val="IndexLink"/>
                <w:rtl w:val="true"/>
              </w:rPr>
              <w:t>و</w:t>
            </w:r>
            <w:r>
              <w:rPr>
                <w:rStyle w:val="IndexLink"/>
                <w:rtl w:val="true"/>
              </w:rPr>
              <w:t xml:space="preserve">. </w:t>
            </w:r>
            <w:r>
              <w:rPr>
                <w:rStyle w:val="IndexLink"/>
                <w:rtl w:val="true"/>
              </w:rPr>
              <w:t xml:space="preserve">پس ترجیح بلامرجح محال است </w:t>
            </w:r>
            <w:r>
              <w:rPr>
                <w:rStyle w:val="IndexLink"/>
                <w:rtl w:val="true"/>
              </w:rPr>
              <w:t>(</w:t>
            </w:r>
            <w:r>
              <w:rPr>
                <w:rStyle w:val="IndexLink"/>
                <w:rtl w:val="true"/>
              </w:rPr>
              <w:t xml:space="preserve">مطهری، </w:t>
            </w:r>
            <w:r>
              <w:rPr>
                <w:rStyle w:val="IndexLink"/>
              </w:rPr>
              <w:t>1377</w:t>
            </w:r>
            <w:r>
              <w:rPr>
                <w:rStyle w:val="IndexLink"/>
                <w:rtl w:val="true"/>
              </w:rPr>
              <w:t xml:space="preserve">، </w:t>
            </w:r>
            <w:r>
              <w:rPr>
                <w:rStyle w:val="IndexLink"/>
              </w:rPr>
              <w:t>6</w:t>
            </w:r>
            <w:r>
              <w:rPr>
                <w:rStyle w:val="IndexLink"/>
                <w:rtl w:val="true"/>
              </w:rPr>
              <w:t xml:space="preserve">: </w:t>
            </w:r>
            <w:r>
              <w:rPr>
                <w:rStyle w:val="IndexLink"/>
              </w:rPr>
              <w:t>1021</w:t>
            </w:r>
            <w:r>
              <w:rPr>
                <w:rStyle w:val="IndexLink"/>
                <w:rtl w:val="true"/>
              </w:rPr>
              <w:t>).</w:t>
              <w:tab/>
            </w:r>
            <w:r>
              <w:rPr>
                <w:rStyle w:val="IndexLink"/>
              </w:rPr>
              <w:t>118</w:t>
            </w:r>
          </w:hyperlink>
        </w:p>
        <w:p>
          <w:pPr>
            <w:pStyle w:val="Contents4"/>
            <w:tabs>
              <w:tab w:val="clear" w:pos="8176"/>
              <w:tab w:val="right" w:pos="9026" w:leader="dot"/>
            </w:tabs>
            <w:rPr/>
          </w:pPr>
          <w:hyperlink w:anchor="__RefHeading___Toc506755_1395250215">
            <w:r>
              <w:rPr>
                <w:webHidden/>
                <w:rStyle w:val="IndexLink"/>
                <w:rtl w:val="true"/>
              </w:rPr>
              <w:t>نقد و بررسی دلیل مذکور، از دیدگاه مخالفان استحاله</w:t>
            </w:r>
            <w:r>
              <w:rPr>
                <w:rStyle w:val="IndexLink"/>
                <w:rtl w:val="true"/>
              </w:rPr>
              <w:tab/>
            </w:r>
            <w:r>
              <w:rPr>
                <w:rStyle w:val="IndexLink"/>
              </w:rPr>
              <w:t>119</w:t>
            </w:r>
          </w:hyperlink>
        </w:p>
        <w:p>
          <w:pPr>
            <w:pStyle w:val="Contents3"/>
            <w:tabs>
              <w:tab w:val="clear" w:pos="8459"/>
              <w:tab w:val="right" w:pos="9026" w:leader="dot"/>
            </w:tabs>
            <w:rPr/>
          </w:pPr>
          <w:hyperlink w:anchor="__RefHeading___Toc506757_1395250215">
            <w:r>
              <w:rPr>
                <w:webHidden/>
                <w:rStyle w:val="IndexLink"/>
                <w:rtl w:val="true"/>
              </w:rPr>
              <w:t>تحلیل نظریه جواز و استحاله ترجیح بلامرجح و بیان مبانی دو نظریه</w:t>
            </w:r>
            <w:r>
              <w:rPr>
                <w:rStyle w:val="IndexLink"/>
                <w:rtl w:val="true"/>
              </w:rPr>
              <w:tab/>
            </w:r>
            <w:r>
              <w:rPr>
                <w:rStyle w:val="IndexLink"/>
              </w:rPr>
              <w:t>119</w:t>
            </w:r>
          </w:hyperlink>
        </w:p>
        <w:p>
          <w:pPr>
            <w:pStyle w:val="Contents4"/>
            <w:tabs>
              <w:tab w:val="clear" w:pos="8176"/>
              <w:tab w:val="right" w:pos="9026" w:leader="dot"/>
            </w:tabs>
            <w:rPr/>
          </w:pPr>
          <w:hyperlink w:anchor="__RefHeading___Toc506759_1395250215">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506761_1395250215">
            <w:r>
              <w:rPr>
                <w:webHidden/>
                <w:rStyle w:val="IndexLink"/>
                <w:rtl w:val="true"/>
              </w:rPr>
              <w:t>دلیل و شاهد برخی معتقدان به جواز ترجیح بلامرجح</w:t>
            </w:r>
            <w:r>
              <w:rPr>
                <w:rStyle w:val="IndexLink"/>
                <w:rtl w:val="true"/>
              </w:rPr>
              <w:tab/>
            </w:r>
            <w:r>
              <w:rPr>
                <w:rStyle w:val="IndexLink"/>
              </w:rPr>
              <w:t>121</w:t>
            </w:r>
          </w:hyperlink>
        </w:p>
        <w:p>
          <w:pPr>
            <w:pStyle w:val="Contents4"/>
            <w:tabs>
              <w:tab w:val="clear" w:pos="8176"/>
              <w:tab w:val="right" w:pos="9026" w:leader="dot"/>
            </w:tabs>
            <w:rPr/>
          </w:pPr>
          <w:hyperlink w:anchor="__RefHeading___Toc506763_1395250215">
            <w:r>
              <w:rPr>
                <w:webHidden/>
                <w:rStyle w:val="IndexLink"/>
                <w:rtl w:val="true"/>
              </w:rPr>
              <w:t>نقد و بررسی</w:t>
            </w:r>
            <w:r>
              <w:rPr>
                <w:rStyle w:val="IndexLink"/>
                <w:rtl w:val="true"/>
              </w:rPr>
              <w:tab/>
            </w:r>
            <w:r>
              <w:rPr>
                <w:rStyle w:val="IndexLink"/>
              </w:rPr>
              <w:t>121</w:t>
            </w:r>
          </w:hyperlink>
        </w:p>
        <w:p>
          <w:pPr>
            <w:pStyle w:val="Contents3"/>
            <w:tabs>
              <w:tab w:val="clear" w:pos="8459"/>
              <w:tab w:val="right" w:pos="9026" w:leader="dot"/>
            </w:tabs>
            <w:rPr/>
          </w:pPr>
          <w:hyperlink w:anchor="__RefHeading___Toc506765_1395250215">
            <w:r>
              <w:rPr>
                <w:webHidden/>
                <w:rStyle w:val="IndexLink"/>
                <w:rtl w:val="true"/>
              </w:rPr>
              <w:t>سازگاری یا ناسازگاری نظریه استحاله ترجیح بلامرجح با اختیار</w:t>
            </w:r>
            <w:r>
              <w:rPr>
                <w:rStyle w:val="IndexLink"/>
                <w:rtl w:val="true"/>
              </w:rPr>
              <w:tab/>
            </w:r>
            <w:r>
              <w:rPr>
                <w:rStyle w:val="IndexLink"/>
              </w:rPr>
              <w:t>123</w:t>
            </w:r>
          </w:hyperlink>
        </w:p>
        <w:p>
          <w:pPr>
            <w:pStyle w:val="Contents4"/>
            <w:tabs>
              <w:tab w:val="clear" w:pos="8176"/>
              <w:tab w:val="right" w:pos="9026" w:leader="dot"/>
            </w:tabs>
            <w:rPr/>
          </w:pPr>
          <w:hyperlink w:anchor="__RefHeading___Toc506767_1395250215">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506769_1395250215">
            <w:r>
              <w:rPr>
                <w:webHidden/>
                <w:rStyle w:val="IndexLink"/>
                <w:rtl w:val="true"/>
              </w:rPr>
              <w:t>نقد و بررسی سخن محقق دوانی</w:t>
            </w:r>
            <w:r>
              <w:rPr>
                <w:rStyle w:val="IndexLink"/>
                <w:rtl w:val="true"/>
              </w:rPr>
              <w:tab/>
            </w:r>
            <w:r>
              <w:rPr>
                <w:rStyle w:val="IndexLink"/>
              </w:rPr>
              <w:t>126</w:t>
            </w:r>
          </w:hyperlink>
        </w:p>
        <w:p>
          <w:pPr>
            <w:pStyle w:val="Contents4"/>
            <w:tabs>
              <w:tab w:val="clear" w:pos="8176"/>
              <w:tab w:val="right" w:pos="9026" w:leader="dot"/>
            </w:tabs>
            <w:rPr/>
          </w:pPr>
          <w:hyperlink w:anchor="__RefHeading___Toc506771_1395250215">
            <w:r>
              <w:rPr>
                <w:webHidden/>
                <w:rStyle w:val="IndexLink"/>
                <w:rtl w:val="true"/>
              </w:rPr>
              <w:t>دیگر لوازم نظریه استحاله ترجیح بلامرجح</w:t>
            </w:r>
            <w:r>
              <w:rPr>
                <w:rStyle w:val="IndexLink"/>
                <w:rtl w:val="true"/>
              </w:rPr>
              <w:tab/>
            </w:r>
            <w:r>
              <w:rPr>
                <w:rStyle w:val="IndexLink"/>
              </w:rPr>
              <w:t>127</w:t>
            </w:r>
          </w:hyperlink>
        </w:p>
        <w:p>
          <w:pPr>
            <w:pStyle w:val="Contents3"/>
            <w:tabs>
              <w:tab w:val="clear" w:pos="8459"/>
              <w:tab w:val="right" w:pos="9026" w:leader="dot"/>
            </w:tabs>
            <w:rPr/>
          </w:pPr>
          <w:hyperlink w:anchor="__RefHeading___Toc506773_1395250215">
            <w:r>
              <w:rPr>
                <w:webHidden/>
                <w:rStyle w:val="IndexLink"/>
                <w:rtl w:val="true"/>
              </w:rPr>
              <w:t>نتیجه گیری</w:t>
            </w:r>
            <w:r>
              <w:rPr>
                <w:rStyle w:val="IndexLink"/>
                <w:rtl w:val="true"/>
              </w:rPr>
              <w:tab/>
            </w:r>
            <w:r>
              <w:rPr>
                <w:rStyle w:val="IndexLink"/>
              </w:rPr>
              <w:t>129</w:t>
            </w:r>
          </w:hyperlink>
        </w:p>
        <w:p>
          <w:pPr>
            <w:pStyle w:val="Contents4"/>
            <w:tabs>
              <w:tab w:val="clear" w:pos="8176"/>
              <w:tab w:val="right" w:pos="9026" w:leader="dot"/>
            </w:tabs>
            <w:rPr/>
          </w:pPr>
          <w:hyperlink w:anchor="__RefHeading___Toc506775_1395250215">
            <w:r>
              <w:rPr>
                <w:webHidden/>
                <w:rStyle w:val="IndexLink"/>
                <w:rtl w:val="true"/>
              </w:rPr>
              <w:t>الف</w:t>
            </w:r>
            <w:r>
              <w:rPr>
                <w:rStyle w:val="IndexLink"/>
                <w:rtl w:val="true"/>
              </w:rPr>
              <w:t xml:space="preserve">. </w:t>
            </w:r>
            <w:r>
              <w:rPr>
                <w:rStyle w:val="IndexLink"/>
                <w:rtl w:val="true"/>
              </w:rPr>
              <w:t>نظریه استحاله ترجیح بلامرجح با اختیار</w:t>
            </w:r>
            <w:r>
              <w:rPr>
                <w:rStyle w:val="IndexLink"/>
                <w:rtl w:val="true"/>
              </w:rPr>
              <w:t>...</w:t>
              <w:tab/>
            </w:r>
            <w:r>
              <w:rPr>
                <w:rStyle w:val="IndexLink"/>
              </w:rPr>
              <w:t>129</w:t>
            </w:r>
          </w:hyperlink>
        </w:p>
        <w:p>
          <w:pPr>
            <w:pStyle w:val="Contents4"/>
            <w:tabs>
              <w:tab w:val="clear" w:pos="8176"/>
              <w:tab w:val="right" w:pos="9026" w:leader="dot"/>
            </w:tabs>
            <w:rPr/>
          </w:pPr>
          <w:hyperlink w:anchor="__RefHeading___Toc506777_1395250215">
            <w:r>
              <w:rPr>
                <w:webHidden/>
                <w:rStyle w:val="IndexLink"/>
                <w:rtl w:val="true"/>
              </w:rPr>
              <w:t>ب</w:t>
            </w:r>
            <w:r>
              <w:rPr>
                <w:rStyle w:val="IndexLink"/>
                <w:rtl w:val="true"/>
              </w:rPr>
              <w:t xml:space="preserve">. </w:t>
            </w:r>
            <w:r>
              <w:rPr>
                <w:rStyle w:val="IndexLink"/>
                <w:rtl w:val="true"/>
              </w:rPr>
              <w:t>اگر تلازم دو مفهوم فلسفی و کلامی اختیار</w:t>
            </w:r>
            <w:r>
              <w:rPr>
                <w:rStyle w:val="IndexLink"/>
                <w:rtl w:val="true"/>
              </w:rPr>
              <w:t>...</w:t>
              <w:tab/>
            </w:r>
            <w:r>
              <w:rPr>
                <w:rStyle w:val="IndexLink"/>
              </w:rPr>
              <w:t>129</w:t>
            </w:r>
          </w:hyperlink>
        </w:p>
        <w:p>
          <w:pPr>
            <w:pStyle w:val="Contents4"/>
            <w:tabs>
              <w:tab w:val="clear" w:pos="8176"/>
              <w:tab w:val="right" w:pos="9026" w:leader="dot"/>
            </w:tabs>
            <w:rPr/>
          </w:pPr>
          <w:hyperlink w:anchor="__RefHeading___Toc506779_1395250215">
            <w:r>
              <w:rPr>
                <w:webHidden/>
                <w:rStyle w:val="IndexLink"/>
                <w:rtl w:val="true"/>
              </w:rPr>
              <w:t>ج</w:t>
            </w:r>
            <w:r>
              <w:rPr>
                <w:rStyle w:val="IndexLink"/>
                <w:rtl w:val="true"/>
              </w:rPr>
              <w:t xml:space="preserve">. </w:t>
            </w:r>
            <w:r>
              <w:rPr>
                <w:rStyle w:val="IndexLink"/>
                <w:rtl w:val="true"/>
              </w:rPr>
              <w:t xml:space="preserve">مختار دانستن موجودی که امکان ترک در افعالش </w:t>
            </w:r>
            <w:r>
              <w:rPr>
                <w:rStyle w:val="IndexLink"/>
                <w:rtl w:val="true"/>
              </w:rPr>
              <w:t>....</w:t>
              <w:tab/>
            </w:r>
            <w:r>
              <w:rPr>
                <w:rStyle w:val="IndexLink"/>
              </w:rPr>
              <w:t>129</w:t>
            </w:r>
          </w:hyperlink>
        </w:p>
        <w:p>
          <w:pPr>
            <w:pStyle w:val="Contents3"/>
            <w:tabs>
              <w:tab w:val="clear" w:pos="8459"/>
              <w:tab w:val="right" w:pos="9026" w:leader="dot"/>
            </w:tabs>
            <w:rPr/>
          </w:pPr>
          <w:hyperlink w:anchor="__RefHeading___Toc506781_1395250215">
            <w:r>
              <w:rPr>
                <w:webHidden/>
                <w:rStyle w:val="IndexLink"/>
                <w:rtl w:val="true"/>
              </w:rPr>
              <w:t>منابع</w:t>
            </w:r>
            <w:r>
              <w:rPr>
                <w:rStyle w:val="IndexLink"/>
                <w:rtl w:val="true"/>
              </w:rPr>
              <w:tab/>
            </w:r>
            <w:r>
              <w:rPr>
                <w:rStyle w:val="IndexLink"/>
              </w:rPr>
              <w:t>130</w:t>
            </w:r>
          </w:hyperlink>
        </w:p>
        <w:p>
          <w:pPr>
            <w:pStyle w:val="Contents2"/>
            <w:tabs>
              <w:tab w:val="clear" w:pos="8743"/>
              <w:tab w:val="right" w:pos="9026" w:leader="dot"/>
            </w:tabs>
            <w:rPr/>
          </w:pPr>
          <w:hyperlink w:anchor="__RefHeading___Toc506783_1395250215">
            <w:r>
              <w:rPr>
                <w:webHidden/>
                <w:rStyle w:val="IndexLink"/>
                <w:rtl w:val="true"/>
              </w:rPr>
              <w:t>تأثیر اندیشه‌های فلسفی بر قرائت فخر رازی از نظریه کسب</w:t>
            </w:r>
            <w:r>
              <w:rPr>
                <w:rStyle w:val="IndexLink"/>
                <w:rtl w:val="true"/>
              </w:rPr>
              <w:t xml:space="preserve">/ </w:t>
            </w:r>
            <w:r>
              <w:rPr>
                <w:rStyle w:val="IndexLink"/>
                <w:rtl w:val="true"/>
              </w:rPr>
              <w:t>عین</w:t>
            </w:r>
            <w:r>
              <w:rPr>
                <w:rStyle w:val="IndexLink"/>
                <w:rtl w:val="true"/>
              </w:rPr>
              <w:t>¬</w:t>
            </w:r>
            <w:r>
              <w:rPr>
                <w:rStyle w:val="IndexLink"/>
                <w:rtl w:val="true"/>
              </w:rPr>
              <w:t>الله خادمی و سیدحسن طالقانی</w:t>
            </w:r>
            <w:r>
              <w:rPr>
                <w:rStyle w:val="IndexLink"/>
                <w:rtl w:val="true"/>
              </w:rPr>
              <w:tab/>
            </w:r>
            <w:r>
              <w:rPr>
                <w:rStyle w:val="IndexLink"/>
              </w:rPr>
              <w:t>132</w:t>
            </w:r>
          </w:hyperlink>
        </w:p>
        <w:p>
          <w:pPr>
            <w:pStyle w:val="Contents3"/>
            <w:tabs>
              <w:tab w:val="clear" w:pos="8459"/>
              <w:tab w:val="right" w:pos="9026" w:leader="dot"/>
            </w:tabs>
            <w:rPr/>
          </w:pPr>
          <w:hyperlink w:anchor="__RefHeading___Toc506785_1395250215">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506787_1395250215">
            <w:r>
              <w:rPr>
                <w:webHidden/>
                <w:rStyle w:val="IndexLink"/>
                <w:rtl w:val="true"/>
              </w:rPr>
              <w:t>چکیده</w:t>
            </w:r>
            <w:r>
              <w:rPr>
                <w:rStyle w:val="IndexLink"/>
                <w:rtl w:val="true"/>
              </w:rPr>
              <w:tab/>
            </w:r>
            <w:r>
              <w:rPr>
                <w:rStyle w:val="IndexLink"/>
              </w:rPr>
              <w:t>132</w:t>
            </w:r>
          </w:hyperlink>
        </w:p>
        <w:p>
          <w:pPr>
            <w:pStyle w:val="Contents3"/>
            <w:tabs>
              <w:tab w:val="clear" w:pos="8459"/>
              <w:tab w:val="right" w:pos="9026" w:leader="dot"/>
            </w:tabs>
            <w:rPr/>
          </w:pPr>
          <w:hyperlink w:anchor="__RefHeading___Toc506789_1395250215">
            <w:r>
              <w:rPr>
                <w:webHidden/>
                <w:rStyle w:val="IndexLink"/>
                <w:rtl w:val="true"/>
              </w:rPr>
              <w:t>واژگان کلیدی</w:t>
            </w:r>
            <w:r>
              <w:rPr>
                <w:rStyle w:val="IndexLink"/>
                <w:rtl w:val="true"/>
              </w:rPr>
              <w:tab/>
            </w:r>
            <w:r>
              <w:rPr>
                <w:rStyle w:val="IndexLink"/>
              </w:rPr>
              <w:t>132</w:t>
            </w:r>
          </w:hyperlink>
        </w:p>
        <w:p>
          <w:pPr>
            <w:pStyle w:val="Contents3"/>
            <w:tabs>
              <w:tab w:val="clear" w:pos="8459"/>
              <w:tab w:val="right" w:pos="9026" w:leader="dot"/>
            </w:tabs>
            <w:rPr/>
          </w:pPr>
          <w:hyperlink w:anchor="__RefHeading___Toc506791_1395250215">
            <w:r>
              <w:rPr>
                <w:webHidden/>
                <w:rStyle w:val="IndexLink"/>
                <w:rtl w:val="true"/>
              </w:rPr>
              <w:t>طرح مسأله</w:t>
            </w:r>
            <w:r>
              <w:rPr>
                <w:rStyle w:val="IndexLink"/>
                <w:rtl w:val="true"/>
              </w:rPr>
              <w:tab/>
            </w:r>
            <w:r>
              <w:rPr>
                <w:rStyle w:val="IndexLink"/>
              </w:rPr>
              <w:t>133</w:t>
            </w:r>
          </w:hyperlink>
        </w:p>
        <w:p>
          <w:pPr>
            <w:pStyle w:val="Contents3"/>
            <w:tabs>
              <w:tab w:val="clear" w:pos="8459"/>
              <w:tab w:val="right" w:pos="9026" w:leader="dot"/>
            </w:tabs>
            <w:rPr/>
          </w:pPr>
          <w:hyperlink w:anchor="__RefHeading___Toc506793_1395250215">
            <w:r>
              <w:rPr>
                <w:webHidden/>
                <w:rStyle w:val="IndexLink"/>
                <w:rtl w:val="true"/>
              </w:rPr>
              <w:t>پیشینه نظریه کسب</w:t>
            </w:r>
            <w:r>
              <w:rPr>
                <w:rStyle w:val="IndexLink"/>
                <w:rtl w:val="true"/>
              </w:rPr>
              <w:tab/>
            </w:r>
            <w:r>
              <w:rPr>
                <w:rStyle w:val="IndexLink"/>
              </w:rPr>
              <w:t>134</w:t>
            </w:r>
          </w:hyperlink>
        </w:p>
        <w:p>
          <w:pPr>
            <w:pStyle w:val="Contents3"/>
            <w:tabs>
              <w:tab w:val="clear" w:pos="8459"/>
              <w:tab w:val="right" w:pos="9026" w:leader="dot"/>
            </w:tabs>
            <w:rPr/>
          </w:pPr>
          <w:hyperlink w:anchor="__RefHeading___Toc506795_1395250215">
            <w:r>
              <w:rPr>
                <w:webHidden/>
                <w:rStyle w:val="IndexLink"/>
                <w:rtl w:val="true"/>
              </w:rPr>
              <w:t>نظریه کسب اشعری</w:t>
            </w:r>
            <w:r>
              <w:rPr>
                <w:rStyle w:val="IndexLink"/>
                <w:rtl w:val="true"/>
              </w:rPr>
              <w:tab/>
            </w:r>
            <w:r>
              <w:rPr>
                <w:rStyle w:val="IndexLink"/>
              </w:rPr>
              <w:t>135</w:t>
            </w:r>
          </w:hyperlink>
        </w:p>
        <w:p>
          <w:pPr>
            <w:pStyle w:val="Contents3"/>
            <w:tabs>
              <w:tab w:val="clear" w:pos="8459"/>
              <w:tab w:val="right" w:pos="9026" w:leader="dot"/>
            </w:tabs>
            <w:rPr/>
          </w:pPr>
          <w:hyperlink w:anchor="__RefHeading___Toc506797_1395250215">
            <w:r>
              <w:rPr>
                <w:webHidden/>
                <w:rStyle w:val="IndexLink"/>
                <w:rtl w:val="true"/>
              </w:rPr>
              <w:t>دیدگاه فخررازی درباره وقوع افعال اختیاری</w:t>
            </w:r>
            <w:r>
              <w:rPr>
                <w:rStyle w:val="IndexLink"/>
                <w:rtl w:val="true"/>
              </w:rPr>
              <w:tab/>
            </w:r>
            <w:r>
              <w:rPr>
                <w:rStyle w:val="IndexLink"/>
              </w:rPr>
              <w:t>136</w:t>
            </w:r>
          </w:hyperlink>
        </w:p>
        <w:p>
          <w:pPr>
            <w:pStyle w:val="Contents3"/>
            <w:tabs>
              <w:tab w:val="clear" w:pos="8459"/>
              <w:tab w:val="right" w:pos="9026" w:leader="dot"/>
            </w:tabs>
            <w:rPr/>
          </w:pPr>
          <w:hyperlink w:anchor="__RefHeading___Toc506799_1395250215">
            <w:r>
              <w:rPr>
                <w:webHidden/>
                <w:rStyle w:val="IndexLink"/>
                <w:rtl w:val="true"/>
              </w:rPr>
              <w:t>فخررازی و نظریه کسب</w:t>
            </w:r>
            <w:r>
              <w:rPr>
                <w:rStyle w:val="IndexLink"/>
                <w:rtl w:val="true"/>
              </w:rPr>
              <w:tab/>
            </w:r>
            <w:r>
              <w:rPr>
                <w:rStyle w:val="IndexLink"/>
              </w:rPr>
              <w:t>137</w:t>
            </w:r>
          </w:hyperlink>
        </w:p>
        <w:p>
          <w:pPr>
            <w:pStyle w:val="Contents3"/>
            <w:tabs>
              <w:tab w:val="clear" w:pos="8459"/>
              <w:tab w:val="right" w:pos="9026" w:leader="dot"/>
            </w:tabs>
            <w:rPr/>
          </w:pPr>
          <w:hyperlink w:anchor="__RefHeading___Toc506801_1395250215">
            <w:r>
              <w:rPr>
                <w:webHidden/>
                <w:rStyle w:val="IndexLink"/>
                <w:rtl w:val="true"/>
              </w:rPr>
              <w:t>نتیجه گیری</w:t>
            </w:r>
            <w:r>
              <w:rPr>
                <w:rStyle w:val="IndexLink"/>
                <w:rtl w:val="true"/>
              </w:rPr>
              <w:tab/>
            </w:r>
            <w:r>
              <w:rPr>
                <w:rStyle w:val="IndexLink"/>
              </w:rPr>
              <w:t>142</w:t>
            </w:r>
          </w:hyperlink>
        </w:p>
        <w:p>
          <w:pPr>
            <w:pStyle w:val="Contents3"/>
            <w:tabs>
              <w:tab w:val="clear" w:pos="8459"/>
              <w:tab w:val="right" w:pos="9026" w:leader="dot"/>
            </w:tabs>
            <w:rPr/>
          </w:pPr>
          <w:hyperlink w:anchor="__RefHeading___Toc506803_1395250215">
            <w:r>
              <w:rPr>
                <w:webHidden/>
                <w:rStyle w:val="IndexLink"/>
                <w:rtl w:val="true"/>
              </w:rPr>
              <w:t>منابع</w:t>
            </w:r>
            <w:r>
              <w:rPr>
                <w:rStyle w:val="IndexLink"/>
                <w:rtl w:val="true"/>
              </w:rPr>
              <w:tab/>
            </w:r>
            <w:r>
              <w:rPr>
                <w:rStyle w:val="IndexLink"/>
              </w:rPr>
              <w:t>142</w:t>
            </w:r>
          </w:hyperlink>
        </w:p>
        <w:p>
          <w:pPr>
            <w:pStyle w:val="Contents2"/>
            <w:tabs>
              <w:tab w:val="clear" w:pos="8743"/>
              <w:tab w:val="right" w:pos="9026" w:leader="dot"/>
            </w:tabs>
            <w:rPr/>
          </w:pPr>
          <w:hyperlink w:anchor="__RefHeading___Toc506805_1395250215">
            <w:r>
              <w:rPr>
                <w:webHidden/>
                <w:rStyle w:val="IndexLink"/>
                <w:rtl w:val="true"/>
              </w:rPr>
              <w:t>چکیده عربی مقالات</w:t>
            </w:r>
            <w:r>
              <w:rPr>
                <w:rStyle w:val="IndexLink"/>
                <w:rtl w:val="true"/>
              </w:rPr>
              <w:tab/>
            </w:r>
            <w:r>
              <w:rPr>
                <w:rStyle w:val="IndexLink"/>
              </w:rPr>
              <w:t>144</w:t>
            </w:r>
          </w:hyperlink>
        </w:p>
        <w:p>
          <w:pPr>
            <w:pStyle w:val="Contents2"/>
            <w:tabs>
              <w:tab w:val="clear" w:pos="8743"/>
              <w:tab w:val="right" w:pos="9026" w:leader="dot"/>
            </w:tabs>
            <w:rPr/>
          </w:pPr>
          <w:hyperlink w:anchor="__RefHeading___Toc506807_1395250215">
            <w:r>
              <w:rPr>
                <w:webHidden/>
                <w:rStyle w:val="IndexLink"/>
                <w:rtl w:val="true"/>
              </w:rPr>
              <w:t>چکیده انگلیسی مقالات</w:t>
            </w:r>
            <w:r>
              <w:rPr>
                <w:rStyle w:val="IndexLink"/>
                <w:rtl w:val="true"/>
              </w:rPr>
              <w:tab/>
            </w:r>
            <w:r>
              <w:rPr>
                <w:rStyle w:val="IndexLink"/>
              </w:rPr>
              <w:t>151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22_17749"/>
      <w:bookmarkStart w:id="1" w:name="pg2622_17749"/>
      <w:bookmarkEnd w:id="1"/>
    </w:p>
    <w:p>
      <w:pPr>
        <w:pStyle w:val="Heading2"/>
        <w:numPr>
          <w:ilvl w:val="1"/>
          <w:numId w:val="1"/>
        </w:numPr>
        <w:rPr/>
      </w:pPr>
      <w:bookmarkStart w:id="2" w:name="pg2622_17749"/>
      <w:bookmarkStart w:id="3" w:name="__RefHeading___Toc506415_1395250215"/>
      <w:bookmarkStart w:id="4" w:name="_Toc1"/>
      <w:bookmarkEnd w:id="2"/>
      <w:bookmarkEnd w:id="3"/>
      <w:r>
        <w:rPr>
          <w:rtl w:val="true"/>
        </w:rPr>
        <w:t>مشخصات فصلنامه</w:t>
      </w:r>
      <w:bookmarkEnd w:id="4"/>
    </w:p>
    <w:p>
      <w:pPr>
        <w:pStyle w:val="BookText"/>
        <w:rPr/>
      </w:pPr>
      <w:r>
        <w:rPr>
          <w:rFonts w:ascii="IRNazanin" w:hAnsi="IRNazanin" w:eastAsia="IRNazanin"/>
          <w:color w:val="111111"/>
          <w:sz w:val="28"/>
          <w:sz w:val="28"/>
          <w:szCs w:val="28"/>
          <w:rtl w:val="true"/>
          <w:lang w:bidi="fa-IR"/>
        </w:rPr>
        <w:t>فصلنامه علمی ـ پژوهشی</w:t>
      </w:r>
    </w:p>
    <w:p>
      <w:pPr>
        <w:pStyle w:val="BookText"/>
        <w:rPr/>
      </w:pPr>
      <w:r>
        <w:rPr>
          <w:rFonts w:ascii="IRNazanin" w:hAnsi="IRNazanin" w:eastAsia="IRNazanin"/>
          <w:color w:val="111111"/>
          <w:sz w:val="28"/>
          <w:sz w:val="28"/>
          <w:szCs w:val="28"/>
          <w:rtl w:val="true"/>
          <w:lang w:bidi="fa-IR"/>
        </w:rPr>
        <w:t>انجمن کلام اسلامی حوزه علمیه</w:t>
      </w:r>
    </w:p>
    <w:p>
      <w:pPr>
        <w:pStyle w:val="BookText"/>
        <w:rPr/>
      </w:pPr>
      <w:r>
        <w:rPr>
          <w:rFonts w:ascii="IRNazanin" w:hAnsi="IRNazanin" w:eastAsia="IRNazanin"/>
          <w:color w:val="111111"/>
          <w:sz w:val="28"/>
          <w:sz w:val="28"/>
          <w:szCs w:val="28"/>
          <w:rtl w:val="true"/>
          <w:lang w:bidi="fa-IR"/>
        </w:rPr>
        <w:t xml:space="preserve">سال اول، شماره اول، تابستان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کلام اسلامی حوزه علمیه</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صادقی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برنجکار</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اشکوری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ولی زاده</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کریمی</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کاظمی پرندان</w:t>
      </w:r>
    </w:p>
    <w:p>
      <w:pPr>
        <w:pStyle w:val="BookText"/>
        <w:rPr/>
      </w:pPr>
      <w:r>
        <w:rPr>
          <w:rFonts w:eastAsia="Times New Roman" w:cs="Times New Roman" w:ascii="Times New Roman" w:hAnsi="Times New Roman"/>
          <w:color w:val="111111"/>
          <w:sz w:val="28"/>
          <w:szCs w:val="28"/>
          <w:lang w:val="en-US" w:bidi="en-US"/>
        </w:rPr>
        <w:t>3788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2345ISSN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امین، بلوار جمهوری اسلامی، کوچه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فرعی اول سمت چپ، ساختمان انجمن های علمی حوزه، انجمن کلام اسلامی حوزه علمیه</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37165</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32928546</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پیامک</w:t>
      </w:r>
      <w:r>
        <w:rPr>
          <w:rFonts w:eastAsia="IRNazanin" w:cs="IRNazanin"/>
          <w:color w:val="111111"/>
          <w:sz w:val="28"/>
          <w:szCs w:val="28"/>
          <w:rtl w:val="true"/>
          <w:lang w:bidi="fa-IR"/>
        </w:rPr>
        <w:t xml:space="preserve">: </w:t>
      </w:r>
      <w:r>
        <w:rPr>
          <w:rFonts w:eastAsia="IRNazanin" w:cs="IRNazanin"/>
          <w:color w:val="111111"/>
          <w:sz w:val="28"/>
          <w:szCs w:val="28"/>
          <w:lang w:bidi="fa-IR"/>
        </w:rPr>
        <w:t>30007227007705</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www.tkalam.ir / www.ikq.ir</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Info@tkalam.ir / Info@ikq.ir</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6417_1395250215"/>
      <w:bookmarkStart w:id="6" w:name="_Toc2"/>
      <w:bookmarkEnd w:id="5"/>
      <w:r>
        <w:rPr>
          <w:rtl w:val="true"/>
        </w:rPr>
        <w:t>رتبه علمی فصلنامه</w:t>
      </w:r>
      <w:bookmarkEnd w:id="6"/>
    </w:p>
    <w:p>
      <w:pPr>
        <w:pStyle w:val="BookText"/>
        <w:rPr/>
      </w:pPr>
      <w:r>
        <w:rPr>
          <w:rFonts w:ascii="IRNazanin" w:hAnsi="IRNazanin" w:eastAsia="IRNazanin"/>
          <w:color w:val="111111"/>
          <w:sz w:val="28"/>
          <w:sz w:val="28"/>
          <w:szCs w:val="28"/>
          <w:rtl w:val="true"/>
          <w:lang w:bidi="fa-IR"/>
        </w:rPr>
        <w:t xml:space="preserve">به استناد مصوبه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24/6/1387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حوزه های علمیه و با توجه به ارزیـابی کـمیسیون نـشریات علمی حوزه، شورای اعطای مجوزها و امتیازهای علمی در جـلسه مورخ </w:t>
      </w:r>
      <w:r>
        <w:rPr>
          <w:rFonts w:eastAsia="IRNazanin" w:cs="IRNazanin"/>
          <w:color w:val="111111"/>
          <w:sz w:val="28"/>
          <w:szCs w:val="28"/>
          <w:lang w:bidi="fa-IR"/>
        </w:rPr>
        <w:t>28/03/1392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رتـبه عـلمی ـ پـژوهشی بهنـشریه تـحقیقات کـلامی اعـطاء گردید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استناد ماده واحده مصوبه جلسه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21/3/1387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مصوبات شورای عالی حوزه علمیه قم در خصوص اعطای امتیاز علمی به مجلات علمی، تأسیس انجمن های علمی، قطب های علمی و واحدهای پژوهشی و همچنین امتیازات کرسی های نظریه پردازی، نقد و مناظره و آزاداندیشی در حـوزه، دارای اعـتبار رسمی بـوده و مـوجد امـتیازات قـانونی در دانـشگاه ها و حوزه های علمیه می باشد</w:t>
      </w:r>
      <w:bookmarkStart w:id="7" w:name="pg2622_17752"/>
    </w:p>
    <w:p>
      <w:pPr>
        <w:pStyle w:val="Heading2"/>
        <w:numPr>
          <w:ilvl w:val="1"/>
          <w:numId w:val="1"/>
        </w:numPr>
        <w:rPr/>
      </w:pPr>
      <w:bookmarkStart w:id="8" w:name="__RefHeading___Toc506419_1395250215"/>
      <w:bookmarkStart w:id="9" w:name="_Toc3"/>
      <w:bookmarkEnd w:id="7"/>
      <w:bookmarkEnd w:id="8"/>
      <w:r>
        <w:rPr>
          <w:rtl w:val="true"/>
        </w:rPr>
        <w:t>راهنمای نویسندگان</w:t>
      </w:r>
      <w:bookmarkEnd w:id="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مقاله باید در راستای اهداف فصلنامه و مرتبط با موضوعات علم کلام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نباید پیش تر در نشریات داخلی چاپ شده باشد و یا هم زمان برای استفاده به سایر مجلات علمی ارائه شده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محتوای مقاله، نکات علمی و ادبی زیر حتی المقدور رعایت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علمی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رویکرد تحقیقی ـ تحلیلی، ساختار منطقی و مطلوب، سطح علمی مناسب و فصل بندی صحیح مطالب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نظرات اساسی مطرح در مسأله، ذکر دیدگاه مخالفان، تجزیه و تحلیل و نقد صحیح و کامل آنها آورده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گویی به پرسش ها و شبهات مطرح در مسأله مدنظر قرار گیرد؛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 در ساختار یا رویکرد جدید در نقل محتوا؛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روش و محتوا با عنوان مقاله و ارتباط منطقی بین مباحث؛</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رویکرد کلامی و دفاع از آموزه های اعتقادی اسلام؛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استنادات معتبر و 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امانت در نقل قول از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ادبی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قواعد دستوری، ادبی و نگارشی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مقدمه، ذکر چکیده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کلید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نگارش پی نوشته ها، ذکر فهرست منابع؛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اطناب و ایجاز بی مورد؛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و شیوایی در قلم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حجم مقاله حداکثر تا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کلمه تنظیم و از ارائه مقاله های دنباله دار پرهیز 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مقالات ترجمه شده، در صورت دارا بودن نکات بدیع و تازه، با ذکر مشخصات منبع اصلی و مشخصات کامل نویسنده آن امکان چاپ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متن اصلی به همراه ترجمه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مآخذ باید به شیوه درج سند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خانوادگی، سال انتشار، شماره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ذکر اسناد در پاورقی خودداری شود، اما بیان توضیحات ضروری به تشخیص نویسنده در پاورقی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در انتهای مقاله و به صورت زیر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مترجم یا مصحح، ناشر؛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به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مترجم، نام 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 شماره صفحات؛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به 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دسترسی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سایت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دریافت مقالات صرفاً از طریق سایت </w:t>
      </w:r>
      <w:r>
        <w:rPr>
          <w:rFonts w:eastAsia="Times New Roman" w:cs="Times New Roman" w:ascii="Times New Roman" w:hAnsi="Times New Roman"/>
          <w:color w:val="111111"/>
          <w:sz w:val="28"/>
          <w:szCs w:val="28"/>
          <w:lang w:val="en-US" w:bidi="en-US"/>
        </w:rPr>
        <w:t>www.tkalam.ir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خواهد شد که پس از احراز شرایط مذکور، برای بررسی به هیأت تحریریه فصلنامه ارجاع می شود و در صورت تأیید نهایی مورد استفاده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مجله هیچ گونه تعهدی نسبت به بازگرداندن مقالات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در ویرایش مقالات یا تلخیص آنها به گونه‌ای که در محتوای علمی آنها دگرگونی ایجاد نشود،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مقاله باید با فرمت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 فونت </w:t>
      </w:r>
      <w:r>
        <w:rPr>
          <w:rFonts w:eastAsia="Times New Roman" w:cs="Times New Roman" w:ascii="Times New Roman" w:hAnsi="Times New Roman"/>
          <w:color w:val="111111"/>
          <w:sz w:val="28"/>
          <w:szCs w:val="28"/>
          <w:lang w:val="en-US" w:bidi="en-US"/>
        </w:rPr>
        <w:t>B Zar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اندازه قلم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حکم کارگزینی هیأت علمی برای درج رتبه علمی نویسندگان، ضروری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مقاله باید نشانی، تلفن همراه و پست الکترونیک خود را برای ارتباط بعدی به مجله اعلام نماید</w:t>
      </w:r>
      <w:r>
        <w:rPr>
          <w:rFonts w:eastAsia="IRNazanin" w:cs="IRNazanin"/>
          <w:color w:val="111111"/>
          <w:sz w:val="28"/>
          <w:szCs w:val="28"/>
          <w:rtl w:val="true"/>
          <w:lang w:bidi="fa-IR"/>
        </w:rPr>
        <w:t>.</w:t>
      </w:r>
      <w:bookmarkStart w:id="10" w:name="pg2622_17753"/>
    </w:p>
    <w:p>
      <w:pPr>
        <w:pStyle w:val="Heading2"/>
        <w:numPr>
          <w:ilvl w:val="1"/>
          <w:numId w:val="1"/>
        </w:numPr>
        <w:rPr/>
      </w:pPr>
      <w:bookmarkStart w:id="11" w:name="__RefHeading___Toc506421_1395250215"/>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نخستین واجب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برنجکار، مهدی نصرتیان اهور</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گستره معنایی حکمت الهی در کلام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سیدمحمود موسوی، محمد رنجبرحسینی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ابان بن تغلب؛ متکلمی از تبار محدثان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جاودان، حسین منصوری راد</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امامیه پژوهی در منابع فرقه نگاری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سبحانی، اکبر اقوام کرباسی</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تطور نظریه اشاعره درباره رؤیت خدا در نگاه متکلمان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نجفی، نرگس بهشتی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ترجیح بلامرجح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حیدرپور</w:t>
      </w:r>
      <w:r>
        <w:rPr>
          <w:rFonts w:eastAsia="IRNazanin" w:cs="IRNazanin"/>
          <w:color w:val="111111"/>
          <w:sz w:val="28"/>
          <w:szCs w:val="28"/>
          <w:lang w:bidi="fa-IR"/>
        </w:rPr>
        <w:t>101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اندیشه‌های فلسفی بر قرائت فخر رازی از نظریه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الله خادمی، سیدحسن طالقانی</w:t>
      </w:r>
      <w:r>
        <w:rPr>
          <w:rFonts w:eastAsia="IRNazanin" w:cs="IRNazanin"/>
          <w:color w:val="111111"/>
          <w:sz w:val="28"/>
          <w:szCs w:val="28"/>
          <w:lang w:bidi="fa-IR"/>
        </w:rPr>
        <w:t>125</w:t>
      </w:r>
      <w:bookmarkStart w:id="13" w:name="pg2622_17754"/>
    </w:p>
    <w:p>
      <w:pPr>
        <w:pStyle w:val="Heading2"/>
        <w:numPr>
          <w:ilvl w:val="1"/>
          <w:numId w:val="1"/>
        </w:numPr>
        <w:rPr/>
      </w:pPr>
      <w:bookmarkStart w:id="14" w:name="__RefHeading___Toc506423_1395250215"/>
      <w:bookmarkStart w:id="15" w:name="_Toc5"/>
      <w:bookmarkEnd w:id="13"/>
      <w:bookmarkEnd w:id="14"/>
      <w:r>
        <w:rPr>
          <w:rtl w:val="true"/>
        </w:rPr>
        <w:t>سخن مدیر مسئول</w:t>
      </w:r>
      <w:bookmarkEnd w:id="15"/>
    </w:p>
    <w:p>
      <w:pPr>
        <w:pStyle w:val="BookText"/>
        <w:rPr/>
      </w:pPr>
      <w:r>
        <w:rPr>
          <w:rFonts w:ascii="IRNazanin" w:hAnsi="IRNazanin" w:eastAsia="IRNazanin"/>
          <w:color w:val="111111"/>
          <w:sz w:val="28"/>
          <w:sz w:val="28"/>
          <w:szCs w:val="28"/>
          <w:rtl w:val="true"/>
          <w:lang w:bidi="fa-IR"/>
        </w:rPr>
        <w:t xml:space="preserve">انجمن کلام اسلامی حوزه علمیه قم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تعمیق و توسعه مباحث تخصصی دانش کلام اسلامی، تقویت و گسترش نظریه پردازی، پرسش گری، آزاداندیشی، نقد و مناظره مبتنی بر آموزه های اسلامی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بنیادین این انجمن در زمینه پژوهش، ایجاد روح تتبع در میان طلاب و فضلای حوزه علمیه، دانشجویان و استادان است تا در سیر تحول و پژوهش به دوره ای از حیات اجتماعی و فرهنگی برسند که بتوانند خلاء علمی رشته های مختلف کلامی را متناسب با فرهنگ اسلامی پر کرده و راه را برای بازخیزی تمدن اسلامی هموار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حاصل زحمات طاقت فرسای پژوهشگران این عرصه نیازمند بلندگوهایی است که بتواند از منابر ابلاغ معارف، صدای حقیقت را به گوش اهل تحقیق و رهپویان راه حق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علمی و تخصصی از جمله این منبرها و مقالات علمی از جمله این بلندگوها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کلام اسلامی برای بازتاب سخن اندیشمندان و پژوهشگران عرصه عقاید و کلام اسلامی اقدام به انتشار نشریه ای علمی ـ پژوهشی در موضوعات مرتبط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نامه تحقیقات کلامی با اهداف ذیل منتشر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جدیدترین پژوهش ها در مسائل کلامی مبتنی بر آموزه های قرآن و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گویی به نیازهای عینی جامعه اسلامی ایران در زمینه مسائل اعتقادی؛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بنیادهای نظری کلام اسلامی و پاسخ به چالش های نظری؛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تفکر اسلامی شیعی در عرصه اعتقادات؛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عالمانه و منصفانه از آموزه های اعتقادی تشیع؛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در تولید فکر و اندیشه دینی بومی؛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سازی نشر دستاوردهای علمی ـ پژوهشی اندیشمندان حوزوی و دانشگاهی در موضوعات کلامی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فـصلنامه تـحقیقات کـلامی بـا رعـایت اسـتانداردهای تـحقیقات عـلمی، عـرصه ای بـرای حضور انـدیشمندان و پـژوهشگران ارجمند حوزوی و دانشگاهی است و به دنبال ایجاد کرسی مکتوب نظریه پردازی در مسائل فکری و اعتقادی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تضارب آرا و اندیشه ها استقبال کرده و از گرایش های مختلف فکری دعوت به عمل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تا با حضور عالمانه و منصفانه در تولید و نقد اندیشه سهیم باشند</w:t>
      </w:r>
      <w:r>
        <w:rPr>
          <w:rFonts w:eastAsia="IRNazanin" w:cs="IRNazanin"/>
          <w:color w:val="111111"/>
          <w:sz w:val="28"/>
          <w:szCs w:val="28"/>
          <w:rtl w:val="true"/>
          <w:lang w:bidi="fa-IR"/>
        </w:rPr>
        <w:t>.</w:t>
      </w:r>
      <w:bookmarkStart w:id="16" w:name="pg2622_17755"/>
    </w:p>
    <w:p>
      <w:pPr>
        <w:pStyle w:val="Heading2"/>
        <w:numPr>
          <w:ilvl w:val="1"/>
          <w:numId w:val="1"/>
        </w:numPr>
        <w:rPr/>
      </w:pPr>
      <w:bookmarkStart w:id="17" w:name="__RefHeading___Toc506425_1395250215"/>
      <w:bookmarkStart w:id="18" w:name="_Toc6"/>
      <w:bookmarkEnd w:id="16"/>
      <w:bookmarkEnd w:id="17"/>
      <w:r>
        <w:rPr>
          <w:rtl w:val="true"/>
        </w:rPr>
        <w:t>سخن سردبیر</w:t>
      </w:r>
      <w:bookmarkEnd w:id="18"/>
    </w:p>
    <w:p>
      <w:pPr>
        <w:pStyle w:val="BookText"/>
        <w:rPr/>
      </w:pPr>
      <w:r>
        <w:rPr>
          <w:rFonts w:ascii="IRNazanin" w:hAnsi="IRNazanin" w:eastAsia="IRNazanin"/>
          <w:color w:val="111111"/>
          <w:sz w:val="28"/>
          <w:sz w:val="28"/>
          <w:szCs w:val="28"/>
          <w:rtl w:val="true"/>
          <w:lang w:bidi="fa-IR"/>
        </w:rPr>
        <w:t>علم کلام عهده دار بررسی بنیادی ترین ساحت حیات انسان، یعنی باورها و اعتقادات از نگاه دینی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و توحیدی که اسلام خاتم آنها است، برای هدایت انسان به نور و رهایی او از ظلمت آمده و بی گمان، باورها و جهان بینی نقش نخست را در این راستا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دانش کلام، علم اصول دین و فقه اکبر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نخستین آموزه ای است که پیامبر اسلام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ابلاغ نموده و تنها به ذکر این شعار بسنده نکرده و به تبیین و بیان اجزا و لوازم آن نیز پرداخته و با سران ادیان و مکاتب دیگر در این مورد و دیگر آموزه های اسلامی مناظره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مناظره ها گذشته از اثبات توحید و دیگر اصول دین، به شبهات مخالفان پاسخ می دادند و گاه دیدگاه های معارض مورد نقد قرار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پیشوایان دین پس از آن حضرت بودند، نیز به همین سیره عمل می کردند و این کار پس از ایشان توسط اصحاب نیز به همین روش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را می توان نخستین متکلمان اسلامی دانست که در این راستا کتاب الاحتجاج طبرسی منعکس کننده این سیره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کلام پس از آن حضرت تطورهای مختلفی پیدا کرد و در هر زمان متناسب با فضای فرهنگی آن زمان و مکان خاص، مدرسه های مختلفی مانند کوفه، بغداد، قم، حله و خراسان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در میان کسانی که مرجعیت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نداشتند داستانی شنیدنی دارد و نشان می دهد که جدایی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اعتقادی چه آثار زیان باری در جهان اسلام پدید آورد و مکاتبی همچون خوارج، مرجئه، جبریه، قدریه، معتزله، اشاعره و وهابیت از آثار چنین تفکری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ابعاد و کارکردهای علم کلام که در واقع وظایف یک متکلم است، می توان به استنباط، تبیین، تنظیم، اثبات، رد شبهات و رد مکاتب معارض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بررسی محققانه آموزه های اعتقادی اسلام در این ابعاد شش گانه به مجله تحقیقات کلامی مرتبط می باشد که در اهداف اساسنامه مجله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نوشتارهایی که در این راستا و اهداف و بر اساس روش های پذیرفته شده تحقیق و پژوهش باشد و فرهیختگان را اعم از اساتید و طلاب و دانشجویان کلام، مخاطب خود بداند، پس از تایید ارزیابان، در مجله منتشر می 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این مجله گامی در راستای تبیین و دفاع از آموزه های اعتقادی اسلام و معارف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آماده سازی بنیادهای معرفتی لازم برای تولید علوم انسانی هماهنگ با اسلام و فرهنگ اسلامی باشد</w:t>
      </w:r>
      <w:r>
        <w:rPr>
          <w:rFonts w:eastAsia="IRNazanin" w:cs="IRNazanin"/>
          <w:color w:val="111111"/>
          <w:sz w:val="28"/>
          <w:szCs w:val="28"/>
          <w:rtl w:val="true"/>
          <w:lang w:bidi="fa-IR"/>
        </w:rPr>
        <w:t>.</w:t>
      </w:r>
      <w:bookmarkStart w:id="19" w:name="pg2622_17757"/>
    </w:p>
    <w:p>
      <w:pPr>
        <w:pStyle w:val="Heading2"/>
        <w:numPr>
          <w:ilvl w:val="1"/>
          <w:numId w:val="1"/>
        </w:numPr>
        <w:rPr/>
      </w:pPr>
      <w:bookmarkStart w:id="20" w:name="__RefHeading___Toc506427_1395250215"/>
      <w:bookmarkStart w:id="21" w:name="_Toc7"/>
      <w:bookmarkEnd w:id="19"/>
      <w:bookmarkEnd w:id="20"/>
      <w:r>
        <w:rPr>
          <w:rtl w:val="true"/>
        </w:rPr>
        <w:t>نخستین واجب اعتقادی</w:t>
      </w:r>
      <w:r>
        <w:rPr>
          <w:rtl w:val="true"/>
        </w:rPr>
        <w:t xml:space="preserve">/ </w:t>
      </w:r>
      <w:r>
        <w:rPr>
          <w:rtl w:val="true"/>
        </w:rPr>
        <w:t>رضا برنجکار، مهدی نصرتیان اهور</w:t>
      </w:r>
      <w:bookmarkEnd w:id="21"/>
    </w:p>
    <w:p>
      <w:pPr>
        <w:pStyle w:val="Heading3"/>
        <w:numPr>
          <w:ilvl w:val="2"/>
          <w:numId w:val="1"/>
        </w:numPr>
        <w:rPr/>
      </w:pPr>
      <w:bookmarkStart w:id="22" w:name="__RefHeading___Toc506429_1395250215"/>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 xml:space="preserve">اشاره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رضا برنجکار</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مهدی نصرتیان اهور</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w:t>
      </w:r>
      <w:r>
        <w:rPr>
          <w:rFonts w:eastAsia="IRNazanin" w:cs="IRNazanin"/>
          <w:color w:val="111111"/>
          <w:sz w:val="28"/>
          <w:szCs w:val="28"/>
          <w:lang w:bidi="fa-IR"/>
        </w:rPr>
        <w:t>1392/04/23</w:t>
      </w:r>
    </w:p>
    <w:p>
      <w:pPr>
        <w:pStyle w:val="BookText"/>
        <w:rPr/>
      </w:pPr>
      <w:r>
        <w:rPr>
          <w:rFonts w:ascii="IRNazanin" w:hAnsi="IRNazanin" w:eastAsia="IRNazanin"/>
          <w:color w:val="111111"/>
          <w:sz w:val="28"/>
          <w:sz w:val="28"/>
          <w:szCs w:val="28"/>
          <w:rtl w:val="true"/>
          <w:lang w:bidi="fa-IR"/>
        </w:rPr>
        <w:t>تاریخ تایید</w:t>
      </w:r>
      <w:r>
        <w:rPr>
          <w:rFonts w:eastAsia="IRNazanin" w:cs="IRNazanin"/>
          <w:color w:val="111111"/>
          <w:sz w:val="28"/>
          <w:szCs w:val="28"/>
          <w:rtl w:val="true"/>
          <w:lang w:bidi="fa-IR"/>
        </w:rPr>
        <w:t>:</w:t>
      </w:r>
      <w:r>
        <w:rPr>
          <w:rFonts w:eastAsia="IRNazanin" w:cs="IRNazanin"/>
          <w:color w:val="111111"/>
          <w:sz w:val="28"/>
          <w:szCs w:val="28"/>
          <w:lang w:bidi="fa-IR"/>
        </w:rPr>
        <w:t>1392/05/16</w:t>
      </w:r>
    </w:p>
    <w:p>
      <w:pPr>
        <w:pStyle w:val="Heading3"/>
        <w:numPr>
          <w:ilvl w:val="2"/>
          <w:numId w:val="1"/>
        </w:numPr>
        <w:rPr/>
      </w:pPr>
      <w:bookmarkStart w:id="24" w:name="__RefHeading___Toc506431_1395250215"/>
      <w:bookmarkStart w:id="25" w:name="_Toc9"/>
      <w:bookmarkEnd w:id="24"/>
      <w:r>
        <w:rPr>
          <w:rtl w:val="true"/>
        </w:rPr>
        <w:t>چکیده</w:t>
      </w:r>
      <w:bookmarkEnd w:id="25"/>
    </w:p>
    <w:p>
      <w:pPr>
        <w:pStyle w:val="BookText"/>
        <w:rPr/>
      </w:pPr>
      <w:r>
        <w:rPr>
          <w:rFonts w:ascii="IRNazanin" w:hAnsi="IRNazanin" w:eastAsia="IRNazanin"/>
          <w:color w:val="111111"/>
          <w:sz w:val="28"/>
          <w:sz w:val="28"/>
          <w:szCs w:val="28"/>
          <w:rtl w:val="true"/>
          <w:lang w:bidi="fa-IR"/>
        </w:rPr>
        <w:t>نخستین واجب اعتقادی یکی از مسائل چالش برانگیز در علم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قصد، اراده، نظر، استدلال و معرفت الله از مهمترین 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این بحث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نخستین واجب، نخستین واجب به حسب مقصود اصلی باشد باید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را مصداق آن معرفی نمود و اگر مقصود از نخستین، اولین به هر عنوان باشد، قصد و اراده، نخستین واجب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معرفت فطری و قلبی خدا معتقد باشیم، اعتقاد و ایمان به خدا نخستین واجب خواهد بود</w:t>
      </w:r>
      <w:r>
        <w:rPr>
          <w:rFonts w:eastAsia="IRNazanin" w:cs="IRNazanin"/>
          <w:color w:val="111111"/>
          <w:sz w:val="28"/>
          <w:szCs w:val="28"/>
          <w:rtl w:val="true"/>
          <w:lang w:bidi="fa-IR"/>
        </w:rPr>
        <w:t>.</w:t>
      </w:r>
    </w:p>
    <w:p>
      <w:pPr>
        <w:pStyle w:val="Heading3"/>
        <w:numPr>
          <w:ilvl w:val="2"/>
          <w:numId w:val="1"/>
        </w:numPr>
        <w:rPr/>
      </w:pPr>
      <w:bookmarkStart w:id="26" w:name="__RefHeading___Toc506433_1395250215"/>
      <w:bookmarkStart w:id="27" w:name="_Toc10"/>
      <w:bookmarkEnd w:id="26"/>
      <w:r>
        <w:rPr>
          <w:rtl w:val="true"/>
        </w:rPr>
        <w:t>واژگان کلیدی</w:t>
      </w:r>
      <w:bookmarkEnd w:id="2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معرفت عقلی، واجب اعتقادی، معرفت الله، شک دستوری، اراده</w:t>
      </w:r>
      <w:r>
        <w:rPr>
          <w:rFonts w:eastAsia="IRNazanin" w:cs="IRNazanin"/>
          <w:color w:val="111111"/>
          <w:sz w:val="28"/>
          <w:szCs w:val="28"/>
          <w:rtl w:val="true"/>
          <w:lang w:bidi="fa-IR"/>
        </w:rPr>
        <w:t>.</w:t>
      </w:r>
      <w:bookmarkStart w:id="28" w:name="pg2622_17758"/>
    </w:p>
    <w:p>
      <w:pPr>
        <w:pStyle w:val="Heading3"/>
        <w:numPr>
          <w:ilvl w:val="2"/>
          <w:numId w:val="1"/>
        </w:numPr>
        <w:rPr/>
      </w:pPr>
      <w:bookmarkStart w:id="29" w:name="__RefHeading___Toc506435_1395250215"/>
      <w:bookmarkStart w:id="30" w:name="_Toc11"/>
      <w:bookmarkEnd w:id="28"/>
      <w:bookmarkEnd w:id="29"/>
      <w:r>
        <w:rPr>
          <w:rtl w:val="true"/>
        </w:rPr>
        <w:t>مقدمه</w:t>
      </w:r>
      <w:bookmarkEnd w:id="30"/>
    </w:p>
    <w:p>
      <w:pPr>
        <w:pStyle w:val="BookText"/>
        <w:rPr/>
      </w:pPr>
      <w:r>
        <w:rPr>
          <w:rFonts w:ascii="IRNazanin" w:hAnsi="IRNazanin" w:eastAsia="IRNazanin"/>
          <w:color w:val="111111"/>
          <w:sz w:val="28"/>
          <w:sz w:val="28"/>
          <w:szCs w:val="28"/>
          <w:rtl w:val="true"/>
          <w:lang w:bidi="fa-IR"/>
        </w:rPr>
        <w:t>در کتاب های کلامی بحث نخستین واجب اعتقادی به این موضوع می پردازد که از میان تکالیف اعتقادی کدامیک نخسین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به یکی از مباحث چالش برانگیز و پردامنه علم کلام تبدیل شده است، به گونه ای که هرکس از منظری دست به معرفی نخستین واجب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جبائی معتقد است نخستین واجب شک کردن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معتزله بصره، ابو اسحاق اسفراینی، سیدمرتضی و ابن نوبخت معتقدند که نخستین واجب، استدلال و نظرکردن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اشعریه و معتزله بغداد نیز معرفت الله را نخستین واجب معرفی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الحرمین و ابوبکر باقلانی هم معتقدند قصد و اراده نخستین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چهار دیدگاه معروف در این زمینه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درصدد جمع این آرا از طریق قول به تفصیل برآمده و میان نخستین واجب اصلی و نخستین واجب مطلق ـ هرچند مقدماتی ـ فرق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جمع بندی، معرفت الله را نخستین واجب اصلی و نظر یا قصد را نخستین واجب مقدماتی و ابزاری 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به تقریر و نقد و بررسی این پنج دیدگاه پرداخته و در نهایت دیدگاه دیگری به عنوان نظریه مختار عرضه خواهیم کرد</w:t>
      </w:r>
      <w:r>
        <w:rPr>
          <w:rFonts w:eastAsia="IRNazanin" w:cs="IRNazanin"/>
          <w:color w:val="111111"/>
          <w:sz w:val="28"/>
          <w:szCs w:val="28"/>
          <w:rtl w:val="true"/>
          <w:lang w:bidi="fa-IR"/>
        </w:rPr>
        <w:t>.</w:t>
      </w:r>
    </w:p>
    <w:p>
      <w:pPr>
        <w:pStyle w:val="Heading3"/>
        <w:numPr>
          <w:ilvl w:val="2"/>
          <w:numId w:val="1"/>
        </w:numPr>
        <w:rPr/>
      </w:pPr>
      <w:bookmarkStart w:id="31" w:name="__RefHeading___Toc506437_1395250215"/>
      <w:bookmarkStart w:id="32" w:name="_Toc12"/>
      <w:bookmarkEnd w:id="31"/>
      <w:r>
        <w:rPr>
          <w:rtl w:val="true"/>
        </w:rPr>
        <w:t>نظریه نخست</w:t>
      </w:r>
      <w:r>
        <w:rPr>
          <w:rtl w:val="true"/>
        </w:rPr>
        <w:t xml:space="preserve">: </w:t>
      </w:r>
      <w:r>
        <w:rPr>
          <w:rtl w:val="true"/>
        </w:rPr>
        <w:t>شک</w:t>
      </w:r>
      <w:bookmarkEnd w:id="32"/>
    </w:p>
    <w:p>
      <w:pPr>
        <w:pStyle w:val="Heading4"/>
        <w:numPr>
          <w:ilvl w:val="3"/>
          <w:numId w:val="1"/>
        </w:numPr>
        <w:rPr/>
      </w:pPr>
      <w:bookmarkStart w:id="33" w:name="__RefHeading___Toc506439_1395250215"/>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 xml:space="preserve">ابوهاشم جبائی معتقد است نخستین واجب در امور اعتقادی شک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جوینی،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حمود،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انسان زمانی دست به استدلال می زند و در امری به تفکر می پردازد که در مورد قضیه ای شک داشته باشد و گرنه در صورت عالم بودن به یکی از دو طرف قضیه، در پی استدلال گشتن بی معنا است و به همین جهت در اکثر کتاب های کلامی از جمله شرایط نظر و استدلال، عالم نبودن مستدل به مفاد قضیه، ذکر شده است؛ زیرا با فرض علم، نمی توان وجوب نظر را تصور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جوینی،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حمود،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35" w:name="__RefHeading___Toc506441_1395250215"/>
      <w:bookmarkStart w:id="36" w:name="_Toc14"/>
      <w:bookmarkEnd w:id="35"/>
      <w:r>
        <w:rPr>
          <w:rtl w:val="true"/>
        </w:rPr>
        <w:t>نقد و بررسی</w:t>
      </w:r>
      <w:bookmarkEnd w:id="3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اشکالاتی که به این نظریه وارد شده این است که شک زمانی می تواند جزء واجبات باشد که مقدور انسان قرار گیرد، در حالی که شک مقدور انسان نمی باشد؛ زیرا شک از جمله کیفیت های نفسانی است و کیف نفسانی در اختیار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شک یا استمرار شک برای انسان مقدور است؛ یعنی اگر فردی طرفین قضیه را تصور نماید ولی از تصور نسبت آنها خودداری کند، در این</w:t>
      </w:r>
    </w:p>
    <w:p>
      <w:pPr>
        <w:pStyle w:val="BookText"/>
        <w:rPr/>
      </w:pPr>
      <w:r>
        <w:rPr>
          <w:rFonts w:ascii="IRNazanin" w:hAnsi="IRNazanin" w:eastAsia="IRNazanin"/>
          <w:color w:val="111111"/>
          <w:sz w:val="28"/>
          <w:sz w:val="28"/>
          <w:szCs w:val="28"/>
          <w:rtl w:val="true"/>
          <w:lang w:bidi="fa-IR"/>
        </w:rPr>
        <w:t xml:space="preserve">صورت شک برای وی حاصل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خواجه نصیرالدین،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مخدوش است؛ زیرا هرچند شک واقعی برای انسان مقدور نیست اما شک روشی و دستوری در اختیار انسان است؛ مانند آنچه دکارت در تامل نخست از تأملاتش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دکارت،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تفاوت میان شک دستوری و شک واقعی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نسبت به طرفین گزاره نمی تواند دست به انتخاب بزند و هیچ گزینشی نیز ندارد بلکه هر دو طرف برای وی محتمل است ولی در شک دستوری لازم نیست انسان نسبت به طرفین قضیه دل بستگی و گزینشی نداشته باشد بلکه ممکن است در عین این که یکی از طرفین را نیز قبول دارد خود را در مقام کسی قرار دهد که طرفین قضیه برای او مساوی است و اکنون قصد دارد تا یکی را بر دیگری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دیگر این که حتی اگر شک برای انسان مقدور هم باشد ولی مراد هیچ عاقلی نیست؛ به عبارت دیگر بر فرض مقدور بودن، سوق دادن مکلف به سمت تحصیل شک امری بیهوده و لغو است و نمی تواند واجب باشد؛ زیرا فرض وجوب با لغویت منافات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دکارت،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ایراد نیز پذیرفتنی نیست؛ زیرا تحصیل شک واقعی لغو و بی ثمر است و هیچ عاقلی دیگران را به دستیابی به چنین حالتی امر نمی کند ولی به چه دلیل، شک دستوری بیهوده است؟ وقتی انسان خود را در مقام فردی قرار دهد که خالی الذهن است و هیچ پیش داوری نسبت به موضوع ندارد بهتر می تواند استدلال کرده و به دلایل توجه نماید، پس چنین شکی دور از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سوم این که در این مقام باید ثابت شود شک از جمله واجبات است؛ حال یا مقدمه واجب یا واجب مستقل، ولی از تقریر دلیل، خلاف آن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تبیین دلیل هم نمایان است، نظر و استدلال مقید و مشروط به شک است؛ چون شک بدون استدلال ممکن نیست و انسان زمانی استدلال می کند که برای خود شک دستوری درست کند و بخواهد این شک را پاسخ دهد، ولی این قید، قید وجوب نظر و استدلال است؛ یعنی اگر برای انسان در مسأله معرفت الله شک و تردید رخ داد، بر وی وجوب نظر و استدلال فعلیت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اصول فقه نیز تبیین شده که تحصیل مقدمه وجوب بر مکلف واجب نیست و نمی توان شک را از واجبات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مذکور بر پایه شک واقعی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مقصود از شک، شک واقعی و حقیقی باشد، نه شک دستوری، می توان آن را مقدمه وجوب برای نظر و استدلال دانست، ولی اگر منظور شک دستوری باشد ـ که چنین است ـ شک مقدمه واجب می باشد؛ یعنی برای این که نظر و استدلال صورت گیرد ابتدا باید مکلف خود را در مقام فرد خالی الذهن یا شاک قرار دهد و</w:t>
      </w:r>
      <w:bookmarkStart w:id="37" w:name="pg2622_17760"/>
    </w:p>
    <w:p>
      <w:pPr>
        <w:pStyle w:val="BookText"/>
        <w:rPr/>
      </w:pPr>
      <w:bookmarkEnd w:id="37"/>
      <w:r>
        <w:rPr>
          <w:rFonts w:ascii="IRNazanin" w:hAnsi="IRNazanin" w:eastAsia="IRNazanin"/>
          <w:color w:val="111111"/>
          <w:sz w:val="28"/>
          <w:sz w:val="28"/>
          <w:szCs w:val="28"/>
          <w:rtl w:val="true"/>
          <w:lang w:bidi="fa-IR"/>
        </w:rPr>
        <w:t>پس از آن به استدلال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طورکه دیدیم همه ایرادهای نظریه نخست مبتنی بر این فرض نادرست بود که مراد از شک، شک واقعی است، در حالی که مقصود، شک روشی، یعنی کنار گذاشتن اعتقادات قبلی می باشد در این صورت معنای وجوب شک این است که داوری های قبلی باید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فرض وجود دارد؛ یکی این که مکلف، داوری قبلی ندارد و در ابتدای مسیر اعتقادات است و امر به شک تحصیل حاصل و لغو می باشد که فرض متکلمان همین است یا این که فرد داوری هایی از قبل دارد که در این صورت اگر داوری های او روشمند و منطقی است چرا آنها را کنار بگذارد و به همین دلیل نظریه نخست نادرست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شک دستوری جزء افعال اختیاری است و هر فعل اختیاری مسبوق به اراده و قصد است پس شک دستوری مترتب بر اراده خواهد شد و نمی توان نخستین واجب بودن آن را پذیرفت</w:t>
      </w:r>
      <w:r>
        <w:rPr>
          <w:rFonts w:eastAsia="IRNazanin" w:cs="IRNazanin"/>
          <w:color w:val="111111"/>
          <w:sz w:val="28"/>
          <w:szCs w:val="28"/>
          <w:rtl w:val="true"/>
          <w:lang w:bidi="fa-IR"/>
        </w:rPr>
        <w:t>.</w:t>
      </w:r>
    </w:p>
    <w:p>
      <w:pPr>
        <w:pStyle w:val="Heading3"/>
        <w:numPr>
          <w:ilvl w:val="2"/>
          <w:numId w:val="1"/>
        </w:numPr>
        <w:rPr/>
      </w:pPr>
      <w:bookmarkStart w:id="38" w:name="__RefHeading___Toc506443_1395250215"/>
      <w:bookmarkStart w:id="39" w:name="_Toc15"/>
      <w:bookmarkEnd w:id="38"/>
      <w:r>
        <w:rPr>
          <w:rtl w:val="true"/>
        </w:rPr>
        <w:t>نظریه دوم</w:t>
      </w:r>
      <w:r>
        <w:rPr>
          <w:rtl w:val="true"/>
        </w:rPr>
        <w:t xml:space="preserve">: </w:t>
      </w:r>
      <w:r>
        <w:rPr>
          <w:rtl w:val="true"/>
        </w:rPr>
        <w:t>قصد و اراده</w:t>
      </w:r>
      <w:bookmarkEnd w:id="39"/>
    </w:p>
    <w:p>
      <w:pPr>
        <w:pStyle w:val="Heading4"/>
        <w:numPr>
          <w:ilvl w:val="3"/>
          <w:numId w:val="1"/>
        </w:numPr>
        <w:rPr/>
      </w:pPr>
      <w:bookmarkStart w:id="40" w:name="__RefHeading___Toc506445_1395250215"/>
      <w:bookmarkStart w:id="41" w:name="_Toc16"/>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بعضـی از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عبیدلی،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فورک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جرجانی،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اسدآبادی،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 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اسدآبادی،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معتقدند قصد و اراده نخستین واجب در امور اعتقادی است؛ زیرا افعال اختیاری و اجزای آنها همیشه برقصد و اراده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نظر و استدلال نیز جزء افعال اختیاری انسان و نیازمند به قصد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اسدآبادی،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جرجانی،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جوینی،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ملاصالح مازندرانی،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نخستین واجب قصد و اراده است</w:t>
      </w:r>
      <w:r>
        <w:rPr>
          <w:rFonts w:eastAsia="IRNazanin" w:cs="IRNazanin"/>
          <w:color w:val="111111"/>
          <w:sz w:val="28"/>
          <w:szCs w:val="28"/>
          <w:rtl w:val="true"/>
          <w:lang w:bidi="fa-IR"/>
        </w:rPr>
        <w:t>.</w:t>
      </w:r>
    </w:p>
    <w:p>
      <w:pPr>
        <w:pStyle w:val="Heading4"/>
        <w:numPr>
          <w:ilvl w:val="3"/>
          <w:numId w:val="1"/>
        </w:numPr>
        <w:rPr/>
      </w:pPr>
      <w:bookmarkStart w:id="42" w:name="__RefHeading___Toc506447_1395250215"/>
      <w:bookmarkStart w:id="43" w:name="_Toc17"/>
      <w:bookmarkEnd w:id="42"/>
      <w:r>
        <w:rPr>
          <w:rtl w:val="true"/>
        </w:rPr>
        <w:t>نقد و بررسی</w:t>
      </w:r>
      <w:bookmarkEnd w:id="4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عبدالجبار معتزلی معتقد است نباید مشابه این استدلال را که چون استدلال، مقدمه معرفت خدا است پس نخستین واجب است در مورد قصد و اراده نیز جاری نمود و گفت چون قصد، مقدمه استدلال است پس نخستین واجب است؛ زیرا چنین استدلالی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نظر و استدلال تنها یک فعل است و هر چند که هر فعل اختیاری با قصد و اختیار همراه است ولی نیازمند و برآمده از قصد و اراده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تقریب به ذهن مثالی را ذکر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فردی بر لبه بهشت و جهنم قرار گرفته و به مصالح و منافع موجود در بهشت و ضررهای موجود در جهنم نیز علم دارد و در عین حال خداوند اراده دخول در بهشت را از وی سلب کرده و</w:t>
      </w:r>
      <w:bookmarkStart w:id="44" w:name="pg2622_17761"/>
    </w:p>
    <w:p>
      <w:pPr>
        <w:pStyle w:val="BookText"/>
        <w:rPr/>
      </w:pPr>
      <w:bookmarkEnd w:id="44"/>
      <w:r>
        <w:rPr>
          <w:rFonts w:ascii="IRNazanin" w:hAnsi="IRNazanin" w:eastAsia="IRNazanin"/>
          <w:color w:val="111111"/>
          <w:sz w:val="28"/>
          <w:sz w:val="28"/>
          <w:szCs w:val="28"/>
          <w:rtl w:val="true"/>
          <w:lang w:bidi="fa-IR"/>
        </w:rPr>
        <w:t>اراده دخـول به جـهنم را در وی قـرار داده بـاشد، چـنین شخصی به طور قهری به سمت بهشت می رود، نه به سمت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نشان می دهد که فعل محتاج به قصد نیست بلکه همراه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اگر خداوند اراده به مقصود را از مکلف بگیرد و در عین حال وی را مکلف به استدلال و کسب نظر نماید چنین تکلیفی، تکلیف به مالایطاق نیست؛ برخلاف زمانی که نظر و استدلال مقدور فرد نباشد و در عین حال وی مکلف به معرفت الله باشد که به طور قطعی تکلیف به مالایطاق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کذلک فإن أحدنا لو کان علی شفیر الجنة و النار و هو عالم بما فی الجنة من المنافع و بما فی النار من المضار و سلبه اللّه تعالی إرادة دخول الجنة و خلق فیه إرادة دخول النار، فإنه یدخل الجنة لا محالة دون النار من غیر قصد و إرادة، فعلم أن مجرد الفعل لا یحتاج إلی القصد و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یبین ما ذکرناه و یوضحه، أن الواحد منا لو کلف بالنظر و منع عن المقصود و الإرادة، لکان یحسن تکلیفه بالنظر فلو کان النظر یحتاج إلی القصد و الإرادة، لکان تکلیفه بالنظر تکلیف ما لا یطاق، و لیس کذلک المعرفة لأن المعرفة محتاجة إلی النظر، حتی لو منع عن النظر لما حسن تکلیفه بالمعرفة، لأن تکلیفه بها تکلیف ما لا یطاق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 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همین راستا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استدلال از جمله افعال اختیاری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فعل اختیاری نیازمند به قصد و اراده است و قصد و اراده از امور قهری یک فعل اختیاری می باشد ولی جزء افعال اختیاری نیست و نمی تواند متعلق تکلیف نیز قرار گیرد؛ زیرا یکی از شرایط تکلیف، اختیاری بودن متلعق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این ایراد قاضی و علامه به نظر صحیح نیست؛ زیرا قصد و اراده در افعال اختیاری قهری نیست و انسان با وجود علم به وجوب یا مصلحت چیزی می تواند آن را اراده و قصد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اراده با آزادی از انسان صادر نشود تفاوتی میان فعل اختیاری و فعل غیر اختیاری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ویژگی فعل غیر اختیاری است که اراده آزاد در آن وجود ندارد، خواه فعل بدون اراده صادر شود و خواه اراده قهری و اضطراری همراه فعل باشد</w:t>
      </w:r>
      <w:r>
        <w:rPr>
          <w:rFonts w:eastAsia="IRNazanin" w:cs="IRNazanin"/>
          <w:color w:val="111111"/>
          <w:sz w:val="28"/>
          <w:szCs w:val="28"/>
          <w:rtl w:val="true"/>
          <w:lang w:bidi="fa-IR"/>
        </w:rPr>
        <w:t>.</w:t>
      </w:r>
    </w:p>
    <w:p>
      <w:pPr>
        <w:pStyle w:val="Heading3"/>
        <w:numPr>
          <w:ilvl w:val="2"/>
          <w:numId w:val="1"/>
        </w:numPr>
        <w:rPr/>
      </w:pPr>
      <w:bookmarkStart w:id="45" w:name="__RefHeading___Toc506449_1395250215"/>
      <w:bookmarkStart w:id="46" w:name="_Toc18"/>
      <w:bookmarkEnd w:id="45"/>
      <w:r>
        <w:rPr>
          <w:rtl w:val="true"/>
        </w:rPr>
        <w:t>نظریه سوم</w:t>
      </w:r>
      <w:r>
        <w:rPr>
          <w:rtl w:val="true"/>
        </w:rPr>
        <w:t xml:space="preserve">: </w:t>
      </w:r>
      <w:r>
        <w:rPr>
          <w:rtl w:val="true"/>
        </w:rPr>
        <w:t>نظر و استدلال عقلی</w:t>
      </w:r>
      <w:bookmarkEnd w:id="46"/>
    </w:p>
    <w:p>
      <w:pPr>
        <w:pStyle w:val="Heading4"/>
        <w:numPr>
          <w:ilvl w:val="3"/>
          <w:numId w:val="1"/>
        </w:numPr>
        <w:rPr/>
      </w:pPr>
      <w:bookmarkStart w:id="47" w:name="__RefHeading___Toc506451_1395250215"/>
      <w:bookmarkStart w:id="48" w:name="_Toc19"/>
      <w:bookmarkEnd w:id="47"/>
      <w:r>
        <w:rPr>
          <w:rtl w:val="true"/>
        </w:rPr>
        <w:t>اشاره</w:t>
      </w:r>
      <w:bookmarkEnd w:id="4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معتزله بصره، ابواسحاق اسفراینی، سیدمرتضی و ابن نوبخت معتقدند نخستین واجب در اعتقادات، استدلال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مؤیدی،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اسدآبادی،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سیدمرتضی،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سیدمرتضی،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bookmarkStart w:id="49" w:name="pg2622_17762"/>
    </w:p>
    <w:p>
      <w:pPr>
        <w:pStyle w:val="BookText"/>
        <w:rPr/>
      </w:pPr>
      <w:bookmarkEnd w:id="49"/>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سیدمرتضی،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ملاصالح مازندرانی،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جرجانی،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حمود،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برای اثبات این که نظر و استدلال نخستین واجب است، ابتدا باید وجوب نظر و تقدم آن بر معرفت الله را ثابت کنند و سپس نیز نخستین واجب بودن قصد و اراده و یا شک را 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توجه به نقد دلایل نخستین واجب بودن شک و اراده، در ادامه تنها به ذکر دلایل وجوب نظر و تقدم آن بر معرفت الله پرداخته می شود</w:t>
      </w:r>
      <w:r>
        <w:rPr>
          <w:rFonts w:eastAsia="IRNazanin" w:cs="IRNazanin"/>
          <w:color w:val="111111"/>
          <w:sz w:val="28"/>
          <w:szCs w:val="28"/>
          <w:rtl w:val="true"/>
          <w:lang w:bidi="fa-IR"/>
        </w:rPr>
        <w:t>.</w:t>
      </w:r>
    </w:p>
    <w:p>
      <w:pPr>
        <w:pStyle w:val="Heading4"/>
        <w:numPr>
          <w:ilvl w:val="3"/>
          <w:numId w:val="1"/>
        </w:numPr>
        <w:rPr/>
      </w:pPr>
      <w:bookmarkStart w:id="50" w:name="__RefHeading___Toc506453_1395250215"/>
      <w:bookmarkStart w:id="51" w:name="_Toc20"/>
      <w:bookmarkEnd w:id="50"/>
      <w:r>
        <w:rPr>
          <w:rtl w:val="true"/>
        </w:rPr>
        <w:t>دلایل وجوب مقدمی نظر</w:t>
      </w:r>
      <w:bookmarkEnd w:id="51"/>
    </w:p>
    <w:p>
      <w:pPr>
        <w:pStyle w:val="Heading5"/>
        <w:numPr>
          <w:ilvl w:val="4"/>
          <w:numId w:val="1"/>
        </w:numPr>
        <w:rPr/>
      </w:pPr>
      <w:bookmarkStart w:id="52" w:name="__RefHeading___Toc506455_1395250215"/>
      <w:bookmarkStart w:id="53" w:name="_Toc21"/>
      <w:bookmarkEnd w:id="52"/>
      <w:r>
        <w:rPr>
          <w:rtl w:val="true"/>
        </w:rPr>
        <w:t>الف</w:t>
      </w:r>
      <w:r>
        <w:rPr>
          <w:rtl w:val="true"/>
        </w:rPr>
        <w:t xml:space="preserve">. </w:t>
      </w:r>
      <w:r>
        <w:rPr>
          <w:rtl w:val="true"/>
        </w:rPr>
        <w:t>دلایل عقلی</w:t>
      </w:r>
      <w:bookmarkEnd w:id="53"/>
    </w:p>
    <w:p>
      <w:pPr>
        <w:pStyle w:val="Heading6"/>
        <w:numPr>
          <w:ilvl w:val="5"/>
          <w:numId w:val="1"/>
        </w:numPr>
        <w:rPr/>
      </w:pPr>
      <w:bookmarkStart w:id="54" w:name="__RefHeading___Toc506457_1395250215"/>
      <w:bookmarkStart w:id="55" w:name="_Toc22"/>
      <w:bookmarkEnd w:id="54"/>
      <w:r>
        <w:rPr/>
        <w:t>1</w:t>
      </w:r>
      <w:r>
        <w:rPr>
          <w:rtl w:val="true"/>
        </w:rPr>
        <w:t>.</w:t>
      </w:r>
      <w:r>
        <w:rPr>
          <w:rtl w:val="true"/>
        </w:rPr>
        <w:t>دفع ضرر محتمل</w:t>
      </w:r>
      <w:bookmarkEnd w:id="55"/>
    </w:p>
    <w:p>
      <w:pPr>
        <w:pStyle w:val="BookText"/>
        <w:rPr/>
      </w:pPr>
      <w:r>
        <w:rPr>
          <w:rFonts w:ascii="IRNazanin" w:hAnsi="IRNazanin" w:eastAsia="IRNazanin"/>
          <w:color w:val="111111"/>
          <w:sz w:val="28"/>
          <w:sz w:val="28"/>
          <w:szCs w:val="28"/>
          <w:rtl w:val="true"/>
          <w:lang w:bidi="fa-IR"/>
        </w:rPr>
        <w:t>هر عاقلی که میان عقلا زندگی کرده باشد اختلاف نظر آنها در مسائل مختلف از جمله مسائل اعتقادی را در خواهد یافت؛ به طوری که هر گروه، سایرین را به پیروی از دیدگاه خود دعوت و از مخالفت با دیدگاه های خویش نهی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گاه درصورت مخالفت مردم را از عذاب الهی می ترسانند؛ زیرا خود را محق و مذهب خویش را مطابق با واقع تلقی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با مشاهده این ترساندن از عذاب الهی حکم می کند که باید بدنبال راه خلاص و نجات از ضرر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فرار از چند حالت خارج نیست؛ یکی این که سخن همه صاحبان فرق و مذاهب را بپذیریم که چنین امری شدنی نیست؛ زیرا گاه به پذیرش امور متناقض منجر می شود؛ دوم این که همه را رها کنیم که در این صورت نیز احتمال دارد یکی از این مذاهب برحق باشد و حتی گاه همان محذور طرد امور متناقض را مرتکب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سخن بعضی را بر دیگران ترجیح داد که این ترجیح نیز یا بدون مرجح است که امری قبیح تلقی می شود و یا مرحج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مرحج نیز یا استدلال و نظر است که در این صورت مطلوب، بدست آمده است و یا تقلید و سخن دیگران است که دوباره همه محذورات قبلی وجود دارد و در نهایت باید به استدلال و نظر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که مشاهده می شود این استدلال مبتنی بر دفع ضرر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الصلاح حلبی،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سبزواری،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ابن میثم بحرانی،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قزوینی،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6"/>
        <w:numPr>
          <w:ilvl w:val="5"/>
          <w:numId w:val="1"/>
        </w:numPr>
        <w:rPr/>
      </w:pPr>
      <w:bookmarkStart w:id="56" w:name="__RefHeading___Toc506459_1395250215"/>
      <w:bookmarkStart w:id="57" w:name="_Toc23"/>
      <w:bookmarkEnd w:id="56"/>
      <w:r>
        <w:rPr/>
        <w:t>2</w:t>
      </w:r>
      <w:r>
        <w:rPr>
          <w:rtl w:val="true"/>
        </w:rPr>
        <w:t xml:space="preserve">. </w:t>
      </w:r>
      <w:r>
        <w:rPr>
          <w:rtl w:val="true"/>
        </w:rPr>
        <w:t>افحام پیامبران در تبلیغ دین</w:t>
      </w:r>
      <w:bookmarkEnd w:id="5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طور عقلی نظر کردن واجب نباشد لازم می آید نبی در مقابل منکران خداوند و نبوت از</w:t>
      </w:r>
      <w:bookmarkStart w:id="58" w:name="pg2622_17763"/>
    </w:p>
    <w:p>
      <w:pPr>
        <w:pStyle w:val="BookText"/>
        <w:rPr/>
      </w:pPr>
      <w:bookmarkEnd w:id="58"/>
      <w:r>
        <w:rPr>
          <w:rFonts w:ascii="IRNazanin" w:hAnsi="IRNazanin" w:eastAsia="IRNazanin"/>
          <w:color w:val="111111"/>
          <w:sz w:val="28"/>
          <w:sz w:val="28"/>
          <w:szCs w:val="28"/>
          <w:rtl w:val="true"/>
          <w:lang w:bidi="fa-IR"/>
        </w:rPr>
        <w:t xml:space="preserve">جواب دادن عاجز مانده و شکست بخورد؛ زیرا نبی وقتی بگوید مرا تبعیت کنید، مکلف می تواند بگوید تبعیت نمی کنم مگر بعد از آن که بدانم راست می گویی و چون صدق و راستی سخن تو ضروری نیست و تنها از طریق استدلال و نظر می توانم آن را بفهمم، پس نظر نمی کنم؛ چون وجوب نظر را باید از گفتار شما به دست آورم که گفتارتان هم برای من حجت نیست؛ زیرا هنوز صدقش بر من ثابت نشده است؛ لذا نبی در مقام پاسخ در 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خواجه نصیرالدین،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6"/>
        <w:numPr>
          <w:ilvl w:val="5"/>
          <w:numId w:val="1"/>
        </w:numPr>
        <w:rPr/>
      </w:pPr>
      <w:bookmarkStart w:id="59" w:name="__RefHeading___Toc506461_1395250215"/>
      <w:bookmarkStart w:id="60" w:name="_Toc24"/>
      <w:bookmarkEnd w:id="59"/>
      <w:r>
        <w:rPr/>
        <w:t>3</w:t>
      </w:r>
      <w:r>
        <w:rPr>
          <w:rtl w:val="true"/>
        </w:rPr>
        <w:t xml:space="preserve">. </w:t>
      </w:r>
      <w:r>
        <w:rPr>
          <w:rtl w:val="true"/>
        </w:rPr>
        <w:t>وجوب شکر منعم</w:t>
      </w:r>
      <w:bookmarkEnd w:id="60"/>
    </w:p>
    <w:p>
      <w:pPr>
        <w:pStyle w:val="BookText"/>
        <w:rPr/>
      </w:pPr>
      <w:r>
        <w:rPr>
          <w:rFonts w:ascii="IRNazanin" w:hAnsi="IRNazanin" w:eastAsia="IRNazanin"/>
          <w:color w:val="111111"/>
          <w:sz w:val="28"/>
          <w:sz w:val="28"/>
          <w:szCs w:val="28"/>
          <w:rtl w:val="true"/>
          <w:lang w:bidi="fa-IR"/>
        </w:rPr>
        <w:t>در اطراف انسان نعمت های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بداهت عقلی باید اعتراف کند و شکر منعم نیز واجب و نیازمند شناخت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منعم نیز بدون استدلال مقدور نیست؛ زیرا تقلید در اعتقادات جایز نمی باشد و این مسأله از امور حسی و شهودی نیست و تنها راه ممکن برای دست یابی به معرفت و شناخت منعم در نظر و استدلال منحصر است و به همین دلیل، نظر و استدلال واجب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ابوالصلاح حلبی،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سبزواری،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ابن میثم بحرانی،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قزوینی،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5"/>
        <w:numPr>
          <w:ilvl w:val="4"/>
          <w:numId w:val="1"/>
        </w:numPr>
        <w:rPr/>
      </w:pPr>
      <w:bookmarkStart w:id="61" w:name="__RefHeading___Toc506463_1395250215"/>
      <w:bookmarkStart w:id="62" w:name="_Toc25"/>
      <w:bookmarkEnd w:id="61"/>
      <w:r>
        <w:rPr>
          <w:rtl w:val="true"/>
        </w:rPr>
        <w:t>ب</w:t>
      </w:r>
      <w:r>
        <w:rPr>
          <w:rtl w:val="true"/>
        </w:rPr>
        <w:t xml:space="preserve">. </w:t>
      </w:r>
      <w:r>
        <w:rPr>
          <w:rtl w:val="true"/>
        </w:rPr>
        <w:t>دلایل نقلی</w:t>
      </w:r>
      <w:bookmarkEnd w:id="62"/>
    </w:p>
    <w:p>
      <w:pPr>
        <w:pStyle w:val="Heading6"/>
        <w:numPr>
          <w:ilvl w:val="5"/>
          <w:numId w:val="1"/>
        </w:numPr>
        <w:rPr/>
      </w:pPr>
      <w:bookmarkStart w:id="63" w:name="__RefHeading___Toc506465_1395250215"/>
      <w:bookmarkStart w:id="64" w:name="_Toc26"/>
      <w:bookmarkEnd w:id="63"/>
      <w:r>
        <w:rPr/>
        <w:t>1</w:t>
      </w:r>
      <w:r>
        <w:rPr>
          <w:rtl w:val="true"/>
        </w:rPr>
        <w:t xml:space="preserve">. </w:t>
      </w:r>
      <w:r>
        <w:rPr>
          <w:rtl w:val="true"/>
        </w:rPr>
        <w:t>نصوص دینی</w:t>
      </w:r>
      <w:bookmarkEnd w:id="6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آیات قرآنی، نظر و استدلال را واجب می دانند؛ مانند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انْظُرُوا ما ذا فِی السَّماواتِ وَ الْأَرْضِ وَ ما تُغْنِی الْآیاتُ وَ النُّذُرُ عَنْ قَوْمٍ لا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إِلی آثارِ رَحْمَتِ اللَّهِ کَیفَ یحْی الْأَرْضَ بَعْدَ مَوْتِها إِنَّ ذلِکَ لَمُحْی الْمَوْتی وَ هُوَ عَلی کُلِّ شَی‌ءٍ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ادبی صیغه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امر نیز دال بر وجوب می باشد؛ پس استدلال و نظر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وقتی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خَلْقِ السَّماواتِ وَ الْأَرْضِ وَ اخْتِلافِ اللَّیلِ وَ النَّهارِ لَآیاتٍ لِأُولِی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اکرم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لمن لاکها بین لحیتیه و لم یتفکر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علامه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پیامبر اکرم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بر ترک نظر و استدلال توعید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مطلبی بر ترکش عذاب وجود داشته باشد نشان می دهد انجام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استدلال و نظر کردن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علامه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آمدی،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bookmarkStart w:id="65" w:name="pg2622_17764"/>
    </w:p>
    <w:p>
      <w:pPr>
        <w:pStyle w:val="Heading6"/>
        <w:numPr>
          <w:ilvl w:val="5"/>
          <w:numId w:val="1"/>
        </w:numPr>
        <w:rPr/>
      </w:pPr>
      <w:bookmarkStart w:id="66" w:name="__RefHeading___Toc506467_1395250215"/>
      <w:bookmarkStart w:id="67" w:name="_Toc27"/>
      <w:bookmarkEnd w:id="65"/>
      <w:bookmarkEnd w:id="66"/>
      <w:r>
        <w:rPr/>
        <w:t>2</w:t>
      </w:r>
      <w:r>
        <w:rPr>
          <w:rtl w:val="true"/>
        </w:rPr>
        <w:t>.</w:t>
      </w:r>
      <w:r>
        <w:rPr>
          <w:rtl w:val="true"/>
        </w:rPr>
        <w:t>اجماع</w:t>
      </w:r>
      <w:bookmarkEnd w:id="67"/>
    </w:p>
    <w:p>
      <w:pPr>
        <w:pStyle w:val="BookText"/>
        <w:rPr/>
      </w:pPr>
      <w:r>
        <w:rPr>
          <w:rFonts w:ascii="IRNazanin" w:hAnsi="IRNazanin" w:eastAsia="IRNazanin"/>
          <w:color w:val="111111"/>
          <w:sz w:val="28"/>
          <w:sz w:val="28"/>
          <w:szCs w:val="28"/>
          <w:rtl w:val="true"/>
          <w:lang w:bidi="fa-IR"/>
        </w:rPr>
        <w:t>بررسی آراء و افکار اندیشمندان اسلامی دلالت بر وجوب معرفت الله دارد و چنین وجوبی نیز بدون نظر به دست نمی آید؛ زیرا معرفت الله بدیهی نیست بلکه کسبی است که در این صورت یا باید استدلال نمود و یا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تقلید در اعتقادات امری قبیح است پس تنها راه رسیدن به معرفت الله نظر و استدلال کردن است و هر آنچه واجب به آن نیازمند باشد و بدون آن نتوان واجب را محقق نمود، واجب خواهد شد؛ بنابراین به دلیل این که معرفت الله بدون نظر و استدلال به وجود نمی آید، پس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جوینی،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اعتقادات، واجبات بسیاری مانند معرفت الله، معرفت پیامبران، معرفت امامان، معرفت معاد و سایر مسائل اعتقادی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واجبات، معرفت الله مقدم بر همه است و سایر اعتقادات فرع بر اثبات این مسأله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بیان شد معرفت الله بدون نظر و استدلال به دست نمی آید؛ زیرا خود مسأله ای ضروری و بدیهی نیست بلکه جزء امور کسبی و نظری است و مشاهده در آن کاربرد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دستیابی به معرفت الله نمی توان به سخن معصوم تکیه نمود؛ زیرا دور لازم می آید و تقلید در اصول دین نیز مستلزم ترجیح بلامرجح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تمام این دلایل باید پذیرفت که نظر و استدلال تنها مقدمه دستیابی به معرفت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مؤیدی،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اسدآبادی،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سیدمرتضی،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سیدمرتضی،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ملاصالح مازندرانی،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حمصی رازی،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Heading4"/>
        <w:numPr>
          <w:ilvl w:val="3"/>
          <w:numId w:val="1"/>
        </w:numPr>
        <w:rPr/>
      </w:pPr>
      <w:bookmarkStart w:id="68" w:name="__RefHeading___Toc506469_1395250215"/>
      <w:bookmarkStart w:id="69" w:name="_Toc28"/>
      <w:bookmarkEnd w:id="68"/>
      <w:r>
        <w:rPr>
          <w:rtl w:val="true"/>
        </w:rPr>
        <w:t>نقد و بررسی</w:t>
      </w:r>
      <w:bookmarkEnd w:id="69"/>
    </w:p>
    <w:p>
      <w:pPr>
        <w:pStyle w:val="BookText"/>
        <w:rPr/>
      </w:pPr>
      <w:r>
        <w:rPr>
          <w:rFonts w:ascii="IRNazanin" w:hAnsi="IRNazanin" w:eastAsia="IRNazanin"/>
          <w:color w:val="111111"/>
          <w:sz w:val="28"/>
          <w:sz w:val="28"/>
          <w:szCs w:val="28"/>
          <w:rtl w:val="true"/>
          <w:lang w:bidi="fa-IR"/>
        </w:rPr>
        <w:t>در مقام نقد دلایل بالا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فرض همه این دلایل نفی معرفت فطری و قلبی یا به تعبیر متکلمان مدرسه کوفه، معرفت اضطراری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مطلب، اول الکلام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وجدان و نصوص، انسان ها حامل معرفت فـطری از خـدا هـستند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نخستین واجـب، اعتقاد به خدا خـواهد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لِلَّهِ عَلَی خَلْقِهِ أَنْ یعْرِفُوا وَ لِلْخَلْقِ عَلَی اللَّهِ أَنْ یعَرِّفَهُمْ وَ لِلَّهِ عَلَی الْخَلْقِ إِذَا عَرَّفَهُمْ أَنْ یقْبَلُوا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کلینی،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شیخ صدوق،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این ایراد صرف نظر کرده و فرض کنیم که آدمیان فاقد معرفت فطری و قلبی هستند، بر اساس استدلال های بالا نخستین واجب، شناخت خدا است و نظر از باب مقدمه، واجب است که در</w:t>
      </w:r>
      <w:bookmarkStart w:id="70" w:name="pg2622_17765"/>
    </w:p>
    <w:p>
      <w:pPr>
        <w:pStyle w:val="BookText"/>
        <w:rPr/>
      </w:pPr>
      <w:bookmarkEnd w:id="70"/>
      <w:r>
        <w:rPr>
          <w:rFonts w:ascii="IRNazanin" w:hAnsi="IRNazanin" w:eastAsia="IRNazanin"/>
          <w:color w:val="111111"/>
          <w:sz w:val="28"/>
          <w:sz w:val="28"/>
          <w:szCs w:val="28"/>
          <w:rtl w:val="true"/>
          <w:lang w:bidi="fa-IR"/>
        </w:rPr>
        <w:t>نظریه چهارم خواهد آمد</w:t>
      </w:r>
      <w:r>
        <w:rPr>
          <w:rFonts w:eastAsia="IRNazanin" w:cs="IRNazanin"/>
          <w:color w:val="111111"/>
          <w:sz w:val="28"/>
          <w:szCs w:val="28"/>
          <w:rtl w:val="true"/>
          <w:lang w:bidi="fa-IR"/>
        </w:rPr>
        <w:t>.</w:t>
      </w:r>
    </w:p>
    <w:p>
      <w:pPr>
        <w:pStyle w:val="Heading3"/>
        <w:numPr>
          <w:ilvl w:val="2"/>
          <w:numId w:val="1"/>
        </w:numPr>
        <w:rPr/>
      </w:pPr>
      <w:bookmarkStart w:id="71" w:name="__RefHeading___Toc506471_1395250215"/>
      <w:bookmarkStart w:id="72" w:name="_Toc29"/>
      <w:bookmarkEnd w:id="71"/>
      <w:r>
        <w:rPr>
          <w:rtl w:val="true"/>
        </w:rPr>
        <w:t>نظریه چهارم</w:t>
      </w:r>
      <w:r>
        <w:rPr>
          <w:rtl w:val="true"/>
        </w:rPr>
        <w:t xml:space="preserve">: </w:t>
      </w:r>
      <w:r>
        <w:rPr>
          <w:rtl w:val="true"/>
        </w:rPr>
        <w:t>معرفت الله</w:t>
      </w:r>
      <w:bookmarkEnd w:id="72"/>
    </w:p>
    <w:p>
      <w:pPr>
        <w:pStyle w:val="Heading4"/>
        <w:numPr>
          <w:ilvl w:val="3"/>
          <w:numId w:val="1"/>
        </w:numPr>
        <w:rPr/>
      </w:pPr>
      <w:bookmarkStart w:id="73" w:name="__RefHeading___Toc506473_1395250215"/>
      <w:bookmarkStart w:id="74" w:name="_Toc30"/>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 xml:space="preserve">در کتب کلامی این دیدگاه را به ابوالحسن اشعری و معتزله بغداد نسبت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خواجه نصیرالدین،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جوینی،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عبیدلی،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اسدآبادی،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جرجانی،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حمود،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که شناخت خدا نخستین واجب است، چنین گفته شده که وجوب سایر واجبات و حرمت همه محرمات بر پایه اثبات معرفت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الله ثابت شد می توان وجوب سایر افعال و لزوم انجام دادن آنها و همچنین حرمت برخی از افعال و لزوم دوری از آنها را نیز پذیرفت لیکن اگر وجود خداوند ثابت نشود به طور طبیعی سایر فروع اعتقادی و فقهی هم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معناداری مسائل اعتقادی و فقهی در سایه معرفت الله است؛ پس نخستین واجب از میان واجبات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جرجانی،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اسدآبادی،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دلیل لازم است اصل وجوب معرفت الله نیز تبیین شود؛ زیرا بر فرض واجب نبودن معنا ندارد که میان آن و سایر واجبات مقایسه ای صورت گیرد و به همین جهت در ادامه به دلایل وجوب معرفت الله اشاره می شود</w:t>
      </w:r>
      <w:r>
        <w:rPr>
          <w:rFonts w:eastAsia="IRNazanin" w:cs="IRNazanin"/>
          <w:color w:val="111111"/>
          <w:sz w:val="28"/>
          <w:szCs w:val="28"/>
          <w:rtl w:val="true"/>
          <w:lang w:bidi="fa-IR"/>
        </w:rPr>
        <w:t>.</w:t>
      </w:r>
    </w:p>
    <w:p>
      <w:pPr>
        <w:pStyle w:val="Heading4"/>
        <w:numPr>
          <w:ilvl w:val="3"/>
          <w:numId w:val="1"/>
        </w:numPr>
        <w:rPr/>
      </w:pPr>
      <w:bookmarkStart w:id="75" w:name="__RefHeading___Toc506475_1395250215"/>
      <w:bookmarkStart w:id="76" w:name="_Toc31"/>
      <w:bookmarkEnd w:id="75"/>
      <w:r>
        <w:rPr>
          <w:rtl w:val="true"/>
        </w:rPr>
        <w:t>دلایل وجوب معرفت الله</w:t>
      </w:r>
      <w:bookmarkEnd w:id="76"/>
    </w:p>
    <w:p>
      <w:pPr>
        <w:pStyle w:val="Heading5"/>
        <w:numPr>
          <w:ilvl w:val="4"/>
          <w:numId w:val="1"/>
        </w:numPr>
        <w:rPr/>
      </w:pPr>
      <w:bookmarkStart w:id="77" w:name="__RefHeading___Toc506477_1395250215"/>
      <w:bookmarkStart w:id="78" w:name="_Toc32"/>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برای اثبات وجوب شناخت خداوند از دلایل عقلی و نقلی مختلفی استفاده شده که در ادامه به آنها اشاره می شود</w:t>
      </w:r>
      <w:r>
        <w:rPr>
          <w:rFonts w:eastAsia="IRNazanin" w:cs="IRNazanin"/>
          <w:color w:val="111111"/>
          <w:sz w:val="28"/>
          <w:szCs w:val="28"/>
          <w:rtl w:val="true"/>
          <w:lang w:bidi="fa-IR"/>
        </w:rPr>
        <w:t>.</w:t>
      </w:r>
    </w:p>
    <w:p>
      <w:pPr>
        <w:pStyle w:val="Heading5"/>
        <w:numPr>
          <w:ilvl w:val="4"/>
          <w:numId w:val="1"/>
        </w:numPr>
        <w:rPr/>
      </w:pPr>
      <w:bookmarkStart w:id="79" w:name="__RefHeading___Toc506479_1395250215"/>
      <w:bookmarkStart w:id="80" w:name="_Toc33"/>
      <w:bookmarkEnd w:id="79"/>
      <w:r>
        <w:rPr/>
        <w:t>1</w:t>
      </w:r>
      <w:r>
        <w:rPr>
          <w:rtl w:val="true"/>
        </w:rPr>
        <w:t xml:space="preserve"> . </w:t>
      </w:r>
      <w:r>
        <w:rPr>
          <w:rtl w:val="true"/>
        </w:rPr>
        <w:t>وجوب شکر منعم</w:t>
      </w:r>
      <w:bookmarkEnd w:id="80"/>
    </w:p>
    <w:p>
      <w:pPr>
        <w:pStyle w:val="BookText"/>
        <w:rPr/>
      </w:pPr>
      <w:r>
        <w:rPr>
          <w:rFonts w:ascii="IRNazanin" w:hAnsi="IRNazanin" w:eastAsia="IRNazanin"/>
          <w:color w:val="111111"/>
          <w:sz w:val="28"/>
          <w:sz w:val="28"/>
          <w:szCs w:val="28"/>
          <w:rtl w:val="true"/>
          <w:lang w:bidi="fa-IR"/>
        </w:rPr>
        <w:t>به لحاظ وجود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فراوان در اطراف انسان باید به بداهت عقلی، لزوم شکر منعم را پذیرفت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سپاسگذاری از کسی که این همه نعمت را در اختیار انسان قرار داده به طور عقلی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از چنین نعمت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بدون شناخت او ممکن نخواهد بود، پس شناخ منعم و خداوند لازم و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ابوالصلاح حلبی،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سبزواری،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ابن میثم بحرانی،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قزوینی،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bookmarkStart w:id="81" w:name="pg2622_17766"/>
    </w:p>
    <w:p>
      <w:pPr>
        <w:pStyle w:val="Heading5"/>
        <w:numPr>
          <w:ilvl w:val="4"/>
          <w:numId w:val="1"/>
        </w:numPr>
        <w:rPr/>
      </w:pPr>
      <w:bookmarkStart w:id="82" w:name="__RefHeading___Toc506481_1395250215"/>
      <w:bookmarkStart w:id="83" w:name="_Toc34"/>
      <w:bookmarkEnd w:id="81"/>
      <w:bookmarkEnd w:id="82"/>
      <w:r>
        <w:rPr/>
        <w:t>2</w:t>
      </w:r>
      <w:r>
        <w:rPr>
          <w:rtl w:val="true"/>
        </w:rPr>
        <w:t xml:space="preserve"> . </w:t>
      </w:r>
      <w:r>
        <w:rPr>
          <w:rtl w:val="true"/>
        </w:rPr>
        <w:t>دفع ضرر محتمل</w:t>
      </w:r>
      <w:bookmarkEnd w:id="83"/>
    </w:p>
    <w:p>
      <w:pPr>
        <w:pStyle w:val="BookText"/>
        <w:rPr/>
      </w:pPr>
      <w:r>
        <w:rPr>
          <w:rFonts w:ascii="IRNazanin" w:hAnsi="IRNazanin" w:eastAsia="IRNazanin"/>
          <w:color w:val="111111"/>
          <w:sz w:val="28"/>
          <w:sz w:val="28"/>
          <w:szCs w:val="28"/>
          <w:rtl w:val="true"/>
          <w:lang w:bidi="fa-IR"/>
        </w:rPr>
        <w:t>درباره وجود خداوند آراء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یا انکار صانع عالم نتایج بسیار عظیمی در سعادت و شقاوت اینان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عالم صانع داشته باشد و فرد مکلف به انکار او دست بزند گرفتار شقاوت ابدی خواهد شد و ضرر عظیمی متوجه وی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حکم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که به جهت دفع ضرر محتمل باید خداوند را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ابوالصلاح حلبی،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سبزواری،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ابن میثم بحرانی،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قزوینی،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5"/>
        <w:numPr>
          <w:ilvl w:val="4"/>
          <w:numId w:val="1"/>
        </w:numPr>
        <w:rPr/>
      </w:pPr>
      <w:bookmarkStart w:id="84" w:name="__RefHeading___Toc506483_1395250215"/>
      <w:bookmarkStart w:id="85" w:name="_Toc35"/>
      <w:bookmarkEnd w:id="84"/>
      <w:r>
        <w:rPr/>
        <w:t>3</w:t>
      </w:r>
      <w:r>
        <w:rPr>
          <w:rtl w:val="true"/>
        </w:rPr>
        <w:t xml:space="preserve"> . </w:t>
      </w:r>
      <w:r>
        <w:rPr>
          <w:rtl w:val="true"/>
        </w:rPr>
        <w:t>نصوص</w:t>
      </w:r>
      <w:bookmarkEnd w:id="85"/>
    </w:p>
    <w:p>
      <w:pPr>
        <w:pStyle w:val="BookText"/>
        <w:rPr/>
      </w:pPr>
      <w:r>
        <w:rPr>
          <w:rFonts w:ascii="IRNazanin" w:hAnsi="IRNazanin" w:eastAsia="IRNazanin"/>
          <w:color w:val="111111"/>
          <w:sz w:val="28"/>
          <w:sz w:val="28"/>
          <w:szCs w:val="28"/>
          <w:rtl w:val="true"/>
          <w:lang w:bidi="fa-IR"/>
        </w:rPr>
        <w:t>در برخی از نصوص مانند آیه فَاعْلَمْ أَنَّهُ لا إِلهَ إِلَّا اللَّهُ به پیامبر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امر شده که به وجود خداوند علم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مفاد آیه إِنْ کُنْتُمْ تُحِبُّونَ اللَّهَ فَاتَّبِعُونِی یحْبِبْکُمُ اللَّهُ بر امت اسلامی نیز لازم است که از پیامبر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پیروی نموده و در مسأله توحید علم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نیز میان متفکران اسلامی دیدگاه واحدی وجود دارد که میان توحید و سایر اصول عقاید از این جهت هیچ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همه اصول عقاید باید به دنبال علم بود و تقلید نیز از افاده علم قاصر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بیارجمندی خراسانی و آرام حائری،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Heading5"/>
        <w:numPr>
          <w:ilvl w:val="4"/>
          <w:numId w:val="1"/>
        </w:numPr>
        <w:rPr/>
      </w:pPr>
      <w:bookmarkStart w:id="86" w:name="__RefHeading___Toc506485_1395250215"/>
      <w:bookmarkStart w:id="87" w:name="_Toc36"/>
      <w:bookmarkEnd w:id="86"/>
      <w:r>
        <w:rPr/>
        <w:t>4</w:t>
      </w:r>
      <w:r>
        <w:rPr>
          <w:rtl w:val="true"/>
        </w:rPr>
        <w:t xml:space="preserve"> . </w:t>
      </w:r>
      <w:r>
        <w:rPr>
          <w:rtl w:val="true"/>
        </w:rPr>
        <w:t>اجماع</w:t>
      </w:r>
      <w:bookmarkEnd w:id="87"/>
    </w:p>
    <w:p>
      <w:pPr>
        <w:pStyle w:val="BookText"/>
        <w:rPr/>
      </w:pPr>
      <w:r>
        <w:rPr>
          <w:rFonts w:ascii="IRNazanin" w:hAnsi="IRNazanin" w:eastAsia="IRNazanin"/>
          <w:color w:val="111111"/>
          <w:sz w:val="28"/>
          <w:sz w:val="28"/>
          <w:szCs w:val="28"/>
          <w:rtl w:val="true"/>
          <w:lang w:bidi="fa-IR"/>
        </w:rPr>
        <w:t xml:space="preserve">بررسی آراء و افکار اندیشمندان اسلامی دلالت بر وجوب معرفت الله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جوینی،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88" w:name="__RefHeading___Toc506487_1395250215"/>
      <w:bookmarkStart w:id="89" w:name="_Toc37"/>
      <w:bookmarkEnd w:id="88"/>
      <w:r>
        <w:rPr>
          <w:rtl w:val="true"/>
        </w:rPr>
        <w:t>نقد و برسی</w:t>
      </w:r>
      <w:bookmarkEnd w:id="8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 در نخستین واجب است و هنوز قرآن و احادیث اثبات نشده، استدلال به نقل و اجماع در این بحث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عقلی نیز شکر منعم و دفع ضرر محتمل را واجب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شناخت خدا مقدمه این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نخست شکر منعم و دفع ضرر محتمل است و شناخت خدا مقدمه آن و نظر و استدلال مقدمه شناخت خدا و اراده و قصد مقدمه نظر و استدلال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بگوییم عقل از طریق این دو درصدد اثبات وجوب شناخت خدا است و مقصود اصلی، شناخت خدا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گذشته از این که اگر به معرفت فطری معتقد باشیم، نخستین واجب اصلی اعتقادی، اعتقاد و ایمان به خدا خواهد بود</w:t>
      </w:r>
      <w:r>
        <w:rPr>
          <w:rFonts w:eastAsia="IRNazanin" w:cs="IRNazanin"/>
          <w:color w:val="111111"/>
          <w:sz w:val="28"/>
          <w:szCs w:val="28"/>
          <w:rtl w:val="true"/>
          <w:lang w:bidi="fa-IR"/>
        </w:rPr>
        <w:t>.</w:t>
      </w:r>
      <w:bookmarkStart w:id="90" w:name="pg2622_17767"/>
    </w:p>
    <w:p>
      <w:pPr>
        <w:pStyle w:val="Heading3"/>
        <w:numPr>
          <w:ilvl w:val="2"/>
          <w:numId w:val="1"/>
        </w:numPr>
        <w:rPr/>
      </w:pPr>
      <w:bookmarkStart w:id="91" w:name="__RefHeading___Toc506489_1395250215"/>
      <w:bookmarkStart w:id="92" w:name="_Toc38"/>
      <w:bookmarkEnd w:id="90"/>
      <w:bookmarkEnd w:id="91"/>
      <w:r>
        <w:rPr>
          <w:rtl w:val="true"/>
        </w:rPr>
        <w:t>نظریه پنجم</w:t>
      </w:r>
      <w:r>
        <w:rPr>
          <w:rtl w:val="true"/>
        </w:rPr>
        <w:t xml:space="preserve">: </w:t>
      </w:r>
      <w:r>
        <w:rPr>
          <w:rtl w:val="true"/>
        </w:rPr>
        <w:t>تفصیل</w:t>
      </w:r>
      <w:bookmarkEnd w:id="92"/>
    </w:p>
    <w:p>
      <w:pPr>
        <w:pStyle w:val="BookText"/>
        <w:rPr/>
      </w:pPr>
      <w:r>
        <w:rPr>
          <w:rFonts w:ascii="IRNazanin" w:hAnsi="IRNazanin" w:eastAsia="IRNazanin"/>
          <w:color w:val="111111"/>
          <w:sz w:val="28"/>
          <w:sz w:val="28"/>
          <w:szCs w:val="28"/>
          <w:rtl w:val="true"/>
          <w:lang w:bidi="fa-IR"/>
        </w:rPr>
        <w:t xml:space="preserve">برخی از متکلمان معتقد به تفصیل هستند و برآنند که اگر مقصود از نخستین واجب، مقصود بالاصاله و مقصود بالذات از واجب باشد در این صورت معرفت الله نخستین واجب اعتقادی است و اگر مقصود از نخستین، اولی به هر جهت باشد نه اولی به حسب مقصود بالاصاله در این صورت نظر و یا قصد، نخستین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اسدآبادی،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جرجانی،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حمود،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ابن خلدون،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 نیز مشابه این دیدگاه را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وی معتقد است اگر مقصود از نخستین واجب، مقصود بالاصاله باشد و معرفت الله را فعل اختیاری بدانیم، در این صورت بی شک معرفت الله نخستین واجب است و اگر معرفت الله اختیاری نباشد باید به نخستین واجب بودن نظر و استدلال اذعان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مقصود از نخستین، اولی به هر جهت باشد در این صورت قصد نخستین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نصیرالدین،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بیجوری نیز معتقد است که اگر مراد از نخستین واجب، نخستین واجب به حسب مقصود باشد در این صورت، معرفت الله نخستین واجب است ولی اگر مراد از اولی، توجه به نخستین وسیله باشد در این صورت نظر و استدلال، نخستین واجب است و اگر توجه به راه و وسیله بعید باشد باید به نخستین واجب بودن قصد، اذعان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بیجوری،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شیرازی،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سیدعمید الدین عبیدلی در اعتراض به این دیدگاه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معرفت الله از باب شکر منعم و دفع ضرر محتمل واجب باشد در این صورت نمی توان معرفت الله را نخستین واجب به حسب مقصود اولاً و بالذات دانست؛ زیرا مقصود بالاصاله و مراد بالذات همان شکر منعم یا دفع ضرر محتمل است پس باید همان را به عنوان نخستین واجب معرفی نمود؛ نه معرفت 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93" w:name="__RefHeading___Toc506491_1395250215"/>
      <w:bookmarkStart w:id="94" w:name="_Toc39"/>
      <w:bookmarkEnd w:id="93"/>
      <w:r>
        <w:rPr>
          <w:rtl w:val="true"/>
        </w:rPr>
        <w:t>نظریه مختار</w:t>
      </w:r>
      <w:bookmarkEnd w:id="9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نقد چهار نظریه نخست گذشت و نیز نظریه پنجم که از دیگر نظریه ها به واقع نزدیک تر است، روشن می شود که در این بحث دو پیش فرض وجود دارد؛ یکی این که انسان حامل معرفت فطری و قلبی از خدا است و دیگر این که انسان در هنگام تولد همچون لوح سفید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پیش فرض اول، نخستین واجب اصلی اعتقادی اعتقاد و ایمان به خدا خواهد بود و نخستین واجب مقدماتی اراده ایمان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اساس پیش فرض دوم، اگر مقصود از نخستین واجب، نخستین به حسب مقصود اصلی و نخستین واجب اصلی باشد در این</w:t>
      </w:r>
      <w:bookmarkStart w:id="95" w:name="pg2622_17768"/>
    </w:p>
    <w:p>
      <w:pPr>
        <w:pStyle w:val="BookText"/>
        <w:rPr/>
      </w:pPr>
      <w:bookmarkEnd w:id="95"/>
      <w:r>
        <w:rPr>
          <w:rFonts w:ascii="IRNazanin" w:hAnsi="IRNazanin" w:eastAsia="IRNazanin"/>
          <w:color w:val="111111"/>
          <w:sz w:val="28"/>
          <w:sz w:val="28"/>
          <w:szCs w:val="28"/>
          <w:rtl w:val="true"/>
          <w:lang w:bidi="fa-IR"/>
        </w:rPr>
        <w:t>صورت معرفت الله نخستین واجب است و اگر مقصود از آن، نخستین به حسب اولین فعل صادر از مکلف است در این صورت باید قصد و اراده را نخستین واجب تلقی نمود؛ زیرا شک دستوری نیز از جمله افعال اختیاری است و خود مسبوق به اراده و اختیار است</w:t>
      </w:r>
      <w:r>
        <w:rPr>
          <w:rFonts w:eastAsia="IRNazanin" w:cs="IRNazanin"/>
          <w:color w:val="111111"/>
          <w:sz w:val="28"/>
          <w:szCs w:val="28"/>
          <w:rtl w:val="true"/>
          <w:lang w:bidi="fa-IR"/>
        </w:rPr>
        <w:t>.</w:t>
      </w:r>
    </w:p>
    <w:p>
      <w:pPr>
        <w:pStyle w:val="Heading3"/>
        <w:numPr>
          <w:ilvl w:val="2"/>
          <w:numId w:val="1"/>
        </w:numPr>
        <w:rPr/>
      </w:pPr>
      <w:bookmarkStart w:id="96" w:name="__RefHeading___Toc506493_1395250215"/>
      <w:bookmarkStart w:id="97" w:name="_Toc40"/>
      <w:bookmarkEnd w:id="96"/>
      <w:r>
        <w:rPr>
          <w:rtl w:val="true"/>
        </w:rPr>
        <w:t>منابع</w:t>
      </w:r>
      <w:bookmarkEnd w:id="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آمـدی، سیف الدین،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أبکار الأفکار فی أصول الدین، احمد محمدمهدی، قاهره، دارالکتب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خلدون، عبدالرحمن،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لباب المحصل فی أصول الدین، احمد فرید مزیدی،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میثم بحرانی، کمال الدین،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 المرام فی علم الکلام، سیداحمد حسینی، قم، مکتبة آیة الله المرعشی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ابوالصلاح حلبی، تقی بن نجم،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تقریب المعارف، قم، انتشارات 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اسدآبادی، سیدجمال الدین،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التعلیقات علی شرح العقائد العضدیة، سیدهادی خسرو شاهی و دکتر عماره، 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ابوالحسن،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الإسلامیین و اختلاف المصلین، آلمان، فرانس شتاینر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اراده در مبادی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حوزه و دانشگاه، شماره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عبدالقاهر،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أصول الإیمان، ابراهیم محمد رمضان، بیروت، دار و مکتبة الهلال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بیارجمندی خراسانی، یوسف و آرام حائری، شیخ محمد یوسف،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مدارک العروة، نجف، مطبعة النعمان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بیجوری، ابراهیم،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حاشیه الامام البیجوری علی جوهره التوحید، تحفه المرید علی جوهره التوحید، محمد الشافعی، قاهره، دار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سعدالدین،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المقاصد، عبدالرحمن عمیره، قم،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جرجانی، میرسیدشریف،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المواقف، بدرالدین نعسانی، افست قم،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جوینی، عبدالملک،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الشامل فی أصول الدین، بیروت، دارالکتب العلمیة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حمصی رازی، سدیدالدین،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المنقذ من التقلید، قم،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حمود، محمد جمیل،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الفوائد البهیة فی شرح عقائد الإمامیة، بیروت، مؤسسة الأعلمی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دکارت، رنه،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تاملات در فلسفه اولی، احمد احمدی، تهران، مرکز نشر دانشگاهی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قطب الدین،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الخلاصة فی علم الکلام، رسول جعفریان، قم، کتابخانه آیت 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سیدابوالقاسم علی،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 العلم و العمل، نجف اشرف، مطبعة الآداب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الشریف المرتضی، سیدمهدی رجائی، دارالقرآن الکریم،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الذخیرة فی علم الکلام، سیداحمد حسینی، قم،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محمد بن بابویه،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قم، 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شیرازی، ابواسحاق،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الإشارة إلی مذهب أهل الحق، محمدحسن اسماعیل،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خواجه نصیرالدین،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تلخیص المحصل المعروف بنقد المحصل، بیروت، دار 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عبیدلی، سیدعمیدالدین،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إشراق اللاهوت فی نقد شرح الیاقوت، علی اکبر ضیایی، تهران، میراث مکتوب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حسین بن یوسف،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أنوار الملکوت فی شرح الیاقوت، محمد نجمیزنجانی، قم،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معارج الفهم فی شرح النظم، قم، دلیل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المسلک فی أصول الدین و الرسالة الماتعیة، رضا استادی، مشهد، مجمع البحوث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مناهج الیقین فی أصول الدین، تهران، دارالأسوة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تسلیک النفس الی حظیرة القدس، فاطمه رمضانی، قم، مؤسسة امام صادق</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مرآة العقول فی شرح أخبار آل الرسول، سیدهاشم رسولی، تهران، دارالکتب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ابوعبدالله مقداد،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إرشاد الطالبین إلی نهج المسترشدین، سیدمهدی رجائی، قم، انتشارات کتابخانه آیت الله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اللوامع الإلهیة فی المباحث الکلامیة، شهید قاضی طباطبائی، قم،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ابن احمد،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الأصول الخمسة، احمد بن حسین ابی هاشم،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سیدامیرمحمد،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الآلوسی و التشیع، قم، مرکز الغدیر للدراسات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 الغطاء، علی،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النور الساطع فی الفقه النافع، النجف الاشرف، منشورات موسسة کاشف الغطاء العامه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بن اسحاق،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علی اکبر غفاری و محمد آخوندی، تهران، دارالکتب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مؤیدی، ابراهیم بن محمد بن احمد،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الإصباح علی المصباح فی معرفة الملک الفتاح، عبدالرحمن شایم، صنعاء، مؤسسة الإمام زیدبن علی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ملاصالح مازندرانی، محمد،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أصول الکافی، علامه شعرانی و علی اکبر غفاری، تهران، دارالکتب الإسلامیة</w:t>
      </w:r>
      <w:r>
        <w:rPr>
          <w:rFonts w:eastAsia="IRNazanin" w:cs="IRNazanin"/>
          <w:color w:val="111111"/>
          <w:sz w:val="28"/>
          <w:szCs w:val="28"/>
          <w:rtl w:val="true"/>
          <w:lang w:bidi="fa-IR"/>
        </w:rPr>
        <w:t>.</w:t>
      </w:r>
      <w:bookmarkStart w:id="98" w:name="pg2622_17771"/>
    </w:p>
    <w:p>
      <w:pPr>
        <w:pStyle w:val="Heading2"/>
        <w:numPr>
          <w:ilvl w:val="1"/>
          <w:numId w:val="1"/>
        </w:numPr>
        <w:rPr/>
      </w:pPr>
      <w:bookmarkStart w:id="99" w:name="__RefHeading___Toc506495_1395250215"/>
      <w:bookmarkStart w:id="100" w:name="_Toc41"/>
      <w:bookmarkEnd w:id="98"/>
      <w:bookmarkEnd w:id="99"/>
      <w:r>
        <w:rPr>
          <w:rtl w:val="true"/>
        </w:rPr>
        <w:t>گستره معنایی حکمت الهی در کلام امامیه</w:t>
      </w:r>
      <w:r>
        <w:rPr>
          <w:rtl w:val="true"/>
        </w:rPr>
        <w:t xml:space="preserve">/ </w:t>
      </w:r>
      <w:r>
        <w:rPr>
          <w:rtl w:val="true"/>
        </w:rPr>
        <w:t>سیدمحمود موسوی، محمد رنجبرحسینی</w:t>
      </w:r>
      <w:bookmarkEnd w:id="100"/>
    </w:p>
    <w:p>
      <w:pPr>
        <w:pStyle w:val="Heading3"/>
        <w:numPr>
          <w:ilvl w:val="2"/>
          <w:numId w:val="1"/>
        </w:numPr>
        <w:rPr/>
      </w:pPr>
      <w:bookmarkStart w:id="101" w:name="__RefHeading___Toc506497_1395250215"/>
      <w:bookmarkStart w:id="102" w:name="_Toc42"/>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سید محمود موسوی</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محمد رنجبر حسینی</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تاریخ دریافت </w:t>
      </w:r>
      <w:r>
        <w:rPr>
          <w:rFonts w:eastAsia="IRNazanin" w:cs="IRNazanin"/>
          <w:color w:val="111111"/>
          <w:sz w:val="28"/>
          <w:szCs w:val="28"/>
          <w:rtl w:val="true"/>
          <w:lang w:bidi="fa-IR"/>
        </w:rPr>
        <w:t>:</w:t>
      </w:r>
      <w:r>
        <w:rPr>
          <w:rFonts w:eastAsia="IRNazanin" w:cs="IRNazanin"/>
          <w:color w:val="111111"/>
          <w:sz w:val="28"/>
          <w:szCs w:val="28"/>
          <w:lang w:bidi="fa-IR"/>
        </w:rPr>
        <w:t>1392/06/03</w:t>
      </w:r>
    </w:p>
    <w:p>
      <w:pPr>
        <w:pStyle w:val="BookText"/>
        <w:rPr/>
      </w:pPr>
      <w:r>
        <w:rPr>
          <w:rFonts w:ascii="IRNazanin" w:hAnsi="IRNazanin" w:eastAsia="IRNazanin"/>
          <w:color w:val="111111"/>
          <w:sz w:val="28"/>
          <w:sz w:val="28"/>
          <w:szCs w:val="28"/>
          <w:rtl w:val="true"/>
          <w:lang w:bidi="fa-IR"/>
        </w:rPr>
        <w:t xml:space="preserve">تاریخ تایید </w:t>
      </w:r>
      <w:r>
        <w:rPr>
          <w:rFonts w:eastAsia="IRNazanin" w:cs="IRNazanin"/>
          <w:color w:val="111111"/>
          <w:sz w:val="28"/>
          <w:szCs w:val="28"/>
          <w:rtl w:val="true"/>
          <w:lang w:bidi="fa-IR"/>
        </w:rPr>
        <w:t>:</w:t>
      </w:r>
      <w:r>
        <w:rPr>
          <w:rFonts w:eastAsia="IRNazanin" w:cs="IRNazanin"/>
          <w:color w:val="111111"/>
          <w:sz w:val="28"/>
          <w:szCs w:val="28"/>
          <w:lang w:bidi="fa-IR"/>
        </w:rPr>
        <w:t>1392/06/20</w:t>
      </w:r>
    </w:p>
    <w:p>
      <w:pPr>
        <w:pStyle w:val="Heading3"/>
        <w:numPr>
          <w:ilvl w:val="2"/>
          <w:numId w:val="1"/>
        </w:numPr>
        <w:rPr/>
      </w:pPr>
      <w:bookmarkStart w:id="103" w:name="__RefHeading___Toc506499_1395250215"/>
      <w:bookmarkStart w:id="104" w:name="_Toc43"/>
      <w:bookmarkEnd w:id="103"/>
      <w:r>
        <w:rPr>
          <w:rtl w:val="true"/>
        </w:rPr>
        <w:t>چکیده</w:t>
      </w:r>
      <w:bookmarkEnd w:id="104"/>
    </w:p>
    <w:p>
      <w:pPr>
        <w:pStyle w:val="BookText"/>
        <w:rPr/>
      </w:pPr>
      <w:r>
        <w:rPr>
          <w:rFonts w:ascii="IRNazanin" w:hAnsi="IRNazanin" w:eastAsia="IRNazanin"/>
          <w:color w:val="111111"/>
          <w:sz w:val="28"/>
          <w:sz w:val="28"/>
          <w:szCs w:val="28"/>
          <w:rtl w:val="true"/>
          <w:lang w:bidi="fa-IR"/>
        </w:rPr>
        <w:t>حکمت الهی و حکیم بودن خداوند یکی از مبانی فکری متکلمان امامیه و راهگشای مباحث مهم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ردپای انگاره حکیم بودن خداوند را می توان در مباحثی چون قاعده حسن و قبح عقلی، قاعده لطف، ضرورت بعثت انبیا و نصب امام، هدفمندی افعال الهی، آلام، اعواض، انتصاف وسایر مباحث کلامی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متکلمان امامیه گاهی از حکیم بودن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او از هرگونه فعل قبیح و اخلال در امر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نموده‌اند که این مهمترین لایه معنایی از حکمت الهی است و با مفهوم عدل الهی یکسان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سعی شده با رویکردی کارکرد گرایانه به مفهوم شناسی حکمت الهی در اندیشه متکلمان امامیه پرداخته که تا حدودی به دلیل این یکسان انگاری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انگاره هر نوع امر و فعل قبیح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بودن، عبث بودن، کذب، نقض غرض و امور دیگر از خداوند حکیم سلب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متکلمان امامیه با توجه به ریشه لغوی این واژه از حکمت الهی، اتقان صنع و فعل الهی را اراده نموده و در مواردی نیز به معنای معرفت افضل و حقیقی به همه اشیا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اندیشه‌های متکلمان امامیه مشخص می شود که حکمت الهی نسبت به معنایی که از آن اراده می شود می تواند از صفات ذاتی یا فعلی خداوند باشد</w:t>
      </w:r>
      <w:r>
        <w:rPr>
          <w:rFonts w:eastAsia="IRNazanin" w:cs="IRNazanin"/>
          <w:color w:val="111111"/>
          <w:sz w:val="28"/>
          <w:szCs w:val="28"/>
          <w:rtl w:val="true"/>
          <w:lang w:bidi="fa-IR"/>
        </w:rPr>
        <w:t>.</w:t>
      </w:r>
    </w:p>
    <w:p>
      <w:pPr>
        <w:pStyle w:val="Heading3"/>
        <w:numPr>
          <w:ilvl w:val="2"/>
          <w:numId w:val="1"/>
        </w:numPr>
        <w:rPr/>
      </w:pPr>
      <w:bookmarkStart w:id="105" w:name="__RefHeading___Toc506501_1395250215"/>
      <w:bookmarkStart w:id="106" w:name="_Toc44"/>
      <w:bookmarkEnd w:id="105"/>
      <w:r>
        <w:rPr>
          <w:rtl w:val="true"/>
        </w:rPr>
        <w:t>واژگان کلیدی</w:t>
      </w:r>
      <w:bookmarkEnd w:id="10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امامیه، حکمت، حکیم، عدل</w:t>
      </w:r>
      <w:r>
        <w:rPr>
          <w:rFonts w:eastAsia="IRNazanin" w:cs="IRNazanin"/>
          <w:color w:val="111111"/>
          <w:sz w:val="28"/>
          <w:szCs w:val="28"/>
          <w:rtl w:val="true"/>
          <w:lang w:bidi="fa-IR"/>
        </w:rPr>
        <w:t>.</w:t>
      </w:r>
      <w:bookmarkStart w:id="107" w:name="pg2622_17772"/>
    </w:p>
    <w:p>
      <w:pPr>
        <w:pStyle w:val="Heading3"/>
        <w:numPr>
          <w:ilvl w:val="2"/>
          <w:numId w:val="1"/>
        </w:numPr>
        <w:rPr/>
      </w:pPr>
      <w:bookmarkStart w:id="108" w:name="__RefHeading___Toc506503_1395250215"/>
      <w:bookmarkStart w:id="109" w:name="_Toc45"/>
      <w:bookmarkEnd w:id="107"/>
      <w:bookmarkEnd w:id="108"/>
      <w:r>
        <w:rPr>
          <w:rtl w:val="true"/>
        </w:rPr>
        <w:t>درآمد</w:t>
      </w:r>
      <w:bookmarkEnd w:id="109"/>
    </w:p>
    <w:p>
      <w:pPr>
        <w:pStyle w:val="BookText"/>
        <w:rPr/>
      </w:pPr>
      <w:r>
        <w:rPr>
          <w:rFonts w:ascii="IRNazanin" w:hAnsi="IRNazanin" w:eastAsia="IRNazanin"/>
          <w:color w:val="111111"/>
          <w:sz w:val="28"/>
          <w:sz w:val="28"/>
          <w:szCs w:val="28"/>
          <w:rtl w:val="true"/>
          <w:lang w:bidi="fa-IR"/>
        </w:rPr>
        <w:t xml:space="preserve">آموزه حکیم بودن خداوند تنها به حوزه علم کلام خلاصه نمی‌شود، بلکه حوزه سایر علوم مانند فلسفه، اصول فقه، علوم قرآنی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نور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قرآن بیش از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خود را حکیم توصیف نموده و در آیاتی نیز واژه حکیم با علیم همراه شده است إِنَّ اللّهَ کَانَ عَلِیما حَکِیمًا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همراهی دلیلی بر آن است که حکیم به معنای علیم و حکمت به معنای دانش نیست و مقصود، معنای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این دغدغه ذهنی وجود داشته که متکلمان امامیه در نهایت چه برداشت معنای از حکمت الهی و حکیم بودن او داشته‌اند و با آن گره‌های مباحث کلامی و اعتقادی را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مهم در گرو بررسی معانی لغوی واژه حکمت است؛ بنابراین ابتدا به این امر می‌پردازیم و سپس به مفهوم شناسی حکمت الهی از دیدگاه متکلمان امامیه خواهیم پرداخت</w:t>
      </w:r>
      <w:r>
        <w:rPr>
          <w:rFonts w:eastAsia="IRNazanin" w:cs="IRNazanin"/>
          <w:color w:val="111111"/>
          <w:sz w:val="28"/>
          <w:szCs w:val="28"/>
          <w:rtl w:val="true"/>
          <w:lang w:bidi="fa-IR"/>
        </w:rPr>
        <w:t>.</w:t>
      </w:r>
    </w:p>
    <w:p>
      <w:pPr>
        <w:pStyle w:val="Heading3"/>
        <w:numPr>
          <w:ilvl w:val="2"/>
          <w:numId w:val="1"/>
        </w:numPr>
        <w:rPr/>
      </w:pPr>
      <w:bookmarkStart w:id="110" w:name="__RefHeading___Toc506505_1395250215"/>
      <w:bookmarkStart w:id="111" w:name="_Toc46"/>
      <w:bookmarkEnd w:id="110"/>
      <w:r>
        <w:rPr>
          <w:rtl w:val="true"/>
        </w:rPr>
        <w:t>حکمت</w:t>
      </w:r>
      <w:bookmarkEnd w:id="111"/>
    </w:p>
    <w:p>
      <w:pPr>
        <w:pStyle w:val="Heading4"/>
        <w:numPr>
          <w:ilvl w:val="3"/>
          <w:numId w:val="1"/>
        </w:numPr>
        <w:rPr/>
      </w:pPr>
      <w:bookmarkStart w:id="112" w:name="__RefHeading___Toc506507_1395250215"/>
      <w:bookmarkStart w:id="113" w:name="_Toc47"/>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واژه حکمت مصدر نوعی از فعل ثلاثی حَکَمَ، یَحْکُمُ است و مصدر اصلی آن ماده حُکْم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شناسان حُکم را به معنای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ابن 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جوهری،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عـلم و فـقه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ابـن مـنظور،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عـدل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فـراهیدی، همان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واژه حکمت به لحاظ صرفی، مصدر نوعی است، دلالت بر نوع خاصی از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لغویون حکمت را حکمی می دانند که صاحب آن را از اخلاق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فیومی،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 همان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 همان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گروهی از لغت شناسان، حکمت را به معرفت افضل اشیا به واسطه افضل علوم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حکیم که بر وزن فعیل است از مشتقات حُکم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فاعل می باشد که مراد از آن حاکم،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حکیم به معنای مُفعِل، یعنی کسی که کارها را مُحکم و متقن انجام می‌دهد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 همان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صاحب حکمت نیز حکیم اطلاق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حکیم به معنای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و آن وصف قرآن کریم می‌باشد وَالْقُرْآنِ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کتاب مُحکم و متقنی که در آن اختلاف و اضطرابی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bookmarkStart w:id="114" w:name="pg2622_17773"/>
    </w:p>
    <w:p>
      <w:pPr>
        <w:pStyle w:val="BookText"/>
        <w:rPr/>
      </w:pPr>
      <w:bookmarkEnd w:id="114"/>
      <w:r>
        <w:rPr>
          <w:rFonts w:ascii="IRNazanin" w:hAnsi="IRNazanin" w:eastAsia="IRNazanin"/>
          <w:color w:val="111111"/>
          <w:sz w:val="28"/>
          <w:sz w:val="28"/>
          <w:szCs w:val="28"/>
          <w:rtl w:val="true"/>
          <w:lang w:bidi="fa-IR"/>
        </w:rPr>
        <w:t>به نظر می‌رسد متکلمان امامیه حکمت به معنای اتقان و استحکام را پیش‌فرض ذهنی خود قرار داده‌اند که در پایان مقاله به آن خواهیم پرداخت</w:t>
      </w:r>
      <w:r>
        <w:rPr>
          <w:rFonts w:eastAsia="IRNazanin" w:cs="IRNazanin"/>
          <w:color w:val="111111"/>
          <w:sz w:val="28"/>
          <w:szCs w:val="28"/>
          <w:rtl w:val="true"/>
          <w:lang w:bidi="fa-IR"/>
        </w:rPr>
        <w:t>.</w:t>
      </w:r>
    </w:p>
    <w:p>
      <w:pPr>
        <w:pStyle w:val="Heading4"/>
        <w:numPr>
          <w:ilvl w:val="3"/>
          <w:numId w:val="1"/>
        </w:numPr>
        <w:rPr/>
      </w:pPr>
      <w:bookmarkStart w:id="115" w:name="__RefHeading___Toc506509_1395250215"/>
      <w:bookmarkStart w:id="116" w:name="_Toc48"/>
      <w:bookmarkEnd w:id="115"/>
      <w:r>
        <w:rPr>
          <w:rtl w:val="true"/>
        </w:rPr>
        <w:t>الف</w:t>
      </w:r>
      <w:r>
        <w:rPr>
          <w:rtl w:val="true"/>
        </w:rPr>
        <w:t xml:space="preserve">. </w:t>
      </w:r>
      <w:r>
        <w:rPr>
          <w:rtl w:val="true"/>
        </w:rPr>
        <w:t>حکمت به معنای اجتناب از از فعل قبیح و اخلال در امر واجب</w:t>
      </w:r>
      <w:bookmarkEnd w:id="116"/>
    </w:p>
    <w:p>
      <w:pPr>
        <w:pStyle w:val="Heading5"/>
        <w:numPr>
          <w:ilvl w:val="4"/>
          <w:numId w:val="1"/>
        </w:numPr>
        <w:rPr/>
      </w:pPr>
      <w:bookmarkStart w:id="117" w:name="__RefHeading___Toc506511_1395250215"/>
      <w:bookmarkStart w:id="118" w:name="_Toc49"/>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یکی از لایه‌های معنایی حکمت الهی در اندیشه متکلمان امامیه، اجتناب فاعل حکیم از انجام فعل قبیح و اخلال در امر واجب است و در تعابیر آنها معنای حکمت با عدل به طور یکسان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بارزترین مبحثی که این نوع برداشت، خود را نمایان کرده، در جاری کردن مفاد قاعده حسن و قبح عقلی در مورد افعال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حسن و قبح عقلی که یکی از مباحث مهم در باب افعال الهی می باشد، محوری است که بر اساس آن ثابت می‌شود افعال الهی در مقام تکوین و تشریع، مبتنی بر عدل و حکمت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آدمی به عنوان حجت باطنی در کنار پیامبران که حجت ظاهری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حسن افعال الهی است؛ نه حاکم بر آن، تا لازمه آن نارسایی، محدود بودن و حاکمیت انسانی بر خداوند باری تعالی شود؛ آن هم در بعضی از افعال الهی؛ نه در تمام آن، تا مقوله برانگیختن پیامبران و نازل شدن کتاب‌های آسمانی با چالش روبه‌رو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مبنای قاعده مزبور، در افعال الهی دو مقام مورد بحث است؛ یکی مقام ثبوت و واقع و دیگری 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ثبوت، عقل تمامی افعال الهی را حَسن و دارای حکمت و هدف می‌داند؛ زیرا از فاعل حکیم و علیم چیزی جز این انتظار نمی‌رود و متون دینی نیز این را تأکید می‌نمایند؛ الَّذِی أَحْسَنَ کُلَّ شَیءٍ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اثبات که مقام درک نیکو بودن افعال خداوند است،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تنها کاشف وجه نیکو بودن پاره‌ای از افعال الهی است و می‌تواند با توجه به ملاک مدح و ذم، مفاد این قاعده را در مورد برخی افعال الهی جاری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از قاعده حسن و قبح عقلی مورد اتفاق اکثر متکلمان امامیه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نصیر الدین،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حمصی،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ابن میثم بحرانی،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خواجه نصیرالدین،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لاهیجی،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سبحانی،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سایر فرق کلامی، معتزله نیز قاعده مذکور را می‌پذیرند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 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اشاعره قائل به حسن و قبح شرعی هستند و مفاد عقلی آن را نمی‌پذیرند و معتقدند که عقل آدمی نمی‌تواند در درک حسن و قبح افعال الهی کاشف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جرجانی،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bookmarkStart w:id="119" w:name="pg2622_17774"/>
    </w:p>
    <w:p>
      <w:pPr>
        <w:pStyle w:val="BookText"/>
        <w:rPr/>
      </w:pPr>
      <w:bookmarkEnd w:id="119"/>
      <w:r>
        <w:rPr>
          <w:rFonts w:ascii="IRNazanin" w:hAnsi="IRNazanin" w:eastAsia="IRNazanin"/>
          <w:color w:val="111111"/>
          <w:sz w:val="28"/>
          <w:sz w:val="28"/>
          <w:szCs w:val="28"/>
          <w:rtl w:val="true"/>
          <w:lang w:bidi="fa-IR"/>
        </w:rPr>
        <w:t>یکی از مهمترین مباحث افعال الهی اثبات عادل بودن خداوند و نفی ظلم از ساحت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امامیه با توجه به پذیرش قاعده حسن و قبح عقلی صفت عدل را برای خداوند اثبات کرده و هر گونه فعلی که لازمه‌اش ظلم از سوی خداوند نسبت به بندگان باشد را نفی می‌کنند؛ به طور مثال شیخ مفید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حکیم کسی است که فعل قبیح را انجام نمی‌دهد و اخلال به واجب نمی‌کند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سدید الدین حمصی نیز چنین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در عدل، کلام در افعال الهی است؛ یعنی همه افعال الهی نیک هستند و چون ذات خداوند، حکیم است، از قبایح و اخلال در واجب منزه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حمصی،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طوسی هم عدل حکیم را کسی می‌داند که فعل قبیح را انجام نمی‌دهد و در امر واجب کوتاهی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متکلمان دیگر امامیه نیز تعابیری از معنای حکمت الهی و مساوی قرار دادن آن با عدل ارائه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میثم بحرانی،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حلی،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شهید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سبحانی،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اندیشه بعضی از معتزله، برداشتی از حکیم بودن خداوند به چشم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شهرستانی،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روشن‌تر شدن این برداشت از حکمت الهی مصادیق فعل قبیح را که متکلمان با توجه به حکیم بودن خداوند از او سلب نموده‌اند برمی‌شمریم؛</w:t>
      </w:r>
    </w:p>
    <w:p>
      <w:pPr>
        <w:pStyle w:val="Heading5"/>
        <w:numPr>
          <w:ilvl w:val="4"/>
          <w:numId w:val="1"/>
        </w:numPr>
        <w:rPr/>
      </w:pPr>
      <w:bookmarkStart w:id="120" w:name="__RefHeading___Toc506513_1395250215"/>
      <w:bookmarkStart w:id="121" w:name="_Toc50"/>
      <w:bookmarkEnd w:id="120"/>
      <w:r>
        <w:rPr>
          <w:rtl w:val="true"/>
        </w:rPr>
        <w:t>ظلم</w:t>
      </w:r>
      <w:bookmarkEnd w:id="121"/>
    </w:p>
    <w:p>
      <w:pPr>
        <w:pStyle w:val="BookText"/>
        <w:rPr/>
      </w:pPr>
      <w:r>
        <w:rPr>
          <w:rFonts w:ascii="IRNazanin" w:hAnsi="IRNazanin" w:eastAsia="IRNazanin"/>
          <w:color w:val="111111"/>
          <w:sz w:val="28"/>
          <w:sz w:val="28"/>
          <w:szCs w:val="28"/>
          <w:rtl w:val="true"/>
          <w:lang w:bidi="fa-IR"/>
        </w:rPr>
        <w:t xml:space="preserve">بارزترین مصداق فعل قبیح ظلم است که از ساحت افعال خداوند نفی می‌شود و آیات قرآن نیز بر ظالم نبودن خداوند تأکید کرده‌اند؛ أَنَّ اللّهَ لَیسَ بِظَلاَّمٍ لِّلْعَبِیدِ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 این آموزه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أن لا تتوهمّه و العدلُ أنْ لا تتهمّه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حدیث دیگری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بیان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العَدل فَأنْ لا تَنسِبَ الی خالِقکَ مالامک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امامیه نیز با الهام از این نوع متون دینی، ساحت خداوند حکیم را از هرگونه ظلم و جوری پیراسته دانسته‌اند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مثال اکثر متکلمان امامیه در بحث آلام غیر استحقاقی قائل به وجوب عوض از سوی خداوند شده اند؛ به طوری که عقل آدمی کشف می‌کند همه آلام و شروری که توسط انسان‌های</w:t>
      </w:r>
      <w:bookmarkStart w:id="122" w:name="pg2622_17775"/>
    </w:p>
    <w:p>
      <w:pPr>
        <w:pStyle w:val="BookText"/>
        <w:rPr/>
      </w:pPr>
      <w:bookmarkEnd w:id="122"/>
      <w:r>
        <w:rPr>
          <w:rFonts w:ascii="IRNazanin" w:hAnsi="IRNazanin" w:eastAsia="IRNazanin"/>
          <w:color w:val="111111"/>
          <w:sz w:val="28"/>
          <w:sz w:val="28"/>
          <w:szCs w:val="28"/>
          <w:rtl w:val="true"/>
          <w:lang w:bidi="fa-IR"/>
        </w:rPr>
        <w:t xml:space="preserve">دیگر یا بلایای طبیعی به انسان می‌رسد، تحت اراده تکوینی خداوند صورت می‌پذیرد و برای این که عدالت و در نتیجه حکمت الهی زیر سؤال نرود، عوض و جبرانی از سوی خداوند به متألم عطا می‌شود؛ چرا که عدم جبران ألم از سوی فاعل حکیم نوعی ظلم بر متألم است و ظلم هم قبیح است و ذات خداوند از هر نوع قباحتی پاک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نوبختی،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سیدمرتضی،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ابن میثم بحرانی،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خواجه نصیرالدین،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متکلمان امامیه نیز معتقدند که باید جبران به حدی باشد که رضایت متألم را جلب کند؛ به طوری که اگر متألم را بین درد و عوض و عافیت متحیر کنند، او درد و عوض را بر عافیت ترجیح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میثم بحرانی،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بعضی از متکلمان امامیه در بحث انتصاف در کنار تأکید قرآن بر انتقام از مجرمان و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دلیل عقلی بر ضرورت انتصاف بر خداوند استدلال نموده‌اند؛ چرا که عدم انتقام الهی و عدم ستاندن داد مظلوم از ظالم، ظلم بر مظلوم و قبیح می باشد و ساحت مقدس خداوند عادل حکیم از هرگونه قباحتی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نوبختی،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سیدمرتضی،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ابن میثم بحرانی،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خواجه نصیرالدین،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مشخص گردید متکلمان امامیه با توجه به پذیرش قاعده حسن و قبح عقلی و جاری دانستن آن بر بعضی از افعال الهی، حکم به وجوب عوض و انتصاف بر خداوند در شرور و آلام غیر استحقاقی داده‌اند</w:t>
      </w:r>
      <w:r>
        <w:rPr>
          <w:rFonts w:eastAsia="IRNazanin" w:cs="IRNazanin"/>
          <w:color w:val="111111"/>
          <w:sz w:val="28"/>
          <w:szCs w:val="28"/>
          <w:rtl w:val="true"/>
          <w:lang w:bidi="fa-IR"/>
        </w:rPr>
        <w:t>.</w:t>
      </w:r>
    </w:p>
    <w:p>
      <w:pPr>
        <w:pStyle w:val="Heading5"/>
        <w:numPr>
          <w:ilvl w:val="4"/>
          <w:numId w:val="1"/>
        </w:numPr>
        <w:rPr/>
      </w:pPr>
      <w:bookmarkStart w:id="123" w:name="__RefHeading___Toc506515_1395250215"/>
      <w:bookmarkStart w:id="124" w:name="_Toc51"/>
      <w:bookmarkEnd w:id="123"/>
      <w:r>
        <w:rPr>
          <w:rtl w:val="true"/>
        </w:rPr>
        <w:t>عبث بودن</w:t>
      </w:r>
      <w:bookmarkEnd w:id="124"/>
    </w:p>
    <w:p>
      <w:pPr>
        <w:pStyle w:val="BookText"/>
        <w:rPr/>
      </w:pPr>
      <w:r>
        <w:rPr>
          <w:rFonts w:ascii="IRNazanin" w:hAnsi="IRNazanin" w:eastAsia="IRNazanin"/>
          <w:color w:val="111111"/>
          <w:sz w:val="28"/>
          <w:sz w:val="28"/>
          <w:szCs w:val="28"/>
          <w:rtl w:val="true"/>
          <w:lang w:bidi="fa-IR"/>
        </w:rPr>
        <w:t xml:space="preserve">متکلمان امامیه معتقدند که افعال الهی دارای غایت و غرض معقول هستند و این هدف و غایت به فعل و مخلوق برمی‌گردد؛ نه به خالق، تا سبب استکمال ذات الهی و موجب نقص و نیازمندی خداوند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حمصی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خواجه نصیرالدین،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اشـاعره برخـلاف امـامیه بر این باورند که افعال الهی غایت ندارند؛ زیرا لازمه غایت داشتن، استکمال 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ایجی، قاضی عضدالدین،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اینان به این نکته واقف نـشده‌اند که بـین غـایت فعل و فاعل تفاوت وجود دارد؛ چرا که افعال الهی دارای غایت، هدف و مصلحت معقولند، این غایت به مخلوق برمی‌گردد؛ نه به خالق، تا لازمه‌اش استکمال ذات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bookmarkStart w:id="125" w:name="pg2622_17776"/>
    </w:p>
    <w:p>
      <w:pPr>
        <w:pStyle w:val="BookText"/>
        <w:rPr/>
      </w:pPr>
      <w:bookmarkEnd w:id="125"/>
      <w:r>
        <w:rPr>
          <w:rFonts w:ascii="IRNazanin" w:hAnsi="IRNazanin" w:eastAsia="IRNazanin"/>
          <w:color w:val="111111"/>
          <w:sz w:val="28"/>
          <w:sz w:val="28"/>
          <w:szCs w:val="28"/>
          <w:rtl w:val="true"/>
          <w:lang w:bidi="fa-IR"/>
        </w:rPr>
        <w:t>خداوند متعال در قرآن به صراحت از عبث نبودن خلقت انسان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َفَحَسِبْتُمْ أَنَّمَا خَلَقْنَاکُمْ عَبَثًا وَأَنَّکُمْ إِلَینَا لَا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آیاتی دیگر لعب نبودن خلقت آسمان و زمین و مابین آنها را یادآوری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 معروف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عبث بودن افعال خداوند حکیم نفی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اندیشه متکلمان امامیه لازمه غایت و هدف نداشتن یک فعل، عبث بودن آن است و انجام فعل عبث و بیهوده از سوی فاعل حکیم قبیح است و عقل حکم می‌کند که افعال خداوند هدف داشته باشند؛ چرا که ساحت خداوند از هرگونه فعل قبیحی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ابن میثم بحرانی،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خواجه نصیرالدین،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انگاره هر امری که لازمه آن عبث بودن فعل خداوند باشد از او سلب می‌شود؛ به طور مثال در بحث حسن آلام بعضی از متکلمان امامیه معتقدند که آلام و شرور باید دارای مصلحت و حکمت باشند؛ چرا که اگر آلام دارای هدف معقولی نباشند، ما با احتمالات سه گانه دیگر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آلام از روی ظلم، عبث یا مفسده باشند و چون همه اینها از مصادیق فعل قبیح هستند و ساحت الهی دور از این امور است، نتیجه می‌گیریم همه آلامی که از جانب خداوند به بندگان می‌رسد، حسن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5"/>
        <w:numPr>
          <w:ilvl w:val="4"/>
          <w:numId w:val="1"/>
        </w:numPr>
        <w:rPr/>
      </w:pPr>
      <w:bookmarkStart w:id="126" w:name="__RefHeading___Toc506517_1395250215"/>
      <w:bookmarkStart w:id="127" w:name="_Toc52"/>
      <w:bookmarkEnd w:id="126"/>
      <w:r>
        <w:rPr>
          <w:rtl w:val="true"/>
        </w:rPr>
        <w:t>نقض غرض</w:t>
      </w:r>
      <w:bookmarkEnd w:id="12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گفتار اکثر متکلمان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اللطف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حمصی،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خواجه نصیرالدین،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مباحث متعدد کلامی مانند اثبات ضرورت نبوت و امامت از این قاعده بهره می‌جویند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وجوب تکلیف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حمصی،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عصمت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میثم بحرانی،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وعد و وعید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نصیرالدین،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ثمره گرایش متکلمان امامیه به مباحث عقلی است و استناد آن به حکمت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دلیل وجوب لطف بر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w:t>
      </w:r>
      <w:bookmarkStart w:id="128" w:name="pg2622_17777"/>
    </w:p>
    <w:p>
      <w:pPr>
        <w:pStyle w:val="BookText"/>
        <w:rPr/>
      </w:pPr>
      <w:bookmarkEnd w:id="128"/>
      <w:r>
        <w:rPr>
          <w:rFonts w:ascii="IRNazanin" w:hAnsi="IRNazanin" w:eastAsia="IRNazanin"/>
          <w:color w:val="111111"/>
          <w:sz w:val="28"/>
          <w:sz w:val="28"/>
          <w:szCs w:val="28"/>
          <w:rtl w:val="true"/>
          <w:lang w:bidi="fa-IR"/>
        </w:rPr>
        <w:t>وجوبِهِ توقف غرضِ المکلَّف علیه، فیکون واجباً فی الحکمهِ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وجوب لطف بر خداوند، توقف غرض مکلف بر آن است، پس در حکمت الهی لطف بر خداوند واجب و مطلوب می باشد؛ اگر چه مرحوم شیخ مفید در مطلبی دیگر وجوب لطف در خداوند را از جهت جود و کرم الهی می‌داند و بیان می‌کند که استناد لطف به عدل الهی نیست که اگر انجام نداد خداوند ظالم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غالب متکلمان امامیه در تعلیل وجوب لطف بر خداوند متعال از این راه وارد شده‌اند که لطف حاصل کننده غرض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تکلیف بر مکلَّف است و چون لطف محصِّل غرض شارع است از باب حکمت بر او واجب است؛ زیرا اگر هر امری که غرض شارع را فراهم می‌کند، از سوی خدا انجام نشود، موجب نقض غرض می شود و نقض غرض قبیح است و ساحت الهی از فعل قبیح منزه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ابن میثم بحرانی،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خواجه نصیرالدین،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اصل کلی هر چیزی که موجب نقض غرض نشود قبیح شمرده می‌شود و عقل عملی آن را از ساحت خداوند دور می‌نماید</w:t>
      </w:r>
      <w:r>
        <w:rPr>
          <w:rFonts w:eastAsia="IRNazanin" w:cs="IRNazanin"/>
          <w:color w:val="111111"/>
          <w:sz w:val="28"/>
          <w:szCs w:val="28"/>
          <w:rtl w:val="true"/>
          <w:lang w:bidi="fa-IR"/>
        </w:rPr>
        <w:t>.</w:t>
      </w:r>
    </w:p>
    <w:p>
      <w:pPr>
        <w:pStyle w:val="Heading5"/>
        <w:numPr>
          <w:ilvl w:val="4"/>
          <w:numId w:val="1"/>
        </w:numPr>
        <w:rPr/>
      </w:pPr>
      <w:bookmarkStart w:id="129" w:name="__RefHeading___Toc506519_1395250215"/>
      <w:bookmarkStart w:id="130" w:name="_Toc53"/>
      <w:bookmarkEnd w:id="129"/>
      <w:r>
        <w:rPr>
          <w:rtl w:val="true"/>
        </w:rPr>
        <w:t>کذب</w:t>
      </w:r>
      <w:bookmarkEnd w:id="130"/>
    </w:p>
    <w:p>
      <w:pPr>
        <w:pStyle w:val="Heading6"/>
        <w:numPr>
          <w:ilvl w:val="5"/>
          <w:numId w:val="1"/>
        </w:numPr>
        <w:rPr/>
      </w:pPr>
      <w:bookmarkStart w:id="131" w:name="__RefHeading___Toc506521_1395250215"/>
      <w:bookmarkStart w:id="132" w:name="_Toc54"/>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یکی دیگر از مصادیق فعل قبیح، کذب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به طور ذاتی قبیح بودن دروغ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 امامیه قائل به صادق بودن خداوند و عدم صدور کذب از او هستند و علت آن را قباحت کذب و صادر نشدن آن از فاعل حکیم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سبحانی،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اتصاف خداوند به کذب، حکم عقل به قباحت آن و در نتیجه عدم صادر شدن از خداوند با توجه به حکیم بودن او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متکلمان امامیه علاوه برکذب مصادیق دیگری از فعل قبیح را نیز با توجه به انگار ه ای از حکیم بودن خداوند از ذات باری تعالی سلب می‌نمایند؛ مانند تکلیف بما لایطاق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سیدمرتضی،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اغرای به جهل از سوی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شهید اول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ابن میثم بحرانی،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سبحانی،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عقاب بلاییان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امور با توجه به حکیم بودن خداوند از او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بعضی از موارد بالا مانند تکلیف بما لایطاق و عقاب بلاییان نوعی ظلم محسوب می شوند و ارتباط اولیه آنها به عدل مناسب‌تر است تا به حکمت، اما از آن جا که در نتیجه این مقاله اثبات خواهیم کرد که برگشت عدل الهی به حکمت الهی</w:t>
      </w:r>
      <w:bookmarkStart w:id="133" w:name="pg2622_17778"/>
    </w:p>
    <w:p>
      <w:pPr>
        <w:pStyle w:val="BookText"/>
        <w:rPr/>
      </w:pPr>
      <w:bookmarkEnd w:id="133"/>
      <w:r>
        <w:rPr>
          <w:rFonts w:ascii="IRNazanin" w:hAnsi="IRNazanin" w:eastAsia="IRNazanin"/>
          <w:color w:val="111111"/>
          <w:sz w:val="28"/>
          <w:sz w:val="28"/>
          <w:szCs w:val="28"/>
          <w:rtl w:val="true"/>
          <w:lang w:bidi="fa-IR"/>
        </w:rPr>
        <w:t>است، پس می‌توان موارد مذکور را نیز مرتبط با حکمت الهی دانست</w:t>
      </w:r>
      <w:r>
        <w:rPr>
          <w:rFonts w:eastAsia="IRNazanin" w:cs="IRNazanin"/>
          <w:color w:val="111111"/>
          <w:sz w:val="28"/>
          <w:szCs w:val="28"/>
          <w:rtl w:val="true"/>
          <w:lang w:bidi="fa-IR"/>
        </w:rPr>
        <w:t>.</w:t>
      </w:r>
    </w:p>
    <w:p>
      <w:pPr>
        <w:pStyle w:val="Heading6"/>
        <w:numPr>
          <w:ilvl w:val="5"/>
          <w:numId w:val="1"/>
        </w:numPr>
        <w:rPr/>
      </w:pPr>
      <w:bookmarkStart w:id="134" w:name="__RefHeading___Toc506523_1395250215"/>
      <w:bookmarkStart w:id="135" w:name="_Toc55"/>
      <w:bookmarkEnd w:id="134"/>
      <w:r>
        <w:rPr>
          <w:rtl w:val="true"/>
        </w:rPr>
        <w:t>براهین متکلمان امامیه</w:t>
      </w:r>
      <w:bookmarkEnd w:id="135"/>
    </w:p>
    <w:p>
      <w:pPr>
        <w:pStyle w:val="Heading6"/>
        <w:numPr>
          <w:ilvl w:val="5"/>
          <w:numId w:val="1"/>
        </w:numPr>
        <w:rPr/>
      </w:pPr>
      <w:bookmarkStart w:id="136" w:name="__RefHeading___Toc506525_1395250215"/>
      <w:bookmarkStart w:id="137" w:name="_Toc56"/>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در لابلای اندیشه متکلمان امامیه دو نوع استدلال بر حکیم بودن خداوند به معنای دوری از فعل قبیح و ناشایست مشاهده می‌شود؛</w:t>
      </w:r>
    </w:p>
    <w:p>
      <w:pPr>
        <w:pStyle w:val="Heading6"/>
        <w:numPr>
          <w:ilvl w:val="5"/>
          <w:numId w:val="1"/>
        </w:numPr>
        <w:rPr/>
      </w:pPr>
      <w:bookmarkStart w:id="138" w:name="__RefHeading___Toc506527_1395250215"/>
      <w:bookmarkStart w:id="139" w:name="_Toc57"/>
      <w:bookmarkEnd w:id="138"/>
      <w:r>
        <w:rPr/>
        <w:t>1</w:t>
      </w:r>
      <w:r>
        <w:rPr>
          <w:rtl w:val="true"/>
        </w:rPr>
        <w:t xml:space="preserve"> . </w:t>
      </w:r>
      <w:r>
        <w:rPr>
          <w:rtl w:val="true"/>
        </w:rPr>
        <w:t>حکمت خداوند</w:t>
      </w:r>
      <w:bookmarkEnd w:id="139"/>
    </w:p>
    <w:p>
      <w:pPr>
        <w:pStyle w:val="BookText"/>
        <w:rPr/>
      </w:pPr>
      <w:r>
        <w:rPr>
          <w:rFonts w:ascii="IRNazanin" w:hAnsi="IRNazanin" w:eastAsia="IRNazanin"/>
          <w:color w:val="111111"/>
          <w:sz w:val="28"/>
          <w:sz w:val="28"/>
          <w:szCs w:val="28"/>
          <w:rtl w:val="true"/>
          <w:lang w:bidi="fa-IR"/>
        </w:rPr>
        <w:t>حکمت خداوند لازمه واجب الوجود بودن او است و این استدلال با براهین پیشینی واجب الوجود و بی‌نیازی مطلق خداوند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کمال وجودی، اقتضا می‌کند که ذات باری تعالی از هرگونه فعل قبیح و زشتی که موجب نقص و کاستی است، تنزیه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خواجه نصیرالدین،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خواجه نصیرالدین،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6"/>
        <w:numPr>
          <w:ilvl w:val="5"/>
          <w:numId w:val="1"/>
        </w:numPr>
        <w:rPr/>
      </w:pPr>
      <w:bookmarkStart w:id="140" w:name="__RefHeading___Toc506529_1395250215"/>
      <w:bookmarkStart w:id="141" w:name="_Toc58"/>
      <w:bookmarkEnd w:id="140"/>
      <w:r>
        <w:rPr/>
        <w:t>2</w:t>
      </w:r>
      <w:r>
        <w:rPr>
          <w:rtl w:val="true"/>
        </w:rPr>
        <w:t xml:space="preserve">. </w:t>
      </w:r>
      <w:r>
        <w:rPr>
          <w:rtl w:val="true"/>
        </w:rPr>
        <w:t>استغنا و علم خداوند</w:t>
      </w:r>
      <w:bookmarkEnd w:id="141"/>
    </w:p>
    <w:p>
      <w:pPr>
        <w:pStyle w:val="BookText"/>
        <w:rPr/>
      </w:pPr>
      <w:r>
        <w:rPr>
          <w:rFonts w:ascii="IRNazanin" w:hAnsi="IRNazanin" w:eastAsia="IRNazanin"/>
          <w:color w:val="111111"/>
          <w:sz w:val="28"/>
          <w:sz w:val="28"/>
          <w:szCs w:val="28"/>
          <w:rtl w:val="true"/>
          <w:lang w:bidi="fa-IR"/>
        </w:rPr>
        <w:t>استغنا و علم خداوند دلایلی بر عدم صدور فعل قبیح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امامیه در این برهان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از فعل قبیح بی‌نیاز است و داعی و حاجتی به آن ندارد و از سوی دیگر چون عالم است و به قباحت فعل قبیح جهل ندارد، این فعل قبیح از او صادر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سیدمرتضی،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ابن میثم بحرانی،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خواجه نصیرالدین،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شهید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سبحانی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استدلال دوم، تحلیل و نتیجه‌ای است که پایه‌های نظری آن بر استدلال نخست استوار است؛ زیرا نخست این که بی نیازی خداوند بر باورکمال ذاتی و دور بودن ذاتش از نقایص استوار است و دوم این که اگر ممکن است کسی بگوید که خداوند نه از روی نیاز و نه از روی جهل فعل قبیحی را انجام می‌دهد، بلکه ـ نعوذ بالله ـ برای سرگرمی این کار را می کند و عبث است، چه باید گفت؟ آیا جز این است که باید از راه برهان پیشینی، ذات الهی را پیراسته از هرگونه نقص و کاستی دانست و سپس فعل قبیح و ناشایست را که مصادیق این نقصان است از ذات الهی سلب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مقام تحلیل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کسانی که فعل قبیح را مانند ظلم انجام می دهند یا نیاز است و یا جهل و غفلت و چون این امور در مورد خداوند منتفی است، پس فاعل آن نخواهد بود</w:t>
      </w:r>
      <w:r>
        <w:rPr>
          <w:rFonts w:eastAsia="IRNazanin" w:cs="IRNazanin"/>
          <w:color w:val="111111"/>
          <w:sz w:val="28"/>
          <w:szCs w:val="28"/>
          <w:rtl w:val="true"/>
          <w:lang w:bidi="fa-IR"/>
        </w:rPr>
        <w:t>.</w:t>
      </w:r>
    </w:p>
    <w:p>
      <w:pPr>
        <w:pStyle w:val="Heading4"/>
        <w:numPr>
          <w:ilvl w:val="3"/>
          <w:numId w:val="1"/>
        </w:numPr>
        <w:rPr/>
      </w:pPr>
      <w:bookmarkStart w:id="142" w:name="__RefHeading___Toc506531_1395250215"/>
      <w:bookmarkStart w:id="143" w:name="_Toc59"/>
      <w:bookmarkEnd w:id="142"/>
      <w:r>
        <w:rPr>
          <w:rtl w:val="true"/>
        </w:rPr>
        <w:t xml:space="preserve">ب </w:t>
      </w:r>
      <w:r>
        <w:rPr>
          <w:rtl w:val="true"/>
        </w:rPr>
        <w:t xml:space="preserve">. </w:t>
      </w:r>
      <w:r>
        <w:rPr>
          <w:rtl w:val="true"/>
        </w:rPr>
        <w:t>حکمت به معنای اتقان صنع</w:t>
      </w:r>
      <w:bookmarkEnd w:id="143"/>
    </w:p>
    <w:p>
      <w:pPr>
        <w:pStyle w:val="BookText"/>
        <w:rPr/>
      </w:pPr>
      <w:r>
        <w:rPr>
          <w:rFonts w:ascii="IRNazanin" w:hAnsi="IRNazanin" w:eastAsia="IRNazanin"/>
          <w:color w:val="111111"/>
          <w:sz w:val="28"/>
          <w:sz w:val="28"/>
          <w:szCs w:val="28"/>
          <w:rtl w:val="true"/>
          <w:lang w:bidi="fa-IR"/>
        </w:rPr>
        <w:t>یکی دیگر از معانی حکمت الهی، اتقان صُنع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اللَّهِ الَّذِی أَتْقَنَ کُلَّ شَیءٍ؛ صنع و خلقت برای خدایی است که هر چیزی را در کمال استواری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آیاتی دیگر نیز قرآن کریم را محکم و متقن توصیف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هم بیان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الحکیمُ العلیمُ أتقَنَ ما أرادَ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خدای حکیم و علیمی است که هر آنچه را اراده کند متقن خلق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مبنا برخی از متکلمان امامیه با توجه به ریشه لغوی واژه حکمت و الهام از متون دینی، حکمت را به معنای اتقان فعل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از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دوم حکمت الهی یعنی خداوند و افعالش محکم، استوار و متقن است و از فساد و تباهی دور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علامه حلی در شرح سخن مرحوم خواجه نصیرالدین طوسی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واجب الوجود بودن خداوند اقتضا می‌کند توصیف شدن او را به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به درستی، افعال خداوند در غایت احکام و اتقان و نهایت کمال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برداشت از حکمت الهی و حکیم بودن خداوند در آثار سایر متکلمان امامیه و اشاعره نیز مشاهده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میثم بحرانی،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سبحانی،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آمدی،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متکلمان امامیه با توجه به ریشه لغوی واژه حکمت ـ که شرح آن در درآمد گذشت ـ که حکمت به نوعی از علم، فعل یا گفتار متقن اطلاق می‌شود و با توجه به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حکمت به اتقان فعل تفسیر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حکمت الهی را متقن و سنجیده بودن افعال الهی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نگارنده اگر واژه متقن که معادل فارسی آن سنجیده بودن است، تحلیل شود و معلوم گردد که چه مؤلفه‌ها و ویژگی‌هایی باید در یک فعل باشد تا آن را متقن بدانیم، به فهم بهتر ما از حکمت الهی در اندیشه متکلمان امامیه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ویژگی های یک فعل حکیمانه، متقن و دور از خطا و سفاهت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مؤلفه و پیش‌فرض معرفتی از یک امر حکیمانه در جملات متکلمان امامیه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bookmarkStart w:id="144" w:name="pg2622_17779"/>
    </w:p>
    <w:p>
      <w:pPr>
        <w:pStyle w:val="BookText"/>
        <w:rPr/>
      </w:pPr>
      <w:bookmarkEnd w:id="144"/>
      <w:r>
        <w:rPr>
          <w:rFonts w:ascii="IRNazanin" w:hAnsi="IRNazanin" w:eastAsia="IRNazanin"/>
          <w:color w:val="111111"/>
          <w:sz w:val="28"/>
          <w:sz w:val="28"/>
          <w:szCs w:val="28"/>
          <w:rtl w:val="true"/>
          <w:lang w:bidi="fa-IR"/>
        </w:rPr>
        <w:t xml:space="preserve">مواردی که واژه حکمت را با صواب همراه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صواب در لغت یعنی حق و درست که ضد خطا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حکیم فعلش صواب است و در مقابل آن سفیه قرار دارد که فعلش از روی سفاهت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نیز واژه حکمت با صواب همراه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آن سفاهت قلمداد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این روایات ما را به یکی از مهم‌ترین مؤلفه‌های یک فعل متقن و حکیمانه رهنمون می‌سازد که همان دوری از خطا، لغزش و نقصان است</w:t>
      </w:r>
      <w:r>
        <w:rPr>
          <w:rFonts w:eastAsia="IRNazanin" w:cs="IRNazanin"/>
          <w:color w:val="111111"/>
          <w:sz w:val="28"/>
          <w:szCs w:val="28"/>
          <w:rtl w:val="true"/>
          <w:lang w:bidi="fa-IR"/>
        </w:rPr>
        <w:t>.</w:t>
      </w:r>
    </w:p>
    <w:p>
      <w:pPr>
        <w:pStyle w:val="Heading4"/>
        <w:numPr>
          <w:ilvl w:val="3"/>
          <w:numId w:val="1"/>
        </w:numPr>
        <w:rPr/>
      </w:pPr>
      <w:bookmarkStart w:id="145" w:name="__RefHeading___Toc506533_1395250215"/>
      <w:bookmarkStart w:id="146" w:name="_Toc60"/>
      <w:bookmarkEnd w:id="145"/>
      <w:r>
        <w:rPr>
          <w:rtl w:val="true"/>
        </w:rPr>
        <w:t>ج</w:t>
      </w:r>
      <w:r>
        <w:rPr>
          <w:rtl w:val="true"/>
        </w:rPr>
        <w:t xml:space="preserve">. </w:t>
      </w:r>
      <w:r>
        <w:rPr>
          <w:rtl w:val="true"/>
        </w:rPr>
        <w:t>حکمت به معنای معرفت به حقایق اشیا</w:t>
      </w:r>
      <w:bookmarkEnd w:id="146"/>
    </w:p>
    <w:p>
      <w:pPr>
        <w:pStyle w:val="BookText"/>
        <w:rPr/>
      </w:pPr>
      <w:r>
        <w:rPr>
          <w:rFonts w:ascii="IRNazanin" w:hAnsi="IRNazanin" w:eastAsia="IRNazanin"/>
          <w:color w:val="111111"/>
          <w:sz w:val="28"/>
          <w:sz w:val="28"/>
          <w:szCs w:val="28"/>
          <w:rtl w:val="true"/>
          <w:lang w:bidi="fa-IR"/>
        </w:rPr>
        <w:t>سومین معنایی که از حکمت الهی در اندیشه امامیه مشاهده می‌شود، حکمت به معنای معرفت و علم خاصی است که به حقایق اشیا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خداوند متعال، عالم به این نوع علم است، حکیم واقعی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معنا، حکمت مرادف علم قرار گرفته است؛ البته علم خاص و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معنای حکیم، عالم است و حکمت نیز در لغت به معنای علم می باشد و سخن خداوند مبنی بر یؤتی الحکمة من یَشاءُ به این دلیل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آثار بعضی از متکلمان امامیه انگاره حکمت الهی به معنای علم خاص به حقایق اشیا مشاهده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شبر،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سبحانی،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حکمت به معنای معرفت حقیقی اشیا به افضل علوم، در اندیشه سایر دانشمندان اسلامی اعم ازمفسران، فلاسفه و عرفا نیز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ملاصدرا،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غزالی،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3"/>
        <w:numPr>
          <w:ilvl w:val="2"/>
          <w:numId w:val="1"/>
        </w:numPr>
        <w:rPr/>
      </w:pPr>
      <w:bookmarkStart w:id="147" w:name="__RefHeading___Toc506535_1395250215"/>
      <w:bookmarkStart w:id="148" w:name="_Toc61"/>
      <w:bookmarkEnd w:id="147"/>
      <w:r>
        <w:rPr>
          <w:rtl w:val="true"/>
        </w:rPr>
        <w:t>نتیجه گیری</w:t>
      </w:r>
      <w:bookmarkEnd w:id="148"/>
    </w:p>
    <w:p>
      <w:pPr>
        <w:pStyle w:val="BookText"/>
        <w:rPr/>
      </w:pPr>
      <w:r>
        <w:rPr>
          <w:rFonts w:ascii="IRNazanin" w:hAnsi="IRNazanin" w:eastAsia="IRNazanin"/>
          <w:color w:val="111111"/>
          <w:sz w:val="28"/>
          <w:sz w:val="28"/>
          <w:szCs w:val="28"/>
          <w:rtl w:val="true"/>
          <w:lang w:bidi="fa-IR"/>
        </w:rPr>
        <w:t>از بررسی اقوال متکلمان امامیه مشخص گردید که گستره معنایی حکمت الهی در اندیشه آنان در سه حوزه معنایی مهم جلوه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معنای حکمت الهی، اجتناب فاعل حکیم از فعل قبیح و اخلال در امر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با تعریف عدل درآثار بعضی از متکلمان امامیه متقدم، همسان شده است؛ به خصوص این که واژه عدل و حکیم را قرین هم ذکر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حمصی،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فهم دقیق و تخصصی این قرابت معنایی احتیاج به مقاله‌ای جدا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 یا تفاوت معنایی عدل و حکمت در کلام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به نظر می‌رسد با تتبعی که انجام شد علت این قرابت معنایی، این است که متکلمان امامیه، عدل را زیر مجموعه و از نتایج حکمت دانسته‌اند و این انگاره به طور کامل در آثار بعضی از آنان به چشم می‌خورد؛ به طور شیخ صدوق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نظام هستی عادلانه نباشد، لازمه‌اش ظلم و خروج از حکمت و صواب و تدبیر به سوی عبث و ظلم و فساد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به عدل الهی کامل نمی‌شود؛ مگر علم حاصل شود که همه افعال الهی حکیمانه و از روی صواب است و خداوند فعل قبیح را انجام نمی‌دهد و در انجام امر واجب اخلال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علامه حلی در عبارتی جامع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افعال خداوند از روی حکمت و صواب است و در آنها ظلم و جور، کذب و عبث و فاحشه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فواحش و قبایح و کذب و جهل از افعال بندگان است و خداوند متعال منزه و پاک از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مطلب بالا را با بیان‌های مختلف ذکر می‌کنند و آن را بدیهی و روشن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استوار بودن عدل الهی بر حکمت او در آثار برخی دیگر از متکلمان امامیه مشهود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مقداد، فاضل،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سبحانی،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استواری این است که نقطه مقابل عدل، ظلم می باشد و ظلم بارزترین مصداق فعل قبیح و یا بودنش خودِ قبیح گرفته شده وگرنه واژه قبیح یک مفهوم انتزاعی و اعتباری است که به جهت مصداق بودنش معنا و مفهوم پیدا می‌کند؛ پس امامیه ظلم، عبث، فساد، فحشا، کذب، نقض، غرض را با توجه به حکیم بودن خداوند از افعال او سلب نموده‌اند؛ چرا که فعل قبیح با تمامی مصادیقش در ساحت الهی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علل متفرع دانستن عدل بر حکمت الهی، الهام امامیه از بعضی روایات است؛ به طور مثال در روایتی، مرحوم شیخ صدوق در عیون اخبار الرضا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صحبت فضل بن شاذان با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حضرت در وصف حکیم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عزّوجلّ حکیمٌ و لا یکون الحکیمُ و لا یوصف بالحکمة إلّا الذی یحظر الفساد و یأمر بالصلاح و یزجر عن الظلم و ینهی عن الفواحش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خداوند تبارک و تعالی، حکیم است و خداوند، حکیم و به حکمت وصف نمی‌شود؛ مگر این که از فساد دوری کند، به آنچه صلاح است، امر نماید، از ظلم بر حذر دارد و از</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bookmarkStart w:id="149" w:name="pg2622_17781"/>
    </w:p>
    <w:p>
      <w:pPr>
        <w:pStyle w:val="BookText"/>
        <w:rPr/>
      </w:pPr>
      <w:bookmarkEnd w:id="149"/>
      <w:r>
        <w:rPr>
          <w:rFonts w:ascii="IRNazanin" w:hAnsi="IRNazanin" w:eastAsia="IRNazanin"/>
          <w:color w:val="111111"/>
          <w:sz w:val="28"/>
          <w:sz w:val="28"/>
          <w:szCs w:val="28"/>
          <w:rtl w:val="true"/>
          <w:lang w:bidi="fa-IR"/>
        </w:rPr>
        <w:t>فواحش نهی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دومی که از این نوشتار حاصل می شود، این است که حکمت الهی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فاعل حکیم از فعل قبیح و اخلال در امر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اتقان صنع است؛ چراکه لازمه اتقان فعل، دور بودن فعل از هرگونه خطا، نقصان و زشتی و هر امر سفیهانه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تا یک فعل، انسجام درونی و بیرونی نداشته باشد و دور از نقایص و قبایح نباشد، نمی‌توانیم آن را متقن و حکیمانه قلمداد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 از حکمت الهی که به اعتقاد امامیه معرفتی ویژه و خاص به حقایق اشیا است، در واقع برگشتش به صفت علم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از حکمت الهی ریشه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روایاتی دارد که حکمت را نوعی علم و معرفت خاص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ابن میثم بحرانی،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 بیگانه و بی‌ربط به گوهر معنایی واژه حکمت نیست؛ زیرا علم و معرفتی، علم به حقایق اشیا و افضل علوم است که دور از خطا و مطابق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پایانی که می‌توان از این واژه گرفت، این است که اگر حکمت الهی به معنای اول و دوم باشد از صفات فعل الهی است و اگر آن را از مقوله علم خاص بدانیم، برگشت آن به علم الهی و از صفات ذات می‌باشد</w:t>
      </w:r>
      <w:r>
        <w:rPr>
          <w:rFonts w:eastAsia="IRNazanin" w:cs="IRNazanin"/>
          <w:color w:val="111111"/>
          <w:sz w:val="28"/>
          <w:szCs w:val="28"/>
          <w:rtl w:val="true"/>
          <w:lang w:bidi="fa-IR"/>
        </w:rPr>
        <w:t>.</w:t>
      </w:r>
    </w:p>
    <w:p>
      <w:pPr>
        <w:pStyle w:val="Heading3"/>
        <w:numPr>
          <w:ilvl w:val="2"/>
          <w:numId w:val="1"/>
        </w:numPr>
        <w:rPr/>
      </w:pPr>
      <w:bookmarkStart w:id="150" w:name="__RefHeading___Toc506537_1395250215"/>
      <w:bookmarkStart w:id="151" w:name="_Toc62"/>
      <w:bookmarkEnd w:id="150"/>
      <w:r>
        <w:rPr>
          <w:rtl w:val="true"/>
        </w:rPr>
        <w:t>منابع</w:t>
      </w:r>
      <w:bookmarkEnd w:id="1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فارس، ابوالحسین، احمد بن فارس،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مقابیس اللغة، بیروت، مؤسسه بعثت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میثم بحرانی، کمال الدین،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 المرام فی علم الکلام، قم، کتابخانه آیت الله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ایجی، قاضی عضدالدین،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مواقف، قم، شریف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سیدهاشم،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البرهان فی تفسیر القرآن، قم، بنیاد بعثت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مقاصد،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 افست قم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مواقف، قم، شریف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اسماعیل،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صحاح اللغه، اسماعیل بن حماد، بیروت، دار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حمصی رازی، سدیدالدین،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المنقذ من التقلید، قم، مؤسسه نشر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فخرالدین ابوعبدالله محمدبن عمر،</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المحصل، عمان، دارالرازی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لوامع البینات فی شرح الاسماء الحسنی،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المفردات فی الفاظ القرآن کریم، قم، طلیعه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التحسین و التقبیح العقلیین، قم، مؤسسه امام صادق</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الالهیات علی هدی الکتاب و السنة، قم، مؤسسه امام صادق</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رسائل و مقالات،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 مؤسسه امام صادق</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محاضرات فی الالهیات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ربانی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امام صادق</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الانصاف فی مسائل دام فیها الخلاف، قم، مؤسسه امام صادق</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بحوث فی الملل و النحل، قم، مؤسسه امام صادق</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سیدرضی، اوالحسن محمد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 قم، بنیاد 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علی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تنزیة الانبیاء، قم، شریف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الذخیرة فی علم الکلام، قم، مؤسسه نشر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شریف مرتضی، قم، مؤسسه نشر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شبر، سیدعبدالله،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الیقین، قم، انوار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ابوالفتوح عبدالکریم ،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الملل و النحل، محمد بدران، قم، شریف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شمس الدین محمد،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اربع رسائل کلامیة، بیاضی، قم،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محمد بن بابویه،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قم، دفتر انتشارات اسلامی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الاخبار، قم، 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تهران، نشر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المختارة، قم، کنگره هزار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النکت الاعتقادیة، قم، کنگره هزار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اوائل المقالات، قم، کنگره هزار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الاعتقاد، قم، کنگره هزار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احمد بن علی،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الاحتجاج علی اهل اللجاج، مشهد، نشر 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خواجه نصیرالدین،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تجرید الاعتقاد، حسینی جلالی، قم،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تلخیص المحصل، بیروت، دار 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قوائد العقاید، بیروت، دار 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المحصل، عمان، دارالرازی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الاقتصاد فی ما یتعلق بالاعتقاد، بیروت، دار 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العشر، قم، مؤسسه نشر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رسالة السعدیة، بیروت، دارالصفوه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الفین، قم، مؤسسه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المراد فی شرح تجرید الاعتقاد، قم، مؤسسه امام صادق</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انوار الملکوت فی شرح الیاقوت، قم، شریف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منهاج الکرامة فی معرفة الامامة، مشهد، مؤسسه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حادی عشر، تهران، مؤسسه مطالعات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الحق و کشف الصدق، بیروت، دار الکتاب لبنانی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منهاج الیقین، تهران، دار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محمد بن مسعود،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عیاشی، قم، مؤسسه بعثت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ابوحامد،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احیاء العلوم الدین، بیروت، دارالکتاب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بن عبدالسیوری، جمال الدین،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ارشاد الطالبیین فی نهج المسترشدین، قم، انتشارات آیت الله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الاعتماد فی شرح واجب الاعتقاد، مشهد، مجمع بحوث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انوارالجلالیة فی شرح الفصول النصیریة، مجمع بحوث اسلامی،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باب حادی عشر، مؤسسه مطالعات اسلامی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خلیل ابن احمد،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العین، قم، 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فیومی، احمد بن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المنیر، قم، دار الهجره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معتزلی،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اصول خمسه، بیروت، دارالاحیاء 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علی اکبر غفاری، تهران،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لاهیجی، عبدالرازق،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گوهر مراد، تهران، میراث مکتوب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تقی،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الانوار، بیروت، چاپ مؤسسه الوفاء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قاضی نورالله،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احقاق الحق و ازهاق الباطل، قم، کتابخانه آیت الله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حسن،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 فی کلمات القرآن الکریم، تهران، نشر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المتألهین، محمد بم ابراهیم،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الغیب، تهران، مؤسسه تحقیقات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نوبختی، ابواسحاق،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الیاقوت فی علم الکلام، قم، کتابخانه آیت الله مرعشی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bookmarkStart w:id="152" w:name="pg2622_17786"/>
    </w:p>
    <w:p>
      <w:pPr>
        <w:pStyle w:val="Heading2"/>
        <w:numPr>
          <w:ilvl w:val="1"/>
          <w:numId w:val="1"/>
        </w:numPr>
        <w:rPr/>
      </w:pPr>
      <w:bookmarkStart w:id="153" w:name="__RefHeading___Toc506539_1395250215"/>
      <w:bookmarkStart w:id="154" w:name="_Toc63"/>
      <w:bookmarkEnd w:id="152"/>
      <w:bookmarkEnd w:id="153"/>
      <w:r>
        <w:rPr>
          <w:rtl w:val="true"/>
        </w:rPr>
        <w:t>ابان بن تغلب؛ متکلمی از تبار محدثان امامی</w:t>
      </w:r>
      <w:r>
        <w:rPr>
          <w:rtl w:val="true"/>
        </w:rPr>
        <w:t xml:space="preserve">/ </w:t>
      </w:r>
      <w:r>
        <w:rPr>
          <w:rtl w:val="true"/>
        </w:rPr>
        <w:t>محمد جاودان، حسین منصوری</w:t>
      </w:r>
      <w:r>
        <w:rPr>
          <w:rtl w:val="true"/>
        </w:rPr>
        <w:t>¬</w:t>
      </w:r>
      <w:r>
        <w:rPr>
          <w:rtl w:val="true"/>
        </w:rPr>
        <w:t>راد</w:t>
      </w:r>
      <w:bookmarkEnd w:id="154"/>
    </w:p>
    <w:p>
      <w:pPr>
        <w:pStyle w:val="Heading3"/>
        <w:numPr>
          <w:ilvl w:val="2"/>
          <w:numId w:val="1"/>
        </w:numPr>
        <w:rPr/>
      </w:pPr>
      <w:bookmarkStart w:id="155" w:name="__RefHeading___Toc506541_1395250215"/>
      <w:bookmarkStart w:id="156" w:name="_Toc64"/>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اشاره</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محمد جاودان</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حسین منصوری راد</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1392/6/09</w:t>
      </w:r>
    </w:p>
    <w:p>
      <w:pPr>
        <w:pStyle w:val="BookText"/>
        <w:rPr/>
      </w:pPr>
      <w:r>
        <w:rPr>
          <w:rFonts w:ascii="IRNazanin" w:hAnsi="IRNazanin" w:eastAsia="IRNazanin"/>
          <w:color w:val="111111"/>
          <w:sz w:val="28"/>
          <w:sz w:val="28"/>
          <w:szCs w:val="28"/>
          <w:rtl w:val="true"/>
          <w:lang w:bidi="fa-IR"/>
        </w:rPr>
        <w:t>تاریخ تایید</w:t>
      </w:r>
      <w:r>
        <w:rPr>
          <w:rFonts w:eastAsia="IRNazanin" w:cs="IRNazanin"/>
          <w:color w:val="111111"/>
          <w:sz w:val="28"/>
          <w:szCs w:val="28"/>
          <w:rtl w:val="true"/>
          <w:lang w:bidi="fa-IR"/>
        </w:rPr>
        <w:t xml:space="preserve">: </w:t>
      </w:r>
      <w:r>
        <w:rPr>
          <w:rFonts w:eastAsia="IRNazanin" w:cs="IRNazanin"/>
          <w:color w:val="111111"/>
          <w:sz w:val="28"/>
          <w:szCs w:val="28"/>
          <w:lang w:bidi="fa-IR"/>
        </w:rPr>
        <w:t>1392/06/17</w:t>
      </w:r>
    </w:p>
    <w:p>
      <w:pPr>
        <w:pStyle w:val="Heading3"/>
        <w:numPr>
          <w:ilvl w:val="2"/>
          <w:numId w:val="1"/>
        </w:numPr>
        <w:rPr/>
      </w:pPr>
      <w:bookmarkStart w:id="157" w:name="__RefHeading___Toc506543_1395250215"/>
      <w:bookmarkStart w:id="158" w:name="_Toc65"/>
      <w:bookmarkEnd w:id="157"/>
      <w:r>
        <w:rPr>
          <w:rtl w:val="true"/>
        </w:rPr>
        <w:t>چکیده</w:t>
      </w:r>
      <w:bookmarkEnd w:id="158"/>
    </w:p>
    <w:p>
      <w:pPr>
        <w:pStyle w:val="BookText"/>
        <w:rPr/>
      </w:pPr>
      <w:r>
        <w:rPr>
          <w:rFonts w:ascii="IRNazanin" w:hAnsi="IRNazanin" w:eastAsia="IRNazanin"/>
          <w:color w:val="111111"/>
          <w:sz w:val="28"/>
          <w:sz w:val="28"/>
          <w:szCs w:val="28"/>
          <w:rtl w:val="true"/>
          <w:lang w:bidi="fa-IR"/>
        </w:rPr>
        <w:t>ابان بن تغلب از اصحاب جلیل‌القدر امام باقر و امام صادق</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است که منابع فریقین او را به نیکویی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برآیند داده‌های تاریخی نشان می دهد که وی بیش از همه به فقه اهتمام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نوشتار حاضر تلاش نموده با رویکرد تحلیلی، نشان دهد که وی علاوه بر تفقه، در دانش کلام نیز تخصص داشته و به خوبی آن را به کار می‌بسته است؛ این مهم با بررسی اتکای او به منبع وحیانی در تبیین دقیق مبانی فکری شیعه و دفاع از آموزه‌های آن، توانمندی در پاسخگویی به پرسش های شیعه و غیر آن، مواجهه صحیح با شبهات، حجم زیادی از روایت های اعتقادی صورت می‌گیرد تا در انجام، دغدغه‌های کلامی او را به نظاره بگذارد</w:t>
      </w:r>
      <w:r>
        <w:rPr>
          <w:rFonts w:eastAsia="IRNazanin" w:cs="IRNazanin"/>
          <w:color w:val="111111"/>
          <w:sz w:val="28"/>
          <w:szCs w:val="28"/>
          <w:rtl w:val="true"/>
          <w:lang w:bidi="fa-IR"/>
        </w:rPr>
        <w:t>.</w:t>
      </w:r>
    </w:p>
    <w:p>
      <w:pPr>
        <w:pStyle w:val="Heading3"/>
        <w:numPr>
          <w:ilvl w:val="2"/>
          <w:numId w:val="1"/>
        </w:numPr>
        <w:rPr/>
      </w:pPr>
      <w:bookmarkStart w:id="159" w:name="__RefHeading___Toc506545_1395250215"/>
      <w:bookmarkStart w:id="160" w:name="_Toc66"/>
      <w:bookmarkEnd w:id="159"/>
      <w:r>
        <w:rPr>
          <w:rtl w:val="true"/>
        </w:rPr>
        <w:t>واژگان کلیدی</w:t>
      </w:r>
      <w:bookmarkEnd w:id="160"/>
    </w:p>
    <w:p>
      <w:pPr>
        <w:pStyle w:val="BookText"/>
        <w:rPr/>
      </w:pPr>
      <w:r>
        <w:rPr>
          <w:rFonts w:ascii="IRNazanin" w:hAnsi="IRNazanin" w:eastAsia="IRNazanin"/>
          <w:color w:val="111111"/>
          <w:sz w:val="28"/>
          <w:sz w:val="28"/>
          <w:szCs w:val="28"/>
          <w:rtl w:val="true"/>
          <w:lang w:bidi="fa-IR"/>
        </w:rPr>
        <w:t>ابان بن تغلب، مدرسه کوفه، جریان‌های کلامی، محدث ـ متکلم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bookmarkStart w:id="161" w:name="pg2622_17787"/>
    </w:p>
    <w:p>
      <w:pPr>
        <w:pStyle w:val="Heading3"/>
        <w:numPr>
          <w:ilvl w:val="2"/>
          <w:numId w:val="1"/>
        </w:numPr>
        <w:rPr/>
      </w:pPr>
      <w:bookmarkStart w:id="162" w:name="__RefHeading___Toc506547_1395250215"/>
      <w:bookmarkStart w:id="163" w:name="_Toc67"/>
      <w:bookmarkEnd w:id="161"/>
      <w:bookmarkEnd w:id="162"/>
      <w:r>
        <w:rPr>
          <w:rtl w:val="true"/>
        </w:rPr>
        <w:t>مقدمه</w:t>
      </w:r>
      <w:bookmarkEnd w:id="163"/>
    </w:p>
    <w:p>
      <w:pPr>
        <w:pStyle w:val="BookText"/>
        <w:rPr/>
      </w:pPr>
      <w:r>
        <w:rPr>
          <w:rFonts w:ascii="IRNazanin" w:hAnsi="IRNazanin" w:eastAsia="IRNazanin"/>
          <w:color w:val="111111"/>
          <w:sz w:val="28"/>
          <w:sz w:val="28"/>
          <w:szCs w:val="28"/>
          <w:rtl w:val="true"/>
          <w:lang w:bidi="fa-IR"/>
        </w:rPr>
        <w:t xml:space="preserve">نیم نگاهی به مطالعات نوین در تاریخ تفکر شیعه به روشنی نشان می‌دهد که کلام شیعه دوره‌های مختلفی را گذرانده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رضایی،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قرن دوم هجری نقش غیر قابل انکاری را در جدال‌های فکری و دفاع از آموزه‌های شیعه برای خود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خوبی می‌توان از رویارویی فکری جریان‌های مختلف در کوفه و حضور چشمگیر شاگردان صادقین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در این دوره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مطالعات به خوبی روشن نموده که شاگردان مکتب امام صادق</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در تبیین و ارائه آموزه‌های شیعی، روش‌های یکنواختی را به کار نبسته‌اند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جریان‌های گونا‌گونی در میان اندیشمندان امامیه در کوفه قابل بازشناسی است که در این میان دو جریان مهم متکلم ـ محدثان و محدث ـ متکلمان حضور چشمگیری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واخوانی و بازشناسی این جریان‌ها تنها در پرتو شناخت و بررسی شخصیت و آرای کلامی و همچنین شیوه تبیین معارف اندیشمندان امامی این دوره است؛ بزرگانی که یا کلام، رسالت اصلی آنان بوده و یا در کنار تخصص‌های دیگر، رویکردی کلامی هم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بن تغلب یکی از شخصیت‌هایی است که بررسی اندیشه‌های وی، بخشی از الگوی پیشین را تکمیل می‌کند؛ چراکه او در میان متکلمان و اندیشمندان نخستین امامیه و به ویژه در نزد صادقین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از جایگاه ممتازی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به نظر می‌رسد در مجموعه مطالعاتی که تاکنون به انجام رسیده، هماره این جایگاه از نظر پژوهشگران حوزه تاریخ اندیشه و کلام پنهان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اندیشمندانی مانند جوزف فان اس در کتاب الکلام و المجتمع،</w:t>
      </w:r>
      <w:r>
        <w:rPr>
          <w:rStyle w:val="FootnoteAnchor"/>
          <w:rtl w:val="true"/>
        </w:rPr>
        <w:footnoteReference w:id="12"/>
      </w:r>
      <w:r>
        <w:rPr>
          <w:rFonts w:ascii="IRNazanin" w:hAnsi="IRNazanin" w:eastAsia="IRNazanin"/>
          <w:color w:val="111111"/>
          <w:sz w:val="28"/>
          <w:sz w:val="28"/>
          <w:szCs w:val="28"/>
          <w:rtl w:val="true"/>
          <w:lang w:bidi="fa-IR"/>
        </w:rPr>
        <w:t>علی اکبر ضیائی در مدخل، ابان بن تغلب در دائرة المعارف بزرگ اسلامی</w:t>
      </w:r>
      <w:r>
        <w:rPr>
          <w:rStyle w:val="FootnoteAnchor"/>
          <w:rtl w:val="true"/>
        </w:rPr>
        <w:footnoteReference w:id="13"/>
      </w:r>
      <w:r>
        <w:rPr>
          <w:rFonts w:ascii="IRNazanin" w:hAnsi="IRNazanin" w:eastAsia="IRNazanin"/>
          <w:color w:val="111111"/>
          <w:sz w:val="28"/>
          <w:sz w:val="28"/>
          <w:szCs w:val="28"/>
          <w:rtl w:val="true"/>
          <w:lang w:bidi="fa-IR"/>
        </w:rPr>
        <w:t>و حامد خانی در مقاله خود</w:t>
      </w:r>
      <w:r>
        <w:rPr>
          <w:rStyle w:val="FootnoteAnchor"/>
          <w:rtl w:val="true"/>
        </w:rPr>
        <w:footnoteReference w:id="14"/>
      </w:r>
      <w:r>
        <w:rPr>
          <w:rFonts w:ascii="IRNazanin" w:hAnsi="IRNazanin" w:eastAsia="IRNazanin"/>
          <w:color w:val="111111"/>
          <w:sz w:val="28"/>
          <w:sz w:val="28"/>
          <w:szCs w:val="28"/>
          <w:rtl w:val="true"/>
          <w:lang w:bidi="fa-IR"/>
        </w:rPr>
        <w:t>توانسته‌اند تصویر ابان را تا حدودی ترسیم کنند، لیکن چهره کلامی او همچنان بررسی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نوشتار حاضر تلاش می‌کند این شخصیت را از این دریچه معرفی کرده و چهره کلامی او را آشکار نماید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bookmarkStart w:id="164" w:name="pg2622_17788"/>
    </w:p>
    <w:p>
      <w:pPr>
        <w:pStyle w:val="Heading3"/>
        <w:numPr>
          <w:ilvl w:val="2"/>
          <w:numId w:val="1"/>
        </w:numPr>
        <w:rPr/>
      </w:pPr>
      <w:bookmarkStart w:id="165" w:name="__RefHeading___Toc506549_1395250215"/>
      <w:bookmarkStart w:id="166" w:name="_Toc68"/>
      <w:bookmarkEnd w:id="164"/>
      <w:bookmarkEnd w:id="165"/>
      <w:r>
        <w:rPr>
          <w:rtl w:val="true"/>
        </w:rPr>
        <w:t>مهم ترین جریان‌های کلامی کوفه در دوران ابان بن تغلب</w:t>
      </w:r>
      <w:bookmarkEnd w:id="166"/>
    </w:p>
    <w:p>
      <w:pPr>
        <w:pStyle w:val="BookText"/>
        <w:rPr/>
      </w:pPr>
      <w:r>
        <w:rPr>
          <w:rFonts w:ascii="IRNazanin" w:hAnsi="IRNazanin" w:eastAsia="IRNazanin"/>
          <w:color w:val="111111"/>
          <w:sz w:val="28"/>
          <w:sz w:val="28"/>
          <w:szCs w:val="28"/>
          <w:rtl w:val="true"/>
          <w:lang w:bidi="fa-IR"/>
        </w:rPr>
        <w:t>کوفه از زمان پیدایش</w:t>
      </w:r>
      <w:r>
        <w:rPr>
          <w:rStyle w:val="FootnoteAnchor"/>
          <w:rtl w:val="true"/>
        </w:rPr>
        <w:footnoteReference w:id="15"/>
      </w:r>
      <w:r>
        <w:rPr>
          <w:rFonts w:ascii="IRNazanin" w:hAnsi="IRNazanin" w:eastAsia="IRNazanin"/>
          <w:color w:val="111111"/>
          <w:sz w:val="28"/>
          <w:sz w:val="28"/>
          <w:szCs w:val="28"/>
          <w:rtl w:val="true"/>
          <w:lang w:bidi="fa-IR"/>
        </w:rPr>
        <w:t>تا دوران امامت 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سیاسی و اعتقادی فراز و فرودهای مختلفی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زمان 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اعتقادات شیعه با تلاش و جهت دهی آن حضرت به سوی یک نظام منسجم و متمایز نسبت به دیگر فرقه های معاصر سوق داده شد و در زمان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پویایی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منابع فهرست نگاری، تعدد و تخصص شاگردان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در حوزه های مختلف علمی را نشان می دهد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در این دوران، کلام در کنار تفسیر و فقه، یکی از بارزترین و مهم‌ترین رفتارهای علمی صاحبان اندیشه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مطالعات نوین تلاش می‌کند تا نشان دهد رفتار کلامی اندیشمندان کوفی، به طورعمده در دو جریان فکری یا روشی قابل رده‌بندی هستند؛ جریان متکلم و محدث ـ 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متکلم، جریانی از اصحاب است که با دریافت احادیث از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فهم و استنباط آن پرداخته و در مقام دفاع از آن تعالیم به تبیین عقلانی و نظریه پردازی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وابستگان این جریان نقش عمده‌ای در به دست دادن مبانی عقلانی آموزه های مدرسه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و بیش از نقل روایت به درایت و تبیین خارج از متن اهتمام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شخصیت‌های این جریان می توان به هشام بن حکم و هشام بن سالم اشاره نمود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جریان محدث ـ متکلم نیز مانند گروه پیشین، احادیث را به عنوان منبع اعتقادی تلقی کرده و تبیین می نمود ولی برخلاف جریان کلامی به دنبال تبیین های خارج از متن و ارائه نظرهای کلامی نبود و کمتر مواجهه های بیرونی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این جریان، درگیر مجادله با مخالفان نمی شد و یا به صورت حداقلی مواجهه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وابستگان این جریان مورد احترام همگان بوده، دیدگاه خاصی از سوی مخالفان به آنها منتسب نشده و فرقه و مذهبی به نام و نشان آنان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رجالی، از این افراد با عنوان محدث یاد شده و روایت های اعتقادی آنها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باید بین دل بستگان این جریان که دغدغه های معرفتی و اعتقادی دارند با افرادی که فقط روایاتی را نقل می کنند تفاوت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هایی که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bookmarkStart w:id="167" w:name="pg2622_17789"/>
    </w:p>
    <w:p>
      <w:pPr>
        <w:pStyle w:val="BookText"/>
        <w:rPr/>
      </w:pPr>
      <w:bookmarkEnd w:id="167"/>
      <w:r>
        <w:rPr>
          <w:rFonts w:ascii="IRNazanin" w:hAnsi="IRNazanin" w:eastAsia="IRNazanin"/>
          <w:color w:val="111111"/>
          <w:sz w:val="28"/>
          <w:sz w:val="28"/>
          <w:szCs w:val="28"/>
          <w:rtl w:val="true"/>
          <w:lang w:bidi="fa-IR"/>
        </w:rPr>
        <w:t>این گروه محدثان ـ متکلم را از محدثان جدا می کند، پرسش گری های عمیق اعتقادی ایشان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ریشه در تأملات جدی آنان در چالش های فکری و تلاش برای پاسخ گویی به شبهات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برآنیم تا خط فکری این جریان همچنان تا مدرسه قم و بعد از آن ادامه داشته باشد؛ زیرا بسیاری از میراث اعتقادی امروزین ما از تلاش های افراد این جریان است و یکی از شخصیت هایی که در این جریان فکری می توان از آن نام برد ابان بن تغلب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3"/>
        <w:numPr>
          <w:ilvl w:val="2"/>
          <w:numId w:val="1"/>
        </w:numPr>
        <w:rPr/>
      </w:pPr>
      <w:bookmarkStart w:id="168" w:name="__RefHeading___Toc506551_1395250215"/>
      <w:bookmarkStart w:id="169" w:name="_Toc69"/>
      <w:bookmarkEnd w:id="168"/>
      <w:r>
        <w:rPr>
          <w:rtl w:val="true"/>
        </w:rPr>
        <w:t>زیست‌نامه ابان بن تغلب</w:t>
      </w:r>
      <w:bookmarkEnd w:id="169"/>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1365:10</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ابان بن تغلب</w:t>
      </w:r>
      <w:r>
        <w:rPr>
          <w:rStyle w:val="FootnoteAnchor"/>
          <w:rtl w:val="true"/>
        </w:rPr>
        <w:footnoteReference w:id="19"/>
      </w:r>
      <w:r>
        <w:rPr>
          <w:rFonts w:ascii="IRNazanin" w:hAnsi="IRNazanin" w:eastAsia="IRNazanin"/>
          <w:color w:val="111111"/>
          <w:sz w:val="28"/>
          <w:sz w:val="28"/>
          <w:szCs w:val="28"/>
          <w:rtl w:val="true"/>
          <w:lang w:bidi="fa-IR"/>
        </w:rPr>
        <w:t>بن رباح</w:t>
      </w:r>
      <w:r>
        <w:rPr>
          <w:rStyle w:val="FootnoteAnchor"/>
          <w:rtl w:val="true"/>
        </w:rPr>
        <w:footnoteReference w:id="20"/>
      </w:r>
      <w:r>
        <w:rPr>
          <w:rFonts w:ascii="IRNazanin" w:hAnsi="IRNazanin" w:eastAsia="IRNazanin"/>
          <w:color w:val="111111"/>
          <w:sz w:val="28"/>
          <w:sz w:val="28"/>
          <w:szCs w:val="28"/>
          <w:rtl w:val="true"/>
          <w:lang w:bidi="fa-IR"/>
        </w:rPr>
        <w:t>جریری</w:t>
      </w:r>
      <w:r>
        <w:rPr>
          <w:rStyle w:val="FootnoteAnchor"/>
          <w:rtl w:val="true"/>
        </w:rPr>
        <w:footnoteReference w:id="21"/>
      </w:r>
      <w:r>
        <w:rPr>
          <w:rFonts w:ascii="IRNazanin" w:hAnsi="IRNazanin" w:eastAsia="IRNazanin"/>
          <w:color w:val="111111"/>
          <w:sz w:val="28"/>
          <w:sz w:val="28"/>
          <w:szCs w:val="28"/>
          <w:rtl w:val="true"/>
          <w:lang w:bidi="fa-IR"/>
        </w:rPr>
        <w:t>از اندیشمندان برجسته متقدم شیعی بوده که با سه امام معصوم شیعه؛ امام سجاد، امام محمد باقر 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معاصر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تاریخ دقیق ولادت او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گواهی منابع رجالی هر چند که وی سفرهایی به برخی مناطق مثل مدینه و بصره داشته ولی بیشتر عمر خود را در کوفه گذرانده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برخی شغل وی را معلمی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همواره مورد احترام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بوده و آن حضرت با دیدن وی مسرور شده به احترام او تمام قامت می‌ایستاده و او را درآغوش می‌گرفته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بودن ایشان با امام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در سفرحج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سفری به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گویای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نجاشی او از این فرصت استفاده کرده و سی هزار روایت از حضرت 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اندوخته‌ها توانست عده زیادی از طالبان علوم اهل بیت از فرقه‌های مختلف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روایتی است که او در ضمن پرسش از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از</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مراجعه فرق مختلف به وی خبر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های رجالی شیعه نیز ابان را محدث و دارای منزلتی عظیم در بین اصحاب امامیه توصیف کرده و از جامعیت علمی او در فنون مختلفی مانند فقه، حدیث، تفسیر، قرائت و ادبیات عرب سخن به میان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شیخ طوسی،</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برتری علمی ابان را این گونه گزارش کرده که هرگاه او به مسجد مدینه وارد می گشت تمام حلقه‌های درس دیگران تعطیل و مسجد مملو از جمعیت می‌شد و فقط ستونی که پیغمبر اکرم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در زمان حیاتش به آن تکیه می‌زد برای ابان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در سال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ﻫ ق از این دنیا چشم فروبست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الفضائل</w:t>
      </w:r>
      <w:r>
        <w:rPr>
          <w:rStyle w:val="FootnoteAnchor"/>
          <w:rtl w:val="true"/>
        </w:rPr>
        <w:footnoteReference w:id="22"/>
      </w:r>
      <w:r>
        <w:rPr>
          <w:rFonts w:ascii="IRNazanin" w:hAnsi="IRNazanin" w:eastAsia="IRNazanin"/>
          <w:color w:val="111111"/>
          <w:sz w:val="28"/>
          <w:sz w:val="28"/>
          <w:szCs w:val="28"/>
          <w:rtl w:val="true"/>
          <w:lang w:bidi="fa-IR"/>
        </w:rPr>
        <w:t>، صفین</w:t>
      </w:r>
      <w:r>
        <w:rPr>
          <w:rStyle w:val="FootnoteAnchor"/>
          <w:rtl w:val="true"/>
        </w:rPr>
        <w:footnoteReference w:id="23"/>
      </w:r>
      <w:r>
        <w:rPr>
          <w:rFonts w:ascii="IRNazanin" w:hAnsi="IRNazanin" w:eastAsia="IRNazanin"/>
          <w:color w:val="111111"/>
          <w:sz w:val="28"/>
          <w:sz w:val="28"/>
          <w:szCs w:val="28"/>
          <w:rtl w:val="true"/>
          <w:lang w:bidi="fa-IR"/>
        </w:rPr>
        <w:t>، من الأصول فی الروایة علی مذهب الشیعه</w:t>
      </w:r>
      <w:r>
        <w:rPr>
          <w:rStyle w:val="FootnoteAnchor"/>
          <w:rtl w:val="true"/>
        </w:rPr>
        <w:footnoteReference w:id="24"/>
      </w:r>
      <w:r>
        <w:rPr>
          <w:rFonts w:ascii="IRNazanin" w:hAnsi="IRNazanin" w:eastAsia="IRNazanin"/>
          <w:color w:val="111111"/>
          <w:sz w:val="28"/>
          <w:sz w:val="28"/>
          <w:szCs w:val="28"/>
          <w:rtl w:val="true"/>
          <w:lang w:bidi="fa-IR"/>
        </w:rPr>
        <w:t>، غرائب القرآن</w:t>
      </w:r>
      <w:r>
        <w:rPr>
          <w:rStyle w:val="FootnoteAnchor"/>
          <w:rtl w:val="true"/>
        </w:rPr>
        <w:footnoteReference w:id="25"/>
      </w:r>
      <w:r>
        <w:rPr>
          <w:rFonts w:ascii="IRNazanin" w:hAnsi="IRNazanin" w:eastAsia="IRNazanin"/>
          <w:color w:val="111111"/>
          <w:sz w:val="28"/>
          <w:sz w:val="28"/>
          <w:szCs w:val="28"/>
          <w:rtl w:val="true"/>
          <w:lang w:bidi="fa-IR"/>
        </w:rPr>
        <w:t>، القرائات</w:t>
      </w:r>
      <w:r>
        <w:rPr>
          <w:rStyle w:val="FootnoteAnchor"/>
          <w:rtl w:val="true"/>
        </w:rPr>
        <w:footnoteReference w:id="26"/>
      </w:r>
      <w:r>
        <w:rPr>
          <w:rFonts w:ascii="IRNazanin" w:hAnsi="IRNazanin" w:eastAsia="IRNazanin"/>
          <w:color w:val="111111"/>
          <w:sz w:val="28"/>
          <w:sz w:val="28"/>
          <w:szCs w:val="28"/>
          <w:rtl w:val="true"/>
          <w:lang w:bidi="fa-IR"/>
        </w:rPr>
        <w:t>، و معانی القرآن</w:t>
      </w:r>
      <w:r>
        <w:rPr>
          <w:rStyle w:val="FootnoteAnchor"/>
          <w:rtl w:val="true"/>
        </w:rPr>
        <w:footnoteReference w:id="27"/>
      </w:r>
      <w:r>
        <w:rPr>
          <w:rFonts w:ascii="IRNazanin" w:hAnsi="IRNazanin" w:eastAsia="IRNazanin"/>
          <w:color w:val="111111"/>
          <w:sz w:val="28"/>
          <w:sz w:val="28"/>
          <w:szCs w:val="28"/>
          <w:rtl w:val="true"/>
          <w:lang w:bidi="fa-IR"/>
        </w:rPr>
        <w:t>شش اثری است که فهرست‌نگاران رجالی به نام ابان ثبت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کثرت روایت های اعتقادی ابان که بیش از نیمی از روایت های وی را شامل می‌شود و همچنین تلاش و کندوکاو او در تبیین آموزه‌های معرفتی شیعه به خصوص امامت و مسایل پیرامون آن و روشنگری‌هایش در معرفی شیعه، حکایت از رفتار کلامی وی دارد</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نداشتن نظریه و دیدگاه خاص، منتسب نشدن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رجالی، ثبت نشدن فرقه‌ای به نام او و نبودن گزارشی از مناظره های وی جز یک مورد، همه نشان از آن دارد که او نمی تواند متکلمی از جریان 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برآنیم با شواهدی چند، نشان دهیم که ابان در شمار جریان محدث ـ متکلمان قرار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bookmarkStart w:id="170" w:name="pg2622_17791"/>
    </w:p>
    <w:p>
      <w:pPr>
        <w:pStyle w:val="Heading3"/>
        <w:numPr>
          <w:ilvl w:val="2"/>
          <w:numId w:val="1"/>
        </w:numPr>
        <w:rPr/>
      </w:pPr>
      <w:bookmarkStart w:id="171" w:name="__RefHeading___Toc506553_1395250215"/>
      <w:bookmarkStart w:id="172" w:name="_Toc70"/>
      <w:bookmarkEnd w:id="170"/>
      <w:bookmarkEnd w:id="171"/>
      <w:r>
        <w:rPr>
          <w:rtl w:val="true"/>
        </w:rPr>
        <w:t>فراوانی روایت های اعتقادی و اسامی آثار ایشان</w:t>
      </w:r>
      <w:bookmarkEnd w:id="172"/>
    </w:p>
    <w:p>
      <w:pPr>
        <w:pStyle w:val="Heading4"/>
        <w:numPr>
          <w:ilvl w:val="3"/>
          <w:numId w:val="1"/>
        </w:numPr>
        <w:rPr/>
      </w:pPr>
      <w:bookmarkStart w:id="173" w:name="__RefHeading___Toc506555_1395250215"/>
      <w:bookmarkStart w:id="174" w:name="_Toc71"/>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بیش از نیمی از مجموع نزدیک به دویست و پنجاه روایت ابان</w:t>
      </w:r>
      <w:r>
        <w:rPr>
          <w:rStyle w:val="FootnoteAnchor"/>
          <w:rtl w:val="true"/>
        </w:rPr>
        <w:footnoteReference w:id="29"/>
      </w:r>
      <w:r>
        <w:rPr>
          <w:rFonts w:ascii="IRNazanin" w:hAnsi="IRNazanin" w:eastAsia="IRNazanin"/>
          <w:color w:val="111111"/>
          <w:sz w:val="28"/>
          <w:sz w:val="28"/>
          <w:szCs w:val="28"/>
          <w:rtl w:val="true"/>
          <w:lang w:bidi="fa-IR"/>
        </w:rPr>
        <w:t xml:space="preserve">، در مورد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اعتقادهای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روایت های او در مورد امامت،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 اهل 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بابویه،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عناوین آثار او مانند الفضائل و صفین از شواهدی است که ما را در متکلم نامیدن وی ترغیب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بیشتر این نگاشته‌ها اعتقادی یا تاریخی است و تا حدی دغدغه‌های اعتقادی وی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تفسیر او نیز به طورغالب در مورد آیات اعتقادی به ویژه درباره امامت و فضائل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دو مورد از نمونه‌هایی که به دست ما رسیده، اشاره می شود؛</w:t>
      </w:r>
    </w:p>
    <w:p>
      <w:pPr>
        <w:pStyle w:val="Heading4"/>
        <w:numPr>
          <w:ilvl w:val="3"/>
          <w:numId w:val="1"/>
        </w:numPr>
        <w:rPr/>
      </w:pPr>
      <w:bookmarkStart w:id="175" w:name="__RefHeading___Toc506557_1395250215"/>
      <w:bookmarkStart w:id="176" w:name="_Toc72"/>
      <w:bookmarkEnd w:id="175"/>
      <w:r>
        <w:rPr/>
        <w:t>1</w:t>
      </w:r>
      <w:r>
        <w:rPr>
          <w:rtl w:val="true"/>
        </w:rPr>
        <w:t>.</w:t>
      </w:r>
      <w:r>
        <w:rPr>
          <w:rtl w:val="true"/>
        </w:rPr>
        <w:t>ابان بن تغلب می گوید</w:t>
      </w:r>
      <w:r>
        <w:rPr>
          <w:rtl w:val="true"/>
        </w:rPr>
        <w:t>:</w:t>
      </w:r>
      <w:bookmarkEnd w:id="176"/>
    </w:p>
    <w:p>
      <w:pPr>
        <w:pStyle w:val="BookText"/>
        <w:rPr/>
      </w:pPr>
      <w:r>
        <w:rPr>
          <w:rFonts w:ascii="IRNazanin" w:hAnsi="IRNazanin" w:eastAsia="IRNazanin"/>
          <w:color w:val="111111"/>
          <w:sz w:val="28"/>
          <w:sz w:val="28"/>
          <w:szCs w:val="28"/>
          <w:rtl w:val="true"/>
          <w:lang w:bidi="fa-IR"/>
        </w:rPr>
        <w:t>ابان بن تغلب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داری خداوند عزوجل از مشرکین، زکات مالشان را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حال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منکر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مشرکان، آنهایی که زکات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دهند و به آخرت ایمان ندارند </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عرض کردم فدایت شوم، معنایش چیست؟ برایم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تفسیر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مشرکان؛ آنهایی که به امام اول شرک ورزیدند و دیگر امامان را منکر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بندگانش ایمان به خود و رسولش را طلب کرد و بعد از آن فرائض را بر ایشان واجب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Heading4"/>
        <w:numPr>
          <w:ilvl w:val="3"/>
          <w:numId w:val="1"/>
        </w:numPr>
        <w:rPr/>
      </w:pPr>
      <w:bookmarkStart w:id="177" w:name="__RefHeading___Toc506559_1395250215"/>
      <w:bookmarkStart w:id="178" w:name="_Toc73"/>
      <w:bookmarkEnd w:id="177"/>
      <w:r>
        <w:rPr/>
        <w:t>2</w:t>
      </w:r>
      <w:r>
        <w:rPr>
          <w:rtl w:val="true"/>
        </w:rPr>
        <w:t>.</w:t>
      </w:r>
      <w:r>
        <w:rPr>
          <w:rtl w:val="true"/>
        </w:rPr>
        <w:t>ابان بن تغلب می گوید به امام صادق</w:t>
      </w:r>
      <w:r>
        <w:rPr/>
        <w:t>7</w:t>
      </w:r>
      <w:r>
        <w:rPr>
          <w:rtl w:val="true"/>
        </w:rPr>
        <w:t>عرض شد</w:t>
      </w:r>
      <w:r>
        <w:rPr>
          <w:rtl w:val="true"/>
        </w:rPr>
        <w:t>:</w:t>
      </w:r>
      <w:bookmarkEnd w:id="178"/>
    </w:p>
    <w:p>
      <w:pPr>
        <w:pStyle w:val="BookText"/>
        <w:rPr/>
      </w:pPr>
      <w:r>
        <w:rPr>
          <w:rFonts w:ascii="IRNazanin" w:hAnsi="IRNazanin" w:eastAsia="IRNazanin"/>
          <w:color w:val="111111"/>
          <w:sz w:val="28"/>
          <w:sz w:val="28"/>
          <w:szCs w:val="28"/>
          <w:rtl w:val="true"/>
          <w:lang w:bidi="fa-IR"/>
        </w:rPr>
        <w:t>ابان بن تغلب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معنی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ولایت ما را به او کرامت فرماید از عقبه می‌گذرد و ما آن عقبه هستیم و کسی که از آن گذشت نجات یافت، پس مکثی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سخنی به تو بگویم که خیری در آن باشد که از دنیا و هر چه در آن است بهتر باشد،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 تو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خداوند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 رَقَبَةٍ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بنده و اسیر آتش‌اند غیر از تو و یارانت که خداوند متعال 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شما را از زنجیرهای آتشین دوزخ به خاطر دوستی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نجات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در منظومه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ابان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نگاهی به مجموع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تفسیری و غیر تفسیری وی، ذهن هر پژوهنده را به این مطلب رهنمون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سازد که او در تبیین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مورد جایگاه امیرالمومنین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پرتلاش بوده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bookmarkStart w:id="179" w:name="pg2622_17792"/>
    </w:p>
    <w:p>
      <w:pPr>
        <w:pStyle w:val="Heading3"/>
        <w:numPr>
          <w:ilvl w:val="2"/>
          <w:numId w:val="1"/>
        </w:numPr>
        <w:rPr/>
      </w:pPr>
      <w:bookmarkStart w:id="180" w:name="__RefHeading___Toc506561_1395250215"/>
      <w:bookmarkStart w:id="181" w:name="_Toc74"/>
      <w:bookmarkEnd w:id="179"/>
      <w:bookmarkEnd w:id="180"/>
      <w:r>
        <w:rPr>
          <w:rtl w:val="true"/>
        </w:rPr>
        <w:t>پرسش و پاسخ‌های کلامی</w:t>
      </w:r>
      <w:bookmarkEnd w:id="181"/>
    </w:p>
    <w:p>
      <w:pPr>
        <w:pStyle w:val="BookText"/>
        <w:rPr/>
      </w:pPr>
      <w:r>
        <w:rPr>
          <w:rFonts w:ascii="IRNazanin" w:hAnsi="IRNazanin" w:eastAsia="IRNazanin"/>
          <w:color w:val="111111"/>
          <w:sz w:val="28"/>
          <w:sz w:val="28"/>
          <w:szCs w:val="28"/>
          <w:rtl w:val="true"/>
          <w:lang w:bidi="fa-IR"/>
        </w:rPr>
        <w:t>ابان در روزگاری می زیسته که کوفه آبستن جریان هایی مختلف و به طور غالب با صبغه سیاسی بوده که البته با رویکردی اعتقادی خود را در عرصه تبادل افکار نشان می داد</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عنایت به وجود این جریان های انحرافی و شبهات مطرح در سطح جامعه، با پرسش از امام، در پی پاسخ گویی صحیح به این شبهات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روایت های ابان در قالب پرسش از امام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به دست ما رسیده که حجم زیادی از آن در حوزه مباحث اعتقادی به ویژه در خصوص امامت است که اساسی ترین بحث و همچنین محور اصلی اختلاف ها و فرقه گرایی آن دوران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جایگاه اجتماعی او نیز اقتضا می کرده که به دغدغه‌های مردم و شبهات مختلف جریان‌ها عکس العمل مناسبی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همواره در خصوص توحید، امامت، تعداد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زینب،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مسائل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پرسش می کرده که موارد ذیل از این نمونه است؛</w:t>
      </w:r>
    </w:p>
    <w:p>
      <w:pPr>
        <w:pStyle w:val="BookText"/>
        <w:rPr/>
      </w:pPr>
      <w:r>
        <w:rPr>
          <w:rFonts w:ascii="IRNazanin" w:hAnsi="IRNazanin" w:eastAsia="IRNazanin"/>
          <w:color w:val="111111"/>
          <w:sz w:val="28"/>
          <w:sz w:val="28"/>
          <w:szCs w:val="28"/>
          <w:rtl w:val="true"/>
          <w:lang w:bidi="fa-IR"/>
        </w:rPr>
        <w:t>در محاسن برقی آمده است که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به ابان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کوفه رسیدی این حدیث را برای مردم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اخلاص لا اله الا الله بگوید بهشت بر او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ابان می‌گوید 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فرقه‌ای نزد من می‌آیند، آیا برای همه همین طور بگویم؟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ابان، وقتی قیامت فرا رسد خداوند همه انسان‌ها را جمع کرده و کلمه لااله الا الله را از آنها می‌گیرد مگر کسی که 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ابان حائز اهمیت است؛ زیرا از طرفی حاکی از اطلاعات و محفوظات روایی او در خصوص پذیرش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 آن در توحید است و از طرفی دیگر گویای دغدغه او برای پاسخگویی اش به فرقه‌های مختلف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در مورد امامت پرسیدم،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این عهدی است که رسول الله</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با ما بست که اینان دوازده نفر هستند که نه نفرشان از نسل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می باشند و مهدی عجل الله تعالی فرجه الشریف که در آخرالزمان برای دین قیام خواهد کرد، از ما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می تواند جست و جوی ابان را در شناخت دقیق امر امامت، تعداد امامان و مصداق آنها در جهت تبیین آن برای مردمی که در اطراف آنان جریان های زیدیه و کیسانیه در حال رشد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bookmarkStart w:id="182" w:name="pg2622_17793"/>
    </w:p>
    <w:p>
      <w:pPr>
        <w:pStyle w:val="BookText"/>
        <w:rPr/>
      </w:pPr>
      <w:bookmarkEnd w:id="182"/>
      <w:r>
        <w:rPr>
          <w:rFonts w:ascii="IRNazanin" w:hAnsi="IRNazanin" w:eastAsia="IRNazanin"/>
          <w:color w:val="111111"/>
          <w:sz w:val="28"/>
          <w:sz w:val="28"/>
          <w:szCs w:val="28"/>
          <w:rtl w:val="true"/>
          <w:lang w:bidi="fa-IR"/>
        </w:rPr>
        <w:t>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این روایت و مفهوم عهد که در قرآن نیز در خصوص امامت حضرت ابراهیم به کار رفته است</w:t>
      </w:r>
      <w:r>
        <w:rPr>
          <w:rStyle w:val="FootnoteAnchor"/>
          <w:rtl w:val="true"/>
        </w:rPr>
        <w:footnoteReference w:id="32"/>
      </w:r>
      <w:r>
        <w:rPr>
          <w:rFonts w:ascii="IRNazanin" w:hAnsi="IRNazanin" w:eastAsia="IRNazanin"/>
          <w:color w:val="111111"/>
          <w:sz w:val="28"/>
          <w:sz w:val="28"/>
          <w:szCs w:val="28"/>
          <w:rtl w:val="true"/>
          <w:lang w:bidi="fa-IR"/>
        </w:rPr>
        <w:t>شاید بتوانیم ادعا کنیم که این تعبیر در مقابل تمام کسانی است که امامت را به نصب و تعیین الهی از مسیر پیامبر گرامی اسلام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ندانستند و از این رو ابان در این راستا پرتلاش بوده است؛ به طوری که تلاش وی در مورد خلافت امیرالمومنین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برتری او به علم و اعلمیت دیگر امامان در روایتی دیگر از او انعکاس یافته</w:t>
      </w:r>
      <w:r>
        <w:rPr>
          <w:rStyle w:val="FootnoteAnchor"/>
          <w:rtl w:val="true"/>
        </w:rPr>
        <w:footnoteReference w:id="33"/>
      </w:r>
      <w:r>
        <w:rPr>
          <w:rFonts w:ascii="IRNazanin" w:hAnsi="IRNazanin" w:eastAsia="IRNazanin"/>
          <w:color w:val="111111"/>
          <w:sz w:val="28"/>
          <w:sz w:val="28"/>
          <w:szCs w:val="28"/>
          <w:rtl w:val="true"/>
          <w:lang w:bidi="fa-IR"/>
        </w:rPr>
        <w:t>، که نشان از دغدغه های کلامی 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مقام پاسخگویی به پرسش های مردم نیز دقت نظر داشته و از شبهه افکنی های مخالفین غافل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درس ابان بن تغلب نشسته بودیم که جوانی بر او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چند نفر از اصحاب پیامبر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به نفع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تو می خواهی فضل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را از روی تعداد صحابه ای که از او پیروی کرده‌اند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خـدا سوگند، ما فـضل اصـحاب پیامبر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را جز از طریق پیروی آنان از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نمی شناسیم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ای که فرقه های مختلفی به مفضولیت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باور داشتند او با زیرکی چنان پاسخی داد که از سویی افضل بودن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در جانشینی بحق پیامبر اعظم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آشکار شد و از سوی دیگر با معیار فضل قرارگرفتن حضرت، علاوه بر این که عملکرد کسانی که از ایشان تبعیت نکردند به چالش کشیده شد، لیکن هیچ بی‌احترامی به خلفا و دیگر صحابه نشد</w:t>
      </w:r>
      <w:r>
        <w:rPr>
          <w:rFonts w:eastAsia="IRNazanin" w:cs="IRNazanin"/>
          <w:color w:val="111111"/>
          <w:sz w:val="28"/>
          <w:szCs w:val="28"/>
          <w:rtl w:val="true"/>
          <w:lang w:bidi="fa-IR"/>
        </w:rPr>
        <w:t>.</w:t>
      </w:r>
    </w:p>
    <w:p>
      <w:pPr>
        <w:pStyle w:val="Heading3"/>
        <w:numPr>
          <w:ilvl w:val="2"/>
          <w:numId w:val="1"/>
        </w:numPr>
        <w:rPr/>
      </w:pPr>
      <w:bookmarkStart w:id="183" w:name="__RefHeading___Toc506563_1395250215"/>
      <w:bookmarkStart w:id="184" w:name="_Toc75"/>
      <w:bookmarkEnd w:id="183"/>
      <w:r>
        <w:rPr>
          <w:rtl w:val="true"/>
        </w:rPr>
        <w:t>توان رویارویی با خصم</w:t>
      </w:r>
      <w:bookmarkEnd w:id="184"/>
    </w:p>
    <w:p>
      <w:pPr>
        <w:pStyle w:val="BookText"/>
        <w:rPr/>
      </w:pPr>
      <w:r>
        <w:rPr>
          <w:rFonts w:ascii="IRNazanin" w:hAnsi="IRNazanin" w:eastAsia="IRNazanin"/>
          <w:color w:val="111111"/>
          <w:sz w:val="28"/>
          <w:sz w:val="28"/>
          <w:szCs w:val="28"/>
          <w:rtl w:val="true"/>
          <w:lang w:bidi="fa-IR"/>
        </w:rPr>
        <w:t>چگونگی مناظره کردن در عصر حضور فنی بوده که متکلمان با یادگیری آن در برابر مخالفین قرار می‌گرفتند و از آموزه‌های خود دفاع می‌کردند و در این میان ابان نیز به این امر آگاهی کامل داشته است؛ شرکت ایشان در مناظره‌ای به امر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شاهدی بر این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جمعی از اصحاب نزد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نشسته بودیم که مردی از اهل شام اجازه ورود خواست و با اجازه حضرت وارد شد و سلام کرد و به حضرت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شما به همه چیز علم داری و آمده ام با شما مناظره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bookmarkStart w:id="185" w:name="pg2622_17794"/>
    </w:p>
    <w:p>
      <w:pPr>
        <w:pStyle w:val="BookText"/>
        <w:rPr/>
      </w:pPr>
      <w:bookmarkEnd w:id="185"/>
      <w:r>
        <w:rPr>
          <w:rFonts w:ascii="IRNazanin" w:hAnsi="IRNazanin" w:eastAsia="IRNazanin"/>
          <w:color w:val="111111"/>
          <w:sz w:val="28"/>
          <w:sz w:val="28"/>
          <w:szCs w:val="28"/>
          <w:rtl w:val="true"/>
          <w:lang w:bidi="fa-IR"/>
        </w:rPr>
        <w:t>إعراب‌های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حمران دستور دادند با او مناظره کند که آن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با شما مناظره کنم نه با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او را شکست دهی مرا هم شکست می‌دهی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آن مناظره مغلوب شد و در ادامه با ابان بن تغلب، زراره، طیار، مؤمن الطاق، هشام بن حکم و هشام بن سالم در بحث‌های مختلفی به مناظره پرداخت که در نهایت در همه آن بحث‌ها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ها و توصیف های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در مورد ابان نیز تقویت کننده این مهم است؛ آن حضرت به ابان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اهل مدینه مناظره کن؛ چرا که من دوست دارم مردان و روایت کنندگان من مانند تو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واضح است که قرار گرفتن ابان در کنار بزرگ متکلمان زمانش چون هشامین و مؤمن الطاق برای رویارویی با خصم و شکست دادن آن بــا مــهارت هــر چـه تـمام تر و سـفارش هـای امـام بـا تـعبیراتی مـانند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نـاظر اهـل الـمدینة</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اهل المدینة</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به همراه توصیفاتی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رؤسای شیعه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روایات بسیاری از من شنیده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این موضوع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عنایت به این که تعبیراتی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نظریه‌پردازی مدرسه کلامی کوفه کاربرد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خود ثابت شده که در مورد مناظرات کاربرد داشته</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شاهدی باشد که ابان از چگونگی فن مناظره و طریقه به کار بستن آن آگاهی کامل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تاریخی جز همین مورد، مناظره دیگری از ابان گزارش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بایسته است بگوییم که او هر چند توان مناظره با خصم را داشته، ولی تلاش او بیشتر به تبیین آموزه های معرفتی مدرسه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درون دینی معطوف بوده است</w:t>
      </w:r>
      <w:r>
        <w:rPr>
          <w:rFonts w:eastAsia="IRNazanin" w:cs="IRNazanin"/>
          <w:color w:val="111111"/>
          <w:sz w:val="28"/>
          <w:szCs w:val="28"/>
          <w:rtl w:val="true"/>
          <w:lang w:bidi="fa-IR"/>
        </w:rPr>
        <w:t>.</w:t>
      </w:r>
    </w:p>
    <w:p>
      <w:pPr>
        <w:pStyle w:val="Heading3"/>
        <w:numPr>
          <w:ilvl w:val="2"/>
          <w:numId w:val="1"/>
        </w:numPr>
        <w:rPr/>
      </w:pPr>
      <w:bookmarkStart w:id="186" w:name="__RefHeading___Toc506565_1395250215"/>
      <w:bookmarkStart w:id="187" w:name="_Toc76"/>
      <w:bookmarkEnd w:id="186"/>
      <w:r>
        <w:rPr>
          <w:rtl w:val="true"/>
        </w:rPr>
        <w:t>بهره وری عالمانه از فرصت ها</w:t>
      </w:r>
      <w:bookmarkEnd w:id="187"/>
    </w:p>
    <w:p>
      <w:pPr>
        <w:pStyle w:val="BookText"/>
        <w:rPr/>
      </w:pPr>
      <w:r>
        <w:rPr>
          <w:rFonts w:ascii="IRNazanin" w:hAnsi="IRNazanin" w:eastAsia="IRNazanin"/>
          <w:color w:val="111111"/>
          <w:sz w:val="28"/>
          <w:sz w:val="28"/>
          <w:szCs w:val="28"/>
          <w:rtl w:val="true"/>
          <w:lang w:bidi="fa-IR"/>
        </w:rPr>
        <w:t>ابان از فرصت های پیش رو در جهت تبیین باورهای امامیه به خصوص جایگاه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فصل الخطاب و مرجعیت تام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به پرسش عبدالرحمن بن حجاج به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bookmarkStart w:id="188" w:name="pg2622_17795"/>
    </w:p>
    <w:p>
      <w:pPr>
        <w:pStyle w:val="BookText"/>
        <w:rPr/>
      </w:pPr>
      <w:bookmarkEnd w:id="188"/>
      <w:r>
        <w:rPr>
          <w:rFonts w:ascii="IRNazanin" w:hAnsi="IRNazanin" w:eastAsia="IRNazanin"/>
          <w:color w:val="111111"/>
          <w:sz w:val="28"/>
          <w:sz w:val="28"/>
          <w:szCs w:val="28"/>
          <w:rtl w:val="true"/>
          <w:lang w:bidi="fa-IR"/>
        </w:rPr>
        <w:t>خوبی پاسخ گفت و حضرت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را شاخص عمل صحابه دانست</w:t>
      </w:r>
      <w:r>
        <w:rPr>
          <w:rStyle w:val="FootnoteAnchor"/>
          <w:rtl w:val="true"/>
        </w:rPr>
        <w:footnoteReference w:id="37"/>
      </w:r>
      <w:r>
        <w:rPr>
          <w:rFonts w:ascii="IRNazanin" w:hAnsi="IRNazanin" w:eastAsia="IRNazanin"/>
          <w:color w:val="111111"/>
          <w:sz w:val="28"/>
          <w:sz w:val="28"/>
          <w:szCs w:val="28"/>
          <w:rtl w:val="true"/>
          <w:lang w:bidi="fa-IR"/>
        </w:rPr>
        <w:t xml:space="preserve">ابی البلاد در مقام تمجید او برآمده و هر شیعه ای را که در دور ترین نقاط باشد و خبر مرگ ابان را بشنود ولی مصیبت زده نشود مذمت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ابان به محض شنیدن واژه شیعه از زبان ابوالبلاد، فرصت را غنیمت شمرده و لب به سخن گشود و خطاب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ابا البلاد آیا می دانی شیعه کیست؟ شیعه به کسی گفته می‌شود که هرگاه در گفته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کردند، به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کند و اگر در گفته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 به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هرچند حاوی نکات مهمی است اما آنچه در این مجال قابل پرداخت است استفاده به موقع ابان از فرصت ها در معرفی و نقش پیشوایان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نیک نشان می دهد که او دغدغه تبیین جایگاه معرفتی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داشته و از هر فرصت پیش آمده در معرفی و تبیین نقش امام در جامعه بهره لازم را می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جا این نکته قابل توجه است که در آن مجلس به قرینه پرسش عبدالرحمن بن حجاج از برتری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یا دیگر صحابه می توان حدس زد که مخاطبان ابان فقط امامیه نبودند بلکه کسانی بودند که ادعای شیعه بودن را در ذهن می پروراندند ولی از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تبعیت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حضور افراد غیر امامی در آن مجلس خیلی مهم نیست و مهم حضور این تفکر در فضای حاکم کوفه و در مجالس و محافل علمی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ابان خواسته با این تعریف نشان دهد که مرجعیت امام شیعه در حوزه خاصی مانند برتری علمی خلاصه نمی شود، لیکن او در صورت اختلاف در قول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را مطلق دانسته است</w:t>
      </w:r>
      <w:r>
        <w:rPr>
          <w:rFonts w:eastAsia="IRNazanin" w:cs="IRNazanin"/>
          <w:color w:val="111111"/>
          <w:sz w:val="28"/>
          <w:szCs w:val="28"/>
          <w:rtl w:val="true"/>
          <w:lang w:bidi="fa-IR"/>
        </w:rPr>
        <w:t>.</w:t>
      </w:r>
    </w:p>
    <w:p>
      <w:pPr>
        <w:pStyle w:val="Heading3"/>
        <w:numPr>
          <w:ilvl w:val="2"/>
          <w:numId w:val="1"/>
        </w:numPr>
        <w:rPr/>
      </w:pPr>
      <w:bookmarkStart w:id="189" w:name="__RefHeading___Toc506567_1395250215"/>
      <w:bookmarkStart w:id="190" w:name="_Toc77"/>
      <w:bookmarkEnd w:id="189"/>
      <w:r>
        <w:rPr>
          <w:rtl w:val="true"/>
        </w:rPr>
        <w:t>برآیند شخصیت کلامی او در منابع اهل سنت</w:t>
      </w:r>
      <w:bookmarkEnd w:id="190"/>
    </w:p>
    <w:p>
      <w:pPr>
        <w:pStyle w:val="BookText"/>
        <w:rPr/>
      </w:pPr>
      <w:r>
        <w:rPr>
          <w:rFonts w:ascii="IRNazanin" w:hAnsi="IRNazanin" w:eastAsia="IRNazanin"/>
          <w:color w:val="111111"/>
          <w:sz w:val="28"/>
          <w:sz w:val="28"/>
          <w:szCs w:val="28"/>
          <w:rtl w:val="true"/>
          <w:lang w:bidi="fa-IR"/>
        </w:rPr>
        <w:t>تاریخ گواهی می دهد که اتهام به غلو از سوی مخالفان با صرف نظر از درستی یا نادرستی آن، از فعالیت اعتقادی فرد حکایت دارد</w:t>
      </w:r>
      <w:r>
        <w:rPr>
          <w:rStyle w:val="FootnoteAnchor"/>
          <w:rtl w:val="true"/>
        </w:rPr>
        <w:footnoteReference w:id="38"/>
      </w:r>
      <w:r>
        <w:rPr>
          <w:rFonts w:ascii="IRNazanin" w:hAnsi="IRNazanin" w:eastAsia="IRNazanin"/>
          <w:color w:val="111111"/>
          <w:sz w:val="28"/>
          <w:sz w:val="28"/>
          <w:szCs w:val="28"/>
          <w:rtl w:val="true"/>
          <w:lang w:bidi="fa-IR"/>
        </w:rPr>
        <w:t xml:space="preserve">و ابان در اکثر منابع اهل سنت به علم و وثاقت ستوده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ماکولا، بی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ابن سعد، بی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ذهبی،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اندکی از عالمان اهل سنت آن گونه که ذهبی می‌گوید مواجهه خوبی با ایشان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نداشته و او را منحرف، متجاهر</w:t>
      </w:r>
      <w:r>
        <w:rPr>
          <w:rStyle w:val="FootnoteAnchor"/>
          <w:rtl w:val="true"/>
        </w:rPr>
        <w:footnoteReference w:id="39"/>
      </w:r>
      <w:r>
        <w:rPr>
          <w:rFonts w:ascii="IRNazanin" w:hAnsi="IRNazanin" w:eastAsia="IRNazanin"/>
          <w:color w:val="111111"/>
          <w:sz w:val="28"/>
          <w:sz w:val="28"/>
          <w:szCs w:val="28"/>
          <w:rtl w:val="true"/>
          <w:lang w:bidi="fa-IR"/>
        </w:rPr>
        <w:t>و غالی</w:t>
      </w:r>
      <w:r>
        <w:rPr>
          <w:rStyle w:val="FootnoteAnchor"/>
          <w:rtl w:val="true"/>
        </w:rPr>
        <w:footnoteReference w:id="40"/>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درحالی است که ذهبی او را به وثاقت و صداقت ستوده و تشیع و بدعت وی را طعن بر او ندانسته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نسبت‌های ناروا و اتهام غلو به ابان را برنتافته و در مقام دفاع از وی چنین نگاشته که بدعت بر دو نوع صغرا و کبرا است؛ غلو تشیع و تشیع بدون غلو</w:t>
      </w:r>
      <w:r>
        <w:rPr>
          <w:rStyle w:val="FootnoteAnchor"/>
          <w:rtl w:val="true"/>
        </w:rPr>
        <w:footnoteReference w:id="41"/>
      </w:r>
      <w:r>
        <w:rPr>
          <w:rFonts w:ascii="IRNazanin" w:hAnsi="IRNazanin" w:eastAsia="IRNazanin"/>
          <w:color w:val="111111"/>
          <w:sz w:val="28"/>
          <w:sz w:val="28"/>
          <w:szCs w:val="28"/>
          <w:rtl w:val="true"/>
          <w:lang w:bidi="fa-IR"/>
        </w:rPr>
        <w:t>و انحراف در کنار هم از نوع بدعت صغرا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تابعین و تابعین تابعین، که متصف به ورع، تدین و صداقت بودند و همچنین ابان در این گروه قرار دارند و اگر بخواهیم این افراد را تخطئه کنیم، همه آثار نبوی از بین خواهد رفت و این عمل مفسده‌ای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بدعت شامل افرادی است که رفض کامل و غلو در آن داشته، به عمر و ابوبکر اهانت و دیگران را به این امر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بی‌ارزش، دروغگو، اهل تقیه و نفاق بوده و هرگز روایت های چنین افرادی پذیرفته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همین راستا و در مقام دفاع از ابان بین مصداق شیعه غالی در عرف زمان خود با مصداق آن در عرف قدما فرق نهاده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عرف قدما به کسی شیعه غالی گفته می‌شد که درباره عثمان، زبیر، طلحه، معاویه و گروهی از کسانی که با علی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جنگیدند، بدگویی کند و در زمان و عرف ما کسی است که این بزرگان را تکفیر کند و از شیخین بیزاری جوید و چنین شخصی گمراه و خطاکار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ابان هیچ‌گاه نسبت به شیخین بی‌حرمتی نکرده بلکه به برتری علی بر آن دو معتقد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فراز، شایسته است گفته شود اتهام غلو به ابان از سوی برخی از علمای اهل سنت و دفاع ذهبی از او از فعالیت های اعتقادی وی نیز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این اتهام می تواند در راستای فعالیت های کلامی او در مورد امامت و تبیین جایگاه امیرالمؤمنین بوده باشد؛ به هر حال لازمه اتهام به غلو، این فرضیه را تقویت می‌کند که ابان در مورد اثبات امامت حضرت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bookmarkStart w:id="191" w:name="pg2622_17797"/>
    </w:p>
    <w:p>
      <w:pPr>
        <w:pStyle w:val="BookText"/>
        <w:rPr/>
      </w:pPr>
      <w:bookmarkEnd w:id="191"/>
      <w:r>
        <w:rPr>
          <w:rFonts w:ascii="IRNazanin" w:hAnsi="IRNazanin" w:eastAsia="IRNazanin"/>
          <w:color w:val="111111"/>
          <w:sz w:val="28"/>
          <w:sz w:val="28"/>
          <w:szCs w:val="28"/>
          <w:rtl w:val="true"/>
          <w:lang w:bidi="fa-IR"/>
        </w:rPr>
        <w:t>علی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داشته و به تبیین آن همت می‌گماشته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روایات بسیاری از او در این خصوص از ایشان به دست ما رسیده است</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ذهبی به ظاهر دلیلی بر غلو مذهبی ابان ندارد؛ چرا که محور پیدایش نسبت غلو تشیع، در اعتقاد به امامت و پیرامون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صرف بیان احکام عملی و محدث بودن، موجب انتساب غلو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در نگاه امامیه نسبت غلو به ابان به هر شکلی با عنایت به برخورد شدید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غالیان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کشی،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احترام ویژه ابوسعید نزد امام صادق</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پایان عمر او ادامه داشته</w:t>
      </w:r>
      <w:r>
        <w:rPr>
          <w:rStyle w:val="FootnoteAnchor"/>
          <w:rtl w:val="true"/>
        </w:rPr>
        <w:footnoteReference w:id="43"/>
      </w:r>
      <w:r>
        <w:rPr>
          <w:rFonts w:ascii="IRNazanin" w:hAnsi="IRNazanin" w:eastAsia="IRNazanin"/>
          <w:color w:val="111111"/>
          <w:sz w:val="28"/>
          <w:sz w:val="28"/>
          <w:szCs w:val="28"/>
          <w:rtl w:val="true"/>
          <w:lang w:bidi="fa-IR"/>
        </w:rPr>
        <w:t>،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گفته های پیشین، مواجهه خوب و نقل احمد بن محمد بن عیسی قمی از ابان با عنایت به این که او از راویان غالی نقل نمی‌کرد و حتی کسانی را که از این افراد روایت نقل می‌کردند از قم بیرون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کمترین شک و تردیدی در مورد غلو ابان را از بین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Heading3"/>
        <w:numPr>
          <w:ilvl w:val="2"/>
          <w:numId w:val="1"/>
        </w:numPr>
        <w:rPr/>
      </w:pPr>
      <w:bookmarkStart w:id="192" w:name="__RefHeading___Toc506569_1395250215"/>
      <w:bookmarkStart w:id="193" w:name="_Toc78"/>
      <w:bookmarkEnd w:id="192"/>
      <w:r>
        <w:rPr>
          <w:rtl w:val="true"/>
        </w:rPr>
        <w:t>جمع‌بندی</w:t>
      </w:r>
      <w:bookmarkEnd w:id="193"/>
    </w:p>
    <w:p>
      <w:pPr>
        <w:pStyle w:val="BookText"/>
        <w:rPr/>
      </w:pPr>
      <w:r>
        <w:rPr>
          <w:rFonts w:ascii="IRNazanin" w:hAnsi="IRNazanin" w:eastAsia="IRNazanin"/>
          <w:color w:val="111111"/>
          <w:sz w:val="28"/>
          <w:sz w:val="28"/>
          <w:szCs w:val="28"/>
          <w:rtl w:val="true"/>
          <w:lang w:bidi="fa-IR"/>
        </w:rPr>
        <w:t>شواهد نشان از آن دارد که ابان اندیشمندی آگاه به زمان بوده است و با رصدکردن جریان های عصر و با ارتباطی که با منبع وحیانی داشته به روشنگری می‌پرداخته و از حریم تشیع دفاع مـی‌کـرده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هـمچنین مـناظره او در حـضور و با نظارت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گویای شاگردی او درکلام نزد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وی از امام نشان دهنده دغدغه‌های کلامی و همچنین توانایی او در پاسخگویی به شبهات روز است و در پاسخ‌های ایشان هم، برخورد هوشیارانه با مخالفین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تلاش وی در تبیین دقیق و معرفی شیعه حقیقی و گسیل داشتن مردم به سوی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به عنوان امام و مرجع حل اختلاف ها، شاهد دیگری است که ما را به محدث ـ متکلم نامیدن او ترغیب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در شأن ایشان از قدرت مناظره و توانایی دفاع او از معتقدات شیعه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صاحبان رجال و فهارس شیعی و دفاع ذهبی در رفع اتهام غلو از ساحت وی نشان از کوشش او در تبیین جایگاه امامت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روایت های اعتقادی و عنوان برخی از آثار مکتوب او می‌تواند شاهد دیگری برای تعلق خاطر وی به جریان محدث ـ متکلم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هر چند هنوز واکاوی شخصیت کلامی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او نیازمند مطالعه و تحقیق بیشتری است، اما همین مقدار کافی است تا میزان اثرگذاری او را در فرقه های مختلف قابل توجه دانسته و او را فراتر از یک محدث صرف بلکه محدثی ـ متکلم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باور ما را ترغیب نمی کند که افراد دل بسته به جریان محدث ـ متکلم مانند ابان را در کنار امثال هشامین قرار دهیم؛ چرا که این دو جریان گرچه از یک منبع استفاده می کردند و باورهای اصلی آنان مشترک بوده اما روش این دو جریان یکی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که امثال هشامین با توجه به تئوریزه کردن بحث‌ها و استفاده از ادبیات رایج کلامی دارای دیدگاه خاصی شده و شاید در برخی موارد نتوانستند به طور دقیق مبانی اصیل شیعی را تبیین کنند لیکن خود ایشان یا برخی از شاگردان آنها کمی با آموزه های اصیل امامی زاویه گرفتند و فرقه‌ای به نام ایشان به وجود آمد</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نظریه‌پردازی‌های امثال هشام‌بن‌حکم در منابع روایی اولیه قابل مشاهده است</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جریان محدث ـ متکلم با پرهیز از ورود به عرصه نظر ه پردازی خارج از متن، به تبیین معارف در چارچوب و ادبیات روایی اصرار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احادیث کلامی ابان می‌توان این‌گونه اظهار داشت که استفاده او از احادیث بدون به کار بستن نظریه پردازی عقل گرایانه و با توجه به تبیین های درون متنی، وی را در جرگه محدث ـ متکلم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تفاوت شایسته است امثال هشامین را از جریان متکلم ـ محدث و افرادی مانند ابان را از جریان محدث ـ متکلم بدانیم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bookmarkStart w:id="194" w:name="pg2622_17799"/>
    </w:p>
    <w:p>
      <w:pPr>
        <w:pStyle w:val="Heading3"/>
        <w:numPr>
          <w:ilvl w:val="2"/>
          <w:numId w:val="1"/>
        </w:numPr>
        <w:rPr/>
      </w:pPr>
      <w:bookmarkStart w:id="195" w:name="__RefHeading___Toc506571_1395250215"/>
      <w:bookmarkStart w:id="196" w:name="_Toc79"/>
      <w:bookmarkEnd w:id="194"/>
      <w:bookmarkEnd w:id="195"/>
      <w:r>
        <w:rPr>
          <w:rtl w:val="true"/>
        </w:rPr>
        <w:t>منابع</w:t>
      </w:r>
      <w:bookmarkEnd w:id="1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آقانوری، علی،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خاستگاه و پیدایش فرقه‌های شیعه، قم، پژوهشگاه علوم و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زینب، نعمانی،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الغیبة، علی اکبر غفاری، تهران، نشر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الندیم البغدادی، ابوالفرج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 تجدد، 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عسقلانی، شهاب الدین ابوالفضل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تقریب التهذیب، مصطفی عبدالقادر عطا، بیروت، دارالکتب‌العلمیه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مقدمة فتح الباری، بیروت، دار احیاء 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طبقات الکبری، بیروت،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ابوجعفر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معالم العلماء،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جعفربن محمد،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الزیارات، عبدالحسین امینی،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ماکولا،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اکمال الکمال، بیروت، دار احیاءالتراث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اسعدی، علیرضا،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متکلمان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 قم، پژوهشگاه علوم و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ابوالحسن،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الاسلامیین، هلموت ریتر، 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سیدمحسن،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اعیان الشیعة، حسن الامین، بیروت، دارالتعارف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احمدبن محمدبن خالد،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محاسن، جلال‌الدین محدث، قم، دارالکتب‌الاسلامیه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البرقی، تهران،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احمد بن یحیی بن جابر، </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فتوح البلدان، صلاح الدین المنجد، قاهره، مکتبة النهضة المصریة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سیدحسین،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تشیع در مسیر تاریخ، محمدتقی آیت اللهی، تهران،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خانی،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 ابان بن تغلب در طبقه صحابه و 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دوفصلنامه حدیث پژوهی، شماره پنجم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خزاز رازی، علی بن محمد،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کفایة الاثر فی النص علی الائمة اثنی عشر، عبداللطیف حسینی کوه کمری، قم، بیدار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اعلام النبلاء، حسین لأسد، بیروت، موسسة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الاعتدال، علی محمد البجاوی ، بیروت، دارالمعرفة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الکاشف فی معرفة من له روایة فی کتب السنة، محمد عوامة و احمد محمد نمر الخطیب، جدة، دارالقبلة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المغنی فی الضعفا، ابی الزهرا حازم القاضی،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محمدجعفر،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معنایی علمای 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آسمان، شماره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سال سیزدهم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شفیعی، سعید،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 حدیثی شیعه در کوفه، قم، 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محمدتقی،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الرجال، قم، موسسه نشر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محمد بن عبدالکریم،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ملل و نحل، قم،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حر عاملی، محمد بن حسن،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الإیقاظ من الهجعة بالبرهان علی الرجعة، تهران، نوید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إثبات الهداة بالنصوص والمعجزات، بیروت، 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محمد بن بابویه،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و تمام النعمة، علی اکبر غفاری، تهران،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لایحضره الفقیة، علی اکبر غفاری، قم، 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هاشم حسینی، قم، 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فضائل الشیعة، تهران، 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محمد بن 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 الدرجات فی فضائل آل محمد</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محسن بن عباسعلی کوجه باغی، قم، مکتبة آیة الله المرعشی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صفدی، خلیل بن ایبک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الوافی بالوفیات، احمدالاارناؤوط و ترکی مصطفی، بیروت، دار احیاءالتراث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محمدبن جریر،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طبری، ابوالقاسم پاینده، تهران، اساطیر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محمد‌بن حسن،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فهرست، جواد قیومی، قم، موسسه نشراسلامی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فان‌اس، جوزف،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الکلام و المجتمع، سالمه صالح،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منشورات الجمل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علی بن ابراهیم،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قمی، طیب موسوی جزائری، قم، دارالکتب</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محمد‌بن‌عمر،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اختیار‌معرفة الرجال، قم، موسسه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کافی، علی اکبر غفاری و محمد آخوندی، تهران، دارالکتب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کوفی، فرات بن ابراهیم،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 فرات کوفی، محمد کاظم، تهران، وزارت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محمد‌تقی‌بن‌مقصود‌علی،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 المتقین، حسین موسوی کرمانی و علی‌پناه اشتهاردی، قم، موسسه فرهنگی اسلامی‌کوشانپور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جمعی از محققان، بیروت، احیاء الترث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بحارالانوار، بخش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جلد</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طباطبائی، سیدحسین،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میراث مکتوب شیعه از سه قرن نخستین هجری، سیدعلی قرائی و رسول جعفریان، قم، اعتماد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بجنوردی، سیدکاظم،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دائرة المعارف بزرگ اسلامی،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میرخندان، حمید،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ابان بن تغلب قامت تشیع، تهران، سازمان تبلیغات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ناشی اکبر، عبدالله بن محمد،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فرقه های اسلامی و مسأله امامت، علیرضا ایمانی، قم، دانشگاه ادیان و مذاهب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احمد بن علی،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نجاشی، مؤسسه نشر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میرزاحسین،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النجم الثاقب، سیدیاسین موسوی، قم، انوار الهدی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bookmarkStart w:id="197" w:name="pg2622_17802"/>
    </w:p>
    <w:p>
      <w:pPr>
        <w:pStyle w:val="Heading2"/>
        <w:numPr>
          <w:ilvl w:val="1"/>
          <w:numId w:val="1"/>
        </w:numPr>
        <w:rPr/>
      </w:pPr>
      <w:bookmarkStart w:id="198" w:name="__RefHeading___Toc506573_1395250215"/>
      <w:bookmarkStart w:id="199" w:name="_Toc80"/>
      <w:bookmarkEnd w:id="197"/>
      <w:bookmarkEnd w:id="198"/>
      <w:r>
        <w:rPr>
          <w:rtl w:val="true"/>
        </w:rPr>
        <w:t>امامیه‌پژوهی در منابع فرقه‌نگاری اهل‌سنت</w:t>
      </w:r>
      <w:r>
        <w:rPr>
          <w:rtl w:val="true"/>
        </w:rPr>
        <w:t xml:space="preserve">/ </w:t>
      </w:r>
      <w:r>
        <w:rPr>
          <w:rtl w:val="true"/>
        </w:rPr>
        <w:t>محمدجواد نجفی، نرگس بهشتی</w:t>
      </w:r>
      <w:bookmarkEnd w:id="199"/>
    </w:p>
    <w:p>
      <w:pPr>
        <w:pStyle w:val="Heading3"/>
        <w:numPr>
          <w:ilvl w:val="2"/>
          <w:numId w:val="1"/>
        </w:numPr>
        <w:rPr/>
      </w:pPr>
      <w:bookmarkStart w:id="200" w:name="__RefHeading___Toc506575_1395250215"/>
      <w:bookmarkStart w:id="201" w:name="_Toc81"/>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محمد تقی سبحانی</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اکبر قوام کرباسی</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تاریخ دریافت </w:t>
      </w:r>
      <w:r>
        <w:rPr>
          <w:rFonts w:eastAsia="IRNazanin" w:cs="IRNazanin"/>
          <w:color w:val="111111"/>
          <w:sz w:val="28"/>
          <w:szCs w:val="28"/>
          <w:rtl w:val="true"/>
          <w:lang w:bidi="fa-IR"/>
        </w:rPr>
        <w:t>:</w:t>
      </w:r>
      <w:r>
        <w:rPr>
          <w:rFonts w:eastAsia="IRNazanin" w:cs="IRNazanin"/>
          <w:color w:val="111111"/>
          <w:sz w:val="28"/>
          <w:szCs w:val="28"/>
          <w:lang w:bidi="fa-IR"/>
        </w:rPr>
        <w:t>1392/03/11</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تایید </w:t>
      </w:r>
      <w:r>
        <w:rPr>
          <w:rFonts w:eastAsia="IRNazanin" w:cs="IRNazanin"/>
          <w:color w:val="111111"/>
          <w:sz w:val="28"/>
          <w:szCs w:val="28"/>
          <w:rtl w:val="true"/>
          <w:lang w:bidi="fa-IR"/>
        </w:rPr>
        <w:t>:</w:t>
      </w:r>
      <w:r>
        <w:rPr>
          <w:rFonts w:eastAsia="IRNazanin" w:cs="IRNazanin"/>
          <w:color w:val="111111"/>
          <w:sz w:val="28"/>
          <w:szCs w:val="28"/>
          <w:lang w:bidi="fa-IR"/>
        </w:rPr>
        <w:t>1392/04/15</w:t>
      </w:r>
      <w:bookmarkStart w:id="202" w:name="pg2622_17803"/>
    </w:p>
    <w:p>
      <w:pPr>
        <w:pStyle w:val="Heading3"/>
        <w:numPr>
          <w:ilvl w:val="2"/>
          <w:numId w:val="1"/>
        </w:numPr>
        <w:rPr/>
      </w:pPr>
      <w:bookmarkStart w:id="203" w:name="__RefHeading___Toc506577_1395250215"/>
      <w:bookmarkStart w:id="204" w:name="_Toc82"/>
      <w:bookmarkEnd w:id="202"/>
      <w:bookmarkEnd w:id="203"/>
      <w:r>
        <w:rPr>
          <w:rtl w:val="true"/>
        </w:rPr>
        <w:t>چکیده</w:t>
      </w:r>
      <w:bookmarkEnd w:id="204"/>
    </w:p>
    <w:p>
      <w:pPr>
        <w:pStyle w:val="BookText"/>
        <w:rPr/>
      </w:pPr>
      <w:r>
        <w:rPr>
          <w:rFonts w:ascii="IRNazanin" w:hAnsi="IRNazanin" w:eastAsia="IRNazanin"/>
          <w:color w:val="111111"/>
          <w:sz w:val="28"/>
          <w:sz w:val="28"/>
          <w:szCs w:val="28"/>
          <w:rtl w:val="true"/>
          <w:lang w:bidi="fa-IR"/>
        </w:rPr>
        <w:t>التبصیر فی الدین اثری در دانش فرقه‌شناسی است که ابوالمظفر اسفراینی در قرن پنجم 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جمله آثاری است که محققان عرصه شیعه‌شناسی در بازخوانی شیعه از اطلاعات آن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را بر پایه حدیث افتراق تألیف کرده و از میان هفتاد و سه فرقه، بیست فرقه را به شیعه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شکل گیری شیعه امامی که در این کتاب با عناوینی چون رافضی، امامی، قطعیه و اثنی‌عشریه شناسانده شده به ابن سبای یهودی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اصلی فرقه امامیه در اندیشه اسفراینی بر سر اختلاف در مسأله امامت در میان این فرقه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تصویرگری اسفراینی از امامیه به دلیل این که این گروه عقیده ای به قرآن و حدیث ندارد، به بسیاری از مشکلات اعتقادی مانند تحریف قرآن، تشبیه، تجسیم، جبر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ممتاز و ویژه ای در التبصیر دارند لیکن نه تنها ارتباطی بین روافض و حضرات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وجود ندارد بلکه به طور اساسی نفی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نه همانند یک فرقه‌نگار بلکه مانند یک اشعری متعصب تلاش کرده که پندار و باور خویش را نیکو بپروراند و در مقابل، تمام معایب و بدی‌ها را به دیگران به ویژه روافض نسبت داده است</w:t>
      </w:r>
      <w:r>
        <w:rPr>
          <w:rFonts w:eastAsia="IRNazanin" w:cs="IRNazanin"/>
          <w:color w:val="111111"/>
          <w:sz w:val="28"/>
          <w:szCs w:val="28"/>
          <w:rtl w:val="true"/>
          <w:lang w:bidi="fa-IR"/>
        </w:rPr>
        <w:t>.</w:t>
      </w:r>
    </w:p>
    <w:p>
      <w:pPr>
        <w:pStyle w:val="Heading3"/>
        <w:numPr>
          <w:ilvl w:val="2"/>
          <w:numId w:val="1"/>
        </w:numPr>
        <w:rPr/>
      </w:pPr>
      <w:bookmarkStart w:id="205" w:name="__RefHeading___Toc506579_1395250215"/>
      <w:bookmarkStart w:id="206" w:name="_Toc83"/>
      <w:bookmarkEnd w:id="205"/>
      <w:r>
        <w:rPr>
          <w:rtl w:val="true"/>
        </w:rPr>
        <w:t>واژگان کلیدی</w:t>
      </w:r>
      <w:bookmarkEnd w:id="20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اسفراینی، التبصیر، امامیه، روافض، شیعه‌شناسی، امامیه پژوهی</w:t>
      </w:r>
      <w:r>
        <w:rPr>
          <w:rFonts w:eastAsia="IRNazanin" w:cs="IRNazanin"/>
          <w:color w:val="111111"/>
          <w:sz w:val="28"/>
          <w:szCs w:val="28"/>
          <w:rtl w:val="true"/>
          <w:lang w:bidi="fa-IR"/>
        </w:rPr>
        <w:t>.</w:t>
      </w:r>
      <w:bookmarkStart w:id="207" w:name="pg2622_17804"/>
    </w:p>
    <w:p>
      <w:pPr>
        <w:pStyle w:val="Heading3"/>
        <w:numPr>
          <w:ilvl w:val="2"/>
          <w:numId w:val="1"/>
        </w:numPr>
        <w:rPr/>
      </w:pPr>
      <w:bookmarkStart w:id="208" w:name="__RefHeading___Toc506581_1395250215"/>
      <w:bookmarkStart w:id="209" w:name="_Toc84"/>
      <w:bookmarkEnd w:id="207"/>
      <w:bookmarkEnd w:id="208"/>
      <w:r>
        <w:rPr>
          <w:rtl w:val="true"/>
        </w:rPr>
        <w:t>در‌آمد</w:t>
      </w:r>
      <w:bookmarkEnd w:id="209"/>
    </w:p>
    <w:p>
      <w:pPr>
        <w:pStyle w:val="BookText"/>
        <w:rPr/>
      </w:pPr>
      <w:r>
        <w:rPr>
          <w:rFonts w:ascii="IRNazanin" w:hAnsi="IRNazanin" w:eastAsia="IRNazanin"/>
          <w:color w:val="111111"/>
          <w:sz w:val="28"/>
          <w:sz w:val="28"/>
          <w:szCs w:val="28"/>
          <w:rtl w:val="true"/>
          <w:lang w:bidi="fa-IR"/>
        </w:rPr>
        <w:t>کتاب التبصیر فی الدین از منابع دانش فرقه‌شناسی است که به دست ابوالمظفر اسفراینی و در قرن پنجم به رشته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جمله آثاری است که محققان عرصه شیعه‌شناسی در کنار کتبی چون مقالات الاسلامیین اشعری، الفرق بین الفرق بغدادی، الفصل ابن‌حزم و ملل و نحل شهرستانی از اطلاعات آن در تحقیقات خویش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گزارش‌های این آثار، وابسته به عوامل متعددی است که محققان تاریخ اندیشه به رعایت آن اهتمام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التبصیر با هر درجه‌ای از اهمیت در زمره منابع مطالعات شیعه‌شناسی قرار گرفته، چند پرسش مطرح می شود که نویسنده چه تصویری از امامیه ارائه داده و تا چه اندازه در معرفی امامیه منصفانه عمل کرده است؟ گزارش‌های او از امامیه به چه میزانی هماهنگ است و معتقدات نویسنده چه مقدار در معرفی آن در التبصیر مؤثر افتاده است؟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نوشته می‌کوشد ضمن یک مطالعه توصیفی ـ تحلیلی به چنین پرسش‌هایی پاسخ دهد</w:t>
      </w:r>
      <w:r>
        <w:rPr>
          <w:rFonts w:eastAsia="IRNazanin" w:cs="IRNazanin"/>
          <w:color w:val="111111"/>
          <w:sz w:val="28"/>
          <w:szCs w:val="28"/>
          <w:rtl w:val="true"/>
          <w:lang w:bidi="fa-IR"/>
        </w:rPr>
        <w:t>.</w:t>
      </w:r>
    </w:p>
    <w:p>
      <w:pPr>
        <w:pStyle w:val="Heading3"/>
        <w:numPr>
          <w:ilvl w:val="2"/>
          <w:numId w:val="1"/>
        </w:numPr>
        <w:rPr/>
      </w:pPr>
      <w:bookmarkStart w:id="210" w:name="__RefHeading___Toc506583_1395250215"/>
      <w:bookmarkStart w:id="211" w:name="_Toc85"/>
      <w:bookmarkEnd w:id="210"/>
      <w:r>
        <w:rPr>
          <w:rtl w:val="true"/>
        </w:rPr>
        <w:t>اسفراینی و التبصیر</w:t>
      </w:r>
      <w:bookmarkEnd w:id="211"/>
    </w:p>
    <w:p>
      <w:pPr>
        <w:pStyle w:val="BookText"/>
        <w:rPr/>
      </w:pPr>
      <w:r>
        <w:rPr>
          <w:rFonts w:ascii="IRNazanin" w:hAnsi="IRNazanin" w:eastAsia="IRNazanin"/>
          <w:color w:val="111111"/>
          <w:sz w:val="28"/>
          <w:sz w:val="28"/>
          <w:szCs w:val="28"/>
          <w:rtl w:val="true"/>
          <w:lang w:bidi="fa-IR"/>
        </w:rPr>
        <w:t>ابوالمظفر شاهفور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شاهپور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طاهر بن محمد اسفراینی </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اهل‌سنت در قرن پنجم هجری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داوودی،</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ابن عساکر،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سبکی،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رقم</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نشان واقعی او به اختلاف ثبت شده است؛ برخی ایشان را طاهر فرزند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عده ای نیز نامش را طاهر و لقبش را شاهفور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نفیسی،</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هم او را ملقب به عمادالدین خوانده‌اند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نفیسی، همان، کوثری،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منابع قدیمی از این لقب یادی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نام اسفراینی نامی ایرانی است و در آثار علمی او تفسیری از قرآن به زبان فارسی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داوودی، صریفینی، ذهبی، ابن عساکر،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دهیم که وی ایرانی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داماد عبدالقاهر بغدادی تمیمی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تمیم از قبایل معروف عربی بوده که در منطقه نیشابور زندگی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بعید نیست که او از موالی این قبیله معروف بوده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مسلک فقهی اسفراینی، شافعی و مشی کلامی او بر آیین اشاعره گزارش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صریفینی، همان؛ ابن‌عساکر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وی در برخی کتب نشان می‌دهد که از ذوق شعر و شاعری بی‌بهره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داوودی، همان، سبکی،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دوره نوجوانی به حـفظ قـرآن</w:t>
      </w:r>
    </w:p>
    <w:p>
      <w:pPr>
        <w:pStyle w:val="BookText"/>
        <w:rPr/>
      </w:pPr>
      <w:r>
        <w:rPr>
          <w:rFonts w:ascii="IRNazanin" w:hAnsi="IRNazanin" w:eastAsia="IRNazanin"/>
          <w:color w:val="111111"/>
          <w:sz w:val="28"/>
          <w:sz w:val="28"/>
          <w:szCs w:val="28"/>
          <w:rtl w:val="true"/>
          <w:lang w:bidi="fa-IR"/>
        </w:rPr>
        <w:t xml:space="preserve">و شـنیدن حدیث اهتمام داشته و همچون بسیاری از مشتاقان علم‌اندوزی راهی نیشابور می‌شود تا از علمای حدیث این شهر به ویژه اصحاب أَصَم کسب معارف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اساتید او به غیر از اصحاب أَصم، از اصحاب ابوعلی حامد بن محمد رفاء </w:t>
      </w:r>
      <w:r>
        <w:rPr>
          <w:rFonts w:eastAsia="IRNazanin" w:cs="IRNazanin"/>
          <w:color w:val="111111"/>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ذهبی، داوودی، همان؛ صریفینی،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ابن‌مَحمِش زَیادی شافعی نیشابوری ادیب </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ذهبی، داوودی،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ابوإسحاق اسفراینی </w:t>
      </w:r>
      <w:r>
        <w:rPr>
          <w:rFonts w:eastAsia="IRNazanin" w:cs="IRNazanin"/>
          <w:color w:val="111111"/>
          <w:sz w:val="28"/>
          <w:szCs w:val="28"/>
          <w:rtl w:val="true"/>
          <w:lang w:bidi="fa-IR"/>
        </w:rPr>
        <w:t>(</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اسفراینی،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ابومنصور ایوبی </w:t>
      </w:r>
      <w:r>
        <w:rPr>
          <w:rFonts w:eastAsia="IRNazanin" w:cs="IRNazanin"/>
          <w:color w:val="111111"/>
          <w:sz w:val="28"/>
          <w:szCs w:val="28"/>
          <w:rtl w:val="true"/>
          <w:lang w:bidi="fa-IR"/>
        </w:rPr>
        <w:t>(</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معروف ابن‌فورک که کلام اشعری را به اسفراینی آموخته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اسفراینی،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دیگر ایشان پدر همسرش عبد‌القاهر بغدادی </w:t>
      </w:r>
      <w:r>
        <w:rPr>
          <w:rFonts w:eastAsia="IRNazanin" w:cs="IRNazanin"/>
          <w:color w:val="111111"/>
          <w:sz w:val="28"/>
          <w:szCs w:val="28"/>
          <w:rtl w:val="true"/>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الفرق بین الفرق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داوودی، سبکی،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اسفراینی که شاگرد برجسته محافل درسی او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التبصیر، بغدادی را یگانه زمانه‌اش در تمامی علوم و معارف دانسته که با نثری زیبا در همه این علوم تصنیفاتی به یادگار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اسفراینی،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اسفراینی در نیمه دوم قرن پنجم، سالیانی در توس به تدریس و پرورش طالبان علوم دینی مشغول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صریفینی، همان</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حاکم ارغیانی </w:t>
      </w:r>
      <w:r>
        <w:rPr>
          <w:rFonts w:eastAsia="IRNazanin" w:cs="IRNazanin"/>
          <w:color w:val="111111"/>
          <w:sz w:val="28"/>
          <w:szCs w:val="28"/>
          <w:rtl w:val="true"/>
          <w:lang w:bidi="fa-IR"/>
        </w:rPr>
        <w:t>(</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سبکی،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ابوحامد غزالی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عساکر،</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ابوالقاسم مرزبان نیشابوری </w:t>
      </w:r>
      <w:r>
        <w:rPr>
          <w:rFonts w:eastAsia="IRNazanin" w:cs="IRNazanin"/>
          <w:color w:val="111111"/>
          <w:sz w:val="28"/>
          <w:szCs w:val="28"/>
          <w:rtl w:val="true"/>
          <w:lang w:bidi="fa-IR"/>
        </w:rPr>
        <w:t>(</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معروف‌ترین شاگردان او در نیشابور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اسفراینی از علمای پرنویس نیست، لیکن آثاری چند از وی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اثر او 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داوودی؛ صریفینی؛ ذهبی؛ ابن عساکر؛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عناوین تفسیر الکتاب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کوثری،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 مقدمه التبصیر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تاج التراجم فی تفسیر القرآن للأعاجم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حاجی‌خلیفه، بی‌تا،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شده و از نخستین تفاسیر زبان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الأوسط کتابی به زبان فارسی از ایشان است که به منظور جمع‌آوری نکات علمی بزرگان و دانشمندان اهل سنت و جماعت در دانش‌های کلام، تفسیر، فقه، ملل و نحل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تحریر درآمده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اسفراینی،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دسترس 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دیگر اسفراینی التبصیر فی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کامل این کتاب التبصیر فی الدین و تمییز الفرقه الناجیه من الفرق الهالکین می‌باشد که برخی آن را به صورت التبصیر فی الدین و ذکر مقالات</w:t>
      </w:r>
    </w:p>
    <w:p>
      <w:pPr>
        <w:pStyle w:val="BookText"/>
        <w:rPr/>
      </w:pPr>
      <w:r>
        <w:rPr>
          <w:rFonts w:ascii="IRNazanin" w:hAnsi="IRNazanin" w:eastAsia="IRNazanin"/>
          <w:color w:val="111111"/>
          <w:sz w:val="28"/>
          <w:sz w:val="28"/>
          <w:szCs w:val="28"/>
          <w:rtl w:val="true"/>
          <w:lang w:bidi="fa-IR"/>
        </w:rPr>
        <w:t>المخالفین ثبت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سبکی،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اسفراینی از نگارش التبصیر تدوین کتاب جامعی است که بین حق و باطل را تفکیک کند و دلایل هر یک را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این هدف با روشن شدن بدعت‌ها و نقایصی که دامن‌گیر اسلام شده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تلاش کرد دیدگاه‌های فرق و ادیان گوناگون را به دست آورد و آراء ناصواب آن‌ها را باطل نمود تا برای خواهان حقیقت در امر دین، مسیر تحقیق و دست آوری یقین هموار گردد و از آن سو شبهات مخالفان هم اثری در اعتقادورزی ایشان نگذارد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اسفراینی،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غیر از قرآن و احادیث که در همه جای این کتاب استفاده شده، مهم‌ترین منبع مورد استفاده اسفراینی اثر استادش الفرق بین الفرق بوده است؛ هر چند ایشان در صورت و سیرت کتاب تا اندازه‌ای متفاوت از بغدادی عمل کرده که به نمونه هایی از آن اشاره می شود؛ برای مثال کتاب بغدادی در پنج فصل و التبصیر در پانزده فصل تنظیم شده و شاید این کار به دلیل اهمیتی بوده است که برخی از این فرق در نظر اسفراینی داشته اند؛ به طوری که در التبصیر فصل مستقلی را برای فرقه کرامیه می‌بینیم که حضوری پر قدرت در منطقه خراسان داشته ولی در الفرق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فرقه نجاریه و باطنیه نیز که در منطقه جغرافیایی زندگی اسفراینی حضور فکری داشته اند، در التبصیر سامانه‌ای جدا‌گانه برای خویش رقم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دیگر این دو کتاب در این است که هر چند اسفراینی تمایلی برای ورود تفصیلی به مباحث ندارد، لیکن فصل مستقلی برای فرق غیر اسلامی گشوده که در الفرق چنین فصلی وجود ندارد؛ همچنین اسفراینی برخلاف استادش چندان اهمیتی برای نشان دادن منابع گفتار خویش ندارد و شاید دلیل رفتارش این بوده که خواسته به دور از اجمال و تفصیل، سخن گوید و از پرگویی و درازنویسی پرهیز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قالب یک پیش گفتار و پانزده فصل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گفتار شامل مختصری از عقاید اهل حق، حدیث افتراق امت و اقوال مختلف عالمان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های پس از رسول اکرم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 نقش خلفا در حل این اختلاف ها و مسائلی که منجر به ظهور برخی از فرق گشته در این فصل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فصل دوم کتاب از چگونگی تقسیم‌بندی امت اسلام و حدیث تفرقه به اجمال سخن گفته و از فصل سوم تا دوازدهم، عقاید فرقه‌های مختلف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فصل سیزدهم به توصیف فرقه‌هایی پرداخته که آنها را از اسلام خارج می‌داند و بسیاری از فرقه‌های غلات و نیز برخی از فرقه‌های خوارج و معتزله در این فصل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چهاردهم نیز به عقاید و ادیان قبل از اسلام همچون بت‌پرستان، مجوس، یهود، نصاری و سوفسطائیان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اسفراینی در فصل</w:t>
      </w:r>
      <w:bookmarkStart w:id="212" w:name="pg2622_17807"/>
    </w:p>
    <w:p>
      <w:pPr>
        <w:pStyle w:val="BookText"/>
        <w:rPr/>
      </w:pPr>
      <w:bookmarkEnd w:id="212"/>
      <w:r>
        <w:rPr>
          <w:rFonts w:ascii="IRNazanin" w:hAnsi="IRNazanin" w:eastAsia="IRNazanin"/>
          <w:color w:val="111111"/>
          <w:sz w:val="28"/>
          <w:sz w:val="28"/>
          <w:szCs w:val="28"/>
          <w:rtl w:val="true"/>
          <w:lang w:bidi="fa-IR"/>
        </w:rPr>
        <w:t>پانزدهم که بخش پایانی است به اثبات و بیان عقاید اهل سنت و جماعت پرداخته که حجم قابل توجهی از کتاب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فصل تلاش می‌کند به طور نامحسوس بین اشاعره و اهل حدیث را تلفیق کرده و همه را با عنوان اهل سنت و جماعت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اسفراینی،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اشاعره در این دوران سخت به دنبال دست‌یازی به آن هستند؛ هر چند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خوارج، اهل حدیث، معتزله، اشاعره و ماتریدیه را شامل می‌شود اما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خوارج را از دایره اهل سنت بیرون و تنها به اهل حدیث و اشاعره محدود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اسفراینی می‌کوشد تا نشان دهد میان پندار اشاعره و اهل حدیث فاصله‌ای نیست</w:t>
      </w:r>
      <w:r>
        <w:rPr>
          <w:rFonts w:eastAsia="IRNazanin" w:cs="IRNazanin"/>
          <w:color w:val="111111"/>
          <w:sz w:val="28"/>
          <w:szCs w:val="28"/>
          <w:rtl w:val="true"/>
          <w:lang w:bidi="fa-IR"/>
        </w:rPr>
        <w:t>.</w:t>
      </w:r>
    </w:p>
    <w:p>
      <w:pPr>
        <w:pStyle w:val="Heading3"/>
        <w:numPr>
          <w:ilvl w:val="2"/>
          <w:numId w:val="1"/>
        </w:numPr>
        <w:rPr/>
      </w:pPr>
      <w:bookmarkStart w:id="213" w:name="__RefHeading___Toc506585_1395250215"/>
      <w:bookmarkStart w:id="214" w:name="_Toc86"/>
      <w:bookmarkEnd w:id="213"/>
      <w:r>
        <w:rPr>
          <w:rtl w:val="true"/>
        </w:rPr>
        <w:t>روش‌شناسی اسفراینی در بررسی فرق اسلامی</w:t>
      </w:r>
      <w:bookmarkEnd w:id="214"/>
    </w:p>
    <w:p>
      <w:pPr>
        <w:pStyle w:val="Heading4"/>
        <w:numPr>
          <w:ilvl w:val="3"/>
          <w:numId w:val="1"/>
        </w:numPr>
        <w:rPr/>
      </w:pPr>
      <w:bookmarkStart w:id="215" w:name="__RefHeading___Toc506587_1395250215"/>
      <w:bookmarkStart w:id="216" w:name="_Toc87"/>
      <w:bookmarkEnd w:id="215"/>
      <w:r>
        <w:rPr>
          <w:rtl w:val="true"/>
        </w:rPr>
        <w:t>اشاره</w:t>
      </w:r>
      <w:bookmarkEnd w:id="21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کتاب التبصیر در نشان دادن فرقه‌های مختلف اسلامی اعتماد بر حدیث افتراق امت</w:t>
      </w:r>
      <w:r>
        <w:rPr>
          <w:rStyle w:val="FootnoteAnchor"/>
          <w:rtl w:val="true"/>
        </w:rPr>
        <w:footnoteReference w:id="4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مبنا برای نخستین بار در کتاب‌های فرق و مذاهب، از سوی بغدادی در الفرق بین الفرق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حدیث از بین امت اسلامی یک فرقه نجات یافته و دیگر فرقه‌ها اهل آتش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اَسناد این حدیث در منابع شیعه و سنی، محتوای حدیث و اختلاف های عبارات وارد شده در منابع مختلف، اشکال های محتوایی مربوط به حدیث مثل عدم انطباق با واقعیت خارجی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است که در این نوشته مجال طرح نمی یابد؛ اما چه این حدیث درست باشد و چه نادرست، مبنای تنظیم کتاب التبصیر اسفراینی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او امت را در یک نگاه کلی به دو گروه عمده تقسیم می‌کند؛ دسته‌ای مسلمان و جزو امت اسلام هستند و گروهی دیگر از دین اسلام خارجند ولی به اسلام انتساب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اسفراینی معتقد است این روایت ناظر به امت اسلام است و ارتباطی با منسوبین 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عالمان محقق بر این باورند که این هفتاد و سه فرقه در این دوران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هفتاد و سه فرقه مسلمان را به شکلی سامان داده تا امت اسلامی را در قالب ده کلان فرقه و هر کلان فرقه را در چندین فرقه کوچکتر قرار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ده کلان‌فرقه معرفی شده از سوی اسفراینی و تعداد فرقی که ذیل هر یک شماره شده را می‌توان در جدولی که در ادامه می آید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امتکلان فرقهفرقه‌هاتعداد گروه‌ها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فرقه</w:t>
      </w:r>
    </w:p>
    <w:p>
      <w:pPr>
        <w:pStyle w:val="BookText"/>
        <w:rPr/>
      </w:pPr>
      <w:r>
        <w:rPr>
          <w:rFonts w:ascii="IRNazanin" w:hAnsi="IRNazanin" w:eastAsia="IRNazanin"/>
          <w:color w:val="111111"/>
          <w:sz w:val="28"/>
          <w:sz w:val="28"/>
          <w:szCs w:val="28"/>
          <w:rtl w:val="true"/>
          <w:lang w:bidi="fa-IR"/>
        </w:rPr>
        <w:t xml:space="preserve">امت اسلام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کلان فرقه و در مجموع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روافض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زیدیهسه فرقه</w:t>
      </w:r>
    </w:p>
    <w:p>
      <w:pPr>
        <w:pStyle w:val="BookText"/>
        <w:rPr/>
      </w:pPr>
      <w:r>
        <w:rPr>
          <w:rFonts w:ascii="IRNazanin" w:hAnsi="IRNazanin" w:eastAsia="IRNazanin"/>
          <w:color w:val="111111"/>
          <w:sz w:val="28"/>
          <w:sz w:val="28"/>
          <w:szCs w:val="28"/>
          <w:rtl w:val="true"/>
          <w:lang w:bidi="fa-IR"/>
        </w:rPr>
        <w:t>کیسانیهدو فرقه</w:t>
      </w:r>
    </w:p>
    <w:p>
      <w:pPr>
        <w:pStyle w:val="BookText"/>
        <w:rPr/>
      </w:pPr>
      <w:r>
        <w:rPr>
          <w:rFonts w:ascii="IRNazanin" w:hAnsi="IRNazanin" w:eastAsia="IRNazanin"/>
          <w:color w:val="111111"/>
          <w:sz w:val="28"/>
          <w:sz w:val="28"/>
          <w:szCs w:val="28"/>
          <w:rtl w:val="true"/>
          <w:lang w:bidi="fa-IR"/>
        </w:rPr>
        <w:t>امامیهپانزده فرقه</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 أولییک فرقه</w:t>
      </w:r>
    </w:p>
    <w:p>
      <w:pPr>
        <w:pStyle w:val="BookText"/>
        <w:rPr/>
      </w:pPr>
      <w:r>
        <w:rPr>
          <w:rFonts w:ascii="IRNazanin" w:hAnsi="IRNazanin" w:eastAsia="IRNazanin"/>
          <w:color w:val="111111"/>
          <w:sz w:val="28"/>
          <w:sz w:val="28"/>
          <w:szCs w:val="28"/>
          <w:rtl w:val="true"/>
          <w:lang w:bidi="fa-IR"/>
        </w:rPr>
        <w:t>أزارقهیک فرقه</w:t>
      </w:r>
    </w:p>
    <w:p>
      <w:pPr>
        <w:pStyle w:val="BookText"/>
        <w:rPr/>
      </w:pPr>
      <w:r>
        <w:rPr>
          <w:rFonts w:ascii="IRNazanin" w:hAnsi="IRNazanin" w:eastAsia="IRNazanin"/>
          <w:color w:val="111111"/>
          <w:sz w:val="28"/>
          <w:sz w:val="28"/>
          <w:szCs w:val="28"/>
          <w:rtl w:val="true"/>
          <w:lang w:bidi="fa-IR"/>
        </w:rPr>
        <w:t>نجداتیک فرقه</w:t>
      </w:r>
    </w:p>
    <w:p>
      <w:pPr>
        <w:pStyle w:val="BookText"/>
        <w:rPr/>
      </w:pPr>
      <w:r>
        <w:rPr>
          <w:rFonts w:ascii="IRNazanin" w:hAnsi="IRNazanin" w:eastAsia="IRNazanin"/>
          <w:color w:val="111111"/>
          <w:sz w:val="28"/>
          <w:sz w:val="28"/>
          <w:szCs w:val="28"/>
          <w:rtl w:val="true"/>
          <w:lang w:bidi="fa-IR"/>
        </w:rPr>
        <w:t>صفریهیک فرقه</w:t>
      </w:r>
    </w:p>
    <w:p>
      <w:pPr>
        <w:pStyle w:val="BookText"/>
        <w:rPr/>
      </w:pPr>
      <w:r>
        <w:rPr>
          <w:rFonts w:ascii="IRNazanin" w:hAnsi="IRNazanin" w:eastAsia="IRNazanin"/>
          <w:color w:val="111111"/>
          <w:sz w:val="28"/>
          <w:sz w:val="28"/>
          <w:szCs w:val="28"/>
          <w:rtl w:val="true"/>
          <w:lang w:bidi="fa-IR"/>
        </w:rPr>
        <w:t>عجاردهسیزده فرقه</w:t>
      </w:r>
    </w:p>
    <w:p>
      <w:pPr>
        <w:pStyle w:val="BookText"/>
        <w:rPr/>
      </w:pPr>
      <w:r>
        <w:rPr>
          <w:rFonts w:ascii="IRNazanin" w:hAnsi="IRNazanin" w:eastAsia="IRNazanin"/>
          <w:color w:val="111111"/>
          <w:sz w:val="28"/>
          <w:sz w:val="28"/>
          <w:szCs w:val="28"/>
          <w:rtl w:val="true"/>
          <w:lang w:bidi="fa-IR"/>
        </w:rPr>
        <w:t>أباضیهسه فرقه</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دو فرقه‌اند که البته بیست فرقه محسوب می‌شوند</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مرجئه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 قدریهیک فرقه</w:t>
      </w:r>
    </w:p>
    <w:p>
      <w:pPr>
        <w:pStyle w:val="BookText"/>
        <w:rPr/>
      </w:pPr>
      <w:r>
        <w:rPr>
          <w:rFonts w:ascii="IRNazanin" w:hAnsi="IRNazanin" w:eastAsia="IRNazanin"/>
          <w:color w:val="111111"/>
          <w:sz w:val="28"/>
          <w:sz w:val="28"/>
          <w:szCs w:val="28"/>
          <w:rtl w:val="true"/>
          <w:lang w:bidi="fa-IR"/>
        </w:rPr>
        <w:t>مرجئه جهمیهیک فرقه</w:t>
      </w:r>
    </w:p>
    <w:p>
      <w:pPr>
        <w:pStyle w:val="BookText"/>
        <w:rPr/>
      </w:pPr>
      <w:r>
        <w:rPr>
          <w:rFonts w:ascii="IRNazanin" w:hAnsi="IRNazanin" w:eastAsia="IRNazanin"/>
          <w:color w:val="111111"/>
          <w:sz w:val="28"/>
          <w:sz w:val="28"/>
          <w:szCs w:val="28"/>
          <w:rtl w:val="true"/>
          <w:lang w:bidi="fa-IR"/>
        </w:rPr>
        <w:t>مرجئه‌ای که نه جبری هستند و نه قدریپنج فرقه</w:t>
      </w:r>
    </w:p>
    <w:p>
      <w:pPr>
        <w:pStyle w:val="BookText"/>
        <w:rPr/>
      </w:pPr>
      <w:r>
        <w:rPr>
          <w:rFonts w:ascii="IRNazanin" w:hAnsi="IRNazanin" w:eastAsia="IRNazanin"/>
          <w:color w:val="111111"/>
          <w:sz w:val="28"/>
          <w:sz w:val="28"/>
          <w:szCs w:val="28"/>
          <w:rtl w:val="true"/>
          <w:lang w:bidi="fa-IR"/>
        </w:rPr>
        <w:t>بکریهیک فرقه</w:t>
      </w:r>
    </w:p>
    <w:p>
      <w:pPr>
        <w:pStyle w:val="BookText"/>
        <w:rPr/>
      </w:pPr>
      <w:r>
        <w:rPr>
          <w:rFonts w:ascii="IRNazanin" w:hAnsi="IRNazanin" w:eastAsia="IRNazanin"/>
          <w:color w:val="111111"/>
          <w:sz w:val="28"/>
          <w:sz w:val="28"/>
          <w:szCs w:val="28"/>
          <w:rtl w:val="true"/>
          <w:lang w:bidi="fa-IR"/>
        </w:rPr>
        <w:t>نجاریهده فرقه‌اند که همه یک فرقه محسوب می‌شوند</w:t>
      </w:r>
    </w:p>
    <w:p>
      <w:pPr>
        <w:pStyle w:val="BookText"/>
        <w:rPr/>
      </w:pPr>
      <w:r>
        <w:rPr>
          <w:rFonts w:ascii="IRNazanin" w:hAnsi="IRNazanin" w:eastAsia="IRNazanin"/>
          <w:color w:val="111111"/>
          <w:sz w:val="28"/>
          <w:sz w:val="28"/>
          <w:szCs w:val="28"/>
          <w:rtl w:val="true"/>
          <w:lang w:bidi="fa-IR"/>
        </w:rPr>
        <w:t>ضراریهیک فرقه</w:t>
      </w:r>
    </w:p>
    <w:p>
      <w:pPr>
        <w:pStyle w:val="BookText"/>
        <w:rPr/>
      </w:pPr>
      <w:r>
        <w:rPr>
          <w:rFonts w:ascii="IRNazanin" w:hAnsi="IRNazanin" w:eastAsia="IRNazanin"/>
          <w:color w:val="111111"/>
          <w:sz w:val="28"/>
          <w:sz w:val="28"/>
          <w:szCs w:val="28"/>
          <w:rtl w:val="true"/>
          <w:lang w:bidi="fa-IR"/>
        </w:rPr>
        <w:t>جهمیهیک فرقه</w:t>
      </w:r>
    </w:p>
    <w:p>
      <w:pPr>
        <w:pStyle w:val="BookText"/>
        <w:rPr/>
      </w:pPr>
      <w:r>
        <w:rPr>
          <w:rFonts w:ascii="IRNazanin" w:hAnsi="IRNazanin" w:eastAsia="IRNazanin"/>
          <w:color w:val="111111"/>
          <w:sz w:val="28"/>
          <w:sz w:val="28"/>
          <w:szCs w:val="28"/>
          <w:rtl w:val="true"/>
          <w:lang w:bidi="fa-IR"/>
        </w:rPr>
        <w:t>کرامهسه فرقه‌اند که همه یک فرقه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وجماعت از اصحاب حدیث و رأی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در این تقسیم بندی مهم است، ابتدا ملاکی است که اسفراینی در مرحله نخست برای تقسیم امت به مسلمان و غیر مسلمان به کار بسته است، سپس نشان دادن معیار و ملاک افتراق در درون جامعه اسلامی برای نشان دادن ده کلان فرقه و در مرحله آخر ملاک افتراق فرقه‌ها از یکدیگر است</w:t>
      </w:r>
      <w:r>
        <w:rPr>
          <w:rFonts w:eastAsia="IRNazanin" w:cs="IRNazanin"/>
          <w:color w:val="111111"/>
          <w:sz w:val="28"/>
          <w:szCs w:val="28"/>
          <w:rtl w:val="true"/>
          <w:lang w:bidi="fa-IR"/>
        </w:rPr>
        <w:t>.</w:t>
      </w:r>
      <w:bookmarkStart w:id="217" w:name="pg2622_17809"/>
    </w:p>
    <w:p>
      <w:pPr>
        <w:pStyle w:val="Heading4"/>
        <w:numPr>
          <w:ilvl w:val="3"/>
          <w:numId w:val="1"/>
        </w:numPr>
        <w:rPr/>
      </w:pPr>
      <w:bookmarkStart w:id="218" w:name="__RefHeading___Toc506589_1395250215"/>
      <w:bookmarkStart w:id="219" w:name="_Toc88"/>
      <w:bookmarkEnd w:id="217"/>
      <w:bookmarkEnd w:id="218"/>
      <w:r>
        <w:rPr/>
        <w:t>1</w:t>
      </w:r>
      <w:r>
        <w:rPr>
          <w:rtl w:val="true"/>
        </w:rPr>
        <w:t xml:space="preserve">. </w:t>
      </w:r>
      <w:r>
        <w:rPr>
          <w:rtl w:val="true"/>
        </w:rPr>
        <w:t>معیار مسلمانی و نامسلمانی برای تقسیم امت</w:t>
      </w:r>
      <w:bookmarkEnd w:id="219"/>
    </w:p>
    <w:p>
      <w:pPr>
        <w:pStyle w:val="BookText"/>
        <w:rPr/>
      </w:pPr>
      <w:r>
        <w:rPr>
          <w:rFonts w:ascii="IRNazanin" w:hAnsi="IRNazanin" w:eastAsia="IRNazanin"/>
          <w:color w:val="111111"/>
          <w:sz w:val="28"/>
          <w:sz w:val="28"/>
          <w:szCs w:val="28"/>
          <w:rtl w:val="true"/>
          <w:lang w:bidi="fa-IR"/>
        </w:rPr>
        <w:t>اطلاعات ارائه شده از سوی اسفراینی به ویژه در خلال مباحث فصل سیزدهم نشان می‌دهد که وی سه ملاک اصلی را برای خروج از دایره اسلام پیش‌رو می‌نهد؛ سه ملاکی که اگر فرقه‌ای معتقد به یکی از آنها باشد، از زمره مسلمانان خارج می‌شود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شمردن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اسفراینی،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شدن به مقام الوهیت برای ائمه یا هر فرد دیگری و انکار ضروریات دین و نسخ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اسفراینی فرقه‌های بیانیه، صفیریه، منصوریه، جناحیه، خطابیه و حلولیه را در زمره مسلمانان شمارش نکرده است؛ چرا که همه آنان قائل به الوهیت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میمونیه خوارج نیز به دلیل این که ازدواج با دختران خویش را مباح می دانند جزء فرق مسلمین دانسته نشده و همچنین یزیدیه به علت اعتقاد به نسخ شریعت اسلامی از شمارش مسلمانان خارج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اسفراینی در مقام مصداق‌یابی نامسلمانان، غلات را مدنظر قرار می‌دهد تا حکمی چون نامسلمانی برای آنان اقامه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چه تعریف مشخصی از غلو ارایه نکرده اما با چینش فرقه‌هایی که به غلو متهم شده‌اند و استخراج عقاید آنان، می‌توان مشخصه‌های خاص و مشترک فرق غالیان را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فصل سیزدهم به ظاهر، هفده فرقه اما در عمل، بیست و چهار فرقه غالی را نام می‌برد و به ذکر آیین، روش و اعتقادهای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مشترک بیشتر این فرق، به اعطای مقام الوهیت به یک فرد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در برخی موارد فرقه‌هایی را به دلیل اعتقاد به مقام نبوت یک فرد خاص، غالی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غالی خواندن این فرقه‌ها از این جهت است که در نظر اسفراینی نبوت مقامی است که خاستگاه و منشأ آن همان مقام الوهیت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اعتقاد به نسخ و حلال شمردن محرمات و ارتکاب آنها نیز در نگاه اسفراینی از خصایص غلات شمرده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4"/>
        <w:numPr>
          <w:ilvl w:val="3"/>
          <w:numId w:val="1"/>
        </w:numPr>
        <w:rPr/>
      </w:pPr>
      <w:bookmarkStart w:id="220" w:name="__RefHeading___Toc506591_1395250215"/>
      <w:bookmarkStart w:id="221" w:name="_Toc89"/>
      <w:bookmarkEnd w:id="220"/>
      <w:r>
        <w:rPr/>
        <w:t>2</w:t>
      </w:r>
      <w:r>
        <w:rPr>
          <w:rtl w:val="true"/>
        </w:rPr>
        <w:t xml:space="preserve">. </w:t>
      </w:r>
      <w:r>
        <w:rPr>
          <w:rtl w:val="true"/>
        </w:rPr>
        <w:t>مبنا و ملاک افتراق در کلان فرقه‌ها</w:t>
      </w:r>
      <w:bookmarkEnd w:id="22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اسفراینی در ابتدای کتاب تلاش می‌کند به خواننده نشان دهد که اوضاع جامعه اسلامی در زمان ابوبکر و عمر بدون اختلاف بوده و بیشتر این اختلاف ها در اواخر دوران عثمان آغاز شده و در زمان حضرت امیر</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به اوج خود رسیده و پس از آن ادامه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bookmarkStart w:id="222" w:name="pg2622_17810"/>
    </w:p>
    <w:p>
      <w:pPr>
        <w:pStyle w:val="BookText"/>
        <w:rPr/>
      </w:pPr>
      <w:bookmarkEnd w:id="222"/>
      <w:r>
        <w:rPr>
          <w:rFonts w:ascii="IRNazanin" w:hAnsi="IRNazanin" w:eastAsia="IRNazanin"/>
          <w:color w:val="111111"/>
          <w:sz w:val="28"/>
          <w:sz w:val="28"/>
          <w:szCs w:val="28"/>
          <w:rtl w:val="true"/>
          <w:lang w:bidi="fa-IR"/>
        </w:rPr>
        <w:t>بازنگری این اختلاف ها به لحاظ جنس و موضوع در به دست آوردن ملاک جداسازی کلان فرقه‌ها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پرسش ها مطرح است که این اختلاف‌های فرقه‌ساز فقهی بوده یا اعتقادی و یا هر دو؟ اگر اختلاف در مسائل کلامی و اعتقادی زمینه‌ساز بروز فرق اسلامی است، آیا اختلاف در مسائل اصلی مانند توحید، امامت، عدل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ملاک است یا اختلاف در اعم مسائل کوچک و بزرگ؟</w:t>
      </w:r>
    </w:p>
    <w:p>
      <w:pPr>
        <w:pStyle w:val="BookText"/>
        <w:rPr/>
      </w:pPr>
      <w:r>
        <w:rPr>
          <w:rFonts w:ascii="IRNazanin" w:hAnsi="IRNazanin" w:eastAsia="IRNazanin"/>
          <w:color w:val="111111"/>
          <w:sz w:val="28"/>
          <w:sz w:val="28"/>
          <w:szCs w:val="28"/>
          <w:rtl w:val="true"/>
          <w:lang w:bidi="fa-IR"/>
        </w:rPr>
        <w:t xml:space="preserve">اسفراینی در مقام پاسخ به این پرسش‌ها معتقد است که وجود اختلاف در جامعه اسلامی خطرساز نیست؛ مگر این‌که در حوزه اصول دین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اسفراینی،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اختلاف فقهی فقها را از آن جهت که اختلاف در فروع دین است موجب به وجود آمدن فرقه های مختلف در امت اسلامی ندانسته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دیدگاه‌های مختلف نحله‌های فقهی اهل‌سنت را در عین یک‌پارچگی عقاید ایشان شاهد گفتارش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ملاک نانوشته اسفراینی برای افتراق ده کلان فرقه اصلی، اختلاف آنها در اصول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اهمیت این ملاک را هر چند می‌توان در فرق خوارج، معتزله و مرجئه نشان داد ولی از سوی دیگر کلان فرقه روافض نمونه‌ای بارز از عدم رعایت همین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در فصل نخست کتاب دیدیم که در نگاه اسفراینی امامت از اصول دین قلمداد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طور طبیعی اختلاف در امامت نمی‌تواند ملاک افتراق باشد ولی ایشان در تقسیم روافض بر خلاف این مورد رفتار کرده و روافض را با نشان اختلاف در موضوع فرعی تقسیم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ضمن بحث از معیار امامی بودن از نگاه اسفراینی این موضوع را به خوبی خواهیم یافت</w:t>
      </w:r>
      <w:r>
        <w:rPr>
          <w:rFonts w:eastAsia="IRNazanin" w:cs="IRNazanin"/>
          <w:color w:val="111111"/>
          <w:sz w:val="28"/>
          <w:szCs w:val="28"/>
          <w:rtl w:val="true"/>
          <w:lang w:bidi="fa-IR"/>
        </w:rPr>
        <w:t>.</w:t>
      </w:r>
    </w:p>
    <w:p>
      <w:pPr>
        <w:pStyle w:val="Heading4"/>
        <w:numPr>
          <w:ilvl w:val="3"/>
          <w:numId w:val="1"/>
        </w:numPr>
        <w:rPr/>
      </w:pPr>
      <w:bookmarkStart w:id="223" w:name="__RefHeading___Toc506593_1395250215"/>
      <w:bookmarkStart w:id="224" w:name="_Toc90"/>
      <w:bookmarkEnd w:id="223"/>
      <w:r>
        <w:rPr/>
        <w:t>3</w:t>
      </w:r>
      <w:r>
        <w:rPr>
          <w:rtl w:val="true"/>
        </w:rPr>
        <w:t xml:space="preserve">. </w:t>
      </w:r>
      <w:r>
        <w:rPr>
          <w:rtl w:val="true"/>
        </w:rPr>
        <w:t>ملاک افتراق در فرقه‌های ذیل هر کلان فرقه</w:t>
      </w:r>
      <w:bookmarkEnd w:id="224"/>
    </w:p>
    <w:p>
      <w:pPr>
        <w:pStyle w:val="BookText"/>
        <w:rPr/>
      </w:pPr>
      <w:r>
        <w:rPr>
          <w:rFonts w:ascii="IRNazanin" w:hAnsi="IRNazanin" w:eastAsia="IRNazanin"/>
          <w:color w:val="111111"/>
          <w:sz w:val="28"/>
          <w:sz w:val="28"/>
          <w:szCs w:val="28"/>
          <w:rtl w:val="true"/>
          <w:lang w:bidi="fa-IR"/>
        </w:rPr>
        <w:t>اسفراینی هرچند امت اسلامی را در قالب ده کلان فرقه قرار داده اما هر یک از کلان فرقه‌ها، فرق گونا‌گون دیگری را در دل خویش گنجانده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مطرح است که ملاک انشقاق درون فرقه‌ای کلان فرقه‌ها چیست و بر چه پایه‌ای خوارج، معتزله و روافض به فرقه های مختلف تقسیم شده‌اند؟</w:t>
      </w:r>
    </w:p>
    <w:p>
      <w:pPr>
        <w:pStyle w:val="BookText"/>
        <w:rPr/>
      </w:pPr>
      <w:r>
        <w:rPr>
          <w:rFonts w:ascii="IRNazanin" w:hAnsi="IRNazanin" w:eastAsia="IRNazanin"/>
          <w:color w:val="111111"/>
          <w:sz w:val="28"/>
          <w:sz w:val="28"/>
          <w:szCs w:val="28"/>
          <w:rtl w:val="true"/>
          <w:lang w:bidi="fa-IR"/>
        </w:rPr>
        <w:t>بررسی‌ها نشان می‌دهد که اسفراینی مسأله تکفیر را عامل تفرقه درون فرقه‌ای می‌داند و تا زمانی که دو فرقه از یک کلان فرقه به تکفیر یکدیگر نپرداخته باشند حتی اگر به اسامی مختلف نام گرفته و معین شده باشند نیز یک فرقه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این ادعا را در چند جای التبصیر می‌توان یافت؛ برای نمونه او می‌نویسد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الحقائقیة و الاسحاقیة والطرائقیة یعدون فرقة واحدة لان بعض فرقهم لایکفر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bookmarkStart w:id="225" w:name="pg2622_17811"/>
    </w:p>
    <w:p>
      <w:pPr>
        <w:pStyle w:val="BookText"/>
        <w:rPr/>
      </w:pPr>
      <w:bookmarkEnd w:id="225"/>
      <w:r>
        <w:rPr>
          <w:rFonts w:ascii="IRNazanin" w:hAnsi="IRNazanin" w:eastAsia="IRNazanin"/>
          <w:color w:val="111111"/>
          <w:sz w:val="28"/>
          <w:sz w:val="28"/>
          <w:szCs w:val="28"/>
          <w:rtl w:val="true"/>
          <w:lang w:bidi="fa-IR"/>
        </w:rPr>
        <w:t>یا در دیدگاه‌های معتزله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وعشرون منهم القدریة المعتزلة، کل فریق منهم یکفر سائرهم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اسفراینی،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فصل پانزدهم کتاب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اهل السنة، مجتمعون فیما بینهم، لا یکفربعضهم بعضاً و لیس منهم الخلاف یوجب التبری و 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فریق من فرق المخالفین الا و فی ما بینهم تکفیر و تبری و یکفر بعضهم بعضا کما ذکرنا فی الروافض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باشیم که او برای همین ملاک و معیار، روافض را مثال زده و تلاش نموده مسأله تکفیر را در مورد روافض هم نشان دهد، بنابراین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ان الزیدیة والامامیة منهم یکفر بعضهم بعضاً والعداوة دائمة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فرق زیدیه نیز بیان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ان السلیمانیة والابتریة یکفرون الجارودیة منهم، لتکفیرهم ابابکر وعمر ومن تابعهما 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این نکته، اگرچه در ادامه به تفصیل خواهد آمد، اما باید بدانیم که اسفراینی در هیچ جا گزارشی از تکفیر فرق امامیه توسط یکدیگر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امامیه در التبصیر نباید به فرقه های مختلف تبدیل شده باشد، حال آن که امامیه در کتاب اسفراینی، عنوانی است که در درون خوش فرقه‌هایی را قرار داده است</w:t>
      </w:r>
      <w:r>
        <w:rPr>
          <w:rFonts w:eastAsia="IRNazanin" w:cs="IRNazanin"/>
          <w:color w:val="111111"/>
          <w:sz w:val="28"/>
          <w:szCs w:val="28"/>
          <w:rtl w:val="true"/>
          <w:lang w:bidi="fa-IR"/>
        </w:rPr>
        <w:t>.</w:t>
      </w:r>
    </w:p>
    <w:p>
      <w:pPr>
        <w:pStyle w:val="Heading3"/>
        <w:numPr>
          <w:ilvl w:val="2"/>
          <w:numId w:val="1"/>
        </w:numPr>
        <w:rPr/>
      </w:pPr>
      <w:bookmarkStart w:id="226" w:name="__RefHeading___Toc506595_1395250215"/>
      <w:bookmarkStart w:id="227" w:name="_Toc91"/>
      <w:bookmarkEnd w:id="226"/>
      <w:r>
        <w:rPr>
          <w:rtl w:val="true"/>
        </w:rPr>
        <w:t>شیعه امامیه در التبصیر</w:t>
      </w:r>
      <w:bookmarkEnd w:id="227"/>
    </w:p>
    <w:p>
      <w:pPr>
        <w:pStyle w:val="Heading4"/>
        <w:numPr>
          <w:ilvl w:val="3"/>
          <w:numId w:val="1"/>
        </w:numPr>
        <w:rPr/>
      </w:pPr>
      <w:bookmarkStart w:id="228" w:name="__RefHeading___Toc506597_1395250215"/>
      <w:bookmarkStart w:id="229" w:name="_Toc92"/>
      <w:bookmarkEnd w:id="228"/>
      <w:r>
        <w:rPr>
          <w:rtl w:val="true"/>
        </w:rPr>
        <w:t>الف</w:t>
      </w:r>
      <w:r>
        <w:rPr>
          <w:rtl w:val="true"/>
        </w:rPr>
        <w:t xml:space="preserve">. </w:t>
      </w:r>
      <w:r>
        <w:rPr>
          <w:rtl w:val="true"/>
        </w:rPr>
        <w:t>واژه‌شناسی شیعه امامیه</w:t>
      </w:r>
      <w:bookmarkEnd w:id="229"/>
    </w:p>
    <w:p>
      <w:pPr>
        <w:pStyle w:val="Heading5"/>
        <w:numPr>
          <w:ilvl w:val="4"/>
          <w:numId w:val="1"/>
        </w:numPr>
        <w:rPr/>
      </w:pPr>
      <w:bookmarkStart w:id="230" w:name="__RefHeading___Toc506599_1395250215"/>
      <w:bookmarkStart w:id="231" w:name="_Toc93"/>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نگاهی به کتاب التبصیر نشان می‌دهد که اسفراینی از شیعه امامیه با نام‌های مختلفی مانند رافضی، امامی، قطعی و اثنی عشری یاد کرده است؛ البته شناسایی تصویر امامیه مرهون بازخوانی اصطلاحات پیش‌گفته است و نکته قابل توجه، به کارگیری کلمه شیعه در این کتاب است که در ادامه بررسی می‌شود</w:t>
      </w:r>
      <w:r>
        <w:rPr>
          <w:rFonts w:eastAsia="IRNazanin" w:cs="IRNazanin"/>
          <w:color w:val="111111"/>
          <w:sz w:val="28"/>
          <w:szCs w:val="28"/>
          <w:rtl w:val="true"/>
          <w:lang w:bidi="fa-IR"/>
        </w:rPr>
        <w:t>.</w:t>
      </w:r>
    </w:p>
    <w:p>
      <w:pPr>
        <w:pStyle w:val="Heading5"/>
        <w:numPr>
          <w:ilvl w:val="4"/>
          <w:numId w:val="1"/>
        </w:numPr>
        <w:rPr/>
      </w:pPr>
      <w:bookmarkStart w:id="232" w:name="__RefHeading___Toc506601_1395250215"/>
      <w:bookmarkStart w:id="233" w:name="_Toc94"/>
      <w:bookmarkEnd w:id="232"/>
      <w:r>
        <w:rPr/>
        <w:t>1</w:t>
      </w:r>
      <w:r>
        <w:rPr>
          <w:rtl w:val="true"/>
        </w:rPr>
        <w:t xml:space="preserve">. </w:t>
      </w:r>
      <w:r>
        <w:rPr>
          <w:rtl w:val="true"/>
        </w:rPr>
        <w:t>شیعه</w:t>
      </w:r>
      <w:bookmarkEnd w:id="23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به معنای اصطلاحی در هیج جایی از کتاب التبصیر به کار نرفته و به همین دلیل نمی‌توان تعریفی از آن در این کتاب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تنها کاربرد این واژه، ضمن روایتی است</w:t>
      </w:r>
    </w:p>
    <w:p>
      <w:pPr>
        <w:pStyle w:val="BookText"/>
        <w:rPr/>
      </w:pPr>
      <w:r>
        <w:rPr>
          <w:rFonts w:ascii="IRNazanin" w:hAnsi="IRNazanin" w:eastAsia="IRNazanin"/>
          <w:color w:val="111111"/>
          <w:sz w:val="28"/>
          <w:sz w:val="28"/>
          <w:szCs w:val="28"/>
          <w:rtl w:val="true"/>
          <w:lang w:bidi="fa-IR"/>
        </w:rPr>
        <w:t>که ابن عمر از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تکون انت فی الجنة، وشیعتک یکونون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وسیکون بعدی قوم یدعون ولایتک، یدعون الرافضة، فان وجدتهم فاقتلهم فانهم مشرکون</w:t>
      </w:r>
      <w:r>
        <w:rPr>
          <w:rStyle w:val="FootnoteAnchor"/>
          <w:rtl w:val="true"/>
        </w:rPr>
        <w:footnoteReference w:id="50"/>
      </w:r>
      <w:r>
        <w:rPr>
          <w:rFonts w:ascii="IRNazanin" w:hAnsi="IRNazanin" w:eastAsia="IRNazanin"/>
          <w:color w:val="111111"/>
          <w:sz w:val="28"/>
          <w:sz w:val="28"/>
          <w:szCs w:val="28"/>
          <w:rtl w:val="true"/>
          <w:lang w:bidi="fa-IR"/>
        </w:rPr>
        <w:t>یا علی تو در بهشت خواهی بود و شیعیان تو نیز چنین‌اند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قومی خواهد آمد که مدعی ولایت تو هستند و به رافضی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ایشان برخورد کردی آنان را به قتل برسان؛ چرا که مشرکند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اسفراینی،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اسفراینی با دیده قبول به این روایت می‌نگرد و به نظر می‌رسد عدم استفاده او از کلمه شیعه در این کتاب با توجه و عنایت ویژه‌ای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از آن جهت است که نویسنده در مرحله نخست تلاش می کند معایب فرقی را که گمراه می‌داند مطرح کند و به شبهات آن‌ها پاسخ دهد و در مرحله دوم حقانیت و رستگاری اهل سنت و جماعت را به کرسی اثبات 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این روایت، شیعیان علی بن ابی‌طالب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رستگار و اهل بهشت معرفی شده‌اند، در حالی که نویسنده چنین گروهی را رستگار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حل این دوگانگی، ادامه روایت را به یاری می‌طلبد و شیعیان اهل بهشت را به زمان رسول اکرم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کسانی را که بعد از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حضرت امیر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می‌زنند رافضی می‌خواند تا بار معنایی‌ای که از این روایت استیفاد می‌شود، شامل گروه موسوم به شیعه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 اسفراینی هرچند با هدف او در رستگار نشان دادن اهل سنت و جماعت همسو است اما محذور دیگری را برای نویسنده رقم می‌زند؛ چرا که پذیرش این روایت به این معنا خواهد بود که به لحاظ تاریخی گروهی به نام شیعه در عصر حضور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داشته‌اند که دنباله‌روی از امام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را مرام خویش دانسته و در این زمینه ایشان را ممتاز و متمایز از دیگر صحابه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داده تاریخی به این واقعیت اشاره می‌کند که خاستگاه تشیع به معنای رهروی از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داشته است و البته همان طور که در ادامه نشان داده خواهد شد این پندار با نظر اسفراینی در مورد خاستگاه تشیع ناسازگار است؛ زیرا او شیعه را گروهی انحرافی می‌داند که پس از حضرت رسول</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نمایانده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دومی که پذیرش این نقل برای اسفراینی به ارمغان می‌آورد این است که وی رستگاری را منحصر به اهل سنت و جماعت می‌داند؛ حال آن که این روایت، گروه و معیار دیگری را هم برای اهل نجات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توقع، طبیعی است که عملکرد او در قبال این مشکل رستگار نشان دادن اهل سنت و جماعت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رستگاری از نگاه وی محبت‌ورزی</w:t>
      </w:r>
      <w:bookmarkStart w:id="234" w:name="pg2622_17813"/>
    </w:p>
    <w:p>
      <w:pPr>
        <w:pStyle w:val="BookText"/>
        <w:rPr/>
      </w:pPr>
      <w:bookmarkEnd w:id="234"/>
      <w:r>
        <w:rPr>
          <w:rFonts w:ascii="IRNazanin" w:hAnsi="IRNazanin" w:eastAsia="IRNazanin"/>
          <w:color w:val="111111"/>
          <w:sz w:val="28"/>
          <w:sz w:val="28"/>
          <w:szCs w:val="28"/>
          <w:rtl w:val="true"/>
          <w:lang w:bidi="fa-IR"/>
        </w:rPr>
        <w:t>و ولایت پذیری جریان اهل سنت و جماعت از خلفا و صحابه است و از نظر او کسی که عداوت صحابه را در دل دارد، نمی تواند دوستدار صحابه و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به همین دلیل آنها را روافض می‌نامد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اسفراینی،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5"/>
        <w:numPr>
          <w:ilvl w:val="4"/>
          <w:numId w:val="1"/>
        </w:numPr>
        <w:rPr/>
      </w:pPr>
      <w:bookmarkStart w:id="235" w:name="__RefHeading___Toc506603_1395250215"/>
      <w:bookmarkStart w:id="236" w:name="_Toc95"/>
      <w:bookmarkEnd w:id="235"/>
      <w:r>
        <w:rPr/>
        <w:t>2</w:t>
      </w:r>
      <w:r>
        <w:rPr>
          <w:rtl w:val="true"/>
        </w:rPr>
        <w:t xml:space="preserve">. </w:t>
      </w:r>
      <w:r>
        <w:rPr>
          <w:rtl w:val="true"/>
        </w:rPr>
        <w:t>روافض</w:t>
      </w:r>
      <w:bookmarkEnd w:id="236"/>
    </w:p>
    <w:p>
      <w:pPr>
        <w:pStyle w:val="BookText"/>
        <w:rPr/>
      </w:pPr>
      <w:r>
        <w:rPr>
          <w:rFonts w:ascii="IRNazanin" w:hAnsi="IRNazanin" w:eastAsia="IRNazanin"/>
          <w:color w:val="111111"/>
          <w:sz w:val="28"/>
          <w:sz w:val="28"/>
          <w:szCs w:val="28"/>
          <w:rtl w:val="true"/>
          <w:lang w:bidi="fa-IR"/>
        </w:rPr>
        <w:t xml:space="preserve">روافض در کتاب التبصیر، عنوانی است که کلان‌فرقه‌های زیدیه، کیسانیه و امامیه را به دنبال نام خویش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کاربرد این کلمه در کتاب نشان می دهد که کلمه 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روافض از نوعی آشفتگی مفهومی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از آن جهت است که نویسنده به طور رسمی تعریف و وجه اشتراک سه کلان فرقه بالا که تحت عنوان رافضی هستند را به دست نداده و البته خواننده اثر، خود موظف است این دریافت را با توجه به شواهدی که هر کدام نوعی قبض و بسط را در این معنا دارند، بیابد که به نمونه‌هایی از این شواهد اشاره می نماییم؛</w:t>
      </w:r>
    </w:p>
    <w:p>
      <w:pPr>
        <w:pStyle w:val="BookText"/>
        <w:rPr/>
      </w:pPr>
      <w:r>
        <w:rPr>
          <w:rFonts w:ascii="IRNazanin" w:hAnsi="IRNazanin" w:eastAsia="IRNazanin"/>
          <w:color w:val="111111"/>
          <w:sz w:val="28"/>
          <w:sz w:val="28"/>
          <w:szCs w:val="28"/>
          <w:rtl w:val="true"/>
          <w:lang w:bidi="fa-IR"/>
        </w:rPr>
        <w:t>اسفراینی در خصوص دلیل نامیده شدن فرقه زیدیه به رافضه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بیعت‌کنندگان با زید به جرم اظهار این که علی‌بن ابیطالب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نیکویی درباره خلفا سخن می‌رانده، بر او شوریدند و او را کنار نهادند و به همین سبب رافضه نام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بیان دوم با قبول اعتقاد ابوادریس مفسر، ذیل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ظاهر این آیه چنین برمی‌آید که روافض کافر‌ند؛ چرا که در قلوب آنها بغض و عداوت صحابه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اسفراینی این پندار نه تنها در مورد روافض بلکه در مورد هرکسی که از صحابه بغض و عنادی داشته باشد صدق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سوم، نقلی است که در آن حضرت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مشخصه‌های روافض را از پیامبر جویا می شوند و رسول اکرم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لایکون لهم جمعة ولاجماعة ویشتمون ابابکر و عمر</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بیان از شماتت ابوبکر و عمر به عنوان مشخصه روافض یاد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نمونه‌ای دیگر به نقل از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گروهی خواهند آمد که مشخصه‌های ظاهری خاصی دارند و نامشان روافض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اسلام دوری جسته‌اند و باید ایشان را کُشت؛ چرا که حکم آنان حکم مشرک است</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bookmarkStart w:id="237" w:name="pg2622_17814"/>
    </w:p>
    <w:p>
      <w:pPr>
        <w:pStyle w:val="BookText"/>
        <w:rPr/>
      </w:pPr>
      <w:bookmarkEnd w:id="237"/>
      <w:r>
        <w:rPr>
          <w:rFonts w:ascii="IRNazanin" w:hAnsi="IRNazanin" w:eastAsia="IRNazanin"/>
          <w:color w:val="111111"/>
          <w:sz w:val="28"/>
          <w:sz w:val="28"/>
          <w:szCs w:val="28"/>
          <w:rtl w:val="true"/>
          <w:lang w:bidi="fa-IR"/>
        </w:rPr>
        <w:t>اما اگر در دو نمونه پیشین، رفض ناظر به خلفا و شیخین باشد، باید توجه داشته باشیم که در این تعبیر، روافض از اسلام روی گردانده‌اند؛ نه از خلفا و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مجموعه این شواهد و گفتار، رافضی کسی خواهد بود که نه تنها از عمر و ابوبکر به خوبی یاد نمی‌کند بلکه عداوت و بغض آن دو را در دل دارد و آنها را مورد شماتت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دیدیم در معنای رفض، بیزاری و دوری از خلفا به عنوان محور این مفهوم تلقی می‌شد، اما این ملاک برای تمامی فرق روافض رعایت نشده است؛ برای نمونه اسفراینی زیدیه را جزء روافض قرار می دهد اما از بین فرق زیدیه، تنها جارودیه را قائل به کفر خلفا می‌داند و دو فرقه سلیمانیه و ابتریه را از گروه‌هایی معرفی می‌کند که به امامت ابوبکر و عمر اعتقاد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اسفراینی،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این که رافضی باید از ابوبکر و عمر دوری جوید پس چگونه دو فرقه‌ای که به امامت ابوبکر و عمر قائل هستند، رافضی خوانده شده‌اند؟ گویی انتخاب نام رافضی برای فرقه‌هایی که اسفراینی از آنها با عنوان رافضی یاد می‌کند، مانع اغیار نیست</w:t>
      </w:r>
      <w:r>
        <w:rPr>
          <w:rFonts w:eastAsia="IRNazanin" w:cs="IRNazanin"/>
          <w:color w:val="111111"/>
          <w:sz w:val="28"/>
          <w:szCs w:val="28"/>
          <w:rtl w:val="true"/>
          <w:lang w:bidi="fa-IR"/>
        </w:rPr>
        <w:t>.</w:t>
      </w:r>
    </w:p>
    <w:p>
      <w:pPr>
        <w:pStyle w:val="Heading5"/>
        <w:numPr>
          <w:ilvl w:val="4"/>
          <w:numId w:val="1"/>
        </w:numPr>
        <w:rPr/>
      </w:pPr>
      <w:bookmarkStart w:id="238" w:name="__RefHeading___Toc506605_1395250215"/>
      <w:bookmarkStart w:id="239" w:name="_Toc96"/>
      <w:bookmarkEnd w:id="238"/>
      <w:r>
        <w:rPr/>
        <w:t>3</w:t>
      </w:r>
      <w:r>
        <w:rPr>
          <w:rtl w:val="true"/>
        </w:rPr>
        <w:t xml:space="preserve">. </w:t>
      </w:r>
      <w:r>
        <w:rPr>
          <w:rtl w:val="true"/>
        </w:rPr>
        <w:t>امامیه</w:t>
      </w:r>
      <w:bookmarkEnd w:id="239"/>
    </w:p>
    <w:p>
      <w:pPr>
        <w:pStyle w:val="BookText"/>
        <w:rPr/>
      </w:pPr>
      <w:r>
        <w:rPr>
          <w:rFonts w:ascii="IRNazanin" w:hAnsi="IRNazanin" w:eastAsia="IRNazanin"/>
          <w:color w:val="111111"/>
          <w:sz w:val="28"/>
          <w:sz w:val="28"/>
          <w:szCs w:val="28"/>
          <w:rtl w:val="true"/>
          <w:lang w:bidi="fa-IR"/>
        </w:rPr>
        <w:t>امامیه عنوان عامی است که اسفراینی بر پانزده فرقه مختلف از روافض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او معین نمی‌کند چگونه و تحت چه ضابطه‌ای این پانزده گروه را امامیه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مشترک این گروه دوری جستن از ابوبکر و عمر است و به همین دلیل رافضی نام گرفته‌اند؛ اما ملاک امامی بودن ایشان و تعریف او از امامیه مبهم و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با بررسی مجموعه اعتقادهای امامیه در التبصیر ادعا کرد که به نظر اسفراینی، امامیه فرقه‌ای هستند که تمامی گونه‌های آن به امامت حضرت امیر تا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مسأله امامت ویژگی مشترک تمامی فرق امامیه است که نه تنها در امامیه بلکه در تمام فرق روافض مورد توجه نویسنده بوده است</w:t>
      </w:r>
      <w:r>
        <w:rPr>
          <w:rFonts w:eastAsia="IRNazanin" w:cs="IRNazanin"/>
          <w:color w:val="111111"/>
          <w:sz w:val="28"/>
          <w:szCs w:val="28"/>
          <w:rtl w:val="true"/>
          <w:lang w:bidi="fa-IR"/>
        </w:rPr>
        <w:t>.</w:t>
      </w:r>
    </w:p>
    <w:p>
      <w:pPr>
        <w:pStyle w:val="Heading5"/>
        <w:numPr>
          <w:ilvl w:val="4"/>
          <w:numId w:val="1"/>
        </w:numPr>
        <w:rPr/>
      </w:pPr>
      <w:bookmarkStart w:id="240" w:name="__RefHeading___Toc506607_1395250215"/>
      <w:bookmarkStart w:id="241" w:name="_Toc97"/>
      <w:bookmarkEnd w:id="240"/>
      <w:r>
        <w:rPr/>
        <w:t>4</w:t>
      </w:r>
      <w:r>
        <w:rPr>
          <w:rtl w:val="true"/>
        </w:rPr>
        <w:t xml:space="preserve">. </w:t>
      </w:r>
      <w:r>
        <w:rPr>
          <w:rtl w:val="true"/>
        </w:rPr>
        <w:t>قطعیه</w:t>
      </w:r>
      <w:bookmarkEnd w:id="24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قطعیه نیز مانند امامیه از اصطلاحاتی است که در التبصیر بر بسیاری از گروه‌هایی که امامی معرفی شده‌اند اطلاق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قطعیه گروهی معرفی شده که به وفات موسی بن جعفر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و یقین داشته و معتقدند که 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محمد بن الحسن بن علی بن محمد بن علی الرضا ابن موسی الکاظم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فوت یا عدم فوت امام کاظم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مختلفی را در تاریخ شیعه به وجود آورد</w:t>
      </w:r>
      <w:r>
        <w:rPr>
          <w:rFonts w:eastAsia="IRNazanin" w:cs="IRNazanin"/>
          <w:color w:val="111111"/>
          <w:sz w:val="28"/>
          <w:szCs w:val="28"/>
          <w:rtl w:val="true"/>
          <w:lang w:bidi="fa-IR"/>
        </w:rPr>
        <w:t>.</w:t>
      </w:r>
      <w:bookmarkStart w:id="242" w:name="pg2622_17815"/>
    </w:p>
    <w:p>
      <w:pPr>
        <w:pStyle w:val="Heading5"/>
        <w:numPr>
          <w:ilvl w:val="4"/>
          <w:numId w:val="1"/>
        </w:numPr>
        <w:rPr/>
      </w:pPr>
      <w:bookmarkStart w:id="243" w:name="__RefHeading___Toc506609_1395250215"/>
      <w:bookmarkStart w:id="244" w:name="_Toc98"/>
      <w:bookmarkEnd w:id="242"/>
      <w:bookmarkEnd w:id="243"/>
      <w:r>
        <w:rPr/>
        <w:t>5</w:t>
      </w:r>
      <w:r>
        <w:rPr>
          <w:rtl w:val="true"/>
        </w:rPr>
        <w:t xml:space="preserve">. </w:t>
      </w:r>
      <w:r>
        <w:rPr>
          <w:rtl w:val="true"/>
        </w:rPr>
        <w:t>اثنی عشریه</w:t>
      </w:r>
      <w:bookmarkEnd w:id="244"/>
    </w:p>
    <w:p>
      <w:pPr>
        <w:pStyle w:val="BookText"/>
        <w:rPr/>
      </w:pPr>
      <w:r>
        <w:rPr>
          <w:rFonts w:ascii="IRNazanin" w:hAnsi="IRNazanin" w:eastAsia="IRNazanin"/>
          <w:color w:val="111111"/>
          <w:sz w:val="28"/>
          <w:sz w:val="28"/>
          <w:szCs w:val="28"/>
          <w:rtl w:val="true"/>
          <w:lang w:bidi="fa-IR"/>
        </w:rPr>
        <w:t>اسفراینی این اصطلاح را عنوان دیگری برای فرقه قطعیه می‌داند؛ چرا که معتقدند امام منتظر، دوازدهمین فرزند علی بن ابیطالب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اسفراینی،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این نکته لازم است که امامیه، امام منتظر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یازدهمین فرزند حضرت امیر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در حالی که اسفراینی ایشان را دوازدهمین فرزند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Heading4"/>
        <w:numPr>
          <w:ilvl w:val="3"/>
          <w:numId w:val="1"/>
        </w:numPr>
        <w:rPr/>
      </w:pPr>
      <w:bookmarkStart w:id="245" w:name="__RefHeading___Toc506611_1395250215"/>
      <w:bookmarkStart w:id="246" w:name="_Toc99"/>
      <w:bookmarkEnd w:id="245"/>
      <w:r>
        <w:rPr>
          <w:rtl w:val="true"/>
        </w:rPr>
        <w:t>ب</w:t>
      </w:r>
      <w:r>
        <w:rPr>
          <w:rtl w:val="true"/>
        </w:rPr>
        <w:t xml:space="preserve">. </w:t>
      </w:r>
      <w:r>
        <w:rPr>
          <w:rtl w:val="true"/>
        </w:rPr>
        <w:t>پیدایش شیعه</w:t>
      </w:r>
      <w:bookmarkEnd w:id="246"/>
    </w:p>
    <w:p>
      <w:pPr>
        <w:pStyle w:val="BookText"/>
        <w:rPr/>
      </w:pPr>
      <w:r>
        <w:rPr>
          <w:rFonts w:ascii="IRNazanin" w:hAnsi="IRNazanin" w:eastAsia="IRNazanin"/>
          <w:color w:val="111111"/>
          <w:sz w:val="28"/>
          <w:sz w:val="28"/>
          <w:szCs w:val="28"/>
          <w:rtl w:val="true"/>
          <w:lang w:bidi="fa-IR"/>
        </w:rPr>
        <w:t>پرسش از پیدایش یک فرقه و سیر تاریخی آن از نخستین پرسش هایی است که تحقیقات معاصر در عرصه فرقه‌نگاری توجه قابل ملاحظه‌ای نسبت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با نگاهی به آثار سده‌های معاصر و بحث از خاستگاه پیدایش خوارج، معتزله، مرجئه، شیعه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ده نظریه در موضوع پیدایش شیعه و گسترش تاریخی آن مطرح است که ارائه دهندگان آن بسیاری از نویسندگان و محققان قدیم و جدید مسلمان و مستشرق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فرمانیان،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رایج‌ترین دیدگاه‌ها در موضوع پیدایش شیعه، بازگرداندن ریشه و اندیشه شیعه به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ادعای خود را از رهگذر فردی به نام عبدالله بن سبا دنبال می‌کند؛ ولی فردی یهودی تبار است که با اقتباس پاره‌ای آموزه‌ها و افکار یهودی و التقاط آنها با برخی از تعالیم اسلام، مذهب شیعه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خاور‌شناسان تنها کیتانی نقش اعتقادی ابن سبا را بین شیعیان انکار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لوی دلاویدا، یهودی بودن او را مورد پرسش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کسانی همچون فریت لندر در ابتدا تلاش کرده که نشان دهد ابن سبا، یهودی بوده و سپس سعی نموده اثبات کند که شیعه توسط همین مرد یهودی به وجود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بازگرداندن اندیشه شیعه به یهود ریشه در گزارش‌هایی دارد که نمود‌هایی از آن را نه تنها در کتب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منابع ملل و نحل، مانند التنبیه و الرد و الفرق بین الفرق می‌توان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ملطی،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بغدادی،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شهرستانی، بی‌تا،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اسفراینی مسیری مانند هم کیشان خود در معرفی خاستگاه شیعه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آغاز شکل‌گیری شیعه را به سبائیه‌ای نسبت می‌دهد که پس از خلفای سه‌گانه و در زمان حضرت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شکل گرفته</w:t>
      </w:r>
      <w:bookmarkStart w:id="247" w:name="pg2622_17816"/>
    </w:p>
    <w:p>
      <w:pPr>
        <w:pStyle w:val="BookText"/>
        <w:rPr/>
      </w:pPr>
      <w:bookmarkEnd w:id="247"/>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اسفراینی،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سبائیه را پیروان عبدالله سبا معرفی نموده که از غلات روافض شمرده می شوند و تنها به اسلام منسوبند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اسفراینی، ابن‌سبا مردی یهودی‌تبار است که در لباس اسلام به تخریب دین و فریب مسلمانان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ارائه هرگونه گزارشی که زمینه ساخت فرضیه‌های سیاسی برای پیدایش شیعه را رقم بزند اجتناب می‌کند و به گونه‌ای از خلافت و جانشینی رسول اکرم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می‌راند که از ساخت و پرداخت چنین تئوری‌هایی جلوگیری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به آسانی می‌توان از تلاش بسیار او برای فرعی نگاشتن مسأله امامت در سراسر کتاب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248" w:name="__RefHeading___Toc506613_1395250215"/>
      <w:bookmarkStart w:id="249" w:name="_Toc100"/>
      <w:bookmarkEnd w:id="248"/>
      <w:r>
        <w:rPr>
          <w:rtl w:val="true"/>
        </w:rPr>
        <w:t>ج</w:t>
      </w:r>
      <w:r>
        <w:rPr>
          <w:rtl w:val="true"/>
        </w:rPr>
        <w:t xml:space="preserve">. </w:t>
      </w:r>
      <w:r>
        <w:rPr>
          <w:rtl w:val="true"/>
        </w:rPr>
        <w:t>فرقه‌شناسی شیعه امامیه</w:t>
      </w:r>
      <w:bookmarkEnd w:id="249"/>
    </w:p>
    <w:p>
      <w:pPr>
        <w:pStyle w:val="BookText"/>
        <w:rPr/>
      </w:pPr>
      <w:r>
        <w:rPr>
          <w:rFonts w:ascii="IRNazanin" w:hAnsi="IRNazanin" w:eastAsia="IRNazanin"/>
          <w:color w:val="111111"/>
          <w:sz w:val="28"/>
          <w:sz w:val="28"/>
          <w:szCs w:val="28"/>
          <w:rtl w:val="true"/>
          <w:lang w:bidi="fa-IR"/>
        </w:rPr>
        <w:t>همان‌طورکه پیشتر دیدیم اسفراینی کلان فرقه روافض را در قالب سه عنوان به نام‌های زیدیه، کیسانیه و امامیه سامان دهی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وی در مواضعی از التبصیر غلاتی را نام می‌برد که به غلات روافض شهره‌اند و تنها به اسلام انتساب دارند و از نظر اسفراینی به صورت ذیل قابل تقسیم هستند؛</w:t>
      </w:r>
    </w:p>
    <w:p>
      <w:pPr>
        <w:pStyle w:val="BookText"/>
        <w:rPr/>
      </w:pPr>
      <w:r>
        <w:rPr>
          <w:rFonts w:ascii="IRNazanin" w:hAnsi="IRNazanin" w:eastAsia="IRNazanin"/>
          <w:color w:val="111111"/>
          <w:sz w:val="28"/>
          <w:sz w:val="28"/>
          <w:szCs w:val="28"/>
          <w:rtl w:val="true"/>
          <w:lang w:bidi="fa-IR"/>
        </w:rPr>
        <w:t>روافضمسلمانزیدیهدر قالب سه فرقه</w:t>
      </w:r>
    </w:p>
    <w:p>
      <w:pPr>
        <w:pStyle w:val="BookText"/>
        <w:rPr/>
      </w:pPr>
      <w:r>
        <w:rPr>
          <w:rFonts w:ascii="IRNazanin" w:hAnsi="IRNazanin" w:eastAsia="IRNazanin"/>
          <w:color w:val="111111"/>
          <w:sz w:val="28"/>
          <w:sz w:val="28"/>
          <w:szCs w:val="28"/>
          <w:rtl w:val="true"/>
          <w:lang w:bidi="fa-IR"/>
        </w:rPr>
        <w:t>کیسانیهدر قالب دو فرقه</w:t>
      </w:r>
    </w:p>
    <w:p>
      <w:pPr>
        <w:pStyle w:val="BookText"/>
        <w:rPr/>
      </w:pPr>
      <w:r>
        <w:rPr>
          <w:rFonts w:ascii="IRNazanin" w:hAnsi="IRNazanin" w:eastAsia="IRNazanin"/>
          <w:color w:val="111111"/>
          <w:sz w:val="28"/>
          <w:sz w:val="28"/>
          <w:szCs w:val="28"/>
          <w:rtl w:val="true"/>
          <w:lang w:bidi="fa-IR"/>
        </w:rPr>
        <w:t>امامیهدر قالب پانزده فرقه</w:t>
      </w:r>
    </w:p>
    <w:p>
      <w:pPr>
        <w:pStyle w:val="BookText"/>
        <w:rPr/>
      </w:pPr>
      <w:r>
        <w:rPr>
          <w:rFonts w:ascii="IRNazanin" w:hAnsi="IRNazanin" w:eastAsia="IRNazanin"/>
          <w:color w:val="111111"/>
          <w:sz w:val="28"/>
          <w:sz w:val="28"/>
          <w:szCs w:val="28"/>
          <w:rtl w:val="true"/>
          <w:lang w:bidi="fa-IR"/>
        </w:rPr>
        <w:t xml:space="preserve">غیر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روافضدر قالب هفده فرقه</w:t>
      </w:r>
    </w:p>
    <w:p>
      <w:pPr>
        <w:pStyle w:val="BookText"/>
        <w:rPr/>
      </w:pPr>
      <w:r>
        <w:rPr>
          <w:rFonts w:ascii="IRNazanin" w:hAnsi="IRNazanin" w:eastAsia="IRNazanin"/>
          <w:color w:val="111111"/>
          <w:sz w:val="28"/>
          <w:sz w:val="28"/>
          <w:szCs w:val="28"/>
          <w:rtl w:val="true"/>
          <w:lang w:bidi="fa-IR"/>
        </w:rPr>
        <w:t>اعتقادهای ارائه شده از فرق مسلمان روافض نشان می‌دهد که مسأله امامت مهم‌ترین مسأله‌ای است که از بین اعتقادهای شیعه بیشتر از همه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ایشان ناآگاهانه اساسی‌ترین مسأله روافض را اختلاف آنها برسر امامت دانسته و از همین رو بیش از هر اعتقادی به گزارش‌دهی از این اختلاف پرداخته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اعتقادهای زیدیه نشان می دهد که اینان به امامت حضرت امیر</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امام مجتبی و سیدالشهداء</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 و برآنند که پس از سیدالشهداء</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به صورت شورایی در نسل ایشان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ادعا معلوم نیست تا چه اندازه مستند باشد؛ چرا که زیدیان بیش از همه به امامت هر فردی از اولاد فاطمه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حسنی و چه حسینی ـ معتقدند و انحصار آن در اولاد سید‌الشهداء</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را بر نمی‌تابند</w:t>
      </w:r>
      <w:r>
        <w:rPr>
          <w:rFonts w:eastAsia="IRNazanin" w:cs="IRNazanin"/>
          <w:color w:val="111111"/>
          <w:sz w:val="28"/>
          <w:szCs w:val="28"/>
          <w:rtl w:val="true"/>
          <w:lang w:bidi="fa-IR"/>
        </w:rPr>
        <w:t>.</w:t>
      </w:r>
      <w:bookmarkStart w:id="250" w:name="pg2622_17817"/>
    </w:p>
    <w:p>
      <w:pPr>
        <w:pStyle w:val="BookText"/>
        <w:rPr/>
      </w:pPr>
      <w:bookmarkEnd w:id="250"/>
      <w:r>
        <w:rPr>
          <w:rFonts w:ascii="IRNazanin" w:hAnsi="IRNazanin" w:eastAsia="IRNazanin"/>
          <w:color w:val="111111"/>
          <w:sz w:val="28"/>
          <w:sz w:val="28"/>
          <w:szCs w:val="28"/>
          <w:rtl w:val="true"/>
          <w:lang w:bidi="fa-IR"/>
        </w:rPr>
        <w:t>بررسی ها نشان می دهد که تمامی فرق کیسانیه قائل به امامت محمد بن حنیفه بوده‌اند و این اعتقاد را هم می‌توان ملاک کیسانی بودن از نگاه اسفراینی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اعتقادهای امامیه هم نشان می‌دهد که انواع فرق آن به امامت حضرت امیر تا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اسفراینی،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برای این گروه رافضی نیز، مسأله امامت ویژگی مشترک تمامی فرق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می‌توان ادعا نمود که امامت مسأله‌ای است که اسفراینی فرق روافض را دور آن جمع کرده و به طور اساسی جدا شدن این گروه از امت اسلام را به دلیل اختلاف در همین مسأله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مؤلف اصرار دارد که امامت مسأله‌ای فرعی و در زمره مسایل فرائض شمرده می‌شود و روافض هم بر پایه همین مسأله شکل گرفته اند؛ البته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فرعی طوری است که اختلاف در آن، موجب تکفیر و تفسیق نخواهد 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اسفراینی، کلان فرقه‌ها باید بر اساس اختلاف در اصول، از امت جدا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حائز اهمیت است که فرق اثنی عشریه، قطعیه و اسماعیلیه هر کدام گروه‌هایی جداگانه هستند که در دل امامیه قرار گرفته‌اند؛ البته دو عنوان نخست اگر چه نام دیگری برای امامیه بوده اما اسماعیلیه مانند زیدیه فرقه‌ای در عداد امامیه است لیکن اسفراینی این گروه را در زمره امامیان قرار داده است</w:t>
      </w:r>
      <w:r>
        <w:rPr>
          <w:rFonts w:eastAsia="IRNazanin" w:cs="IRNazanin"/>
          <w:color w:val="111111"/>
          <w:sz w:val="28"/>
          <w:szCs w:val="28"/>
          <w:rtl w:val="true"/>
          <w:lang w:bidi="fa-IR"/>
        </w:rPr>
        <w:t>.</w:t>
      </w:r>
    </w:p>
    <w:p>
      <w:pPr>
        <w:pStyle w:val="Heading4"/>
        <w:numPr>
          <w:ilvl w:val="3"/>
          <w:numId w:val="1"/>
        </w:numPr>
        <w:rPr/>
      </w:pPr>
      <w:bookmarkStart w:id="251" w:name="__RefHeading___Toc506615_1395250215"/>
      <w:bookmarkStart w:id="252" w:name="_Toc101"/>
      <w:bookmarkEnd w:id="251"/>
      <w:r>
        <w:rPr>
          <w:rtl w:val="true"/>
        </w:rPr>
        <w:t>د</w:t>
      </w:r>
      <w:r>
        <w:rPr>
          <w:rtl w:val="true"/>
        </w:rPr>
        <w:t xml:space="preserve">. </w:t>
      </w:r>
      <w:r>
        <w:rPr>
          <w:rtl w:val="true"/>
        </w:rPr>
        <w:t>باورها و اعتقادهای امامیه</w:t>
      </w:r>
      <w:bookmarkEnd w:id="252"/>
    </w:p>
    <w:p>
      <w:pPr>
        <w:pStyle w:val="BookText"/>
        <w:rPr/>
      </w:pPr>
      <w:r>
        <w:rPr>
          <w:rFonts w:ascii="IRNazanin" w:hAnsi="IRNazanin" w:eastAsia="IRNazanin"/>
          <w:color w:val="111111"/>
          <w:sz w:val="28"/>
          <w:sz w:val="28"/>
          <w:szCs w:val="28"/>
          <w:rtl w:val="true"/>
          <w:lang w:bidi="fa-IR"/>
        </w:rPr>
        <w:t>اسفراینی در دو مرحله اعتقادهای امامیه را به تصویر کشیده است؛ اعتقادهایی که تمامی فرق امامیه به آن معتقدند و باور‌هایی که مخصوص فرقه ای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باور‌های عمومی امامیه در التبصیر چنین گزارش شده که این فرقه تمام صحابه را کافر می‌دانند و به اعتقاد ایشان قرآن واقعی غیر از قرآنی است که در بین مردم وجود دارد؛ زیرا قرآن موجود توسط صحابه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معتقدند که امامت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منصوص بوده اما توسط صحابه حذف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امامیه محلی برای اعتماد به قرآن و احادیث مروی از رسول اکرم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نمی‌گذارند؛ زیرا شریعت مسلمانان داستانی چون قرآن و سنت دارد که به نظر امامیه نمی‌توان به آن اعتماد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منتظر امامی هستند که وی را مهدی خوانده و به قیام او معتقد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گزارش چنین اعتقادهایی برای امامیه، تهاجمی به الگوی روش‌شناسی امامیه باشد؛ چرا که مطابق گزارش پیشین، قرآن، روایات و احادیث مروی از رسول اکرم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 اجماع مسلمانان برای امامیه قابل اعتماد نیست و به طور طبیعی امامیه هیچ یک از منابع اساسی معرفت دینی را باور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 روشی، ثمره خود را در مباحث معرفتی و اعتقادهای امامیه بروز داده است؛ به طوری که خواننده التبصیر به نیکویی باور می‌کند همین دوری جستن از منابع معرفت دینی، باعث شده اعتقاد به تشبیه و تجسیم بین بزرگان فکری امامیه رسوخ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هایی از شواهد این مطلب در التبصیر اشاره می کنیم؛</w:t>
      </w:r>
    </w:p>
    <w:p>
      <w:pPr>
        <w:pStyle w:val="BookText"/>
        <w:rPr/>
      </w:pPr>
      <w:r>
        <w:rPr>
          <w:rFonts w:ascii="IRNazanin" w:hAnsi="IRNazanin" w:eastAsia="IRNazanin"/>
          <w:color w:val="111111"/>
          <w:sz w:val="28"/>
          <w:sz w:val="28"/>
          <w:szCs w:val="28"/>
          <w:rtl w:val="true"/>
          <w:lang w:bidi="fa-IR"/>
        </w:rPr>
        <w:t>اسفراینی، هشام بن حکم و پیروان او را در توحید به تجسیم متهم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او هشام بن حکم معتقد است خداوند هفت وجب طول دارد ـ البته وجب در مقیاس خداوند ـ او خدا را مانند نقره‌ای درخشان می‌داند که از تمامی جوانب می‌درخشد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اسفراینی،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روش نیز هشام بن سالم، خداوند را به انسان تشبیه کرده و برای خدا گوشت، خون، دست، پا، چشم، بینی، عقل و قلب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صورت خداوند را همانند صورت انسان می‌داند و نیمی از بدنش را پر و نیمه دیگرش را خالی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موهای خدای معرفی شده از سوی هشام بن سالم، سیاه رنگ و قلبش منبع حکمت معرفی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پایه گفتار اسفراینی، زراره و پیروانش نیز خداوند را در ابتدا عالم و قادر نمی‌دانند و سپس او برای خویش علم، حیات، قدرت، اراده، سمع و بصر را می‌آفریند و واجد این صفات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جدا از حدوث این صفات برای خداوند معتقدند که تفاوتی بین این صفات در خداوند با همین صفات در مخلوقات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تشبیهی حساب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که اسفراینی آنان را تشبیهی‌تر از زراریه خوانده است یونس بن عبدالرحمن و همفکران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فرشتگان، خداوند را بر دوش می‌کشند؛ هرچند خداوند از آنان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اعتقاد به درنا</w:t>
      </w:r>
      <w:r>
        <w:rPr>
          <w:rStyle w:val="FootnoteAnchor"/>
          <w:rtl w:val="true"/>
        </w:rPr>
        <w:footnoteReference w:id="53"/>
      </w:r>
      <w:r>
        <w:rPr>
          <w:rFonts w:ascii="IRNazanin" w:hAnsi="IRNazanin" w:eastAsia="IRNazanin"/>
          <w:color w:val="111111"/>
          <w:sz w:val="28"/>
          <w:sz w:val="28"/>
          <w:szCs w:val="28"/>
          <w:rtl w:val="true"/>
          <w:lang w:bidi="fa-IR"/>
        </w:rPr>
        <w:t xml:space="preserve">مثال می‌زند که چگونه پاهای لاغر او هیکل بزرگش را حمل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مؤمن‌الطاق</w:t>
      </w:r>
      <w:r>
        <w:rPr>
          <w:rStyle w:val="FootnoteAnchor"/>
          <w:rtl w:val="true"/>
        </w:rPr>
        <w:footnoteReference w:id="54"/>
      </w:r>
      <w:r>
        <w:rPr>
          <w:rFonts w:ascii="IRNazanin" w:hAnsi="IRNazanin" w:eastAsia="IRNazanin"/>
          <w:color w:val="111111"/>
          <w:sz w:val="28"/>
          <w:sz w:val="28"/>
          <w:szCs w:val="28"/>
          <w:rtl w:val="true"/>
          <w:lang w:bidi="fa-IR"/>
        </w:rPr>
        <w:t>نیز معتقدند که خداوند آن زمان دانا و عالم می‌شود که فعلی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انجام آن فعل نسبت به آن دانا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از علم خداوند، شبیه کردن خدا به انسان‌ها است و این فرقه هم تشبیهی محسوب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خواننده التبصیر با فصلی مواجه است که در آن دیدگاه‌های مشبهه، 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تقسیم مشبهٌ، به مشبهٌ ذات و مشبهٌ صفات از فرقه‌هایی نام می‌برد که یا جزء</w:t>
      </w:r>
    </w:p>
    <w:p>
      <w:pPr>
        <w:pStyle w:val="BookText"/>
        <w:rPr/>
      </w:pPr>
      <w:r>
        <w:rPr>
          <w:rFonts w:ascii="IRNazanin" w:hAnsi="IRNazanin" w:eastAsia="IRNazanin"/>
          <w:color w:val="111111"/>
          <w:sz w:val="28"/>
          <w:sz w:val="28"/>
          <w:szCs w:val="28"/>
          <w:rtl w:val="true"/>
          <w:lang w:bidi="fa-IR"/>
        </w:rPr>
        <w:t>غلات روافض هستند و یا جزء امامیه، هشامیه، یونسیه، زراریه، شیطانیه و کرامیه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طبیعی است قضاوت خواننده اثر این باشد که در عالم اسلام تنها روافض و به ویژه امامیه قائل به تشبیه و تجسیم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اسفراینی باور به تشبیه و تجسیم بین امامیه چنان برجسته است که ادعا می‌کند هر کس بین امت اسلامی چنین اعتقادی پیدا کرده، از امامیه و بزرگان او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اصل و اساس تشبیه و تجسیم را از یهود دانسته و می‌گوید روافض این اعتقاد را از یهود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اسفراینی،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گزارش‌های متعددی از شباهت روافض به یهود ارائه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نشان دهد این کلان فرقه در عرصه اعتقاد بسیار به یهود نزدیکند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تصریح، روافض را یهود امت اسلام می‌داند و البته این گفتار را برخاسته از فرمایش رسول اکرم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که ایشان شرّ روافض را از یهود و نصاری بیشتر خوانده و آنان را کافر، مشرک، ملحد و جعل کننده خرافات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روافض نزد او بدعت گذار بوده و در زمره اهل اهواء ـ افرادی که از کتاب و سنت پیروی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قرار می‌گیرند</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که این گروه به منظور رهایی از سختی شریعت، محرمات را حلال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اعتقاد از مشخصه‌های غلات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روافض در نگاه او از هرگونه دانش و علمی بی‌بهره‌اند و به طور اساسی منشاء تمامی علوم، به اهل حدیث باز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این گفته‌ها را تا چه اندازه می‌توان به امامیه منسوب دانست؟ تمام آثار شفاهی و مکتوب امامیان از ابتدا تاکنون، بر این نکته دلالت می کند که به کارگیری قرآن و روایات نبوی تا چه اندازه مورد استناد امامیان بوده است؟ این رفتار را حتی در ائمه معصومین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می‌توان شاهد و ناظر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گزارش اسفراینی مبنی بر این که امامیه کتاب و سنت را مورد اعتماد نمی‌دانند و چنین استنادهایی در تراث کلامی و اعتقادی امامیه صحیح می‌بود چگونه می‌توانستیم استناد به متن مقدس را در فقه و کلام امامیه توجیه نمایم؟ از آن سو مقایسه اولیه و اجمالی منابع و مصادر امامیه و اهل سنت به خوبی بیان می کند که محتوای کدامین مصادر از گزارش‌ها و گفته‌های تشبیهی و تجسیمی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فنون جدل است که طرف مقابل را به اتهام خویش متهم نمایی تا از این طریق اتهام خویش را پنهان کرده و یا از قبح آن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تاریخ به درستی شهادت داده که در عصر حضور که اسفراینی بزرگان اندیشمند امامی را در آن به تشبیه و تجسیم متهم نموده چه کسانی به تشیبه و تجسیم متهم بوده‌اند و منابع کدامین فرق انباشتی از این‌چنین روایات است؟ امروزه سامانه روایت ها و اعتقادهای اندیشمندان امامیه به خوبی نشان می‌دهد که بر خلاف آن چه امامیه به آن متهم است، بزرگان این گروه اندیشمندانی توحید مدار و به دور از اتهام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اسعدی،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نظری کوتاه به برخی روایت های مورد قبول اهل سنت هم بی فایده نیست که در آن از خنده، تکلم، انگشت، دست، پا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بسیار سخن به میان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حنبل،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امامیه با پیامبر،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صحابه و خلفا</w:t>
      </w:r>
    </w:p>
    <w:p>
      <w:pPr>
        <w:pStyle w:val="BookText"/>
        <w:rPr/>
      </w:pPr>
      <w:r>
        <w:rPr>
          <w:rFonts w:ascii="IRNazanin" w:hAnsi="IRNazanin" w:eastAsia="IRNazanin"/>
          <w:color w:val="111111"/>
          <w:sz w:val="28"/>
          <w:sz w:val="28"/>
          <w:szCs w:val="28"/>
          <w:rtl w:val="true"/>
          <w:lang w:bidi="fa-IR"/>
        </w:rPr>
        <w:t>در نگاه خواننده التبصیر روافض از جانب پیامبر اسلام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اسفراینی،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گروه نیز ارزشی برای روایت های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هرچند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خود می‌دانند اما به این معنا نیست که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خودشان را به عنوان امام این فرقه قبول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مواجهه و ارتباط آن قدر دور است که حتی منشأ روافض توسط حضرت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مطرود و عده ای از آنها توسط حضرت سوزانده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ایشان روافض برای آن‌که فضایح خود را بدون حجت نگذاشته و آنها را عاقلانه جلوه دهند، هر بدعتی را که به آن اعتقاد دارند به اهل‌بیت نسبت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نظر اسفراینی، استناد عقاید به اهل‌بیت بار معنایی مثبتی دارد که نشان از عاقلانه بودن، حجت قلمداد شدن و انکار نشدن آنها دارد و البته روافض هم سعی می‌کنند با انتساب اعتقادهای خویش به ایشان، از این معنا به نفع خود استفاده کنند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اسفراینی به اعتقادهای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ای نکرده است؛ جز آن که ایشان را از باورهای امامیه دور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نسبت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قابل توجهی دارد؛ به طوری که از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عادل‌ترین مردم زمان خویش سخن می‌کند؛ همچنین امام حسن و 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را آقای جوانان بهشت می‌شمارد و صدیقه طاهره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سرور زنان بهشتی می‌خواند و در مقام و منزلت ایشان روایت های جالبی را از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هیچ گونه طعنه ای را درباره مشاهیر از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برنمی‌تابد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امیرالمؤمنین و فرزندان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w:t>
      </w:r>
      <w:bookmarkStart w:id="253" w:name="pg2622_17821"/>
    </w:p>
    <w:p>
      <w:pPr>
        <w:pStyle w:val="BookText"/>
        <w:rPr/>
      </w:pPr>
      <w:bookmarkEnd w:id="253"/>
      <w:r>
        <w:rPr>
          <w:rFonts w:ascii="IRNazanin" w:hAnsi="IRNazanin" w:eastAsia="IRNazanin"/>
          <w:color w:val="111111"/>
          <w:sz w:val="28"/>
          <w:sz w:val="28"/>
          <w:szCs w:val="28"/>
          <w:rtl w:val="true"/>
          <w:lang w:bidi="fa-IR"/>
        </w:rPr>
        <w:t xml:space="preserve">مختلف کتاب به نیکی و احترام نام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اسفراینی،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از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با جلالت خاصی یاد می‌کند و از این که روافض خرافه های اعتقادی خود را به چنین سید درست کردار و راست‌گفتاری مستند می‌کنند ابراز تاسف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بر ایشان را واجب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ارتباط روافض با خلفا تنها به اعتقاد آنها مبنی بر کافر بودن ایشان و رفض و دوری از آنها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ایشان چون همه صحابه اهل بهشتند پس به طور طبیعی نمی‌توانند با روافض اهل آتش ارتباط و تعاملی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4"/>
        <w:numPr>
          <w:ilvl w:val="3"/>
          <w:numId w:val="1"/>
        </w:numPr>
        <w:rPr/>
      </w:pPr>
      <w:bookmarkStart w:id="254" w:name="__RefHeading___Toc506617_1395250215"/>
      <w:bookmarkStart w:id="255" w:name="_Toc102"/>
      <w:bookmarkEnd w:id="254"/>
      <w:r>
        <w:rPr>
          <w:rtl w:val="true"/>
        </w:rPr>
        <w:t>ز</w:t>
      </w:r>
      <w:r>
        <w:rPr>
          <w:rtl w:val="true"/>
        </w:rPr>
        <w:t xml:space="preserve">. </w:t>
      </w:r>
      <w:r>
        <w:rPr>
          <w:rtl w:val="true"/>
        </w:rPr>
        <w:t>رابطه امامیه با غلات</w:t>
      </w:r>
      <w:bookmarkEnd w:id="255"/>
    </w:p>
    <w:p>
      <w:pPr>
        <w:pStyle w:val="BookText"/>
        <w:rPr/>
      </w:pPr>
      <w:r>
        <w:rPr>
          <w:rFonts w:ascii="IRNazanin" w:hAnsi="IRNazanin" w:eastAsia="IRNazanin"/>
          <w:color w:val="111111"/>
          <w:sz w:val="28"/>
          <w:sz w:val="28"/>
          <w:szCs w:val="28"/>
          <w:rtl w:val="true"/>
          <w:lang w:bidi="fa-IR"/>
        </w:rPr>
        <w:t xml:space="preserve">دیدگاه اسفراینی در خاستگاه تشیع، آبستن ارتباط روافض با غلات نیز می باشد؛ چرا‌که او منشأ روافض را به فرقه‌ای باز می‌گرداند که به سبائیه شهرت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در التبصیر از غلات روافض به‌شمار می‌آیند و علت غالی شمرده شدن آن ها نیز اعتقاد به مقام نبوت و سپس مقام الوهیت حضرت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دیدگاهی ارتباط و نسبت شیعه و غلو به سادگی دستخوش تغییر است؛ البته شیعیانی که سر آغاز شکل‌گیری آنان به صورت بالا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دسته‌ای از روافض را در حوزه‌ای به نام روافض غیر مسلمان قرار داد که به الوهیت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قایل شده یا منکر ضروری دین شده باشند و هفده فرقه از روافض را هم که چنین پنداری دارند به عنوان غلات روافض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ایشان روافض و شیعیان نمی‌توانند مؤمن باشند؛ چرا که وی عقاید فرقه ناجیه را در صحت اعتقاد مسلمان، مشروط می‌داند و ضمن واجب شمردن اظهار و اقرار به آن، معرفت به آنها را نیز در صحت ایمان واجب می‌انگارد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اومسلمان باید بتواند با دلیل شرعی ـ برای کسانی که شریعت را قبول دارند ـ و دلیل عقلی ـ برای آنان‌که ملحدند ـ احتجاج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روافض که عقاید فرقه ناجیه را قبول ندارند، به طور طبیعی معرفتی که ناظر به دفاع کلامی از این عقاید باشد را هم نخواهد داشت پس ایمان صحیحی نیز ندارند؛ چرا که ایمان صحیح، برمعرفت به عقاید حقه اهل سنت و جماعت بنا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bookmarkStart w:id="256" w:name="pg2622_17822"/>
    </w:p>
    <w:p>
      <w:pPr>
        <w:pStyle w:val="Heading4"/>
        <w:numPr>
          <w:ilvl w:val="3"/>
          <w:numId w:val="1"/>
        </w:numPr>
        <w:rPr/>
      </w:pPr>
      <w:bookmarkStart w:id="257" w:name="__RefHeading___Toc506619_1395250215"/>
      <w:bookmarkStart w:id="258" w:name="_Toc103"/>
      <w:bookmarkEnd w:id="256"/>
      <w:bookmarkEnd w:id="257"/>
      <w:r>
        <w:rPr>
          <w:rtl w:val="true"/>
        </w:rPr>
        <w:t>ح</w:t>
      </w:r>
      <w:r>
        <w:rPr>
          <w:rtl w:val="true"/>
        </w:rPr>
        <w:t xml:space="preserve">. </w:t>
      </w:r>
      <w:r>
        <w:rPr>
          <w:rtl w:val="true"/>
        </w:rPr>
        <w:t>فرقه ناجیه</w:t>
      </w:r>
      <w:bookmarkEnd w:id="258"/>
    </w:p>
    <w:p>
      <w:pPr>
        <w:pStyle w:val="BookText"/>
        <w:rPr/>
      </w:pPr>
      <w:r>
        <w:rPr>
          <w:rFonts w:ascii="IRNazanin" w:hAnsi="IRNazanin" w:eastAsia="IRNazanin"/>
          <w:color w:val="111111"/>
          <w:sz w:val="28"/>
          <w:sz w:val="28"/>
          <w:szCs w:val="28"/>
          <w:rtl w:val="true"/>
          <w:lang w:bidi="fa-IR"/>
        </w:rPr>
        <w:t>بیان ویژگی‌های فرقه ناجیه از جمله ابزاری است که می‌تواند در بازخوانی عملکرد اسفراینی در تصویرپردازی امامیه مؤثر باشد؛ چرا که شناساندن فرقه ناجیه و علل سعادت و رستگاری آنان در گرو وجود ملاک‌هایی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فرقی که فاقد ملاک‌های رستگاری باشند بی‌بهره از حق و حقیقت و رستگاری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روافض، که به نظر نویسنده در شمار فرق رستگار نیامده‌اند، باید فاقد ملاک‌های لازم برای نجات و رستگاری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اسفراینی به منظور بیان ویژگی‌ها و مشخصه‌های فرقه ناجیه از روایت هایی شروع می‌کند که در آن به اسم و عنوان فرقه ناجیه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گفتار او رسول اکرم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که چه کسانی رستگار و نجات یافته‌اند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علیه و 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نقلی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الجماعة فرقه‌ای هستند که اسفراینی اعتقادنامه‌ای از آنان را در قالب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به‌دست داده است؛ اعتقادهایی مربوط به توحید، نبوت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معرفت به آنها لازمه صحت 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اسفراینی،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پذیرش این اعتقادها را از سر تقلید نمی‌داند و معتقد اسـت بر هر عاقل بالغی واجـب اسـت اصول اعتقادی را به طور عقلی بـپذیرد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تقلید را تنها در فروع دین و شریعت جایز می‌شمارد؛ نه در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اسفراینی اهل سنت و جماعت مصداق گروه و فرقه نجات یافته‌اند؛ چون بیشترین تبعیت را از رسول اکرم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ایشان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فرمایش رسول اکرم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انا علیه واصحابی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در مورد اهل سنت و جماعت ممکن الصدق می‌داند؛ چرا که تنها این فرقه به نقل اخبار و آثار پیامبر و صحابی ایشان اهتمام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فرقی مانند روافض و خوارج که از صحابه دوری جسته و احادیث پیامبر را ارزش نمی‌نهند، رستگار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اسفراینی، دلایل دیگری هم برای رستگاری این گروه دارد که از آن جمله می‌توان به اشتهار اهل سنت و جماعت نزد عام و خاص با چنین نامی، تمسک این گروه به کتاب الله و رسول خدا</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اجماع امت و قیاس در فروع شرعی برخلاف فرق مخالف اهل سنت، وحدت فراگیر بین اهل سنت و پرهیز از هرگونه اتهام کفر و فسق و تبری بین این گروه اشاره نمود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وی چون حق یکی است و اهل سنت و جماعت هم یک فرقه بدون اختلاف هستند پس حق با ایشان است؛ نه فرقی که درون خود اختلاف دارند و به تکفیر و تبری از هم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کلیدی‌ترین احکام نانوشته‌ای است که اسفراینی بر پایه آن تلاش می‌کند تا نشان دهد تمام فرق غیر از اهل سنت و جماعت به دسته های مختلف تقسیم شده‌اند،</w:t>
      </w:r>
      <w:bookmarkStart w:id="259" w:name="pg2622_17823"/>
    </w:p>
    <w:p>
      <w:pPr>
        <w:pStyle w:val="BookText"/>
        <w:rPr/>
      </w:pPr>
      <w:bookmarkEnd w:id="259"/>
      <w:r>
        <w:rPr>
          <w:rFonts w:ascii="IRNazanin" w:hAnsi="IRNazanin" w:eastAsia="IRNazanin"/>
          <w:color w:val="111111"/>
          <w:sz w:val="28"/>
          <w:sz w:val="28"/>
          <w:szCs w:val="28"/>
          <w:rtl w:val="true"/>
          <w:lang w:bidi="fa-IR"/>
        </w:rPr>
        <w:t>تا به این وسیله حکم کند که اینان بهره‌ای از حق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اسفراینی فرقه ناجیه را منشأ تمام علوم و معارف و انواع اجتهادها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براساس همین پندار ابراز می‌کند که تمامی علوم از صرف، نحو، علوم بلاغی، علم قرآن، تفسیر، علوم حدیث و دانش‌های مرتبط با آن و علم فقه و اصول تا دانش‌های نظامی، تاریخ و جهان‌گردی، علم تصوف و اشارات و حتی علوم جدید مانند معماری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مهم‌تر از همه، علم اصول دین و اعتقادات همه ریشه در اندیشه اهل سنت و جماعت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اسفراینی برای اثبات گفتار خویش سعی کرده نام بزرگان اهل سنت و جماعت را در رشته‌های مختلف علمی بیان کند و نشان دهد که فرق خوارج، روافض و معتزله از داشتن چنین دانش‌هایی یا بی‌بهره‌اند و یا از اساس باید بی‌بهره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اسفراینی،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3"/>
        <w:numPr>
          <w:ilvl w:val="2"/>
          <w:numId w:val="1"/>
        </w:numPr>
        <w:rPr/>
      </w:pPr>
      <w:bookmarkStart w:id="260" w:name="__RefHeading___Toc506621_1395250215"/>
      <w:bookmarkStart w:id="261" w:name="_Toc104"/>
      <w:bookmarkEnd w:id="260"/>
      <w:r>
        <w:rPr>
          <w:rtl w:val="true"/>
        </w:rPr>
        <w:t>نتیجه گیری</w:t>
      </w:r>
      <w:bookmarkEnd w:id="26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مشاهده شد، اسفراینی کتاب خویش را بر پایه حدیث افتراق تألیف کرده و ازمیان هفتاد و سه فرقه مشخص شده در این روایت بیست فرقه را به شیعه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شیعه امامیه با عناوینی چون رافضی، امامی، قطعیه و اثنی‌عشریه یاد می‌کند، آغاز شکل گیری آنان را به فتنه ابن سبای یهودی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طبق نظر وی که مسائل فرعی دین نمی‌توانند فرقه ساز باشند اما در عمل، روافض بر همین اساس سامان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آن جهت که باوری به قرآن و حدیث ندارد، بسیاری از مشکلات اعتقادی چون تحریف قرآن، تشبیه و تجسیم و جبر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اعتقادها در فرق مختلف شیعه خود را نشان داده است؛ فرقی که بر اساس بنیان کتاب، به ازای هر یک از مشاهیر فکری شیعه در دوران نخست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اذعان دارد که ائمه معصومین اندیشه‌های والایی دارند، لیکن سعی نموده تا نشان دهد که هیچ ارتباط فکری و اعتقادی بین روافض و حضرات معصومین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او نه همانند یک فرقه‌نگار، بلکه مانند یک اشعری متعصب تلاش کرده که پندار و باور خویش را نیکو بپروراند و در مقابل، تمام معایب و بدی‌ها را به دیگران به ویژه روافض و دیگر فرق شیعه منسوب کند</w:t>
      </w:r>
      <w:r>
        <w:rPr>
          <w:rFonts w:eastAsia="IRNazanin" w:cs="IRNazanin"/>
          <w:color w:val="111111"/>
          <w:sz w:val="28"/>
          <w:szCs w:val="28"/>
          <w:rtl w:val="true"/>
          <w:lang w:bidi="fa-IR"/>
        </w:rPr>
        <w:t>.</w:t>
      </w:r>
      <w:bookmarkStart w:id="262" w:name="pg2622_17824"/>
    </w:p>
    <w:p>
      <w:pPr>
        <w:pStyle w:val="Heading3"/>
        <w:numPr>
          <w:ilvl w:val="2"/>
          <w:numId w:val="1"/>
        </w:numPr>
        <w:rPr/>
      </w:pPr>
      <w:bookmarkStart w:id="263" w:name="__RefHeading___Toc506623_1395250215"/>
      <w:bookmarkStart w:id="264" w:name="_Toc105"/>
      <w:bookmarkEnd w:id="262"/>
      <w:bookmarkEnd w:id="263"/>
      <w:r>
        <w:rPr>
          <w:rtl w:val="true"/>
        </w:rPr>
        <w:t>منابع</w:t>
      </w:r>
      <w:bookmarkEnd w:id="2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علی بن حسن،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تبیین الکذب المفتری، بیروت، مطبعة التوفیق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ابن‌حنبل، احمد‌بن‌محمد،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فضائل الصحابة، وصی‌الله‌بن محمدعباس، مرکزالبحث العلمی،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الادنه وی، احمد،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طبقات المفسرین، سلیمان بن صالح، السعودیه، دار النشر، مکتبة العلوم و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اسعدی، علیرضا،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هشام بن حکم، قم، پژوهشگاه علوم و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اسفراینی، شاهفور،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التبصیر فی الدین، محمد زاهد الکوثری، بغداد، مکتبة المثنی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الألبانی، محمد ناصرالدین،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ضعیف الجامع الصغیر و زیادتة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المکتب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بدوی، عبدالرحمان،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اندیشه‌های کلامی در اسلام، حسین صابری، مشهد، آستان قدس رضوی، بنیاد پژوهش های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ابومنصور عبدالقاهر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الفرق بین الفرق، محمد محیی الدین عبدالحمید، مصر، مکتبة محمد صبیح و اولاده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خلیفه، مصطفی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الظنون، بغداد، مکتبة المثنی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حلمی، احمد کمال الدین،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سلجوقیان، عبدالله ناصری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نشر پژوهشگاه حوزه و 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حموی، یاقوت بن عبدالله،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البلدان،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حنبل، عبدالله بن احمد بن محمد بن،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السنة، محمد بن سعید بن سالم قحطانی، عربستان، دمام، دارابن 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داوودی، محمد،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طبقات المفسرین، عبدالسلام عبدالمعین،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محمد،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اعلام النبلاء، شعیب الارنووط و حسین الاسد، بیروت، مؤسسة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زرکلی، خیرالدین،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الاعلام، بیروت، مطبعة گوستاستوماس و شرکا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طبقات الفقها، قم، مؤسسة الامام الصادق</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سبکی، تاج الدین،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طبقات الشافعیه الکبری، محمود محمد الطناحی، مطبعة عیسی البابی الحلبی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الملل و النحل، سیدمحمد گیلانی، بیروت، دارالمعرفة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صریفینی، ابراهیم،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المنتخب من السیاق، محمد احمد عبدالعزیز،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طبرانی، سلیمان،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الکبیر، حمدی عبدالمجید السلفی، بیروت، داراحیاء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الأمم و الملوک، مصر، قاهره، مطبعة الاستفامة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عجلونی، اسماعیل بن محمد،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الخفاء و مزیل الالباس عما اشتهر من الاحادیث،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فرمانیان، مهدی،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آشنایی با فرق تشیع، قم، مرکز مدیریت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فقیهی، علی اصغر،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آل‌بویه نخستین سلسله قدرتمند شیعه، تهران، صبا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کحاله، عمر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المؤلفین، بغداد، مکتبة المثنی و دارالتراث العربی‌بیروت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کسائی، نوراله،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مدارس نظامیه و تأثیرات علمی و اجتماعی آن، تهران،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متدین، حشمت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نظامیه نیشابور، قزوین، دانشگاه بین المللی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هندی، علی بن حسام الدین،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 العمال فی سنن الافوال و الافعال، شیخ صفوة السقا، شیخ بکری حیانی، بیروت، موسسه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ملطی شافعی، محمدبن احمد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التنبیه و الرد علی اهل الاهواء و البدع، محمد زاهد الکوثری، بغداد مکتبة المثنی، بیروت مکتبة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نحوی، سیف الله،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 بویه حامیان فرهنگ تشیع، قم، پژوهشکده باقرالعلوم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نورالسجاد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الملک، حسن بن علی،</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 نامه، محمد قزوینی، تهران، طهوری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نفیسی، سعید،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نظم و نثر در ایران، تهران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وکیلیان، منوچهر،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آموزش و پرورش در اسلام و ایران، تهران، دانشگاه پیام نور</w:t>
      </w:r>
      <w:r>
        <w:rPr>
          <w:rFonts w:eastAsia="IRNazanin" w:cs="IRNazanin"/>
          <w:color w:val="111111"/>
          <w:sz w:val="28"/>
          <w:szCs w:val="28"/>
          <w:rtl w:val="true"/>
          <w:lang w:bidi="fa-IR"/>
        </w:rPr>
        <w:t>.</w:t>
      </w:r>
      <w:bookmarkStart w:id="265" w:name="pg2622_17827"/>
    </w:p>
    <w:p>
      <w:pPr>
        <w:pStyle w:val="Heading2"/>
        <w:numPr>
          <w:ilvl w:val="1"/>
          <w:numId w:val="1"/>
        </w:numPr>
        <w:rPr/>
      </w:pPr>
      <w:bookmarkStart w:id="266" w:name="__RefHeading___Toc506625_1395250215"/>
      <w:bookmarkStart w:id="267" w:name="_Toc106"/>
      <w:bookmarkEnd w:id="265"/>
      <w:bookmarkEnd w:id="266"/>
      <w:r>
        <w:rPr>
          <w:rtl w:val="true"/>
        </w:rPr>
        <w:t>تطور نظریه اشاعره درباره رؤیت خدا</w:t>
      </w:r>
      <w:r>
        <w:rPr>
          <w:rtl w:val="true"/>
        </w:rPr>
        <w:t xml:space="preserve">/ </w:t>
      </w:r>
      <w:r>
        <w:rPr>
          <w:rtl w:val="true"/>
        </w:rPr>
        <w:t>محمدجواد نجفی، نرگس بهشتی</w:t>
      </w:r>
      <w:bookmarkEnd w:id="267"/>
    </w:p>
    <w:p>
      <w:pPr>
        <w:pStyle w:val="Heading3"/>
        <w:numPr>
          <w:ilvl w:val="2"/>
          <w:numId w:val="1"/>
        </w:numPr>
        <w:rPr/>
      </w:pPr>
      <w:bookmarkStart w:id="268" w:name="__RefHeading___Toc506627_1395250215"/>
      <w:bookmarkStart w:id="269" w:name="_Toc107"/>
      <w:bookmarkEnd w:id="268"/>
      <w:r>
        <w:rPr>
          <w:rtl w:val="true"/>
        </w:rPr>
        <w:t>اشاره</w:t>
      </w:r>
      <w:r>
        <w:rPr>
          <w:rtl w:val="true"/>
        </w:rPr>
        <w:t>:</w:t>
      </w:r>
      <w:bookmarkEnd w:id="269"/>
    </w:p>
    <w:p>
      <w:pPr>
        <w:pStyle w:val="BookText"/>
        <w:rPr/>
      </w:pPr>
      <w:r>
        <w:rPr>
          <w:rFonts w:ascii="IRNazanin" w:hAnsi="IRNazanin" w:eastAsia="IRNazanin"/>
          <w:color w:val="111111"/>
          <w:sz w:val="28"/>
          <w:sz w:val="28"/>
          <w:szCs w:val="28"/>
          <w:rtl w:val="true"/>
          <w:lang w:bidi="fa-IR"/>
        </w:rPr>
        <w:t>محمد جواد نجفی</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نرگس بهشتی</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تاریخ دریافت </w:t>
      </w:r>
      <w:r>
        <w:rPr>
          <w:rFonts w:eastAsia="IRNazanin" w:cs="IRNazanin"/>
          <w:color w:val="111111"/>
          <w:sz w:val="28"/>
          <w:szCs w:val="28"/>
          <w:rtl w:val="true"/>
          <w:lang w:bidi="fa-IR"/>
        </w:rPr>
        <w:t xml:space="preserve">: </w:t>
      </w:r>
      <w:r>
        <w:rPr>
          <w:rFonts w:eastAsia="IRNazanin" w:cs="IRNazanin"/>
          <w:color w:val="111111"/>
          <w:sz w:val="28"/>
          <w:szCs w:val="28"/>
          <w:lang w:bidi="fa-IR"/>
        </w:rPr>
        <w:t>1392/04/05</w:t>
      </w:r>
    </w:p>
    <w:p>
      <w:pPr>
        <w:pStyle w:val="BookText"/>
        <w:rPr/>
      </w:pPr>
      <w:r>
        <w:rPr>
          <w:rFonts w:ascii="IRNazanin" w:hAnsi="IRNazanin" w:eastAsia="IRNazanin"/>
          <w:color w:val="111111"/>
          <w:sz w:val="28"/>
          <w:sz w:val="28"/>
          <w:szCs w:val="28"/>
          <w:rtl w:val="true"/>
          <w:lang w:bidi="fa-IR"/>
        </w:rPr>
        <w:t xml:space="preserve">تاریخ تایید </w:t>
      </w:r>
      <w:r>
        <w:rPr>
          <w:rFonts w:eastAsia="IRNazanin" w:cs="IRNazanin"/>
          <w:color w:val="111111"/>
          <w:sz w:val="28"/>
          <w:szCs w:val="28"/>
          <w:rtl w:val="true"/>
          <w:lang w:bidi="fa-IR"/>
        </w:rPr>
        <w:t xml:space="preserve">: </w:t>
      </w:r>
      <w:r>
        <w:rPr>
          <w:rFonts w:eastAsia="IRNazanin" w:cs="IRNazanin"/>
          <w:color w:val="111111"/>
          <w:sz w:val="28"/>
          <w:szCs w:val="28"/>
          <w:lang w:bidi="fa-IR"/>
        </w:rPr>
        <w:t>1392/04/27</w:t>
      </w:r>
    </w:p>
    <w:p>
      <w:pPr>
        <w:pStyle w:val="Heading3"/>
        <w:numPr>
          <w:ilvl w:val="2"/>
          <w:numId w:val="1"/>
        </w:numPr>
        <w:rPr/>
      </w:pPr>
      <w:bookmarkStart w:id="270" w:name="__RefHeading___Toc506629_1395250215"/>
      <w:bookmarkStart w:id="271" w:name="_Toc108"/>
      <w:bookmarkEnd w:id="270"/>
      <w:r>
        <w:rPr>
          <w:rtl w:val="true"/>
        </w:rPr>
        <w:t>چکیده</w:t>
      </w:r>
      <w:bookmarkEnd w:id="271"/>
    </w:p>
    <w:p>
      <w:pPr>
        <w:pStyle w:val="BookText"/>
        <w:rPr/>
      </w:pPr>
      <w:r>
        <w:rPr>
          <w:rFonts w:ascii="IRNazanin" w:hAnsi="IRNazanin" w:eastAsia="IRNazanin"/>
          <w:color w:val="111111"/>
          <w:sz w:val="28"/>
          <w:sz w:val="28"/>
          <w:szCs w:val="28"/>
          <w:rtl w:val="true"/>
          <w:lang w:bidi="fa-IR"/>
        </w:rPr>
        <w:t>بحث از رؤیت خدا و چگونگی آن از مهمترین بحث های کلامی در میان فرق اسلامی از جمله اشاعره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متقدمان اشعری بنابر دلایل نقلی اعتقاد دارند که خداوند قابل رؤیت است و مؤمنان در آخرت می توانند خدا را با چشم سر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اشاعره در روند تاریخی با تغییراتی روبرو شد؛ به طوری که در دوره ای استدلال های عقلی و در زمانی رویکرد عرفانی در میان آنها قوت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از جمله اندیشمندان اشعری است که در این باره سخن گفته و نظریه او به جهت شرایط روحی و تاریخی اش با اشاعره پیش از خود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بررسی نظرهای مختلف معتقد شد که رؤیت خدا با دلایل عقلی قابل اثبات نیست و مقوله ای است که جز با نقل و سمع نمی توان به 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رؤیت خدا در آخرت را نوعی کشف دانست و به این ترتیب دیدگاهی را پذیرفت که قرن ها قبل امامیه در پرتو تعالیم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دست یافته بودند</w:t>
      </w:r>
      <w:r>
        <w:rPr>
          <w:rFonts w:eastAsia="IRNazanin" w:cs="IRNazanin"/>
          <w:color w:val="111111"/>
          <w:sz w:val="28"/>
          <w:szCs w:val="28"/>
          <w:rtl w:val="true"/>
          <w:lang w:bidi="fa-IR"/>
        </w:rPr>
        <w:t>.</w:t>
      </w:r>
    </w:p>
    <w:p>
      <w:pPr>
        <w:pStyle w:val="Heading3"/>
        <w:numPr>
          <w:ilvl w:val="2"/>
          <w:numId w:val="1"/>
        </w:numPr>
        <w:rPr/>
      </w:pPr>
      <w:bookmarkStart w:id="272" w:name="__RefHeading___Toc506631_1395250215"/>
      <w:bookmarkStart w:id="273" w:name="_Toc109"/>
      <w:bookmarkEnd w:id="272"/>
      <w:r>
        <w:rPr>
          <w:rtl w:val="true"/>
        </w:rPr>
        <w:t>واژگان کلیدی</w:t>
      </w:r>
      <w:bookmarkEnd w:id="27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رؤیت، اشعری، رازی، دلایل نقلی، براهین عقلی، کشف، حس ششم</w:t>
      </w:r>
      <w:bookmarkStart w:id="274" w:name="pg2622_17828"/>
    </w:p>
    <w:p>
      <w:pPr>
        <w:pStyle w:val="Heading3"/>
        <w:numPr>
          <w:ilvl w:val="2"/>
          <w:numId w:val="1"/>
        </w:numPr>
        <w:rPr/>
      </w:pPr>
      <w:bookmarkStart w:id="275" w:name="__RefHeading___Toc506633_1395250215"/>
      <w:bookmarkStart w:id="276" w:name="_Toc110"/>
      <w:bookmarkEnd w:id="274"/>
      <w:bookmarkEnd w:id="275"/>
      <w:r>
        <w:rPr>
          <w:rtl w:val="true"/>
        </w:rPr>
        <w:t>پیش گفتار</w:t>
      </w:r>
      <w:bookmarkEnd w:id="276"/>
    </w:p>
    <w:p>
      <w:pPr>
        <w:pStyle w:val="BookText"/>
        <w:rPr/>
      </w:pPr>
      <w:r>
        <w:rPr>
          <w:rFonts w:ascii="IRNazanin" w:hAnsi="IRNazanin" w:eastAsia="IRNazanin"/>
          <w:color w:val="111111"/>
          <w:sz w:val="28"/>
          <w:sz w:val="28"/>
          <w:szCs w:val="28"/>
          <w:rtl w:val="true"/>
          <w:lang w:bidi="fa-IR"/>
        </w:rPr>
        <w:t>پرسش از رؤیت خداوند و امکان آن، از صدر اسلام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و روایاتی که از زمان معصومین به جا مانده است نشان می دهد که مسلمانان از صدر اسلام به این مسأله توجه داشته و از وقوع و چگونگی آن پرسش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قرن سوم و چهارم پس از شکل گیری گروه های مختلف فکری و به اصطلاح کلامی اعتقاد به رؤیت خدا مورد توجه جدی واقع شد؛ به طوری که اعتقاد و یا نفی آن یکی از مهمترین مسائل هر فرقه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ها که بر اساس منظومه فکری خود با نام های مختلفی چون اشاعره، امامیه، معتزله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اند با توجه به اصول اعتقادی خویش، درباره رؤیت خدا و امکان آن اظهار نظر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آراء گوناگون آنان در مسأله رؤیت خداوند، به شیوه تلقی ایشان از متون دینی وابسته است ولی در نگاهی ویژه به این موضوع نمی توان وجود بحث های جدلی را نادیده گرفت؛ زیرا مستندهای تاریخی نشان می دهد که در بسیاری موارد اصرار در نظری خاص درباره رؤیت خدا و قرار گرفتن این نظر در رأس مباحث کلامی و اعتقادی آن گروه، به دلیل تقابل و مخالفت با گروه مخالف و نشان دادن تفاوت ها و تمایزها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رؤیت خدا در دنیا و آخرت به وسیله متکلمان معتزلی در قرن دوم که در اوج حمایت و اقتدار سیاسی قرار داشتند، به جهت مقابله با نگرش های تجسیمی و تشبیهی درباره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دایره افراد و گروه هایی که منسوب به تشبیه گرایی و تجسیم بودند گسترده بود و طیف های مختلفی را در برمی گرفت ولی این افراد و گروه ها با همه اختلاف نظرهایی که درباره ماهیت خدا داشتند در مسأله امکان رؤیت خدا متفق بودند؛ بنابراین معتزله در تقابل با این عقاید تشبیهی و تجسیمی، به دنبال تنزیه خدا هر نوع رؤیتی را نفی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 جوادی،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سوم مهمترین مخالفان معتزله، اهل حدیث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 بودند که خداوند در آخرت قابل رؤیت است؛ بنابراین معتزله به نفی رؤیت خدا در آخرت توجهی ویژه کردند؛ به طوری که در سال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ق در زمان آزاد کردن اسرای مسلمان از دست رومیان، تنها اسرایی آزاد شدند که به مخلوق بودن قرآن و عدم رؤیت خدا در آخرت اعتقاد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حدیث نیز در تقابل با معتزله، در آثار خود به خصوص بر رؤیت خدا در آخرت تأکید کردند و رؤیت خدا در آخرت به عنوان مبحثی جدلی با معتزله از اهمیت خاصی برخوردار شد؛ چنانچه در کتاب احمد بن حنبل به نام الرد علی الزنادقة و الجهمیة بخشی با عنوان الرد علی من انکر رؤیة المؤمنین لله جل شأنه یوم القیامة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فضای جدلی،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رؤیت مطالبی را بیان کردند که علاوه بر بیان صحیح مسأله رؤیت خدا مشکل و تضاد دو گروه را بر طرف می کرد؛ ولی این مطالب از سوی متکلمان معتزلی و اهل حدیث مورد اهتمام جدی قرار نگرفت و بحث از رؤیت و جدال بر سر چگونگی آن سالیان دراز ادامه یافت؛ در حالی که اگر به این روایات توجه می شد برای بحث های کلامی رؤیت، سرنوشتی متفاوت رقم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 جوادی،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قرن سوم متفکرانی ظهور کردند که به دنبال موضعی جدید و راه میانه ای بین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متفکری از خراسان به نام ابو منصور ماتریدی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هرچند از جهت استدلال های عقلی به معتزله نزدیک بود ولی در اعتقادهایش به خصوص در مسأله توحید و صفات الهی با عقاید معتزله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اساس قرآن و استناد به سنت معتقد بود که مؤمنان خداوند را در بهشت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ماتریدی اعتراض های معتزله را با دلایل عقلی پاسخ داد و ثابت کرد که رؤیت خدا مستلزم داشتن حدود و جهت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فردی حنفی مذهب بود مانند دیگر حنفیان این رؤیت را بلاکیف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ماتریدی،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حلبی،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زمان فرد دیگری به نام ابوالحسن اشعری به عنوان عنصری میانه رو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معتقد بود که خداوند در روز قیامت قابل رؤیت است و افراد مؤمن هنگام رستاخیز می توانند به دیدار چهره خداوند متنعم شوند و خدا را با چشم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اشعری بیش از همه توسط شاگردان او درسرزمین های اسلامی پخش شد؛ زیرا او شاگردانی از کشورهای گوناگون اسلامی به دور خود جمع کرده بود و هر شاگرد پس از بازگشت به محل زندگیش مبلغی برای تعالیم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شاگردان و پیروان اشعری را به پنج طبقه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طبقه بندی توسط سبکی تکمیل شد و فخر رازی در طبقه ششم شاگردان ابوالحسن اشعری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سبکی، بی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ملقب به امام المشککین در رشته‌های مختلف علوم از جمله تفسیر قرآن کریم، فلسفه و کلام تألیف های بسیاری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 های مورد بحث او، امکان رؤیت خدا در آخرت است که وی از سویی به عنوان یک متکلم اشعری و از سوی دیگر به عنوان یک مفسر به آن پرداخته است</w:t>
      </w:r>
      <w:r>
        <w:rPr>
          <w:rFonts w:eastAsia="IRNazanin" w:cs="IRNazanin"/>
          <w:color w:val="111111"/>
          <w:sz w:val="28"/>
          <w:szCs w:val="28"/>
          <w:rtl w:val="true"/>
          <w:lang w:bidi="fa-IR"/>
        </w:rPr>
        <w:t>.</w:t>
      </w:r>
      <w:bookmarkStart w:id="277" w:name="pg2622_17830"/>
    </w:p>
    <w:p>
      <w:pPr>
        <w:pStyle w:val="BookText"/>
        <w:rPr/>
      </w:pPr>
      <w:bookmarkEnd w:id="277"/>
      <w:r>
        <w:rPr>
          <w:rFonts w:ascii="IRNazanin" w:hAnsi="IRNazanin" w:eastAsia="IRNazanin"/>
          <w:color w:val="111111"/>
          <w:sz w:val="28"/>
          <w:sz w:val="28"/>
          <w:szCs w:val="28"/>
          <w:rtl w:val="true"/>
          <w:lang w:bidi="fa-IR"/>
        </w:rPr>
        <w:t>درباره نظریه های فخر رازی چه در قلمرو تفسیر و چه درحیطه کلامی و اعتقادی، تحقیقات بسیاری انجام شده است که برخی از آنها به طور مستقیم و برخی غیر مستقیم به بررسی آراء فخر رازی پرداخته اند</w:t>
      </w:r>
      <w:r>
        <w:rPr>
          <w:rStyle w:val="FootnoteAnchor"/>
          <w:rtl w:val="true"/>
        </w:rPr>
        <w:footnoteReference w:id="58"/>
      </w:r>
      <w:r>
        <w:rPr>
          <w:rFonts w:ascii="IRNazanin" w:hAnsi="IRNazanin" w:eastAsia="IRNazanin"/>
          <w:color w:val="111111"/>
          <w:sz w:val="28"/>
          <w:sz w:val="28"/>
          <w:szCs w:val="28"/>
          <w:rtl w:val="true"/>
          <w:lang w:bidi="fa-IR"/>
        </w:rPr>
        <w:t xml:space="preserve">البته نقص این بررسی ها که کلی نگری و پیش داوری درباره دیدگاه فخر رازی در این تألیف ها است را برآن داشت تا نگاهی دوباره به دیدگاه ایشان درباره رؤیت خدا داشته باشیم تا از رهگذر آن دریابیم نظرهای وی درباره رؤیت خدا با دیدگاه اشعری چقدر مطابقت دارد و او تا چه اندازه به نگرش اشاعره در رؤیت خدا پایبند است؛ زیرا برخی معتقدند شاگردان اشعری با آن که عالمانی توانا و صاحب نظر در علم کلام بوده اند، هیچگاه از اصول اندیشه‌های او عدول نکرده اند و از چهارچوب کلام اشعری خارج نشده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آیا این سخن درباره شاگردی چون فخر رازی نیز صادق است و نظر او درباره رؤیت خدا همان دیدگاه ابوالحسن اشعری است؟ و اگر تفاوت هایی بین نظریه های او و اشعری وجود دارد این تفاوت ها از چه چیز نشأت می گیرد؟</w:t>
      </w:r>
    </w:p>
    <w:p>
      <w:pPr>
        <w:pStyle w:val="BookText"/>
        <w:rPr/>
      </w:pPr>
      <w:r>
        <w:rPr>
          <w:rFonts w:ascii="IRNazanin" w:hAnsi="IRNazanin" w:eastAsia="IRNazanin"/>
          <w:color w:val="111111"/>
          <w:sz w:val="28"/>
          <w:sz w:val="28"/>
          <w:szCs w:val="28"/>
          <w:rtl w:val="true"/>
          <w:lang w:bidi="fa-IR"/>
        </w:rPr>
        <w:t>در این نگارش هرچند تکیه ما بر مباحث کلامی است ولی به جهت تأثیرهای محیطی و تاریخی بر پیدایش نظریه ها، در موارد لزوم اشاره های تاریخی نیز خواهیم داشت</w:t>
      </w:r>
      <w:r>
        <w:rPr>
          <w:rFonts w:eastAsia="IRNazanin" w:cs="IRNazanin"/>
          <w:color w:val="111111"/>
          <w:sz w:val="28"/>
          <w:szCs w:val="28"/>
          <w:rtl w:val="true"/>
          <w:lang w:bidi="fa-IR"/>
        </w:rPr>
        <w:t>.</w:t>
      </w:r>
    </w:p>
    <w:p>
      <w:pPr>
        <w:pStyle w:val="Heading3"/>
        <w:numPr>
          <w:ilvl w:val="2"/>
          <w:numId w:val="1"/>
        </w:numPr>
        <w:rPr/>
      </w:pPr>
      <w:bookmarkStart w:id="278" w:name="__RefHeading___Toc506635_1395250215"/>
      <w:bookmarkStart w:id="279" w:name="_Toc111"/>
      <w:bookmarkEnd w:id="278"/>
      <w:r>
        <w:rPr>
          <w:rtl w:val="true"/>
        </w:rPr>
        <w:t>رؤیت در دیدگاه اشعری</w:t>
      </w:r>
      <w:bookmarkEnd w:id="279"/>
    </w:p>
    <w:p>
      <w:pPr>
        <w:pStyle w:val="BookText"/>
        <w:rPr/>
      </w:pPr>
      <w:r>
        <w:rPr>
          <w:rFonts w:ascii="IRNazanin" w:hAnsi="IRNazanin" w:eastAsia="IRNazanin"/>
          <w:color w:val="111111"/>
          <w:sz w:val="28"/>
          <w:sz w:val="28"/>
          <w:szCs w:val="28"/>
          <w:rtl w:val="true"/>
          <w:lang w:bidi="fa-IR"/>
        </w:rPr>
        <w:t>اشعری رؤیت خدا را در دو کتاب خویش با عنوان های الإبانة و اللمع مورد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اهمیت مسأله رؤیت او بحث کلامی کتاب الابانة را با رؤیت خدا در آخرت شروع کرده و با آن که کتابی مختصر نگاشت ولی دو فصل از آن را به این مسأله اختصاص داده است؛ فصل نخست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اثبات رؤیة الله بالابصار فی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دوم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اشعری در اثبات رؤیت، به دلایل نقلی احتجاج کرده و اعتقاد داشته که چون این مسأله با اصل توحید منافات ندارد نباید آن را تأویل نمود؛ زیرا ظاهر آیات قرآن برای ما حجت است و بدون دلیل نمی توان از این ظاهر دست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بحث خود در کتاب الابانة را با آیه وُجُوهٌ یوْمَئذٍ نَّاضِرَةٌ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رَبهَِّا نَاظِرَةٌ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کرده و بر مفهوم کلیدی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احتمال های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رؤیت را رد نموده و تنها</w:t>
      </w:r>
      <w:bookmarkStart w:id="280" w:name="pg2622_17831"/>
    </w:p>
    <w:p>
      <w:pPr>
        <w:pStyle w:val="BookText"/>
        <w:rPr/>
      </w:pPr>
      <w:bookmarkEnd w:id="280"/>
      <w:r>
        <w:rPr>
          <w:rFonts w:ascii="IRNazanin" w:hAnsi="IRNazanin" w:eastAsia="IRNazanin"/>
          <w:color w:val="111111"/>
          <w:sz w:val="28"/>
          <w:sz w:val="28"/>
          <w:szCs w:val="28"/>
          <w:rtl w:val="true"/>
          <w:lang w:bidi="fa-IR"/>
        </w:rPr>
        <w:t>معنای صحیح آن را رؤیت دانسته و در اللمع نیز به این نکته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 معتقد است که بر اساس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قیامت مؤمنان در آخرت می توانند خدا را با چشم سر ببینند و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Style w:val="FootnoteAnchor"/>
          <w:rtl w:val="true"/>
        </w:rPr>
        <w:footnoteReference w:id="59"/>
      </w:r>
      <w:r>
        <w:rPr>
          <w:rFonts w:ascii="IRNazanin" w:hAnsi="IRNazanin" w:eastAsia="IRNazanin"/>
          <w:color w:val="111111"/>
          <w:sz w:val="28"/>
          <w:sz w:val="28"/>
          <w:szCs w:val="28"/>
          <w:rtl w:val="true"/>
          <w:lang w:bidi="fa-IR"/>
        </w:rPr>
        <w:t xml:space="preserve">اثبات کرده که خداوند قابل رؤیت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آیات دیگری چون لا تُدْرِکُهُ الْأَبْصارُ وَ هُوَ یدْرِکُ الْأَبْصارَ وَ هُوَ اللَّطیفُ الْخَبیرُ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استناد کرده و تفسیر صحیح لا تُدْرِکُهُ الْأَبْصارُ را عدم رؤیت خدا با چشم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نظر وی این آیه با رؤیت خداوند در قیامت منافات ندارد، بلکه تنها رؤیت خدا را در دنیا نفی می کند و یا بیانگر حال کافران در آخرت است که از دیدار خداوند محجوبند؛ حال آن که رؤیت چهره خدا در آخرت توسط مؤمنین لذتی ذخیره شده برای آنها در قیامت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از این آیات برای اثبات رؤیت خدا با چشم بهره برده و علاوه بر این، روایات را نیز همسو با آیات و دلیل بر رؤیت بصری خدا دانسته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داریم که خداوند در آخرت با چشم رؤیت می شود؛ همان طور که ماه در شب چهارده دیده می شود و مؤمنان او را می بینند؛ همان طور که در روایت منقول از پیامبر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علاوه بر دلایل نقلی برای پاسخگویی به اشکال های معتزله از دلایل عقلی نیز بهره برده و این دلایل را همسو با نظر خود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هیچ مانع عقلی برای امکان دیدن خداوند با چشم نیست؛ زیرا امکان رؤیت خدا نه موجب اثبات حادث بودن خداست و نه آن که او تشبیه به چیزی شود و نه از جنس چیز دیگری قرار گیرد و یا از هویت خود به هویت دیگری تبدیل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تنها شرط امکان رؤیت را وجود دانسته، نه حدوث و معتقد است که خدا می تواند هرچه وجود دارد به ما نشان دهد که یکی از این موجودها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باب قیاس می گویید رؤیت خداوند با چشمان جایز است؟ به او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قول به جواز رؤیت موجب توصیف خداوند به امر محال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3"/>
        <w:numPr>
          <w:ilvl w:val="2"/>
          <w:numId w:val="1"/>
        </w:numPr>
        <w:rPr/>
      </w:pPr>
      <w:bookmarkStart w:id="281" w:name="__RefHeading___Toc506637_1395250215"/>
      <w:bookmarkStart w:id="282" w:name="_Toc112"/>
      <w:bookmarkEnd w:id="281"/>
      <w:r>
        <w:rPr>
          <w:rtl w:val="true"/>
        </w:rPr>
        <w:t>رؤیت در دیدگاه علمای متاخر اشاعره</w:t>
      </w:r>
      <w:bookmarkEnd w:id="282"/>
    </w:p>
    <w:p>
      <w:pPr>
        <w:pStyle w:val="Heading4"/>
        <w:numPr>
          <w:ilvl w:val="3"/>
          <w:numId w:val="1"/>
        </w:numPr>
        <w:rPr/>
      </w:pPr>
      <w:bookmarkStart w:id="283" w:name="__RefHeading___Toc506639_1395250215"/>
      <w:bookmarkStart w:id="284" w:name="_Toc113"/>
      <w:bookmarkEnd w:id="283"/>
      <w:r>
        <w:rPr>
          <w:rtl w:val="true"/>
        </w:rPr>
        <w:t>اشاره</w:t>
      </w:r>
      <w:bookmarkEnd w:id="28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اشعری که پس از ابوالحسن اشعری ظهور کردند نظرهای او را گسترش و نشر دادند و مانند اشعری رؤیت خدا در آخرت را با دلایل عقلی و نقلی اثبات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اشعری، عقل گرایی بیشتر مورد توجه قرار گرفت و سران و بزرگان اشاعره در دوره متأخر دلیل عقلی شیخ اشعری بر اثبات رؤیت خدا را به نحو دیگری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معتقد شدند که وقتی خداوند موجود است پس می توان او را دید و همین وجود، دلیل بر رؤیت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ملاک رؤیت را امر مشترک میان واجب و ممکن یعنی وجود دانستند و آن را این طور تقریر نمودند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رؤیت، امری مشترک بین جوهر و عرض است و به ناچار باید برای رؤیت مشترک میان این دو، علت واحدی باشد و این علت یا وجود است و یا حدوث؛ حدوث، چون امر عدمی است نمی تواند علت رؤیت باشد پس علت، منحصر در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صحت رؤیت، مشترک بین واجب و 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ایجی،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خواجه نصیرالدین،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اثبات رؤیت با این دلایل عقلی، با تکیه بر نقل اعتقاد داشتند که این رؤیت با چشم سر تحقق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باقلانی یکی از این دلایل نقلی را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Style w:val="FootnoteAnchor"/>
          <w:rtl w:val="true"/>
        </w:rPr>
        <w:footnoteReference w:id="60"/>
      </w:r>
      <w:r>
        <w:rPr>
          <w:rFonts w:ascii="IRNazanin" w:hAnsi="IRNazanin" w:eastAsia="IRNazanin"/>
          <w:color w:val="111111"/>
          <w:sz w:val="28"/>
          <w:sz w:val="28"/>
          <w:szCs w:val="28"/>
          <w:rtl w:val="true"/>
          <w:lang w:bidi="fa-IR"/>
        </w:rPr>
        <w:t>دانسته که در آن مؤمنان در بهشت به لقای پروردگار خویش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لقا در این آیه به معنای رؤیت است؛ زیرا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لقا با تحیّت همراه شود مقتضای آن چیزی جز رؤیت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باقلانی،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باقلانی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قیامت را نیز بیان نموده و مانند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رؤیت معنا کرده است؛ وی در ادامه از حدیث رؤیت ماه در آسمان سخن گفته و با دقت و توجه تلاش نموده تا وقتی از رؤیت خدا با چشم و بصر سخن می گوید آن را طوری تبیین کند که شائبه هر نوع تجسیمی را از او دور کند؛ بنابراین تأکید نموده که مؤمنان بدون شک خدا را در بهشت خواهند دید؛ ولی بدون کیفیت، تشبیه و تحدید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باقلانی بسیار شبیه به ماتریدی است؛ زیرا او نیز از دیدن خدا بلاکیف سخن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ماتریدی،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علت این شباهت، عقل گرایی باقلانی باشد که او را به ماتریدی عقل گرا نزدیک کرده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حیات باقلانی نیز بحث رؤیت همچنان از مهمترین مباحث کلامی است؛ به طوری که باقلانی در کتاب انصاف خود در سه موضع از رؤیت خدا سخن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باقلانی،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را نیز با این موضوع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دلیل اهتمامش به این بحث را اهمیت آن دانسته و از آن به اعلی الاشیا و اجلّها تعبیر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شاگردان اشعری می توان غزالی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تألیفاتش جلوه گر دو چهره از او است؛ از جهتی متکلمی عقل گرا و از سویی عارفی متصوف است و این تفاوت، نشان دهنده سیر تطور اندیشه های 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کتاب های غزالی که تبلور شخصیت کلامی او است، بحث از رؤیت خدا دارای دو جنبه عقلی و نقلی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عقلانی این مباحث نمودی خاص دارد؛ زیرا غزالی برخلاف اشعریان پیش از خود، ذیل دلیل عقلی از نقل سخن نگفته و تلاش کرده تا به اشکال های معتزله تنها با دلایل عقلی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بیان دلایل عقلی به ادله نقلی و به قول خودش شرعی اهتمام داشته و همان آیاتی را بیان کرده که متکلمان اشعری پیش از او مطرح نموده اند و به کمک این دلایل اثبات کرده که این رؤیت در آخرت واقع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غزالی در سن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متحول شد و در ادامه زندگی به عرفان روی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و همکاران،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گرایش های صوفیانه، رؤیت خدا در آخرت را از جنس دیگری غیر از دیدن با چشم دانست و به رؤیت قلبی گرایش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اعتقاد داشت که مفهوم و معنای صفات خبری را باید به خداوند واگذار کرد و این صفات را به معانی دانست که با تنزیه خدا از تشبیه و تمثیل مناسب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خدا از داشتن شکل و مقدار و جهت منزه است و مانند مبصرات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رؤیت که بدون جسم و جهت و مکان در قیامت اتفاق می افتد از جنس دیدن اجسام نمی 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نوعی کشف و علم است که از علم کامل تر و واضح تر می باشد و همان طور که امکان دارد به چیزی که جهت و جسم ندارد علم تعلق گیرد پس می توان رؤیت را نیز به آن نسبت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غزالی، بی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غزالی خداوند در این جهان دانستنی است و در آن جهان دیدنی است؛ چنانچه او را در این جهان بی چون و چگونه دانند در آن جهان نیز بی چون و چگونه بینند که آن دیدار از جنس دیدار این جهان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سخن غزالی گفته های باقلانی و ماتریدیه را در رؤیت بلا کیف خدا برای ما تداعی می کند ولی با کمی دقت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با اعتقاد به رؤیت قلبی، در حقیقت درباره آلت این دیدار ما را به سکوت دعوت کرده و معتقد است آنچه اهمیت دارد حالت و لذتی است که از این دیدار برای مؤمن به دست می آید؛ این درحالی است که اشعریان پیش از او با تأکید بر رؤیت بصری، درباره ماهیت دیدار خدا با چشم، اظهار نظر کرده و آن را بلا کیف دانسته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 جوادی،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bookmarkStart w:id="285" w:name="pg2622_17834"/>
    </w:p>
    <w:p>
      <w:pPr>
        <w:pStyle w:val="BookText"/>
        <w:rPr/>
      </w:pPr>
      <w:bookmarkEnd w:id="285"/>
      <w:r>
        <w:rPr>
          <w:rFonts w:ascii="IRNazanin" w:hAnsi="IRNazanin" w:eastAsia="IRNazanin"/>
          <w:color w:val="111111"/>
          <w:sz w:val="28"/>
          <w:sz w:val="28"/>
          <w:szCs w:val="28"/>
          <w:rtl w:val="true"/>
          <w:lang w:bidi="fa-IR"/>
        </w:rPr>
        <w:t>همچنین غزالی در این 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آرزویش دیدن معشوق باشد این عشق به حدی است که برایش اهمیتی ندارد این رؤیت در چشم او آفریده شود یا در پیشانیش، بلکه مقصود او دیدن خدا و لذت آن است ؛خواه این رؤیت با چشم باشد یا غیر آن و جایز نیست خدا را با وسعت قدرتی که دارد به قسمی خاص محدود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غزالی، بی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اعتقادهای غزالی که از مشی صوفیانه اش ناشی شده، او را از نظر رسمی اهل سنت و اشاعره 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درک این واقعیت تلاش نموده تا خود را دوباره به آنها نزدیک کند و با این دلیل که درباره واقعیت های آخرت جز با نقل نمی توان سخن گفت و با تکیه بر دلایل نقلی همگام با اشعریان پیش از خود از رؤیت خدا با چشم چنین بیان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آخرت با چشم ها دیده خواهد شد؛ زیرا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رَبِّهَا نَاظِرَةٌ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دنیا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تُدْرِکُهُ الْأَبْصارُ وَ هُوَ یدْرِکُ الْأَبْصارَ وَ هُوَ اللَّطیفُ الْخَبیرُ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پایان با این اعتراف همچنان بر اشعری بودن خود باقی ماند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آن است که بر پایه شواهد شرعی برای اهل سنت و جماعت آشکار شده که رؤیت خدا با چشم است و معنای ظاهری لفظ رؤیت، نظر و امثال آن می باشد؛ زیرا تأویل و عدول از ظاهر جز در هنگام ضرورت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غزالی، بی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در نظرها و گرایش های صوفیانه درباره مفهوم رؤیت خدا را می توان در نظرهای فخر رازی نیز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نقد دلایل مخالفان خود به ویژه معتزله و مردود شمردن دلیل وجودی اشاعره و با گرایش به این نظریه که مسأله رؤیت، سمعی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دلایل عقلی کاری برنمی آید؛ تحت تأثیر دیدگاه غزالی، تحلیلی نو بر پایه عرفان و شهود از رؤیت حق تعالی مطرح کرد و آن را نه دیدار با چشم سر بلکه دیدار با چشم دل دانست که حقیقتش برای انسان ها کشف</w:t>
      </w:r>
    </w:p>
    <w:p>
      <w:pPr>
        <w:pStyle w:val="BookText"/>
        <w:rPr/>
      </w:pPr>
      <w:r>
        <w:rPr>
          <w:rFonts w:ascii="IRNazanin" w:hAnsi="IRNazanin" w:eastAsia="IRNazanin"/>
          <w:color w:val="111111"/>
          <w:sz w:val="28"/>
          <w:sz w:val="28"/>
          <w:szCs w:val="28"/>
          <w:rtl w:val="true"/>
          <w:lang w:bidi="fa-IR"/>
        </w:rPr>
        <w:t xml:space="preserve">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 نژاد،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بیان شد، بحث از کیفیت رؤیت خدا در مکتب اشعری سه مرحله را پیموده است</w:t>
      </w:r>
      <w:r>
        <w:rPr>
          <w:rFonts w:eastAsia="IRNazanin" w:cs="IRNazanin"/>
          <w:color w:val="111111"/>
          <w:sz w:val="28"/>
          <w:szCs w:val="28"/>
          <w:rtl w:val="true"/>
          <w:lang w:bidi="fa-IR"/>
        </w:rPr>
        <w:t>:</w:t>
      </w:r>
    </w:p>
    <w:p>
      <w:pPr>
        <w:pStyle w:val="Heading4"/>
        <w:numPr>
          <w:ilvl w:val="3"/>
          <w:numId w:val="1"/>
        </w:numPr>
        <w:rPr/>
      </w:pPr>
      <w:bookmarkStart w:id="286" w:name="__RefHeading___Toc506641_1395250215"/>
      <w:bookmarkStart w:id="287" w:name="_Toc114"/>
      <w:bookmarkEnd w:id="286"/>
      <w:r>
        <w:rPr>
          <w:rtl w:val="true"/>
        </w:rPr>
        <w:t>الف</w:t>
      </w:r>
      <w:r>
        <w:rPr>
          <w:rtl w:val="true"/>
        </w:rPr>
        <w:t xml:space="preserve">. </w:t>
      </w:r>
      <w:r>
        <w:rPr>
          <w:rtl w:val="true"/>
        </w:rPr>
        <w:t xml:space="preserve">از عصر اشعری تا عصر غزالی </w:t>
      </w:r>
      <w:r>
        <w:rPr>
          <w:rtl w:val="true"/>
        </w:rPr>
        <w:t>...</w:t>
      </w:r>
      <w:bookmarkEnd w:id="287"/>
    </w:p>
    <w:p>
      <w:pPr>
        <w:pStyle w:val="BookText"/>
        <w:rPr/>
      </w:pPr>
      <w:r>
        <w:rPr>
          <w:rFonts w:ascii="IRNazanin" w:hAnsi="IRNazanin" w:eastAsia="IRNazanin"/>
          <w:color w:val="111111"/>
          <w:sz w:val="28"/>
          <w:sz w:val="28"/>
          <w:szCs w:val="28"/>
          <w:rtl w:val="true"/>
          <w:lang w:bidi="fa-IR"/>
        </w:rPr>
        <w:t>از عصر اشعری تا عصر غزالی که از جواز دیدن خداوند با دیدگان سخن می‌رود ولی این رؤیت طوری است که با تنزیه خدا از تشبیه و تحدید و کیفیت سازگار است</w:t>
      </w:r>
      <w:r>
        <w:rPr>
          <w:rFonts w:eastAsia="IRNazanin" w:cs="IRNazanin"/>
          <w:color w:val="111111"/>
          <w:sz w:val="28"/>
          <w:szCs w:val="28"/>
          <w:rtl w:val="true"/>
          <w:lang w:bidi="fa-IR"/>
        </w:rPr>
        <w:t>.</w:t>
      </w:r>
    </w:p>
    <w:p>
      <w:pPr>
        <w:pStyle w:val="Heading4"/>
        <w:numPr>
          <w:ilvl w:val="3"/>
          <w:numId w:val="1"/>
        </w:numPr>
        <w:rPr/>
      </w:pPr>
      <w:bookmarkStart w:id="288" w:name="__RefHeading___Toc506643_1395250215"/>
      <w:bookmarkStart w:id="289" w:name="_Toc115"/>
      <w:bookmarkEnd w:id="288"/>
      <w:r>
        <w:rPr>
          <w:rtl w:val="true"/>
        </w:rPr>
        <w:t xml:space="preserve">ب </w:t>
      </w:r>
      <w:r>
        <w:rPr>
          <w:rtl w:val="true"/>
        </w:rPr>
        <w:t xml:space="preserve">. </w:t>
      </w:r>
      <w:r>
        <w:rPr>
          <w:rtl w:val="true"/>
        </w:rPr>
        <w:t xml:space="preserve">غزالی گامی به سوی تاویل نهاد و </w:t>
      </w:r>
      <w:r>
        <w:rPr>
          <w:rtl w:val="true"/>
        </w:rPr>
        <w:t>...</w:t>
      </w:r>
      <w:bookmarkEnd w:id="289"/>
    </w:p>
    <w:p>
      <w:pPr>
        <w:pStyle w:val="BookText"/>
        <w:rPr/>
      </w:pPr>
      <w:r>
        <w:rPr>
          <w:rFonts w:ascii="IRNazanin" w:hAnsi="IRNazanin" w:eastAsia="IRNazanin"/>
          <w:color w:val="111111"/>
          <w:sz w:val="28"/>
          <w:sz w:val="28"/>
          <w:szCs w:val="28"/>
          <w:rtl w:val="true"/>
          <w:lang w:bidi="fa-IR"/>
        </w:rPr>
        <w:t>غزالی گامی به سوی تأویل نهاد و رؤیت را نوعی دیدار دانست که لذت آن مخصوص مؤمنین است ولی درباره این که این رؤیت چگونه و به چه وسیله ای انجام می شود سکوت کرد و به این ترتیب زمینه برای نظریه تأویلی رؤیت فراهم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bookmarkStart w:id="290" w:name="pg2622_17835"/>
    </w:p>
    <w:p>
      <w:pPr>
        <w:pStyle w:val="Heading4"/>
        <w:numPr>
          <w:ilvl w:val="3"/>
          <w:numId w:val="1"/>
        </w:numPr>
        <w:rPr/>
      </w:pPr>
      <w:bookmarkStart w:id="291" w:name="__RefHeading___Toc506645_1395250215"/>
      <w:bookmarkStart w:id="292" w:name="_Toc116"/>
      <w:bookmarkEnd w:id="290"/>
      <w:bookmarkEnd w:id="291"/>
      <w:r>
        <w:rPr>
          <w:rtl w:val="true"/>
        </w:rPr>
        <w:t>ج</w:t>
      </w:r>
      <w:r>
        <w:rPr>
          <w:rtl w:val="true"/>
        </w:rPr>
        <w:t xml:space="preserve">. </w:t>
      </w:r>
      <w:r>
        <w:rPr>
          <w:rtl w:val="true"/>
        </w:rPr>
        <w:t>در این مرحله سر انجام فخررازی رؤیت را کشف تام دانست</w:t>
      </w:r>
      <w:r>
        <w:rPr>
          <w:rtl w:val="true"/>
        </w:rPr>
        <w:t>......</w:t>
      </w:r>
      <w:bookmarkEnd w:id="292"/>
    </w:p>
    <w:p>
      <w:pPr>
        <w:pStyle w:val="BookText"/>
        <w:rPr/>
      </w:pPr>
      <w:r>
        <w:rPr>
          <w:rFonts w:ascii="IRNazanin" w:hAnsi="IRNazanin" w:eastAsia="IRNazanin"/>
          <w:color w:val="111111"/>
          <w:sz w:val="28"/>
          <w:sz w:val="28"/>
          <w:szCs w:val="28"/>
          <w:rtl w:val="true"/>
          <w:lang w:bidi="fa-IR"/>
        </w:rPr>
        <w:t>در این مرحله سر انجام فخررازی رؤیت را کشف تام دانست که در آخرت واقع می‌شود و او به این ترتیب نظریه 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گرایی رؤیت را تکمیل نمود</w:t>
      </w:r>
      <w:r>
        <w:rPr>
          <w:rFonts w:eastAsia="IRNazanin" w:cs="IRNazanin"/>
          <w:color w:val="111111"/>
          <w:sz w:val="28"/>
          <w:szCs w:val="28"/>
          <w:rtl w:val="true"/>
          <w:lang w:bidi="fa-IR"/>
        </w:rPr>
        <w:t>.</w:t>
      </w:r>
    </w:p>
    <w:p>
      <w:pPr>
        <w:pStyle w:val="Heading3"/>
        <w:numPr>
          <w:ilvl w:val="2"/>
          <w:numId w:val="1"/>
        </w:numPr>
        <w:rPr/>
      </w:pPr>
      <w:bookmarkStart w:id="293" w:name="__RefHeading___Toc506647_1395250215"/>
      <w:bookmarkStart w:id="294" w:name="_Toc117"/>
      <w:bookmarkEnd w:id="293"/>
      <w:r>
        <w:rPr>
          <w:rtl w:val="true"/>
        </w:rPr>
        <w:t>رؤیت از دید فخررازی</w:t>
      </w:r>
      <w:bookmarkEnd w:id="294"/>
    </w:p>
    <w:p>
      <w:pPr>
        <w:pStyle w:val="Heading4"/>
        <w:numPr>
          <w:ilvl w:val="3"/>
          <w:numId w:val="1"/>
        </w:numPr>
        <w:rPr/>
      </w:pPr>
      <w:bookmarkStart w:id="295" w:name="__RefHeading___Toc506649_1395250215"/>
      <w:bookmarkStart w:id="296" w:name="_Toc118"/>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فخررازی سخنوری توانا و نویسنده ای چیره دست در نقل و جمع آوری نظرهای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یک اشعری در بیان امکان رؤیت الهی به خوبی دلایل اشعری را ذکر کرده است؛ به طوری که خواننده این مطالب در ابتدا گمان می کند سخن فخر رازی همان نظریه اشعری است لیکن کمی دقت و تأمل لازم است تا بتوان پی برد که آیا فخر رازی رؤیت را مانند اشعری تبیین می کند و یا در این باره سخنی تازه دارد؟</w:t>
      </w:r>
    </w:p>
    <w:p>
      <w:pPr>
        <w:pStyle w:val="BookText"/>
        <w:rPr/>
      </w:pPr>
      <w:r>
        <w:rPr>
          <w:rFonts w:ascii="IRNazanin" w:hAnsi="IRNazanin" w:eastAsia="IRNazanin"/>
          <w:color w:val="111111"/>
          <w:sz w:val="28"/>
          <w:sz w:val="28"/>
          <w:szCs w:val="28"/>
          <w:rtl w:val="true"/>
          <w:lang w:bidi="fa-IR"/>
        </w:rPr>
        <w:t>سخنان و نوشته های فخر رازی، دارای چهار مرحله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آرا، نقد آرا، نظم آراء و نو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دادبه،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مراجعه کنندگان به کتاب های فخررازی، بیش از هرچیز به نقل آرا به وسیله او و نقدهایش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کرده اند و به طور غالب تا مرحله نوآوری های او پیش نرفته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پور،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مسأله دلیل برخی از برداشت های نادرست نسبت به نظرهای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زمانی بیشتر خودنمایی می کند که افراد تنها به قسمت های محدودی از کتاب های او مراجعه کرده و یا از اطلاعات کلامی کمتری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مواردی نیز این تسامح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دامن گیر برخی از بزرگان شده که علت اصلی آن عدم مراجعه مجدد به متون اصلی و اعتماد به منابع 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ردپای نوآوری فخر رازی درباره رؤیت را می توان در چند جا جستجو نمود؛ در نقد و رد نظریه معتزله در رؤیت، در نقد برخی از دلایل اشاعره بر رؤیت خدا و در بیاناتی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همه این موارد می توان نظر وی را درباره رؤیت خدا و تفاوت آن را با اشعری به دست آورد</w:t>
      </w:r>
      <w:r>
        <w:rPr>
          <w:rFonts w:eastAsia="IRNazanin" w:cs="IRNazanin"/>
          <w:color w:val="111111"/>
          <w:sz w:val="28"/>
          <w:szCs w:val="28"/>
          <w:rtl w:val="true"/>
          <w:lang w:bidi="fa-IR"/>
        </w:rPr>
        <w:t>.</w:t>
      </w:r>
    </w:p>
    <w:p>
      <w:pPr>
        <w:pStyle w:val="Heading4"/>
        <w:numPr>
          <w:ilvl w:val="3"/>
          <w:numId w:val="1"/>
        </w:numPr>
        <w:rPr/>
      </w:pPr>
      <w:bookmarkStart w:id="297" w:name="__RefHeading___Toc506651_1395250215"/>
      <w:bookmarkStart w:id="298" w:name="_Toc119"/>
      <w:bookmarkEnd w:id="297"/>
      <w:r>
        <w:rPr/>
        <w:t>1</w:t>
      </w:r>
      <w:r>
        <w:rPr>
          <w:rtl w:val="true"/>
        </w:rPr>
        <w:t xml:space="preserve">. </w:t>
      </w:r>
      <w:r>
        <w:rPr>
          <w:rtl w:val="true"/>
        </w:rPr>
        <w:t>خدا فی حد ذاته، قابل رؤیت است</w:t>
      </w:r>
      <w:bookmarkEnd w:id="29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فخررازی در ذیل آیه لا تُدْرِکُهُ الابصارُ وَ هُوَ یدْرِکُ الابصارَ وَ هُوَ اللّطیفُ الخَبیر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معتزله را بر عدم امکان رؤیت خدا رد می کند و در نقد معتزله که رؤیت را به معنای ادراک گرفته و از این آیه بر عدم امکان رویت خدا استدلال کرده اند،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 پذیریم که ادراک بصری عبارت از رؤیت باشد؛ زیرا لفظ ادراک در لغت به معنای رسیدن و پیوستن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لحوق و 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در قرآن کریم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اَصحابُ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لَمُدْرَکون؛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کنندگان به ما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bookmarkStart w:id="299" w:name="pg2622_17836"/>
    </w:p>
    <w:p>
      <w:pPr>
        <w:pStyle w:val="BookText"/>
        <w:rPr/>
      </w:pPr>
      <w:bookmarkEnd w:id="2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اِذا أَدْرَکَهُ الْغَرَق؛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غرق پیوست، یا غرق به او رسید و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عرف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 فلانٌ فلاناً؛ فلان به فلان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 الغلامُ؛ پسر بچه به بلوغ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أَدرکت الثمرة؛ میوه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معلوم می شود که ادراک، رسیدن به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است اگر بتوان چیزی را با همه حدودش دید، ادراک بصری است و چیزی را که نتوان با چشم به همه حدودش دست یافت، ادراک نامیده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رؤیت، جنسی است که در زیر آن دو نوع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احاطی و رؤیت غیر احاطی؛ رؤیت احاطی همان ادراک است و نفی ادراک در این آیه به معنای نفی یک نوع از رؤیت است و نفی نوع موجب نفی جنس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نفی ادراک خداوند تعالی، نفی رؤیت او لازم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اعتقاد دارد که ادراک، اخصّ از رؤیت است و نفی اخص یعنی ادراک، موجب نفی اعم یعنی رؤیت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بپذیریم که ادراک بصری همان رؤیت است باز هم نمی توان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الابْصار؛ عموم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کرده و بگوییم خدا در هیچ حالتی برای کسی در هیچ زمانی قابل رؤیت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و تعبیر جز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ثبوت خصوص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مطالب آن است که خدا با هیچ چشمی از چشم های بشر در دنیا دیده نمی شود ولی فی حد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تمایز بین ادراک و رؤیت در سخن فخررازی برگرفته از نظریه ماتریدی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ماتریدی،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اشاعره، قبل از فخررازی توسط ابوبکر احمد بیهقی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اشعری به این نکته اهتمام نداشته است</w:t>
      </w:r>
      <w:r>
        <w:rPr>
          <w:rFonts w:eastAsia="IRNazanin" w:cs="IRNazanin"/>
          <w:color w:val="111111"/>
          <w:sz w:val="28"/>
          <w:szCs w:val="28"/>
          <w:rtl w:val="true"/>
          <w:lang w:bidi="fa-IR"/>
        </w:rPr>
        <w:t>.</w:t>
      </w:r>
    </w:p>
    <w:p>
      <w:pPr>
        <w:pStyle w:val="Heading4"/>
        <w:numPr>
          <w:ilvl w:val="3"/>
          <w:numId w:val="1"/>
        </w:numPr>
        <w:rPr/>
      </w:pPr>
      <w:bookmarkStart w:id="300" w:name="__RefHeading___Toc506653_1395250215"/>
      <w:bookmarkStart w:id="301" w:name="_Toc120"/>
      <w:bookmarkEnd w:id="300"/>
      <w:r>
        <w:rPr/>
        <w:t>2</w:t>
      </w:r>
      <w:r>
        <w:rPr>
          <w:rtl w:val="true"/>
        </w:rPr>
        <w:t xml:space="preserve">. </w:t>
      </w:r>
      <w:r>
        <w:rPr>
          <w:rtl w:val="true"/>
        </w:rPr>
        <w:t>رؤیت با حس ششم</w:t>
      </w:r>
      <w:bookmarkEnd w:id="30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با تکیه بر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بیان می کند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ابصار معهود در دنیا است و به موجب این مقدمه معتقد است که این چشم ها تا آن زمان که بر صفات کنونی دنیوی خود باقی هستند خداوند را ادراک و دیدار نمی کنند و چون صفات و احوالشان دگرگون شود خداوند را ادراک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مانند دیگر اشاعره امکان رؤیت خدا را در آخرت ممکن می داند و تا این جا تقریبا با اشعری همراه است؛ اما درادامه عبارتی را به کار می برد</w:t>
      </w:r>
      <w:bookmarkStart w:id="302" w:name="pg2622_17837"/>
    </w:p>
    <w:p>
      <w:pPr>
        <w:pStyle w:val="BookText"/>
        <w:rPr/>
      </w:pPr>
      <w:bookmarkEnd w:id="302"/>
      <w:r>
        <w:rPr>
          <w:rFonts w:ascii="IRNazanin" w:hAnsi="IRNazanin" w:eastAsia="IRNazanin"/>
          <w:color w:val="111111"/>
          <w:sz w:val="28"/>
          <w:sz w:val="28"/>
          <w:szCs w:val="28"/>
          <w:rtl w:val="true"/>
          <w:lang w:bidi="fa-IR"/>
        </w:rPr>
        <w:t>که نوعی تمایز را در نظریه خود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 بپذیریم که اَبصار هر گز خداوند تعالی را نخواهند دید، پس چرا ادراک خداوند تعالی به حاسّه ششم که مغایر با حواس موجود است ــ چنان که ضرار بن عمرو قائل بود</w:t>
      </w:r>
      <w:r>
        <w:rPr>
          <w:rStyle w:val="FootnoteAnchor"/>
          <w:rtl w:val="true"/>
        </w:rPr>
        <w:footnoteReference w:id="61"/>
      </w:r>
      <w:r>
        <w:rPr>
          <w:rFonts w:ascii="IRNazanin" w:hAnsi="IRNazanin" w:eastAsia="IRNazanin"/>
          <w:color w:val="111111"/>
          <w:sz w:val="28"/>
          <w:sz w:val="28"/>
          <w:szCs w:val="28"/>
          <w:rtl w:val="true"/>
          <w:lang w:bidi="fa-IR"/>
        </w:rPr>
        <w:t xml:space="preserve">ــ ممکن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فخررازی برای اثبات رؤیت خدا به پیروی از کلام ضرار بن عمرو که از پیروان اشعری نیست روی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ضرار از شاگردان واصل بن عطا معتزلی بود که پس از مدتی با او بر سر خلق اعمال، انکار عذاب قبر و ترجیح امامت قرشی اختلاف نظر پیدا کرد و افرادی که به پیروی از او برخواستند به ضراریه معروف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دشتی،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معین،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 خاتمی،</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او بر ضد معتزله و نظرهای واصل رساله هایی نوشت ولی به طور حتم نمی توان او را در زمره اشاعره قرار داد؛ زیرا او متوفی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که هنوز اشعری پا به عرصه وجود نگذاشته بود</w:t>
      </w:r>
      <w:r>
        <w:rPr>
          <w:rFonts w:eastAsia="IRNazanin" w:cs="IRNazanin"/>
          <w:color w:val="111111"/>
          <w:sz w:val="28"/>
          <w:szCs w:val="28"/>
          <w:rtl w:val="true"/>
          <w:lang w:bidi="fa-IR"/>
        </w:rPr>
        <w:t>.</w:t>
      </w:r>
    </w:p>
    <w:p>
      <w:pPr>
        <w:pStyle w:val="Heading4"/>
        <w:numPr>
          <w:ilvl w:val="3"/>
          <w:numId w:val="1"/>
        </w:numPr>
        <w:rPr/>
      </w:pPr>
      <w:bookmarkStart w:id="303" w:name="__RefHeading___Toc506655_1395250215"/>
      <w:bookmarkStart w:id="304" w:name="_Toc121"/>
      <w:bookmarkEnd w:id="303"/>
      <w:r>
        <w:rPr/>
        <w:t>3</w:t>
      </w:r>
      <w:r>
        <w:rPr>
          <w:rtl w:val="true"/>
        </w:rPr>
        <w:t>.</w:t>
      </w:r>
      <w:r>
        <w:rPr>
          <w:rtl w:val="true"/>
        </w:rPr>
        <w:t>رد دلایل عقلی اثبات رؤیت خدا</w:t>
      </w:r>
      <w:bookmarkEnd w:id="304"/>
    </w:p>
    <w:p>
      <w:pPr>
        <w:pStyle w:val="BookText"/>
        <w:rPr/>
      </w:pPr>
      <w:r>
        <w:rPr>
          <w:rFonts w:ascii="IRNazanin" w:hAnsi="IRNazanin" w:eastAsia="IRNazanin"/>
          <w:color w:val="111111"/>
          <w:sz w:val="28"/>
          <w:sz w:val="28"/>
          <w:szCs w:val="28"/>
          <w:rtl w:val="true"/>
          <w:lang w:bidi="fa-IR"/>
        </w:rPr>
        <w:t>فخررازی در کتاب کلامی اربعین درباره رؤیت خدا بیان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داشتن جسم و جوهر و مکان، منزه است ولی قابل رؤیت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تا این جا با اشاعره همراهی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ادامه، ابتدا دلایل عقلی فلاسفه و معتزله درباره عدم امکان رؤیت خدا را رد کرده و سپس با توجه به دلیل عقلی اشاعره بر اثبات رؤیت خدا وجه تمایز دیدگاه خود را با اشاعره پیشین مشخص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اشاعره برای اثبات رؤیت خدا به دلیل وجودی تکیه کرده اند؛ اما ما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توانیم به راه آنان ادامه دهیم و این دلیل و اشکال های وارد بر آن را بیان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فخررازی درضمن طرح پرسش هایی به بررسی همه دلایل عقلی بر نفی رؤیت خدا می پردازد و آنها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وقتی پرسش هفتم را که دلیل عقلی اشاعره بر امکان رؤیت خدا را مبتنی بر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مشترک بین واجب 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دانند، بیان می کند، شگفت زده می شود که این دلیل اشاعره در حالی اقامه شده که اشعری وجود شیء را ماهیت و حقیقت آن می داند و اگر وجود</w:t>
      </w:r>
      <w:bookmarkStart w:id="305" w:name="pg2622_17838"/>
    </w:p>
    <w:p>
      <w:pPr>
        <w:pStyle w:val="BookText"/>
        <w:rPr/>
      </w:pPr>
      <w:bookmarkEnd w:id="305"/>
      <w:r>
        <w:rPr>
          <w:rFonts w:ascii="IRNazanin" w:hAnsi="IRNazanin" w:eastAsia="IRNazanin"/>
          <w:color w:val="111111"/>
          <w:sz w:val="28"/>
          <w:sz w:val="28"/>
          <w:szCs w:val="28"/>
          <w:rtl w:val="true"/>
          <w:lang w:bidi="fa-IR"/>
        </w:rPr>
        <w:t>و حقیقت هر چیزی به ماهیت آن باشد، وقتی حقایق و ماهیت ها مختلف شوند، وجودها نیز متفاوت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چطور می تواند وجود، امر مشترک بین واجب و ممکن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خوبی در بیان فخررازی آشکار است تفاوت او با اغلب اشعریان پیش از خود دراستناد به دلایل عقلی برای اثبات رؤیت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ابراهیمی دینانی،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4"/>
        <w:numPr>
          <w:ilvl w:val="3"/>
          <w:numId w:val="1"/>
        </w:numPr>
        <w:rPr/>
      </w:pPr>
      <w:bookmarkStart w:id="306" w:name="__RefHeading___Toc506657_1395250215"/>
      <w:bookmarkStart w:id="307" w:name="_Toc122"/>
      <w:bookmarkEnd w:id="306"/>
      <w:r>
        <w:rPr/>
        <w:t>4</w:t>
      </w:r>
      <w:r>
        <w:rPr>
          <w:rtl w:val="true"/>
        </w:rPr>
        <w:t xml:space="preserve">. </w:t>
      </w:r>
      <w:r>
        <w:rPr>
          <w:rtl w:val="true"/>
        </w:rPr>
        <w:t>سمعی بودن مساله رؤیت</w:t>
      </w:r>
      <w:bookmarkEnd w:id="307"/>
    </w:p>
    <w:p>
      <w:pPr>
        <w:pStyle w:val="BookText"/>
        <w:rPr/>
      </w:pPr>
      <w:r>
        <w:rPr>
          <w:rFonts w:ascii="IRNazanin" w:hAnsi="IRNazanin" w:eastAsia="IRNazanin"/>
          <w:color w:val="111111"/>
          <w:sz w:val="28"/>
          <w:sz w:val="28"/>
          <w:szCs w:val="28"/>
          <w:rtl w:val="true"/>
          <w:lang w:bidi="fa-IR"/>
        </w:rPr>
        <w:t>همانطور که بیان شد اشعری برای اثبات رؤیت خدا به دلایل عقلی و نقلی تمسک کرده و این روند پس از او بیش از پیش عقلانی شد؛ در حالی که فخررازی دلایل عقلی را برای اثبات یا نفی رؤیت خدا راهگشا نمی داند و روش غزالی را که در صفات خبریه، عقل را کارساز نمی دانست در پیش می گیرد و تنها راهکار اثبات یا نفی رؤیت خدا را استفاده از نقل می داند و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بینیم پیامبران و فرستادگان الهی از وقوع این رؤیت خبر می دهند و اهل مکاشفه وجود حالت هایی را بیان می کنندکه می تواند مقدمه رؤیت خدا باشد، گمان ما بر جواز وقوع رؤیت خدا قوت پیدا می کند؛ هرچند از حقیقت همه چیز تنها خداوند به طور کامل مطلع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صراحت نقل را تنها دلیل بر رؤیت خدا در قیامت می داند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مذهب و روش ما در مسأله رؤیت، همان مذهب امام منصور ماتریدی است که براساس آن، نباید رؤیت را با دلیل عقلی اثبات کنیم بلکه باید به ظواهر قرآن و اخبار تمسک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خصم بخواهد که ظاهر آن را تأویل کند به دلیل های عقلی وی اعتراض کرده و او را از تأویل منع می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دلایل نقلی را برای اثبات رؤیت خدا در قیامت در دو دسته دلایل قرآنی ودلایل روایی بیان می کند که ادله قرآنی او آیه های بسیاری را در برمی گیرد و پیش از او نیز مورد توجه اشعریان قرار گرفته بود</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رازی اخبار مربوط به رؤیت بسیار است؛ از جمله حدیث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سترون ربّکم کما ترون القمرَ لیلة البدر، لا تضامون فی رویته؛ بزودی پروردگارتان را خواهید دید، آنچنان که ماه را در شب چهاردهم می بینید و در رؤیت او ظلم و زحمتی ــ از این نظر که کسی مانع کسی بشود یا مؤمن مستحقی محروم</w:t>
      </w:r>
      <w:bookmarkStart w:id="308" w:name="pg2622_17839"/>
    </w:p>
    <w:p>
      <w:pPr>
        <w:pStyle w:val="BookText"/>
        <w:rPr/>
      </w:pPr>
      <w:bookmarkEnd w:id="308"/>
      <w:r>
        <w:rPr>
          <w:rFonts w:ascii="IRNazanin" w:hAnsi="IRNazanin" w:eastAsia="IRNazanin"/>
          <w:color w:val="111111"/>
          <w:sz w:val="28"/>
          <w:sz w:val="28"/>
          <w:szCs w:val="28"/>
          <w:rtl w:val="true"/>
          <w:lang w:bidi="fa-IR"/>
        </w:rPr>
        <w:t>بماند ــ پیش نخواهد آمد</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 اکرم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در تفسیر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 اَحْسَنوا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وجه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که در این مورد نیز رازی به صراحت اعلام می کند که مانند ماتریدی برای اثبات رؤیت خدا بر سمع و نقل تکیه کرده و روش او با اشعریان پیش از خود که دلایل عقلی را نیز در کنار نقل مورد توجه قرار می دادند، متفاوت است</w:t>
      </w:r>
      <w:r>
        <w:rPr>
          <w:rFonts w:eastAsia="IRNazanin" w:cs="IRNazanin"/>
          <w:color w:val="111111"/>
          <w:sz w:val="28"/>
          <w:szCs w:val="28"/>
          <w:rtl w:val="true"/>
          <w:lang w:bidi="fa-IR"/>
        </w:rPr>
        <w:t>.</w:t>
      </w:r>
    </w:p>
    <w:p>
      <w:pPr>
        <w:pStyle w:val="Heading4"/>
        <w:numPr>
          <w:ilvl w:val="3"/>
          <w:numId w:val="1"/>
        </w:numPr>
        <w:rPr/>
      </w:pPr>
      <w:bookmarkStart w:id="309" w:name="__RefHeading___Toc506659_1395250215"/>
      <w:bookmarkStart w:id="310" w:name="_Toc123"/>
      <w:bookmarkEnd w:id="309"/>
      <w:r>
        <w:rPr/>
        <w:t>5</w:t>
      </w:r>
      <w:r>
        <w:rPr>
          <w:rtl w:val="true"/>
        </w:rPr>
        <w:t xml:space="preserve">. </w:t>
      </w:r>
      <w:r>
        <w:rPr>
          <w:rtl w:val="true"/>
        </w:rPr>
        <w:t>کیفیت رؤیت خدا</w:t>
      </w:r>
      <w:bookmarkEnd w:id="310"/>
    </w:p>
    <w:p>
      <w:pPr>
        <w:pStyle w:val="BookText"/>
        <w:rPr/>
      </w:pPr>
      <w:r>
        <w:rPr>
          <w:rFonts w:ascii="IRNazanin" w:hAnsi="IRNazanin" w:eastAsia="IRNazanin"/>
          <w:color w:val="111111"/>
          <w:sz w:val="28"/>
          <w:sz w:val="28"/>
          <w:szCs w:val="28"/>
          <w:rtl w:val="true"/>
          <w:lang w:bidi="fa-IR"/>
        </w:rPr>
        <w:t xml:space="preserve">فخررازی پس از اثبات رؤیت خدا، صحت و جواز آن را از لوازم ذات الهی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چگونگی آن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رؤیت خدا یا همان رؤیت بصری است که نسبت دادن آن به خداوند محال است و یا این چنین نیست و فقط از جهت نتیجه، با رؤیت بصری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حالت را نوعی کشف می داند که در قیامت برای مؤمنین میسر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مراد از رؤیت، کشف تام باشد، نزاعی در ثبوت آن نیست و اگر مراد حالتی باشد که ما انسان ها در وقت دیدن اجسام در خود می یابیم، نزاعی در انتفاء آن در حق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چیزی علم داشته باشیم و سپس آن را ببینیم، بین دو حالت قبل و بعد از رؤیت، تفاوتی ادراک می کنیم و منشأ این تفاوت نقش بستن صورت و شبح آن چیز در چشم یا خروج شعاع از چشم نیست بلکه منشأ آن، حالت دیگری است که رؤیت نامیده می شود و ما مدعی هستیم که تعلق این صفت به ذات الهی جایز است؛ زیرا تمام معارف انسان در قیامت بدیهی و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خواجه نصیرالدین،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طوسی نیز که کتاب محصل فخررازی را خلاصه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اثبات این که این حالت، چیزی غیر از کشف تام باشد به دلیل نیاز است؛ دلایلی که فخرراز ضعیف دانسته و به حق رد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bookmarkStart w:id="311" w:name="pg2622_17840"/>
    </w:p>
    <w:p>
      <w:pPr>
        <w:pStyle w:val="BookText"/>
        <w:rPr/>
      </w:pPr>
      <w:bookmarkEnd w:id="311"/>
      <w:r>
        <w:rPr>
          <w:rFonts w:ascii="IRNazanin" w:hAnsi="IRNazanin" w:eastAsia="IRNazanin"/>
          <w:color w:val="111111"/>
          <w:sz w:val="28"/>
          <w:sz w:val="28"/>
          <w:szCs w:val="28"/>
          <w:rtl w:val="true"/>
          <w:lang w:bidi="fa-IR"/>
        </w:rPr>
        <w:t>فخررازی کشف تام در مجردات را نیازمند به حواس نمی داند بلکه معتقد است این کشف، حالتی است که برای نفس پاک به وجود می آید؛ این نوع انکشاف در ماهیتی که مکان و جهت ندارد بدون مقابل بودن آن ایجاد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صراحت بیان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همان کشف تام است و کشف حقیقت در هر چیز بر اساس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شیء دارای شکل و صورت باشد، رؤیت آن با کشف شکل و صورت شیء به دست می آید و اگر منزه از شکل و صورت باشد، این انکشاف نیز از شکل و صورت داشتن 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بیان شد به خوبی آشکار است که فخررازی نتوانسته نظر اشعری را درباره رؤیت خدا به طور کامل بپذیرد ولی در ابراز و بیان نظر جدید، دچار تحیر شده و به راحتی نمی تواند نظریه ای را بپذیرد؛ به همین دلیل زمانی نظریه ضرار و زمانی دیگر سخن ماتریدی را بیان می کند تا آن که به نظریه کشف، تمایل می یابد و دیدار خدا را کشف تام می داند و این دگرگونی در نظریه وی نشان دهنده تغییراتی در فکر و اندیشه او است</w:t>
      </w:r>
      <w:r>
        <w:rPr>
          <w:rFonts w:eastAsia="IRNazanin" w:cs="IRNazanin"/>
          <w:color w:val="111111"/>
          <w:sz w:val="28"/>
          <w:szCs w:val="28"/>
          <w:rtl w:val="true"/>
          <w:lang w:bidi="fa-IR"/>
        </w:rPr>
        <w:t>.</w:t>
      </w:r>
    </w:p>
    <w:p>
      <w:pPr>
        <w:pStyle w:val="Heading3"/>
        <w:numPr>
          <w:ilvl w:val="2"/>
          <w:numId w:val="1"/>
        </w:numPr>
        <w:rPr/>
      </w:pPr>
      <w:bookmarkStart w:id="312" w:name="__RefHeading___Toc506661_1395250215"/>
      <w:bookmarkStart w:id="313" w:name="_Toc124"/>
      <w:bookmarkEnd w:id="312"/>
      <w:r>
        <w:rPr>
          <w:rtl w:val="true"/>
        </w:rPr>
        <w:t>منشأ تغییر در نظریه فخر رازی</w:t>
      </w:r>
      <w:bookmarkEnd w:id="313"/>
    </w:p>
    <w:p>
      <w:pPr>
        <w:pStyle w:val="Heading4"/>
        <w:numPr>
          <w:ilvl w:val="3"/>
          <w:numId w:val="1"/>
        </w:numPr>
        <w:rPr/>
      </w:pPr>
      <w:bookmarkStart w:id="314" w:name="__RefHeading___Toc506663_1395250215"/>
      <w:bookmarkStart w:id="315" w:name="_Toc125"/>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با توجه به آنچه بیان شد، نظر فخررازی درباره رؤیت خدا دچار تغییر و تحولاتی شده است؛ تغییراتی که دلایل آن را می توان نگرش تأویل گرا در متأخران اشعری، شرایط تاریخی و بیش از همه تحولات روحی ایشان و تلاش او برای دست یابی به حقیقت دانست؛</w:t>
      </w:r>
    </w:p>
    <w:p>
      <w:pPr>
        <w:pStyle w:val="Heading4"/>
        <w:numPr>
          <w:ilvl w:val="3"/>
          <w:numId w:val="1"/>
        </w:numPr>
        <w:rPr/>
      </w:pPr>
      <w:bookmarkStart w:id="316" w:name="__RefHeading___Toc506665_1395250215"/>
      <w:bookmarkStart w:id="317" w:name="_Toc126"/>
      <w:bookmarkEnd w:id="316"/>
      <w:r>
        <w:rPr>
          <w:rtl w:val="true"/>
        </w:rPr>
        <w:t>الف</w:t>
      </w:r>
      <w:r>
        <w:rPr>
          <w:rtl w:val="true"/>
        </w:rPr>
        <w:t xml:space="preserve">. </w:t>
      </w:r>
      <w:r>
        <w:rPr>
          <w:rtl w:val="true"/>
        </w:rPr>
        <w:t>عقل گرایی و تحولات تأویل گرایانه اشاعره در طول تاریخ</w:t>
      </w:r>
      <w:bookmarkEnd w:id="31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فرقه ای اعتقادی است که به وسیله ابوالحسن اشعری در قرن چهارم پدیدآمد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اشعری استفاده از عقل در فهم و تأیید شرع یک ضرورت است اما مطلق نیست؛ بلکه باید مقید به نص باشد که عقل به بیراهه نرود و در صورت تعارض عقل و نقل، اشعری به نقل بها می دهد و معتقد است که عقل باید تابع نص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کرده تا تضاد میان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گرایی و ظاهرگرایی را از بین ببرد و در این راستا سعی نموده تا اهل حدیث را وادار به استفاده از عقل در مباحث اعتقادی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روشن‌ترین و مستندترین نمونه‌ای که می‌توان برای عقل گرایی اشعری ارائه نمود، رساله استحسان الخوض فی علم الکلام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در این رساله به کسانی که تفکر و تعقل را در الهیات حرام می‌دانستند سخت تاخته و استدلال های گوناگونی برای باطل ساختن این گونه عقاید مطرح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بجنوردی،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ربانی گلپایگانی،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سبحانی، بی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جنبش اشعری گرچه در مقابل عقل گرایی افراطی معتزله و با پرهیز از تأویل آغاز شد، اما زمینه عقل‌گرایی در آثار اشعری و گرایش های عقل‌گرایانه در جامعه اسلامی شرایط را برا ی بازگشت پیروان اشعری به عقل‌گرایی و تأویل فراهم ساخت و بزرگان مکتب اشعری مانند باقلانی، جوینی، غزالی و سرانجام فخر رازی به عقل‌گرایی بیش از پیش روی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خلدون، بی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موسوی بجنوردی،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رشد در کتاب فصل المقال آشکارا از گرایش آنان به تأویل سخن گفته و تصریح کرده که این گروه ها به تأویل الفاظ شرع می‌پردازند و الفاظ شرع را طبق باورهای خود تأویل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بجنوردی،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یکی از عوامل مهم تداوم این مذهب نیز همین تحول‌پذیری و عقلانی کردن آن به دست شاگردان اشعری و گرایش ایشان به تأویل بوده است؛ هر چند که این عقل گرایی همواره در یک سطح نبوده و برخی چون غزالی و فخر رازی گرایش های صوفیانه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تحولی مذهب اشعری را می توان در نظریه ها و دیدگاه های شاگردانش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باقلانی از مهمترین شاگردان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وضع و تببین مبانی و ادله مذهب اشعری پرداخت و بر نقش عقل تأکید بیشتری نمود؛ به طوری که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باقلانی همه مسائل اعتقادی در حوزه عقل می‌گنجد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هرچند به دلیل شباهت های بسیار میان نظرهای اشعری و باقلانی، نمی توان این عقل گرایی مطلق را درباره او پذیرفت ولی بدون شک می توان گفت که باقلانی به براهین عقلی بیش از اشعری توجه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روند در میان دیگر شاگردان اشعری نیز حفظ و گسترش یافت تا نوبت به غزالی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تحولی دیگر در مذهب اشعری ایجاد کرد و معتقد شد که بهترین راه، راه و روش صوفیان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اتحاد و همخوانی دین و فلسفه را به شدت رد نمود و فلسفه را از کشف حقیقت عاجز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و همکاران،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دیگر شاگردان اشعری، فخررازی چهره ای شاخص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 نقش عقل و اهمیت آن تأکید کرد و از منقولات دین، به عنوان اموری معقول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او ما اگر بخواهیم به خاطر نقل، به عقل خدشه وارد کنیم عقل و نقل هر دو خدشه دار می‌شوند؛ چون مبنای تصحیح نقل استدلال های عقلی است و اثبات باری تعالی و صفاتش و چگونگی دلالت معجزه بر صدق نبوت، پیش از ادله نقلی نیازمند دلایل عقلی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گرایی فخررازی به قدری شدید بود که او را بنیان‌گذار مکتب فلسفی درکلام اشعری به شمار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بجنوردی،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گرایش تداوم نیافت و او در اواخر عمر بیش</w:t>
      </w:r>
      <w:bookmarkStart w:id="318" w:name="pg2622_17842"/>
    </w:p>
    <w:p>
      <w:pPr>
        <w:pStyle w:val="BookText"/>
        <w:rPr/>
      </w:pPr>
      <w:bookmarkEnd w:id="318"/>
      <w:r>
        <w:rPr>
          <w:rFonts w:ascii="IRNazanin" w:hAnsi="IRNazanin" w:eastAsia="IRNazanin"/>
          <w:color w:val="111111"/>
          <w:sz w:val="28"/>
          <w:sz w:val="28"/>
          <w:szCs w:val="28"/>
          <w:rtl w:val="true"/>
          <w:lang w:bidi="fa-IR"/>
        </w:rPr>
        <w:t xml:space="preserve">از پیش به نظرهای غزالی نزدیک شد به طوری که می توان در دیدگاه های او نوعی ایمان گرایی خرد پیشه را جستجو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 نژاد،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تأویل گرایی، فخررازی، دیدن خداوند را به کشف تعبیر کرد و از ظاهر لفظ دست برداشت</w:t>
      </w:r>
      <w:r>
        <w:rPr>
          <w:rFonts w:eastAsia="IRNazanin" w:cs="IRNazanin"/>
          <w:color w:val="111111"/>
          <w:sz w:val="28"/>
          <w:szCs w:val="28"/>
          <w:rtl w:val="true"/>
          <w:lang w:bidi="fa-IR"/>
        </w:rPr>
        <w:t>.</w:t>
      </w:r>
    </w:p>
    <w:p>
      <w:pPr>
        <w:pStyle w:val="Heading4"/>
        <w:numPr>
          <w:ilvl w:val="3"/>
          <w:numId w:val="1"/>
        </w:numPr>
        <w:rPr/>
      </w:pPr>
      <w:bookmarkStart w:id="319" w:name="__RefHeading___Toc506667_1395250215"/>
      <w:bookmarkStart w:id="320" w:name="_Toc127"/>
      <w:bookmarkEnd w:id="319"/>
      <w:r>
        <w:rPr>
          <w:rtl w:val="true"/>
        </w:rPr>
        <w:t>ب</w:t>
      </w:r>
      <w:r>
        <w:rPr>
          <w:rtl w:val="true"/>
        </w:rPr>
        <w:t xml:space="preserve">. </w:t>
      </w:r>
      <w:r>
        <w:rPr>
          <w:rtl w:val="true"/>
        </w:rPr>
        <w:t>تحولات روحی فخر رازی</w:t>
      </w:r>
      <w:bookmarkEnd w:id="320"/>
    </w:p>
    <w:p>
      <w:pPr>
        <w:pStyle w:val="BookText"/>
        <w:rPr/>
      </w:pPr>
      <w:r>
        <w:rPr>
          <w:rFonts w:ascii="IRNazanin" w:hAnsi="IRNazanin" w:eastAsia="IRNazanin"/>
          <w:color w:val="111111"/>
          <w:sz w:val="28"/>
          <w:sz w:val="28"/>
          <w:szCs w:val="28"/>
          <w:rtl w:val="true"/>
          <w:lang w:bidi="fa-IR"/>
        </w:rPr>
        <w:t xml:space="preserve">فخررازی در ابتدا فیلسوفی متکلم بود که عقل گرایی غزالی را دنبال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 جوادی،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مانند غزالی از عقل گرایی و مشی فلسفی روی گرداند و در مسیر عرفانی پای نهاد؛ حالتی که پس از سرخوردگی فخررازی در پرداختن به علوم عقلی برایش پدیدار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پورجوادی،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که در ابتدا به سخنان غزالی انتقاد می کرد و تفسیرهای او را ناشی از عدم درک مسائل 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پورجوادی،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به او نزدیک تر شد تا جایی که کتاب عرفانی مشکات الانوار غزالی را شرح کرد و نه تنها او را نقد نکرد بلکه تلاش نمود تا نظرهای غزالی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سندی گویا بر تمایل های فخر رازی بر عرفان و تصوف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حالت های عرفانی و گرایش های او به تصوف، باعث شد با آن که همچنان به رؤیت خدا در آخرت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 تفسیری خاص درباره کیفیت این رؤیت، از مسیر کلام اشعری خارج شود و به نوعی شهود عرفانی روی آورد</w:t>
      </w:r>
      <w:r>
        <w:rPr>
          <w:rFonts w:eastAsia="IRNazanin" w:cs="IRNazanin"/>
          <w:color w:val="111111"/>
          <w:sz w:val="28"/>
          <w:szCs w:val="28"/>
          <w:rtl w:val="true"/>
          <w:lang w:bidi="fa-IR"/>
        </w:rPr>
        <w:t>.</w:t>
      </w:r>
    </w:p>
    <w:p>
      <w:pPr>
        <w:pStyle w:val="Heading4"/>
        <w:numPr>
          <w:ilvl w:val="3"/>
          <w:numId w:val="1"/>
        </w:numPr>
        <w:rPr/>
      </w:pPr>
      <w:bookmarkStart w:id="321" w:name="__RefHeading___Toc506669_1395250215"/>
      <w:bookmarkStart w:id="322" w:name="_Toc128"/>
      <w:bookmarkEnd w:id="321"/>
      <w:r>
        <w:rPr>
          <w:rtl w:val="true"/>
        </w:rPr>
        <w:t>ج</w:t>
      </w:r>
      <w:r>
        <w:rPr>
          <w:rtl w:val="true"/>
        </w:rPr>
        <w:t xml:space="preserve">. </w:t>
      </w:r>
      <w:r>
        <w:rPr>
          <w:rtl w:val="true"/>
        </w:rPr>
        <w:t>شرایط تاریخی</w:t>
      </w:r>
      <w:bookmarkEnd w:id="322"/>
    </w:p>
    <w:p>
      <w:pPr>
        <w:pStyle w:val="BookText"/>
        <w:rPr/>
      </w:pPr>
      <w:r>
        <w:rPr>
          <w:rFonts w:ascii="IRNazanin" w:hAnsi="IRNazanin" w:eastAsia="IRNazanin"/>
          <w:color w:val="111111"/>
          <w:sz w:val="28"/>
          <w:sz w:val="28"/>
          <w:szCs w:val="28"/>
          <w:rtl w:val="true"/>
          <w:lang w:bidi="fa-IR"/>
        </w:rPr>
        <w:t>فخررازی در دوره ای متفاوت از پیشینانش درباره رؤیت خدا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گفتار بیان کردیم که سخن گفتن از رؤیت خدا در قرن سوم و چهارم یکی از مهمترین بحث های کلامی بود؛ این بحث در زمان اشعری به اوج خود رسید و در زمان باقلانی هنوز در بالاترین درجه اهمیت قرار داشت؛ اما با گذشت زمان و با ورود به قرن پنجم و ششم از توجه به آن کاسته شد و در اواخر قرن پنجم تقریبا این بحث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غزالی هرچند هنوز از رؤیت خدا سخن گفته می شد ولی در جایگاه اصلی آن یعنی کتب کلام جز اشاراتی کوتاه و گذرا و تکرار مطالب قبل چیزی بیان نمی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 جوادی،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سخن گفتن از رؤیت خدا به بحثی عادی تبدیل گشت و از موضع جدلی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این فضا به متفکر فرصت می داد تا به دور از تقابل با ذهنی آرام تر بیاندیشد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تب و تاب افتادن بحث رؤیت را می توان در شکایت صابونی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سرآمدان کلام در قرن ششم بود که از توجه نکردن مردم به بحثی که چهار قرن در اوج قرار داشت</w:t>
      </w:r>
      <w:bookmarkStart w:id="323" w:name="pg2622_17843"/>
    </w:p>
    <w:p>
      <w:pPr>
        <w:pStyle w:val="BookText"/>
        <w:rPr/>
      </w:pPr>
      <w:bookmarkEnd w:id="323"/>
      <w:r>
        <w:rPr>
          <w:rFonts w:ascii="IRNazanin" w:hAnsi="IRNazanin" w:eastAsia="IRNazanin"/>
          <w:color w:val="111111"/>
          <w:sz w:val="28"/>
          <w:sz w:val="28"/>
          <w:szCs w:val="28"/>
          <w:rtl w:val="true"/>
          <w:lang w:bidi="fa-IR"/>
        </w:rPr>
        <w:t>و ملاک ایمان و کفر قلمداد می شد گلایه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فخررازی به عنوان یک متکلم با صابونی درباره رؤیت مناظره می کند ولی همین عدم توجه مردم و ناراحتی صابونی، حکایت از فروکش کردن این بحث در فضای عمومی جامعه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 جوادی،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که از مخالف یا مخاطب اصلی این بحث یعنی معتزله، جز تعداد کمی باقی نمانده بود، سخن گفتن و اندیشیدن درباره رؤیت خدا و چگونگی آن مجالی دوباره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سخن از رؤیت خدا با فروکش کردن جدال با خصم کم کم در فضایی مناسب در جریان صحیح خود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تقابل و نبودن مخالفت در سال های بعد فضا را به گونه ای ترسیم می کند که متأخرین فخر رازی، مساله رؤیت خدا در آخرت را از مطالب اجماعی امت قلمداد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324" w:name="__RefHeading___Toc506671_1395250215"/>
      <w:bookmarkStart w:id="325" w:name="_Toc129"/>
      <w:bookmarkEnd w:id="324"/>
      <w:r>
        <w:rPr>
          <w:rtl w:val="true"/>
        </w:rPr>
        <w:t>د</w:t>
      </w:r>
      <w:r>
        <w:rPr>
          <w:rtl w:val="true"/>
        </w:rPr>
        <w:t xml:space="preserve">. </w:t>
      </w:r>
      <w:r>
        <w:rPr>
          <w:rtl w:val="true"/>
        </w:rPr>
        <w:t>حقیقت جویی</w:t>
      </w:r>
      <w:bookmarkEnd w:id="325"/>
    </w:p>
    <w:p>
      <w:pPr>
        <w:pStyle w:val="BookText"/>
        <w:rPr/>
      </w:pPr>
      <w:r>
        <w:rPr>
          <w:rFonts w:ascii="IRNazanin" w:hAnsi="IRNazanin" w:eastAsia="IRNazanin"/>
          <w:color w:val="111111"/>
          <w:sz w:val="28"/>
          <w:sz w:val="28"/>
          <w:szCs w:val="28"/>
          <w:rtl w:val="true"/>
          <w:lang w:bidi="fa-IR"/>
        </w:rPr>
        <w:t>فخررازی در پی کشف حقیقت درباره چگونگی رؤیت خدا در آخرت، به تفسیری روی آورد که آن را کشف تام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بین این نظریه فخر رازی و اندیشمندان امامیه درباره رؤیت تفاوت چندانی وجود ندارد؛ زیرا آنچه مورد طرد امامیه است، رؤیت خدا با چشم 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تفسیر متکلمان امامیه از این دیدن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بسیاری از اختلاف های امامیه در تفسیر رؤیت خدا، فضای تاریخی و وجود اتهام های تجسیم گرایی به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تلاش شده تا رؤیت خدا به گونه ای تفسیر شود که هرگونه اتهام را از شیعیان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 توان به نظر صدوق و تفسیر او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رؤیت خدا را نوعی علم می داند؛ زیرا صدوق در فضایی از رؤیت خدا سخن می گوید که بحث های کلامی درباره رؤیت خدا در اوج خود قرار دارد و شیعیان متهم به تجسیم گرایی و تشبیه هستند؛ این فضا به حدی سنگین است که علاوه بر تفسیر حتی بر نقل روایت ها نیز تأثیرگذار می باشد؛ به طوری که صدوق تصریح می کند با این که به درستی یک سری از روایت ها ایمان دارد به جهت امکان سوء برداشت ها بیان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رؤیت خدا را علم به او تعبیر و تفسیر می کند تا نهایت تنزیه را درباره خدا رعایت کرده باشد؛ درحالی که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بیانگر نوعی ادراک قلبی و شهودی از رؤیت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پورجوادی،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بزرگان متأخر امامیه نیز این شهود را علم حضوری معنا کرده اند؛ برای نمونه علامه طباطبایی منظور از رؤیت خدا را علم حضوری به او می داند و معتقد است که هرجا در قرآن از دیده</w:t>
      </w:r>
    </w:p>
    <w:p>
      <w:pPr>
        <w:pStyle w:val="BookText"/>
        <w:rPr/>
      </w:pPr>
      <w:r>
        <w:rPr>
          <w:rFonts w:ascii="IRNazanin" w:hAnsi="IRNazanin" w:eastAsia="IRNazanin"/>
          <w:color w:val="111111"/>
          <w:sz w:val="28"/>
          <w:sz w:val="28"/>
          <w:szCs w:val="28"/>
          <w:rtl w:val="true"/>
          <w:lang w:bidi="fa-IR"/>
        </w:rPr>
        <w:t xml:space="preserve">شدن خدا سخن گفته شده، قرینه ای وجود دارد که نشان می دهد منظور از این رؤیت همین نوع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 کلام خود رؤیتی را اثبات کرده که غیر از رؤیت بصری و حسی است و یک نوع درک و شعوری است که با آن حقیقت و ذات هر چیزی درک می‌شود، بدون این که چشم و فکر در آن به کار رود، بلکه پروردگار خود را به وجدان و بدون هیچ ستر و پرده‌ای درک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در صدد نیستیم تا نظریه های امامیه را درباره رؤیت بکاویم بلکه تنها جهت تذکر، به نظریه امامیه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که اصالت خود را در سایه توجه به کلام معرفت بخش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در شروع شکل گیری بحث های کلامی رؤیت، زمانی که هنوز شعله های دشمنی اهل حدیث و معتزله زبانه نکشیده بود درباره آن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تفسیر و توصیف کلمة الله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عن کل درک مائیتة و الاحاطة بکیفیته و هو المستور عن الأبصار و الأوهام و المحتجب بجلالة عن الإدراک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ترتیب امام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درک ماهیت خدا را محال دانسته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المستور عن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عجز انسان از رؤیت خدا با چشم سر تأکید می کنند؛ همچنین ایشان در تفسیر درخواست موسی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برای دیدن خداوند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موسی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توانی مرا ببینی؛ زیرا تو فانی هستی و موجود فانی توان دیدن موجود باقی را ندارد، پس چطور موسی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می تواند خدای خود را با چشم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روایت ها علاوه برمنابع تفسیری در منابع حدیثی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صدوق ابوالحسن موصلی از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دانشمندی یهودی نزد امیرالمؤمنین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آمد و پرسـید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امـیر مـومنان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 عـبادت پـروردگارت را دیـده ای؟ فـرمود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بـر تـو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پروردگاری را که ندیده باشم عبادت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با مشاهده او را نبینند؛ ولی دل ها با حقیقت ایمان، او را در می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سخنان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در آغاز شکل گیری جبهه های کلامی بر سر مسأله رؤیت خدا مورد توجه کافی قرار نگرفت؛ ولی همچنان این بحث در فضای جامعه اسلامی مطرح بود و از شبهاتی بود که علمای عامه به آن دامن می زدند؛ بنابراین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نیز درباره آن سخن گفتند؛ برای نمونه در روایتی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ابوقره از محدثین نزد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bookmarkStart w:id="326" w:name="pg2622_17845"/>
    </w:p>
    <w:p>
      <w:pPr>
        <w:pStyle w:val="BookText"/>
        <w:rPr/>
      </w:pPr>
      <w:bookmarkEnd w:id="326"/>
      <w:r>
        <w:rPr>
          <w:rFonts w:ascii="IRNazanin" w:hAnsi="IRNazanin" w:eastAsia="IRNazanin"/>
          <w:color w:val="111111"/>
          <w:sz w:val="28"/>
          <w:sz w:val="28"/>
          <w:szCs w:val="28"/>
          <w:rtl w:val="true"/>
          <w:lang w:bidi="fa-IR"/>
        </w:rPr>
        <w:t>و پرسش هایی را از حلال و حرام و احکام شرعی آغاز کرد تا به توحید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 داریم که خداوند عزوجل رؤیت و کلام را میان دو نفر تقسیم کرد؛ به طوری که مکالمه و سخن گفتن با خود را به موسی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بخشید و رؤیت و دیدار خود را به محمد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کسی به جن و انس 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لاتدرکه الابصار و هو یدرک الابصار؛ دیدگان او را درنیابند و او دیدگان را دریابد؟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یحیطون به علما؛ علم آنان او را در بر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 هیچ چیز همانند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نبود؟ ابوقره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مردی نزد مردم آید و به آنان بگوید که از سوی خدا آمده و آنان را به سوی خدا و حکم و فرمان خدا بخواند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الابصار و هو یدرک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لایحیطون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او را با چشمانم دیده و با علمم دریافته ام، او به شکل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شرم نمی کنید؟ زندیقان دین ستیز نتوانستند چنین نسبتی را به او بدهند که چیزی را از سوی خدا بیاورد و سپس برخلاف آن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رآه نزلة اخری؛ پیامبر او را دیگر بار هم بدید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 بیان می کنند که چه دیده است؛ زیرا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رأی؛ دل آنچه را که دیده بود دروغ نشمرد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رأی من آیات ربه الکبری؛ البته که او پاره ای از آیات بزرگ پروردگارش را بدید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آیات خدای عزّوجل غیر خداوند است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یحیطون به علما؛ علم آنان او را در برنگیرد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دیدگان او را ببینند که احاطه علمی به او پیدا کرده اند و شناخت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روایت ها را تکذیب می کنید؟ امام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با قرآن مخالف باشد، آنها را تکذیب می کنم و آنچه همه مسلمانان بر آن اجماع و اتفاق نظر دارند این است که احاطه علمی بر او ممکن نیست، دیدگان او را در نیابند و چیزی مانند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327" w:name="__RefHeading___Toc506673_1395250215"/>
      <w:bookmarkStart w:id="328" w:name="_Toc130"/>
      <w:bookmarkEnd w:id="327"/>
      <w:r>
        <w:rPr>
          <w:rtl w:val="true"/>
        </w:rPr>
        <w:t>نتیجه گیری</w:t>
      </w:r>
      <w:bookmarkEnd w:id="32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با آن که اشعری بود، در مسیر حقیقت جویی، نظرهای بسیاری را بررسی کرد؛ او زمانی به نظر ماتریدیه متمایل شد و گاهی اندیشه ضرار را پذیرفت ولی در نهایت رؤیت خدا در قیامت را کشف و رؤیت قلبی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سرگشتگی و در نتیجه آزمون و خطا، نظری را پذیرفت که مبتنی بر سخنان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امیرالمؤمنین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بود و چهار قرن قبل وقتی این بحث بالاگرفت،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دوباره به آن رهنون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که اگر از ابتدا به آن توجه جدی می شد این همه قیل و قال و کشت و کشتار درون دینی اتفاق نمی افتاد؟</w:t>
      </w:r>
      <w:r>
        <w:rPr>
          <w:rFonts w:eastAsia="IRNazanin" w:cs="IRNazanin"/>
          <w:color w:val="111111"/>
          <w:sz w:val="28"/>
          <w:szCs w:val="28"/>
          <w:rtl w:val="true"/>
          <w:lang w:bidi="fa-IR"/>
        </w:rPr>
        <w:t>!</w:t>
      </w:r>
      <w:bookmarkStart w:id="329" w:name="pg2622_17846"/>
    </w:p>
    <w:p>
      <w:pPr>
        <w:pStyle w:val="Heading3"/>
        <w:numPr>
          <w:ilvl w:val="2"/>
          <w:numId w:val="1"/>
        </w:numPr>
        <w:rPr/>
      </w:pPr>
      <w:bookmarkStart w:id="330" w:name="__RefHeading___Toc506675_1395250215"/>
      <w:bookmarkStart w:id="331" w:name="_Toc131"/>
      <w:bookmarkEnd w:id="329"/>
      <w:bookmarkEnd w:id="330"/>
      <w:r>
        <w:rPr>
          <w:rtl w:val="true"/>
        </w:rPr>
        <w:t>منابع</w:t>
      </w:r>
      <w:bookmarkEnd w:id="3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ابراهیمی دینانی، غلامحسین،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ماجرای فکر فلسفی در اسلام، تهران، طرح‌نو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حنبل، احمد،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الرد علی الزنادقة والجهمیة،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خلدون، عبدالرحمن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ابن خلدون، العبر ودیوان المبتدا والخبر فی أیام العرب والعجم والبربر ومن عاصرهم من ذوی السلطان الأکبر، بیروت لبنان،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ابوالحسن،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الابانة فی اصول الدیانة، قاهرة، مکتبة الثقافة الدینیة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مقالات الإسلامیین و اختلاف المصلین، 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ویسبادن، نشر فرانس شتاینر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اللمع فی الرد علی أهل الزیغ و البدع، حموده غرابة، قاهره، المکتبة الأزهریة للتراث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ایجی، میرسیدشریف،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المواقف، قم، بدرالدین نعسانی، الشریف الرضی افست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باقلانی، ابوبکر بن طیب،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الانصاف فیما یجب اعتقاده و لایجوز الجهل به، عمادالدین حیدر، بیروت، عالم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بیهقی، ابوبکر، احمد بن حسین،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الاعتقاد و الهدایة الی سبیل الرشاد علی مذهب السلف و اصحاب الحدیث، سیدجمیلی، بیروت، دارالکتاب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پورجوادی، نصرالله،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مجدد پژوهش هایی درباره محمد غزالی و فخررازی، تهران، مرکز نشر دانشگاهی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 و اسفند</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رؤیت ماه در آسمان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دانش، شماره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 و اردیبهشت</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رؤیت ماه در آسمان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دانش، شماره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فخررازی و مشکاة الانوار غزالی، معارف، شماره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سعدالدین،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العقائد النسفیة، حجازی سقا، قاهره، مکتبة الکلیات الأزهریة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دشتی، مصطفی،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معارف و معاریف دایرةالمعارف جامع اسلامی، موسسه فرهنگی آرایه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 علی اصغر،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علم کلام در ایران و جهان، تهران، انتشارات اساطیر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خاتمی، احمد،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علم کلام، تهران، انتشارات صبا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دادبه، اصغر،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فخررازی، تهران، طرح 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فخرالدین،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المسائل الخمسون فی اصول الدین، احمد سقا و احمد حجازی، قاهره، المکتب الثقافی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المطالب العالیة من العلم الإلهی، دکترحجازی سقا، بیروت، دار 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الأربعین فی أصول الدین، قاهرة، مکتبة الکلیات الأزهریة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الغیب،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المحصل، دکتر اتای، عمان، دارالرازی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 گلپایگانی، علی،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و مذاهب کلامی، قم، مرکز جهانی علوم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بحوث فی الملل و النحل، قم، مؤسسة النشر الإسلامی، مؤسسة الإمام الصادق</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السبکی، عبدالوهاب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طبقات الشافعیه الکبری، دار إحیاء الکتب العربیة و فیصل عیسی البابی الحلبی، محمود محمد الطناحی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عبدالفتاح محمد الحلو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سلمی محمدبن حسین،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حقائق التفسیر، نصرالله پورجوادی، تهران، مرکز نشر دانشگاهی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محمد بن بابویه،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 قم،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خواجه نصیرالدین،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تلخیص المحصل المعروف بنقد المحصل، بیروت، دارالأضواء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محمد بن نعمان،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أوائل المقالات فی المذاهب و المختارات، قم، المؤتمر العالمی للشیخ المفید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احمد حاج سید جوادی و دیگران،</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دایرة المعارف تشیع، تهران، نشر شهید سعید محبی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سیدمحمدحسین،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 دفتر انتشارات اسلامی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الطبری، بیروت، مؤسسة الأعلمی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ابوحامد،</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کیمیای سعادت، حسین خدیوجم، تهران، انتشارات علمی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الاقتصاد فی الاعتقاد،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إحیاء علوم الدین، بیروت، دارالکتاب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 العقائد، موسی محمدعلی، بیروت، عالم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ماتریدی، ابومنصور،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دکتر عاصم ابراهیم،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محمدپور،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اختلافات ابوالحسن اشعری و امام فخررازی، فروغ وحدت، شماره</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محمد،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فارسی، تهران، نشر امیر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بجنوردی، محمدکاظم،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دایرة المعارف بزرگ اسلامی تهران، مرکز دایرة المعارف بزرگ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جلال محمد،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نشأة الاشعریة و تطورها، بیروت، دارالکتب اللبنانی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 نژاد، محمدحسین،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گرایی خرد پیشه در اندیشه فخررازی، تهران، نشر دانشگاه امام صادق</w:t>
      </w:r>
      <w:r>
        <w:rPr>
          <w:rFonts w:eastAsia="IRNazanin" w:cs="IRNazanin"/>
          <w:color w:val="111111"/>
          <w:sz w:val="28"/>
          <w:szCs w:val="28"/>
          <w:lang w:bidi="fa-IR"/>
        </w:rPr>
        <w:t>7</w:t>
      </w:r>
      <w:r>
        <w:rPr>
          <w:rFonts w:eastAsia="IRNazanin" w:cs="IRNazanin"/>
          <w:color w:val="111111"/>
          <w:sz w:val="28"/>
          <w:szCs w:val="28"/>
          <w:rtl w:val="true"/>
          <w:lang w:bidi="fa-IR"/>
        </w:rPr>
        <w:t>.</w:t>
      </w:r>
      <w:bookmarkStart w:id="332" w:name="pg2622_17849"/>
    </w:p>
    <w:p>
      <w:pPr>
        <w:pStyle w:val="Heading2"/>
        <w:numPr>
          <w:ilvl w:val="1"/>
          <w:numId w:val="1"/>
        </w:numPr>
        <w:rPr/>
      </w:pPr>
      <w:bookmarkStart w:id="333" w:name="__RefHeading___Toc506677_1395250215"/>
      <w:bookmarkStart w:id="334" w:name="_Toc132"/>
      <w:bookmarkEnd w:id="332"/>
      <w:bookmarkEnd w:id="333"/>
      <w:r>
        <w:rPr>
          <w:rtl w:val="true"/>
        </w:rPr>
        <w:t>ترجیح بلا مرجح و اختیار</w:t>
      </w:r>
      <w:r>
        <w:rPr>
          <w:rtl w:val="true"/>
        </w:rPr>
        <w:t xml:space="preserve">/ </w:t>
      </w:r>
      <w:r>
        <w:rPr>
          <w:rtl w:val="true"/>
        </w:rPr>
        <w:t>احمد حیدرپور</w:t>
      </w:r>
      <w:bookmarkEnd w:id="334"/>
    </w:p>
    <w:p>
      <w:pPr>
        <w:pStyle w:val="Heading3"/>
        <w:numPr>
          <w:ilvl w:val="2"/>
          <w:numId w:val="1"/>
        </w:numPr>
        <w:rPr/>
      </w:pPr>
      <w:bookmarkStart w:id="335" w:name="__RefHeading___Toc506679_1395250215"/>
      <w:bookmarkStart w:id="336" w:name="_Toc133"/>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احمد حیدر پور</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تاریخ دریافت </w:t>
      </w:r>
      <w:r>
        <w:rPr>
          <w:rFonts w:eastAsia="IRNazanin" w:cs="IRNazanin"/>
          <w:color w:val="111111"/>
          <w:sz w:val="28"/>
          <w:szCs w:val="28"/>
          <w:rtl w:val="true"/>
          <w:lang w:bidi="fa-IR"/>
        </w:rPr>
        <w:t xml:space="preserve">: </w:t>
      </w:r>
      <w:r>
        <w:rPr>
          <w:rFonts w:eastAsia="IRNazanin" w:cs="IRNazanin"/>
          <w:color w:val="111111"/>
          <w:sz w:val="28"/>
          <w:szCs w:val="28"/>
          <w:lang w:bidi="fa-IR"/>
        </w:rPr>
        <w:t>1392/04/06</w:t>
      </w:r>
    </w:p>
    <w:p>
      <w:pPr>
        <w:pStyle w:val="BookText"/>
        <w:rPr/>
      </w:pPr>
      <w:r>
        <w:rPr>
          <w:rFonts w:ascii="IRNazanin" w:hAnsi="IRNazanin" w:eastAsia="IRNazanin"/>
          <w:color w:val="111111"/>
          <w:sz w:val="28"/>
          <w:sz w:val="28"/>
          <w:szCs w:val="28"/>
          <w:rtl w:val="true"/>
          <w:lang w:bidi="fa-IR"/>
        </w:rPr>
        <w:t xml:space="preserve">تاریخ تایید </w:t>
      </w:r>
      <w:r>
        <w:rPr>
          <w:rFonts w:eastAsia="IRNazanin" w:cs="IRNazanin"/>
          <w:color w:val="111111"/>
          <w:sz w:val="28"/>
          <w:szCs w:val="28"/>
          <w:rtl w:val="true"/>
          <w:lang w:bidi="fa-IR"/>
        </w:rPr>
        <w:t xml:space="preserve">: </w:t>
      </w:r>
      <w:r>
        <w:rPr>
          <w:rFonts w:eastAsia="IRNazanin" w:cs="IRNazanin"/>
          <w:color w:val="111111"/>
          <w:sz w:val="28"/>
          <w:szCs w:val="28"/>
          <w:lang w:bidi="fa-IR"/>
        </w:rPr>
        <w:t>1392/04/23</w:t>
      </w:r>
    </w:p>
    <w:p>
      <w:pPr>
        <w:pStyle w:val="Heading3"/>
        <w:numPr>
          <w:ilvl w:val="2"/>
          <w:numId w:val="1"/>
        </w:numPr>
        <w:rPr/>
      </w:pPr>
      <w:bookmarkStart w:id="337" w:name="__RefHeading___Toc506681_1395250215"/>
      <w:bookmarkStart w:id="338" w:name="_Toc134"/>
      <w:bookmarkEnd w:id="337"/>
      <w:r>
        <w:rPr>
          <w:rtl w:val="true"/>
        </w:rPr>
        <w:t>چکیده</w:t>
      </w:r>
      <w:bookmarkEnd w:id="338"/>
    </w:p>
    <w:p>
      <w:pPr>
        <w:pStyle w:val="BookText"/>
        <w:rPr/>
      </w:pPr>
      <w:r>
        <w:rPr>
          <w:rFonts w:ascii="IRNazanin" w:hAnsi="IRNazanin" w:eastAsia="IRNazanin"/>
          <w:color w:val="111111"/>
          <w:sz w:val="28"/>
          <w:sz w:val="28"/>
          <w:szCs w:val="28"/>
          <w:rtl w:val="true"/>
          <w:lang w:bidi="fa-IR"/>
        </w:rPr>
        <w:t>در این نوشتار سعی شده تا نظریه استحاله ترجیح بلامرجح و ارتباط آن با اختیار به زبانی ساده ولی علمی و مستند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بعد از مفهوم شناسی موضوع مورد بحث، ابتنای نظریه استحاله ترجیح بلامرجح بر لزوم علت غایی در افعال اختیاری و قاعده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غایی، علت فاعلیت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ناسازگاری آن با اختیار به معنای امکان فعل و ترک، بررسی گشته و سپس به دیگر لوازم این نظریه فلسفی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پرداختن به قاعده استحاله ترجیح بلامرجح، ارتباط وثیق آن با دیگر مسائل مهم فلسفی نظیر معنا و مفهوم اختیار، همراهی علت تامه و معلول در فعل فاعل مختار، حدوث و قدم عالم، شناخت صفات و افعال خداوند، شناخت انسان و ارتباط افعال او با قضا و قدر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سعی شده با مراجعه به منابع اصیل فلسفی و طرح پرسش و پاسخ و لوازم هر یک از دو دیدگاه حقانیت دیدگاه، کلامی در این مسأله آشکار گردد</w:t>
      </w:r>
      <w:r>
        <w:rPr>
          <w:rFonts w:eastAsia="IRNazanin" w:cs="IRNazanin"/>
          <w:color w:val="111111"/>
          <w:sz w:val="28"/>
          <w:szCs w:val="28"/>
          <w:rtl w:val="true"/>
          <w:lang w:bidi="fa-IR"/>
        </w:rPr>
        <w:t>.</w:t>
      </w:r>
    </w:p>
    <w:p>
      <w:pPr>
        <w:pStyle w:val="Heading3"/>
        <w:numPr>
          <w:ilvl w:val="2"/>
          <w:numId w:val="1"/>
        </w:numPr>
        <w:rPr/>
      </w:pPr>
      <w:bookmarkStart w:id="339" w:name="__RefHeading___Toc506683_1395250215"/>
      <w:bookmarkStart w:id="340" w:name="_Toc135"/>
      <w:bookmarkEnd w:id="339"/>
      <w:r>
        <w:rPr>
          <w:rtl w:val="true"/>
        </w:rPr>
        <w:t>واژگان کلیدی</w:t>
      </w:r>
      <w:bookmarkEnd w:id="34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مرجح، ترجیح بلامرجح، ترجح بلامرجح، اصل علیت، اختیار، اراده، انتخاب</w:t>
      </w:r>
      <w:bookmarkStart w:id="341" w:name="pg2622_17850"/>
    </w:p>
    <w:p>
      <w:pPr>
        <w:pStyle w:val="Heading3"/>
        <w:numPr>
          <w:ilvl w:val="2"/>
          <w:numId w:val="1"/>
        </w:numPr>
        <w:rPr/>
      </w:pPr>
      <w:bookmarkStart w:id="342" w:name="__RefHeading___Toc506685_1395250215"/>
      <w:bookmarkStart w:id="343" w:name="_Toc136"/>
      <w:bookmarkEnd w:id="341"/>
      <w:bookmarkEnd w:id="342"/>
      <w:r>
        <w:rPr>
          <w:rtl w:val="true"/>
        </w:rPr>
        <w:t>مفهوم شناسی موضوع</w:t>
      </w:r>
      <w:bookmarkEnd w:id="343"/>
    </w:p>
    <w:p>
      <w:pPr>
        <w:pStyle w:val="BookText"/>
        <w:rPr/>
      </w:pPr>
      <w:r>
        <w:rPr>
          <w:rFonts w:ascii="IRNazanin" w:hAnsi="IRNazanin" w:eastAsia="IRNazanin"/>
          <w:color w:val="111111"/>
          <w:sz w:val="28"/>
          <w:sz w:val="28"/>
          <w:szCs w:val="28"/>
          <w:rtl w:val="true"/>
          <w:lang w:bidi="fa-IR"/>
        </w:rPr>
        <w:t>مسأله ترجیح بلامرجح از ابتدای تاریخ فلسفه اسلامی یکی از مسائل جنجال برانگیز بین فیلسوفان و متکلمان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فیلسوفان ترجیح بلامرجح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عقیده متکلمان ممکن می باشد</w:t>
      </w:r>
      <w:r>
        <w:rPr>
          <w:rFonts w:eastAsia="IRNazanin" w:cs="IRNazanin"/>
          <w:color w:val="111111"/>
          <w:sz w:val="28"/>
          <w:szCs w:val="28"/>
          <w:rtl w:val="true"/>
          <w:lang w:bidi="fa-IR"/>
        </w:rPr>
        <w:t>.</w:t>
      </w:r>
    </w:p>
    <w:p>
      <w:pPr>
        <w:pStyle w:val="Heading3"/>
        <w:numPr>
          <w:ilvl w:val="2"/>
          <w:numId w:val="1"/>
        </w:numPr>
        <w:rPr/>
      </w:pPr>
      <w:bookmarkStart w:id="344" w:name="__RefHeading___Toc506687_1395250215"/>
      <w:bookmarkStart w:id="345" w:name="_Toc137"/>
      <w:bookmarkEnd w:id="344"/>
      <w:r>
        <w:rPr>
          <w:rtl w:val="true"/>
        </w:rPr>
        <w:t>معنای ترجیح بلامرجح</w:t>
      </w:r>
      <w:bookmarkEnd w:id="345"/>
    </w:p>
    <w:p>
      <w:pPr>
        <w:pStyle w:val="Heading4"/>
        <w:numPr>
          <w:ilvl w:val="3"/>
          <w:numId w:val="1"/>
        </w:numPr>
        <w:rPr/>
      </w:pPr>
      <w:bookmarkStart w:id="346" w:name="__RefHeading___Toc506689_1395250215"/>
      <w:bookmarkStart w:id="347" w:name="_Toc138"/>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بلامرجح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و موارد متعددی به کار می رود و برای آن که معنا و مقصود از آن در این نوشتار آشکار شود لازم است به آن معانی و کاربردها اشاره شود؛</w:t>
      </w:r>
    </w:p>
    <w:p>
      <w:pPr>
        <w:pStyle w:val="Heading4"/>
        <w:numPr>
          <w:ilvl w:val="3"/>
          <w:numId w:val="1"/>
        </w:numPr>
        <w:rPr/>
      </w:pPr>
      <w:bookmarkStart w:id="348" w:name="__RefHeading___Toc506691_1395250215"/>
      <w:bookmarkStart w:id="349" w:name="_Toc139"/>
      <w:bookmarkEnd w:id="348"/>
      <w:r>
        <w:rPr/>
        <w:t>1</w:t>
      </w:r>
      <w:r>
        <w:rPr>
          <w:rtl w:val="true"/>
        </w:rPr>
        <w:t>.</w:t>
      </w:r>
      <w:r>
        <w:rPr>
          <w:rtl w:val="true"/>
        </w:rPr>
        <w:t xml:space="preserve">رجحان دادن فاعل مختار </w:t>
      </w:r>
      <w:r>
        <w:rPr>
          <w:rtl w:val="true"/>
        </w:rPr>
        <w:t>(</w:t>
      </w:r>
      <w:r>
        <w:rPr>
          <w:rtl w:val="true"/>
        </w:rPr>
        <w:t>انتخاب</w:t>
      </w:r>
      <w:r>
        <w:rPr>
          <w:rtl w:val="true"/>
        </w:rPr>
        <w:t xml:space="preserve">) </w:t>
      </w:r>
      <w:r>
        <w:rPr>
          <w:rtl w:val="true"/>
        </w:rPr>
        <w:t xml:space="preserve">بر </w:t>
      </w:r>
      <w:r>
        <w:rPr>
          <w:rtl w:val="true"/>
        </w:rPr>
        <w:t>...</w:t>
      </w:r>
      <w:bookmarkEnd w:id="349"/>
    </w:p>
    <w:p>
      <w:pPr>
        <w:pStyle w:val="BookText"/>
        <w:rPr/>
      </w:pPr>
      <w:r>
        <w:rPr>
          <w:rFonts w:ascii="IRNazanin" w:hAnsi="IRNazanin" w:eastAsia="IRNazanin"/>
          <w:color w:val="111111"/>
          <w:sz w:val="28"/>
          <w:sz w:val="28"/>
          <w:szCs w:val="28"/>
          <w:rtl w:val="true"/>
          <w:lang w:bidi="fa-IR"/>
        </w:rPr>
        <w:t xml:space="preserve">رجحان دادن فاعل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از دو فعلی</w:t>
      </w:r>
      <w:r>
        <w:rPr>
          <w:rStyle w:val="FootnoteAnchor"/>
          <w:rtl w:val="true"/>
        </w:rPr>
        <w:footnoteReference w:id="65"/>
      </w:r>
      <w:r>
        <w:rPr>
          <w:rFonts w:ascii="IRNazanin" w:hAnsi="IRNazanin" w:eastAsia="IRNazanin"/>
          <w:color w:val="111111"/>
          <w:sz w:val="28"/>
          <w:sz w:val="28"/>
          <w:szCs w:val="28"/>
          <w:rtl w:val="true"/>
          <w:lang w:bidi="fa-IR"/>
        </w:rPr>
        <w:t>که هیچ کدام بر دیگری رجحان ندارد؛ یعنی با وجود این که فاعل در هیچ یک از دو فعل رجحانی نمی بیند در مقام عمل، یکی را انتخاب می کند و این در حالی است که هر دو فعل از جهت مصلحتی که داعی و غایت فاعل است مساوی هستن</w:t>
      </w:r>
    </w:p>
    <w:p>
      <w:pPr>
        <w:pStyle w:val="Heading4"/>
        <w:numPr>
          <w:ilvl w:val="3"/>
          <w:numId w:val="1"/>
        </w:numPr>
        <w:rPr/>
      </w:pPr>
      <w:bookmarkStart w:id="350" w:name="__RefHeading___Toc506693_1395250215"/>
      <w:bookmarkStart w:id="351" w:name="_Toc140"/>
      <w:bookmarkEnd w:id="350"/>
      <w:r>
        <w:rPr/>
        <w:t>2</w:t>
      </w:r>
      <w:r>
        <w:rPr>
          <w:rtl w:val="true"/>
        </w:rPr>
        <w:t>.</w:t>
      </w:r>
      <w:r>
        <w:rPr>
          <w:rtl w:val="true"/>
        </w:rPr>
        <w:t>رجحان دادن و ایجاد یکی از چند</w:t>
      </w:r>
      <w:r>
        <w:rPr>
          <w:rtl w:val="true"/>
        </w:rPr>
        <w:t>...</w:t>
      </w:r>
      <w:bookmarkEnd w:id="351"/>
    </w:p>
    <w:p>
      <w:pPr>
        <w:pStyle w:val="BookText"/>
        <w:rPr/>
      </w:pPr>
      <w:r>
        <w:rPr>
          <w:rFonts w:ascii="IRNazanin" w:hAnsi="IRNazanin" w:eastAsia="IRNazanin"/>
          <w:color w:val="111111"/>
          <w:sz w:val="28"/>
          <w:sz w:val="28"/>
          <w:szCs w:val="28"/>
          <w:rtl w:val="true"/>
          <w:lang w:bidi="fa-IR"/>
        </w:rPr>
        <w:t xml:space="preserve">رجحان دادن و ایجاد یکی از چند اراده ای که فاعل مختار متمکن از آنهاست؛ یعنی انجام هر فعل تولیدی توسط فاعل و به خصوص انجام هر کدام از دو فعلی </w:t>
      </w:r>
      <w:r>
        <w:rPr>
          <w:rStyle w:val="FootnoteAnchor"/>
          <w:rtl w:val="true"/>
        </w:rPr>
        <w:footnoteReference w:id="66"/>
      </w:r>
      <w:r>
        <w:rPr>
          <w:rFonts w:ascii="IRNazanin" w:hAnsi="IRNazanin" w:eastAsia="IRNazanin"/>
          <w:color w:val="111111"/>
          <w:sz w:val="28"/>
          <w:sz w:val="28"/>
          <w:szCs w:val="28"/>
          <w:rtl w:val="true"/>
          <w:lang w:bidi="fa-IR"/>
        </w:rPr>
        <w:t>که در محقق کردن غرض فاعل مساوی هستند، متفرع بر اراده یکی از آن دو فعل است و خود اراده، فعلی از افعال مباشری نفس فاعل</w:t>
      </w:r>
    </w:p>
    <w:p>
      <w:pPr>
        <w:pStyle w:val="Heading4"/>
        <w:numPr>
          <w:ilvl w:val="3"/>
          <w:numId w:val="1"/>
        </w:numPr>
        <w:rPr/>
      </w:pPr>
      <w:bookmarkStart w:id="352" w:name="__RefHeading___Toc506695_1395250215"/>
      <w:bookmarkStart w:id="353" w:name="_Toc141"/>
      <w:bookmarkEnd w:id="352"/>
      <w:r>
        <w:rPr/>
        <w:t>3</w:t>
      </w:r>
      <w:r>
        <w:rPr>
          <w:rtl w:val="true"/>
        </w:rPr>
        <w:t>.</w:t>
      </w:r>
      <w:r>
        <w:rPr>
          <w:rtl w:val="true"/>
        </w:rPr>
        <w:t>تحقق ممکن بدون علت تامه ای که آن را ایجاد کند</w:t>
      </w:r>
      <w:r>
        <w:rPr>
          <w:rtl w:val="true"/>
        </w:rPr>
        <w:t>....</w:t>
      </w:r>
      <w:bookmarkEnd w:id="35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تحقق ممکن بدون علت تامه ای که آن را ایجاد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صدرالمتألهین،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غازانی،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حالتی که ذات شیء ممکن، اقتضا و علیتی نسبت به اتصاف به وجود یا عدم ندارد؛ یعنی نسبتش به وجود و عدم مساوی است و بدون دخالت علت تامه موجود میشود، پس در این معنا ترجیح مصدر لازم از باب تفعل و</w:t>
      </w:r>
      <w:bookmarkStart w:id="354" w:name="pg2622_17851"/>
    </w:p>
    <w:p>
      <w:pPr>
        <w:pStyle w:val="BookText"/>
        <w:rPr/>
      </w:pPr>
      <w:bookmarkEnd w:id="354"/>
      <w:r>
        <w:rPr>
          <w:rFonts w:ascii="IRNazanin" w:hAnsi="IRNazanin" w:eastAsia="IRNazanin"/>
          <w:color w:val="111111"/>
          <w:sz w:val="28"/>
          <w:sz w:val="28"/>
          <w:szCs w:val="28"/>
          <w:rtl w:val="true"/>
          <w:lang w:bidi="fa-IR"/>
        </w:rPr>
        <w:t>به معنای رجحان یافتن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استحاله این معنا نیز از بدیهیات اولی و فطریات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اختلافی بین دانشمندان اسلامی در استحاله آن نیست</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در تفاوت بین این دو اصطلاح گفته می شود که حصول فعل بدون رجحان اگر به فاعل نسبت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معلول نسبت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4"/>
        <w:numPr>
          <w:ilvl w:val="3"/>
          <w:numId w:val="1"/>
        </w:numPr>
        <w:rPr/>
      </w:pPr>
      <w:bookmarkStart w:id="355" w:name="__RefHeading___Toc506697_1395250215"/>
      <w:bookmarkStart w:id="356" w:name="_Toc142"/>
      <w:bookmarkEnd w:id="355"/>
      <w:r>
        <w:rPr/>
        <w:t>4</w:t>
      </w:r>
      <w:r>
        <w:rPr>
          <w:rtl w:val="true"/>
        </w:rPr>
        <w:t>.</w:t>
      </w:r>
      <w:r>
        <w:rPr>
          <w:rtl w:val="true"/>
        </w:rPr>
        <w:t>صدور معلول از یکی از دو علتی</w:t>
      </w:r>
      <w:r>
        <w:rPr>
          <w:rtl w:val="true"/>
        </w:rPr>
        <w:t>...</w:t>
      </w:r>
      <w:bookmarkEnd w:id="356"/>
    </w:p>
    <w:p>
      <w:pPr>
        <w:pStyle w:val="BookText"/>
        <w:rPr/>
      </w:pPr>
      <w:r>
        <w:rPr>
          <w:rFonts w:ascii="IRNazanin" w:hAnsi="IRNazanin" w:eastAsia="IRNazanin"/>
          <w:color w:val="111111"/>
          <w:sz w:val="28"/>
          <w:sz w:val="28"/>
          <w:szCs w:val="28"/>
          <w:rtl w:val="true"/>
          <w:lang w:bidi="fa-IR"/>
        </w:rPr>
        <w:t xml:space="preserve">صدور معلول از یکی از دو علتی که نسبت مساوی با آنها دارد؛ در مقابل صدور 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استرآبادی، محمد تقی،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4"/>
        <w:numPr>
          <w:ilvl w:val="3"/>
          <w:numId w:val="1"/>
        </w:numPr>
        <w:rPr/>
      </w:pPr>
      <w:bookmarkStart w:id="357" w:name="__RefHeading___Toc506699_1395250215"/>
      <w:bookmarkStart w:id="358" w:name="_Toc143"/>
      <w:bookmarkEnd w:id="357"/>
      <w:r>
        <w:rPr/>
        <w:t>5</w:t>
      </w:r>
      <w:r>
        <w:rPr>
          <w:rtl w:val="true"/>
        </w:rPr>
        <w:t>.</w:t>
      </w:r>
      <w:r>
        <w:rPr>
          <w:rtl w:val="true"/>
        </w:rPr>
        <w:t xml:space="preserve">تحقق یکی از دو امر </w:t>
      </w:r>
      <w:r>
        <w:rPr>
          <w:rtl w:val="true"/>
        </w:rPr>
        <w:t>...</w:t>
      </w:r>
      <w:bookmarkEnd w:id="358"/>
    </w:p>
    <w:p>
      <w:pPr>
        <w:pStyle w:val="BookText"/>
        <w:rPr/>
      </w:pPr>
      <w:r>
        <w:rPr>
          <w:rFonts w:ascii="IRNazanin" w:hAnsi="IRNazanin" w:eastAsia="IRNazanin"/>
          <w:color w:val="111111"/>
          <w:sz w:val="28"/>
          <w:sz w:val="28"/>
          <w:szCs w:val="28"/>
          <w:rtl w:val="true"/>
          <w:lang w:bidi="fa-IR"/>
        </w:rPr>
        <w:t>تحقق یکی از دو امر ممکنی که تحقق هیچ کدام بر دیگری رجحان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این معنا تأثیر یکی از ضدین در دیگری و معدوم شدن یکی از آن دو است</w:t>
      </w:r>
      <w:r>
        <w:rPr>
          <w:rFonts w:eastAsia="IRNazanin" w:cs="IRNazanin"/>
          <w:color w:val="111111"/>
          <w:sz w:val="28"/>
          <w:szCs w:val="28"/>
          <w:rtl w:val="true"/>
          <w:lang w:bidi="fa-IR"/>
        </w:rPr>
        <w:t>.</w:t>
      </w:r>
    </w:p>
    <w:p>
      <w:pPr>
        <w:pStyle w:val="Heading4"/>
        <w:numPr>
          <w:ilvl w:val="3"/>
          <w:numId w:val="1"/>
        </w:numPr>
        <w:rPr/>
      </w:pPr>
      <w:bookmarkStart w:id="359" w:name="__RefHeading___Toc506701_1395250215"/>
      <w:bookmarkStart w:id="360" w:name="_Toc144"/>
      <w:bookmarkEnd w:id="359"/>
      <w:r>
        <w:rPr/>
        <w:t>6</w:t>
      </w:r>
      <w:r>
        <w:rPr>
          <w:rtl w:val="true"/>
        </w:rPr>
        <w:t>.</w:t>
      </w:r>
      <w:r>
        <w:rPr>
          <w:rtl w:val="true"/>
        </w:rPr>
        <w:t>حکم به رجحان یکی از دو شیء مساوی، بدون مرجح که این بر دو قسم است؛</w:t>
      </w:r>
      <w:bookmarkEnd w:id="360"/>
    </w:p>
    <w:p>
      <w:pPr>
        <w:pStyle w:val="BookText"/>
        <w:rPr/>
      </w:pPr>
      <w:r>
        <w:rPr>
          <w:rFonts w:ascii="IRNazanin" w:hAnsi="IRNazanin" w:eastAsia="IRNazanin"/>
          <w:color w:val="111111"/>
          <w:sz w:val="28"/>
          <w:sz w:val="28"/>
          <w:szCs w:val="28"/>
          <w:rtl w:val="true"/>
          <w:lang w:bidi="fa-IR"/>
        </w:rPr>
        <w:t>نخست این که حکم، حکم حقیقی و مقصود، تصدیق قلبی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مقصود از تساوی، تساوی در نظر حاکم باشد شکی نیست که محال است؛ زیرا به معنای حکم و تصدیق به تساوی و عدم تساوی است که اجتماع نقیضین صورت گرفته، حال اگر مقصود از تساوی، تساوی در واقع است شکی نیست که جایز و به معنای خطای حاکم و تصدیق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حکم اعتباری باشد مانند حکم قاضی و مشابه آن؛ یعنی قاضی رجحان را برای یکی از دو طرف مساوی، اعتبار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فیش های استاد فیاضی</w:t>
      </w:r>
      <w:r>
        <w:rPr>
          <w:rFonts w:eastAsia="IRNazanin" w:cs="IRNazanin"/>
          <w:color w:val="111111"/>
          <w:sz w:val="28"/>
          <w:szCs w:val="28"/>
          <w:rtl w:val="true"/>
          <w:lang w:bidi="fa-IR"/>
        </w:rPr>
        <w:t>).</w:t>
      </w:r>
    </w:p>
    <w:p>
      <w:pPr>
        <w:pStyle w:val="Heading4"/>
        <w:numPr>
          <w:ilvl w:val="3"/>
          <w:numId w:val="1"/>
        </w:numPr>
        <w:rPr/>
      </w:pPr>
      <w:bookmarkStart w:id="361" w:name="__RefHeading___Toc506703_1395250215"/>
      <w:bookmarkStart w:id="362" w:name="_Toc145"/>
      <w:bookmarkEnd w:id="361"/>
      <w:r>
        <w:rPr/>
        <w:t>7</w:t>
      </w:r>
      <w:r>
        <w:rPr>
          <w:rtl w:val="true"/>
        </w:rPr>
        <w:t>.</w:t>
      </w:r>
      <w:r>
        <w:rPr>
          <w:rtl w:val="true"/>
        </w:rPr>
        <w:t>تحقق ممکن در یکی از زمان ها</w:t>
      </w:r>
      <w:r>
        <w:rPr>
          <w:rtl w:val="true"/>
        </w:rPr>
        <w:t>...</w:t>
      </w:r>
      <w:bookmarkEnd w:id="362"/>
    </w:p>
    <w:p>
      <w:pPr>
        <w:pStyle w:val="BookText"/>
        <w:rPr/>
      </w:pPr>
      <w:r>
        <w:rPr>
          <w:rFonts w:ascii="IRNazanin" w:hAnsi="IRNazanin" w:eastAsia="IRNazanin"/>
          <w:color w:val="111111"/>
          <w:sz w:val="28"/>
          <w:sz w:val="28"/>
          <w:szCs w:val="28"/>
          <w:rtl w:val="true"/>
          <w:lang w:bidi="fa-IR"/>
        </w:rPr>
        <w:t xml:space="preserve">تحقق ممکن در یکی از زمان ها، مکان ها یا مواضعی که نسبت مساوی با آنها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نصیر الدین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4"/>
        <w:numPr>
          <w:ilvl w:val="3"/>
          <w:numId w:val="1"/>
        </w:numPr>
        <w:rPr/>
      </w:pPr>
      <w:bookmarkStart w:id="363" w:name="__RefHeading___Toc506705_1395250215"/>
      <w:bookmarkStart w:id="364" w:name="_Toc146"/>
      <w:bookmarkEnd w:id="363"/>
      <w:r>
        <w:rPr/>
        <w:t>8</w:t>
      </w:r>
      <w:r>
        <w:rPr>
          <w:rtl w:val="true"/>
        </w:rPr>
        <w:t>.</w:t>
      </w:r>
      <w:r>
        <w:rPr>
          <w:rtl w:val="true"/>
        </w:rPr>
        <w:t>رجحان دادن خداوند به خلق عالم در</w:t>
      </w:r>
      <w:r>
        <w:rPr>
          <w:rtl w:val="true"/>
        </w:rPr>
        <w:t>...</w:t>
      </w:r>
      <w:bookmarkEnd w:id="36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رجحان دادن خداوند</w:t>
      </w:r>
      <w:r>
        <w:rPr>
          <w:rStyle w:val="FootnoteAnchor"/>
          <w:rtl w:val="true"/>
        </w:rPr>
        <w:footnoteReference w:id="68"/>
      </w:r>
      <w:r>
        <w:rPr>
          <w:rFonts w:ascii="IRNazanin" w:hAnsi="IRNazanin" w:eastAsia="IRNazanin"/>
          <w:color w:val="111111"/>
          <w:sz w:val="28"/>
          <w:sz w:val="28"/>
          <w:szCs w:val="28"/>
          <w:rtl w:val="true"/>
          <w:lang w:bidi="fa-IR"/>
        </w:rPr>
        <w:t>به خلق عالم در یکی از بی نهایت زمان هایی که خلق عالم در آنها امکان دارد و نسبت خداوند به خلق عالم در همه آن زمان ها مساوی است</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این نوشتار مقصود</w:t>
      </w:r>
      <w:bookmarkStart w:id="365" w:name="pg2622_17852"/>
    </w:p>
    <w:p>
      <w:pPr>
        <w:pStyle w:val="BookText"/>
        <w:rPr/>
      </w:pPr>
      <w:bookmarkEnd w:id="365"/>
      <w:r>
        <w:rPr>
          <w:rFonts w:ascii="IRNazanin" w:hAnsi="IRNazanin" w:eastAsia="IRNazanin"/>
          <w:color w:val="111111"/>
          <w:sz w:val="28"/>
          <w:sz w:val="28"/>
          <w:szCs w:val="28"/>
          <w:rtl w:val="true"/>
          <w:lang w:bidi="fa-IR"/>
        </w:rPr>
        <w:t>از ترجیح بلامرجح مواردی است که دو امر مساوی مقابل فاعل مختار است و فاعل ناگزیر از انتخاب یکی از آنها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اول، دوم و هشتم؛ زیرا تنها در این صورت است که ارتباط آن با اختیار انسان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است که فیلسوفان از دیرباز ترجیح بلامرجح را مستلزم ترجح بلامرجح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 استرآبادی،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میرداماد،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محقق دوانی،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مصادیق نقض قانون علیت و در نتیجه محال 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نیز مخالفان سرسختانه از نظریه جواز دفاع کرده و لوازم فاسدی برای نظریه استحاله گوشزد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مسأله و ارتباط وثیق آن با بسیاری از مسائل دیگر به گونه ای است که در صورت پذیرش جواز ترجیح بلامرجح تحولی عظیم در برخی مسائل بنیادین فلسفه به وجود خواهد آمد و برخی مسائل مشکلی که در مقابل فیلسوفان عرض اندام می کرده به راحتی قابل حل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درصدد آن است که با توضیح و تشریح کامل این دو نظریه و بیان ادله ولوازم آنها، نظر حق در این مسأله را آشکار سازد تا ادعای اصلی خود یعنی ناسازگاری استحاله ترجیح بلامرجح با اختیار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طور که مقصود از ترجیح بلامرجح آشکار گردید، لازم است معنای اختیار نیز روشن شود</w:t>
      </w:r>
      <w:r>
        <w:rPr>
          <w:rFonts w:eastAsia="IRNazanin" w:cs="IRNazanin"/>
          <w:color w:val="111111"/>
          <w:sz w:val="28"/>
          <w:szCs w:val="28"/>
          <w:rtl w:val="true"/>
          <w:lang w:bidi="fa-IR"/>
        </w:rPr>
        <w:t>.</w:t>
      </w:r>
    </w:p>
    <w:p>
      <w:pPr>
        <w:pStyle w:val="Heading3"/>
        <w:numPr>
          <w:ilvl w:val="2"/>
          <w:numId w:val="1"/>
        </w:numPr>
        <w:rPr/>
      </w:pPr>
      <w:bookmarkStart w:id="366" w:name="__RefHeading___Toc506707_1395250215"/>
      <w:bookmarkStart w:id="367" w:name="_Toc147"/>
      <w:bookmarkEnd w:id="366"/>
      <w:r>
        <w:rPr>
          <w:rtl w:val="true"/>
        </w:rPr>
        <w:t>معنای اختیار</w:t>
      </w:r>
      <w:bookmarkEnd w:id="367"/>
    </w:p>
    <w:p>
      <w:pPr>
        <w:pStyle w:val="Heading4"/>
        <w:numPr>
          <w:ilvl w:val="3"/>
          <w:numId w:val="1"/>
        </w:numPr>
        <w:rPr/>
      </w:pPr>
      <w:bookmarkStart w:id="368" w:name="__RefHeading___Toc506709_1395250215"/>
      <w:bookmarkStart w:id="369" w:name="_Toc148"/>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اختیار در لغت از مصدر باب افتعال از واژه خیر و به معنای طلب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حیوانی از آن جهت فعل اختیاری نامیده شده که اختیار به معنای طلب خیر است و حیوان تا به منفعت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اعتقاد نداشته باشد بر آن اقدام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سمیع دغیم،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 عبارات دانشمندان چهار معنای اصطلاحی برای اختیار به دست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شرح ذیل می باشد</w:t>
      </w:r>
      <w:r>
        <w:rPr>
          <w:rFonts w:eastAsia="IRNazanin" w:cs="IRNazanin"/>
          <w:color w:val="111111"/>
          <w:sz w:val="28"/>
          <w:szCs w:val="28"/>
          <w:rtl w:val="true"/>
          <w:lang w:bidi="fa-IR"/>
        </w:rPr>
        <w:t>:</w:t>
      </w:r>
    </w:p>
    <w:p>
      <w:pPr>
        <w:pStyle w:val="Heading4"/>
        <w:numPr>
          <w:ilvl w:val="3"/>
          <w:numId w:val="1"/>
        </w:numPr>
        <w:rPr/>
      </w:pPr>
      <w:bookmarkStart w:id="370" w:name="__RefHeading___Toc506711_1395250215"/>
      <w:bookmarkStart w:id="371" w:name="_Toc149"/>
      <w:bookmarkEnd w:id="370"/>
      <w:r>
        <w:rPr/>
        <w:t>1</w:t>
      </w:r>
      <w:r>
        <w:rPr>
          <w:rtl w:val="true"/>
        </w:rPr>
        <w:t>.</w:t>
      </w:r>
      <w:r>
        <w:rPr>
          <w:rtl w:val="true"/>
        </w:rPr>
        <w:t>امکان فعل و ترک</w:t>
      </w:r>
      <w:bookmarkEnd w:id="37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تعلیقات باغنوی بر محاکمات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نزد متکلمین که اختیار را به امکان فعل و ترک تفسیر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bookmarkStart w:id="372" w:name="pg2622_17853"/>
    </w:p>
    <w:p>
      <w:pPr>
        <w:pStyle w:val="BookText"/>
        <w:rPr/>
      </w:pPr>
      <w:bookmarkEnd w:id="372"/>
      <w:r>
        <w:rPr>
          <w:rFonts w:ascii="IRNazanin" w:hAnsi="IRNazanin" w:eastAsia="IRNazanin"/>
          <w:color w:val="111111"/>
          <w:sz w:val="28"/>
          <w:sz w:val="28"/>
          <w:szCs w:val="28"/>
          <w:rtl w:val="true"/>
          <w:lang w:bidi="fa-IR"/>
        </w:rPr>
        <w:t>گاهی نیز قدرت به این معنا تفسیر شده است؛ به طوری که سبزواری ضمن تفسیر قدرت به این معنا اشکالی متوجه آن ساخته و نوشته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قدرت به صحت صدور و عدم صدور با قدرت حیوان مناسب است؛ زیرا صحت به معنای امکان است و خداوند متعال به طور کامل واجب و فعلیتی است که جزء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جامی،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سبزواری، 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اختیار و قدرت با هم به این معنا تفسیر شده و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و قادر کسی است فعل و ترک برای او امکان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تهانوی،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الإختیار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متلازم بودن دو مفهوم اختیار و قدرت سبب این امر است؛ زیرا اختیار در این معنا به حالت یا قوه ای اطلاق می شود که امکان فعل و ترک را برای فاعل مهیا می کند</w:t>
      </w:r>
      <w:r>
        <w:rPr>
          <w:rFonts w:eastAsia="IRNazanin" w:cs="IRNazanin"/>
          <w:color w:val="111111"/>
          <w:sz w:val="28"/>
          <w:szCs w:val="28"/>
          <w:rtl w:val="true"/>
          <w:lang w:bidi="fa-IR"/>
        </w:rPr>
        <w:t>.</w:t>
      </w:r>
    </w:p>
    <w:p>
      <w:pPr>
        <w:pStyle w:val="Heading4"/>
        <w:numPr>
          <w:ilvl w:val="3"/>
          <w:numId w:val="1"/>
        </w:numPr>
        <w:rPr/>
      </w:pPr>
      <w:bookmarkStart w:id="373" w:name="__RefHeading___Toc506713_1395250215"/>
      <w:bookmarkStart w:id="374" w:name="_Toc150"/>
      <w:bookmarkEnd w:id="373"/>
      <w:r>
        <w:rPr/>
        <w:t>2</w:t>
      </w:r>
      <w:r>
        <w:rPr>
          <w:rtl w:val="true"/>
        </w:rPr>
        <w:t>.</w:t>
      </w:r>
      <w:r>
        <w:rPr>
          <w:rtl w:val="true"/>
        </w:rPr>
        <w:t>تأثیر خواست فاعل در فعل خود</w:t>
      </w:r>
      <w:bookmarkEnd w:id="374"/>
    </w:p>
    <w:p>
      <w:pPr>
        <w:pStyle w:val="BookText"/>
        <w:rPr/>
      </w:pPr>
      <w:r>
        <w:rPr>
          <w:rFonts w:ascii="IRNazanin" w:hAnsi="IRNazanin" w:eastAsia="IRNazanin"/>
          <w:color w:val="111111"/>
          <w:sz w:val="28"/>
          <w:sz w:val="28"/>
          <w:szCs w:val="28"/>
          <w:rtl w:val="true"/>
          <w:lang w:bidi="fa-IR"/>
        </w:rPr>
        <w:t xml:space="preserve">این معنایی است که به فیلسوفان منسوب است و از آن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فعل و ان لم یشأ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صدرالمتألهین، بی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رازی،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تعلیقات باغنوی بر محاکمات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امکان فعل و ترک، دوم، اگر بخواهد، انجام دهد و اگر نخواهد،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 خداوند را به معنای نخست مختار می دانند و فیلسوفان به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نیز قدرت به دو معنای مذکور تفسیر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صدرالمتألهین، بی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قدرت و اختیار مترادف لحاظ گشته و دو معنای مذکور برای آنها بیان گردیده که معنای نخست به متکلمین و معنای دوم به فیلسوفان نسبت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تهانوی،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صدرالمتألهین،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به جای اختیار، قدرت را به معنای دوم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شرح الاشارات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بودن فاعل است به گونه ای که اگر بخواهد انجام دهد و اگر بخواهد ترک کند و جمله شرطیه استدعای وقوع یا عدم وقوع مقدم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مقدم شرطیه فعل به طور دائم واقع است و مقدم شرطیه ترک به طور دائم واقع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خواجه نصیرالدین،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ابن سینا،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ذیل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قدرة الواجب؛ بهمنیار،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bookmarkStart w:id="375" w:name="pg2622_17854"/>
    </w:p>
    <w:p>
      <w:pPr>
        <w:pStyle w:val="BookText"/>
        <w:rPr/>
      </w:pPr>
      <w:bookmarkEnd w:id="375"/>
      <w:r>
        <w:rPr>
          <w:rFonts w:ascii="IRNazanin" w:hAnsi="IRNazanin" w:eastAsia="IRNazanin"/>
          <w:color w:val="111111"/>
          <w:sz w:val="28"/>
          <w:sz w:val="28"/>
          <w:szCs w:val="28"/>
          <w:rtl w:val="true"/>
          <w:lang w:bidi="fa-IR"/>
        </w:rPr>
        <w:t xml:space="preserve">میرداماد معتقد است که در حقیقت فیلسوفان و متکلمان در معنای قدرت یا اختیار اختلاف ندارند؛ زیرا این دو معنا به حسب مفهوم و تحقق متلازم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اختلاف آنها تنها در صدق و عدم صدق مفهوم قدرت بر فردی است که مشیت و خواستش لازم ذاتش و غیر قابل انفکاک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جا فیلسوفان صدق و متکلمان عدم صدق را برگزیده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کتاب قبسات بر آن است که ابن سینا قدرت خداوند را به هیچ یک از دو معنای مذکور تفسیر نکرده است؛ زیرا بنابر نظرشیخ، صرف وجود صورت علمی در انسان سبب فعل نیست بلکه برای انجام فعل علاوه بر صورت علمی نیاز به اراده ای است که در انسان حادث شود و قوه محرکه را تحریک کرده و به دنبال آن اعضا به حرکت درآیند؛ زیرا اگر صرف وجود علمی در انسان سبب فعل بود، خود صورت علمی همان قدرت انسان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انسان علم و قدرت یکی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اراده واجب الوجود نه از جهت ذات و نه از جهت مفهوم مغایر علم نیست؛ زیرا علم واجب تعالی، اراده او است و قدرت واجب الوجود همان تعقل او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Heading4"/>
        <w:numPr>
          <w:ilvl w:val="3"/>
          <w:numId w:val="1"/>
        </w:numPr>
        <w:rPr/>
      </w:pPr>
      <w:bookmarkStart w:id="376" w:name="__RefHeading___Toc506715_1395250215"/>
      <w:bookmarkStart w:id="377" w:name="_Toc151"/>
      <w:bookmarkEnd w:id="376"/>
      <w:r>
        <w:rPr/>
        <w:t>3</w:t>
      </w:r>
      <w:r>
        <w:rPr>
          <w:rtl w:val="true"/>
        </w:rPr>
        <w:t>.</w:t>
      </w:r>
      <w:r>
        <w:rPr>
          <w:rtl w:val="true"/>
        </w:rPr>
        <w:t>تأثیر خواست فاعل در فعلش بدون فشار عوامل بیرونی</w:t>
      </w:r>
      <w:bookmarkEnd w:id="377"/>
    </w:p>
    <w:p>
      <w:pPr>
        <w:pStyle w:val="BookText"/>
        <w:rPr/>
      </w:pPr>
      <w:r>
        <w:rPr>
          <w:rFonts w:ascii="IRNazanin" w:hAnsi="IRNazanin" w:eastAsia="IRNazanin"/>
          <w:color w:val="111111"/>
          <w:sz w:val="28"/>
          <w:sz w:val="28"/>
          <w:szCs w:val="28"/>
          <w:rtl w:val="true"/>
          <w:lang w:bidi="fa-IR"/>
        </w:rPr>
        <w:t>از آنجا که در عرف به تصمیم گیری تحت فشار عوامل بیرونی جبر گفته می شود و اختیار مقابل جبر است، گاهی اختیار به معنای تصمیم گیری بدون فشار عوامل بیرونی به کار می رود که مقابل این معنا در اصطلاح اضطرار نامیده می شود</w:t>
      </w:r>
      <w:r>
        <w:rPr>
          <w:rFonts w:eastAsia="IRNazanin" w:cs="IRNazanin"/>
          <w:color w:val="111111"/>
          <w:sz w:val="28"/>
          <w:szCs w:val="28"/>
          <w:rtl w:val="true"/>
          <w:lang w:bidi="fa-IR"/>
        </w:rPr>
        <w:t>.</w:t>
      </w:r>
    </w:p>
    <w:p>
      <w:pPr>
        <w:pStyle w:val="Heading4"/>
        <w:numPr>
          <w:ilvl w:val="3"/>
          <w:numId w:val="1"/>
        </w:numPr>
        <w:rPr/>
      </w:pPr>
      <w:bookmarkStart w:id="378" w:name="__RefHeading___Toc506717_1395250215"/>
      <w:bookmarkStart w:id="379" w:name="_Toc152"/>
      <w:bookmarkEnd w:id="378"/>
      <w:r>
        <w:rPr/>
        <w:t>4</w:t>
      </w:r>
      <w:r>
        <w:rPr>
          <w:rtl w:val="true"/>
        </w:rPr>
        <w:t>.</w:t>
      </w:r>
      <w:r>
        <w:rPr>
          <w:rtl w:val="true"/>
        </w:rPr>
        <w:t>انتخاب یکی از دو یا چند راه پیش روی موجود مختار</w:t>
      </w:r>
      <w:bookmarkEnd w:id="379"/>
    </w:p>
    <w:p>
      <w:pPr>
        <w:pStyle w:val="BookText"/>
        <w:rPr/>
      </w:pPr>
      <w:r>
        <w:rPr>
          <w:rFonts w:ascii="IRNazanin" w:hAnsi="IRNazanin" w:eastAsia="IRNazanin"/>
          <w:color w:val="111111"/>
          <w:sz w:val="28"/>
          <w:sz w:val="28"/>
          <w:szCs w:val="28"/>
          <w:rtl w:val="true"/>
          <w:lang w:bidi="fa-IR"/>
        </w:rPr>
        <w:t>گاهی گفته می شود فلانی این راه را اختیار کرد که در این جا اختیار به معنای انتخاب و ترجیح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کاربرد از جهت تسمیه مسبب به اسم سبب است؛ زیرا قوه اختیار به فاعل قدرت انتخاب می دهد و علت انتخاب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که سخن از سوء اختیار یا حسن اختیار به میان می آید، اختیار به معنای انتخاب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جمله 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مع سوء الاختیار و فساد العقیدة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توحیدی،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جمله 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لهذا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العادة هی الطبیعة الثانیة، کأنّ الطبیعة عادة، و لکنها الأولی بالجبلّة، و العادة طبیعة و لکنّها الأخری بحسن الاختیار أو بسوء الاختیار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توحیدی،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معروف خواجه نصیرالدین نیز اختیار در ابتدا به معنای انتخاب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الوجوب بالاختیار لاینافی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فرهنگ ها نیز آمده است که اختیار ترجیح دادن چیزی و تخصیص و مقدم کردن آن بر غیر می باشد که اخص از اراده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صلیبا،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معنای مذکور در این عبارت همان انتخاب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فیلسوفان اگر فاعل در افعالش متمکن از ترک و در تروکش متمکن از فعل نباشد حتی اگر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فعل و ان لم یشأ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او صدق کند می توان آن را قادر و مختار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برخی گمان کرده اند که قوه فعل و قدرت تنها برای کسی حاصل می شود که هم شأن انجام دادن داشته باشد و هم شأن انجام ندادن و اگر تنها شأن انجام دادن داشته باشد، قادر نامیده نمی شود که البته این نظر صحیح نیست؛ زیرا در صورتی می توان فاعلی را که تنها انجام می دهد غیرقادر به معنای مذکور دانست که بدون اراده و مشیت انجام دهد اگر با اراده انجام می دهد قادر است؛ حتی اگر اراده اش تغییر نکند یا تغییر اراده اش محال ذاتی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برای صحت نظریه خود این گونه استدلال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اگر اختیار به معنای صحت فعل و ترک باشد انسان را بعد از اراده متصل به فعل دیگر نمی توان فاعل مختار نامید؛ زیرا در این حالت امکان ترک برای فاعل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معنای ان شاء فعل و ان لم یشأ لم یفعل حتی در حالت مذکور بر فاعل صادق است و می توان گفت خواسته و انجام داده و اگر نمی خواست، انجام نمی داد پس مختار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جواز فعل و ترک، یک معنای امکانی است و نمی توان اختیار خداوند را به آن تفسیر کرد؛ زیرا ذات خداوند متعال از اتصاف به صفات امکانی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اختیار به معنای ان شاء فعل و ان لم یشأ لم یفعل درباره او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اگرچه افعال خداوند بدون داعی زاید بر ذات و با اراده ازلی عین ذات صادر شده و ترکش محال است ولی این مستلزم آن نیست که خداوند متعال در افعالش مختار نباشد؛ زیرا هر دو گزاره شرطی درباره افعال او صادق است؛ چون صدق گزاره شرطی با امتناع مقدم و تالی نیز سازگار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افعال خداوند شرطیه اول با ضرورت مقدم و تالی صادق است و شرطیه دوم با امتناع مقدم و تالی</w:t>
      </w:r>
      <w:r>
        <w:rPr>
          <w:rStyle w:val="FootnoteAnchor"/>
          <w:rtl w:val="true"/>
        </w:rPr>
        <w:footnoteReference w:id="70"/>
      </w:r>
      <w:r>
        <w:rPr>
          <w:rFonts w:ascii="IRNazanin" w:hAnsi="IRNazanin" w:eastAsia="IRNazanin"/>
          <w:color w:val="111111"/>
          <w:sz w:val="28"/>
          <w:sz w:val="28"/>
          <w:szCs w:val="28"/>
          <w:rtl w:val="true"/>
          <w:lang w:bidi="fa-IR"/>
        </w:rPr>
        <w:t xml:space="preserve">اگر چه مشیت فعل لازم ذات 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چه فاعل بالعنایه باشد و چه فاعل بالرضا، مختار خواهد بود؛ نه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صدرالمتألهین، بی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bookmarkStart w:id="380" w:name="pg2622_17856"/>
    </w:p>
    <w:p>
      <w:pPr>
        <w:pStyle w:val="Heading3"/>
        <w:numPr>
          <w:ilvl w:val="2"/>
          <w:numId w:val="1"/>
        </w:numPr>
        <w:rPr/>
      </w:pPr>
      <w:bookmarkStart w:id="381" w:name="__RefHeading___Toc506719_1395250215"/>
      <w:bookmarkStart w:id="382" w:name="_Toc153"/>
      <w:bookmarkEnd w:id="380"/>
      <w:bookmarkEnd w:id="381"/>
      <w:r>
        <w:rPr>
          <w:rtl w:val="true"/>
        </w:rPr>
        <w:t>رابطه دو معنای کلامی و فلسفی اختیار</w:t>
      </w:r>
      <w:bookmarkEnd w:id="382"/>
    </w:p>
    <w:p>
      <w:pPr>
        <w:pStyle w:val="BookText"/>
        <w:rPr/>
      </w:pPr>
      <w:r>
        <w:rPr>
          <w:rFonts w:ascii="IRNazanin" w:hAnsi="IRNazanin" w:eastAsia="IRNazanin"/>
          <w:color w:val="111111"/>
          <w:sz w:val="28"/>
          <w:sz w:val="28"/>
          <w:szCs w:val="28"/>
          <w:rtl w:val="true"/>
          <w:lang w:bidi="fa-IR"/>
        </w:rPr>
        <w:t>بنابر نظر میرداماد این دو معنا به حسب مفهوم و تحقق، متلازمان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ذات فاعل به گونه ای است که اگر بخواهد، انجام می دهد و اگر نخواهد، انجام نمی دهد پس به حسب ذاتش و با قطع نظر از خواست و عدم خواستش امکان فعل و ترک برایش وجود دارد؛ اگر چه با خواستش صدور فعل از او واجب و با عدم خواستش ترک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و دوام فعل که به خاطر وجوب و دوام مشیت است با امکان ترک بر فرض عدم مشیت منافات ندارد و کسی که فاعلیتش از علم و اراده نشأت بگیرد مختار است و به ایجاب و اضطرار متصف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فعل و ترک و این که ذات فاعل ذاتا طوری باشد که اگر بخواهد، انجام دهد و اگر نخواهد انجام ندهد دو عبارت مختلف در تفسیر قدرت و اختیار هستند و خروج از حق و انصاف است که یکی را اختیار و دیگری را ایجاب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اختلاف فیلسوفان و متکلمان در قدم و حدوث عالم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نیز درباره این مسأله، چنین پاسخ می دهد که این دو معنا در فاعلی که اراده اش زاید بر ذات است متلازم هستند؛ نه در واجب تعالی؛ زیرا صحۀ فعل و ترک، معنای امکانی است و اتصاف واجب به آن نقص و غیرممکن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معنای دوم با وجوب صفات واجب تعالی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مورد اختیار واجب تعالی مفهوم صحۀ فعل و ترک صادق نیست ولی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فعل و ان لم یشأ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صدرالمتألهین، بی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صدرا تلازم مفهومی این دو معنا که بخشی از مدعای میرداماد است را نپذیرفته وگرنه به طور منطقی نمی توانست خداوند را از حکم مذکور استثنا کند؛ چون تلازم مفهومی مستلزم تلازم در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فرض عدم پذیرش تلازم مفهومی می توان ادعا کرد که تلازم در تحقق، به مواردی خاص یعنی موجودات ممکن اختصاص دارد ولی بطلان این فرض با بیانی که میرداماد دارد آشکار است</w:t>
      </w:r>
      <w:r>
        <w:rPr>
          <w:rFonts w:eastAsia="IRNazanin" w:cs="IRNazanin"/>
          <w:color w:val="111111"/>
          <w:sz w:val="28"/>
          <w:szCs w:val="28"/>
          <w:rtl w:val="true"/>
          <w:lang w:bidi="fa-IR"/>
        </w:rPr>
        <w:t>.</w:t>
      </w:r>
    </w:p>
    <w:p>
      <w:pPr>
        <w:pStyle w:val="Heading3"/>
        <w:numPr>
          <w:ilvl w:val="2"/>
          <w:numId w:val="1"/>
        </w:numPr>
        <w:rPr/>
      </w:pPr>
      <w:bookmarkStart w:id="383" w:name="__RefHeading___Toc506721_1395250215"/>
      <w:bookmarkStart w:id="384" w:name="_Toc154"/>
      <w:bookmarkEnd w:id="383"/>
      <w:r>
        <w:rPr>
          <w:rtl w:val="true"/>
        </w:rPr>
        <w:t>استحاله یا امکان ترجیح بلامرجح</w:t>
      </w:r>
      <w:bookmarkEnd w:id="38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دیرباز این مسأله در بین اندیشمندان مطرح بوده که آیا فاعل مختار در حالی که نسبت ذاتش به دو امر مساوی است می تواند یکی از آن دو را انتخاب کند؟ از آن جا که انجام هر فعل ارادی متوقف بر اراده آن فعل است و اراده، فعل مباشری نفس است در حقیقت بازگشت این پرسش به این مسأله است که آیا در زمانی که نسبت ذات فاعل به تعلق اراده اش به دو طرف، مساوی</w:t>
      </w:r>
    </w:p>
    <w:p>
      <w:pPr>
        <w:pStyle w:val="BookText"/>
        <w:rPr/>
      </w:pPr>
      <w:r>
        <w:rPr>
          <w:rFonts w:ascii="IRNazanin" w:hAnsi="IRNazanin" w:eastAsia="IRNazanin"/>
          <w:color w:val="111111"/>
          <w:sz w:val="28"/>
          <w:sz w:val="28"/>
          <w:szCs w:val="28"/>
          <w:rtl w:val="true"/>
          <w:lang w:bidi="fa-IR"/>
        </w:rPr>
        <w:t>است، فاعل به طور ذاتی و بدون مرجح بیرونی و علم به آن می تواند خود را از این حالت تساوی خارج کند و مرجح یک طرف باشد؟</w:t>
      </w:r>
    </w:p>
    <w:p>
      <w:pPr>
        <w:pStyle w:val="BookText"/>
        <w:rPr/>
      </w:pPr>
      <w:r>
        <w:rPr>
          <w:rFonts w:ascii="IRNazanin" w:hAnsi="IRNazanin" w:eastAsia="IRNazanin"/>
          <w:color w:val="111111"/>
          <w:sz w:val="28"/>
          <w:sz w:val="28"/>
          <w:szCs w:val="28"/>
          <w:rtl w:val="true"/>
          <w:lang w:bidi="fa-IR"/>
        </w:rPr>
        <w:t>فیلسوفان به این پرسش پاسخ منفی می دهند و معتقدند در این گونه موارد انتخاب و اراده کردن برای فاعل محال است؛ زیرا ایجاد هر کدام از آن دو اراده به عنوان فعلی از افعال مباشری نفس پدیده ای ممکن الوجود است و هر ممکن الوجودی نیاز به علت دارد و ذات فاعل به تنهایی نمی تواند به عنوان علت تامه، توجیه گر پیدایش آن باشد؛ زیرا فرض بر آن است که نسبت ذات فاعل به همه آنها مساوی است؛ اگر چه ممکن است انجام هر کدام از آن دو فعل غرض فاعل را تأمین کند و فاعل در اراده و انجام هر کدام از آنها انگیزه داشته باشد ولی انجام هیچ کدام مصلحتی بیشتر از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غایی انتخاب و ترجیح یکی بر دیگری، مفقود و در نتیجه علت تامه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ترجیح بلامرجح مستلزم تحقق معلول بدون علت تامه یعنی مستلزم ترجح بلامرجح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نیز معتقدند ترجیح بلامرجح بلکه ترجیح مرجوح جایز است و صفت اختیار امکان اراده هر یک از دو طرف را به فاعل می دهد؛ یعنی فاعل مختار به اقتضای ذاتی صفت اختیار می تواند خود را از حالت تساوی خارج کرده و علت تامه ایجاد اراده خود باشد؛ زیرا به طور اساسی معنای اختیار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استحاله ترجیح بلامرجح با اختیار انسان به معنای صحت فعل و ترک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روشن شد که بازگشت این اختلاف به آن است که آیا فعل فاعل مختار نیازمند علت غایی است یا نه؟ فیلسوفان معتقدند که هر فعل اختیاری نیازمند علت غایی است و علت غایی، علت فاعلیت فاعل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علت غایی است که قوه فاعلیت فاعل را به فعلیت می رساند و فاعل بالقوه را به فاعل بالفعل تبدیل می کند و یا به عبارت دیگر ذات فاعل مختار علت تامه اراده خود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نیز در این باره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فعلی که از انسان صادر می شود باید مطلوبی را برای انسان به همراه داشته باشد؛ یعنی باید با یکی از تمایل ها و غرایز انسان وفق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انجام هر فعلی را که انسان تصور می کند اگر هیچ مطلوبی را در بر نداشته باشد و هیچ یک از غرایز و تمایل ها را ارضا نکند و به اصطلاح حکما نفس فایده اش را تصدیق و امضا نکند امکان ندارد که قوای فعاله انسان به سوی آن عمل روانه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که فاعل مختار به جهت حکیم بودن، محال است که یکی از دو فعل مساوی یا مرجوح را بر راجح ترجیح دهد؛ زیرا حکیم کسی است که راجح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مخالفان معتقدند</w:t>
      </w:r>
    </w:p>
    <w:p>
      <w:pPr>
        <w:pStyle w:val="BookText"/>
        <w:rPr/>
      </w:pPr>
      <w:r>
        <w:rPr>
          <w:rFonts w:ascii="IRNazanin" w:hAnsi="IRNazanin" w:eastAsia="IRNazanin"/>
          <w:color w:val="111111"/>
          <w:sz w:val="28"/>
          <w:sz w:val="28"/>
          <w:szCs w:val="28"/>
          <w:rtl w:val="true"/>
          <w:lang w:bidi="fa-IR"/>
        </w:rPr>
        <w:t>که اگر چه این ترجیح با لحاظ صفت حکمت محال است ولی از جهت صفت اختیار جایز و ممکن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برخی در مسأله ترجیح بلامرجح بین وجود داعی و عدم آن تفاوت قائلند و می گویند در صورتی که داعی بر هیچ یک از دو طرف وجود نداشته باشد، ترجیح بلامرجح جایز نیست ولی در صورتی که فاعل در انجام هر یک از دو طرف، داعی داشته باشد و با انجام هر کدام از آن دو، غرض حاصل شود ترجیح بلامرجح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استرآبادی،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نظر خود این گونه شاهد آورده اند که مردم معصیت را به خاطر نفع اندک در دنیا برمی گزینند در صورتی که عقاب بسیار بزرگ آن در آخرت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وقتی ترجیح مرجوح امکان داشته باشد، به طریق اولی ترجیح یکی از دو مساوی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نظریه ای از عدم دقت در مسأله نشأت گرفته است؛ زیرا در همان حالتی که با انجام هر کدام از دو طرف غرض فاعل حاصل می شود، اراده و انتخاب هر دو طرف در نظر او مساوی است و فاعل در فعل مباشری نفس یعنی ارده و انتخاب یک طرف و ترک طرف دیگر انگیزه و غایت ندارد تا فاعلیت بالقوه او را به فاعلیت بالفعل مبدل کند؛ زیرا طبق نظر فیلسوفان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متمم فاعلیت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بازگشت فرض مذکور به همان مسأله مورد نزاع یعنی عدم وجود مرجّح بیرونی در فعل مباشری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فرض مذکور نیز به دلیل عدم وجود غایت، علت تامه به نظر فیلسوفان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معلول یعنی اراده و انتخاب ضرورت نیافته و محال است محقق شود و این چنین آشکار می شود که مخالفان استحاله برای تکمیل نظر خود می بایست ضرورت وجود معلول با وجود علت تامه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منکر شوند؛ زیرا آنان با انکار لزوم مرجح بیرونی در افعال اختیاری و اعتقاد به امکان انتخاب و اراده در حالت تساوی دو فعل در حقیقت نفس فاعل مختار را هم علت تامه اراده و هم علت تامه عدم اراده خود می دانند و در پاسخ کسی که انتخاب را علت و مرجّح اراده یا عدم اراده بداند خواهند گفت که حقیقت انتخاب چیزی جز خود اراده نبوده و واقعیت منحازی از آن ندارد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این مسأله یکی از مسائل بنیادین است و هر گونه موضع گیری در آن در مسائل مهم دیگری چون معنا و مفهوم اختیار و اختیار انسان، بحث علیت در فلسفه و ضرورت وجود معلول در زمان وجود علت تامه، لزوم علت غایی برای تحقق علت تامه فعل فاعل مختار، شناخت صفات ذاتی و فعلی خداوند مانند اراده، اختیار، قدرت، خلق، حدوث و قدم عالم و وجوب اصلح، نقش بسزایی دارد از گذشته یکی از مسائل جنجال برانگیر بین اندیشمندان بوده و پیرامون آن سخن بسیار گفته</w:t>
      </w:r>
      <w:bookmarkStart w:id="385" w:name="pg2622_17859"/>
    </w:p>
    <w:p>
      <w:pPr>
        <w:pStyle w:val="BookText"/>
        <w:rPr/>
      </w:pPr>
      <w:bookmarkEnd w:id="385"/>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توجه به این که هر کدام از دو گروه برای نظر خود دلیل یا شاهدی دارند در ادامه به بررسی دلایل آنان خواهیم پرداخت</w:t>
      </w:r>
      <w:r>
        <w:rPr>
          <w:rFonts w:eastAsia="IRNazanin" w:cs="IRNazanin"/>
          <w:color w:val="111111"/>
          <w:sz w:val="28"/>
          <w:szCs w:val="28"/>
          <w:rtl w:val="true"/>
          <w:lang w:bidi="fa-IR"/>
        </w:rPr>
        <w:t>.</w:t>
      </w:r>
    </w:p>
    <w:p>
      <w:pPr>
        <w:pStyle w:val="Heading3"/>
        <w:numPr>
          <w:ilvl w:val="2"/>
          <w:numId w:val="1"/>
        </w:numPr>
        <w:rPr/>
      </w:pPr>
      <w:bookmarkStart w:id="386" w:name="__RefHeading___Toc506723_1395250215"/>
      <w:bookmarkStart w:id="387" w:name="_Toc155"/>
      <w:bookmarkEnd w:id="386"/>
      <w:r>
        <w:rPr>
          <w:rtl w:val="true"/>
        </w:rPr>
        <w:t>دلیل معتقدان به استحاله ترجیح بلامرجح</w:t>
      </w:r>
      <w:bookmarkEnd w:id="387"/>
    </w:p>
    <w:p>
      <w:pPr>
        <w:pStyle w:val="Heading4"/>
        <w:numPr>
          <w:ilvl w:val="3"/>
          <w:numId w:val="1"/>
        </w:numPr>
        <w:rPr/>
      </w:pPr>
      <w:bookmarkStart w:id="388" w:name="__RefHeading___Toc506725_1395250215"/>
      <w:bookmarkStart w:id="389" w:name="_Toc156"/>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صورت منطقی استدلال طرفداران نظریه استحاله را می توان این گونه تقریر کرد</w:t>
      </w:r>
      <w:r>
        <w:rPr>
          <w:rFonts w:eastAsia="IRNazanin" w:cs="IRNazanin"/>
          <w:color w:val="111111"/>
          <w:sz w:val="28"/>
          <w:szCs w:val="28"/>
          <w:rtl w:val="true"/>
          <w:lang w:bidi="fa-IR"/>
        </w:rPr>
        <w:t>:</w:t>
      </w:r>
    </w:p>
    <w:p>
      <w:pPr>
        <w:pStyle w:val="Heading4"/>
        <w:numPr>
          <w:ilvl w:val="3"/>
          <w:numId w:val="1"/>
        </w:numPr>
        <w:rPr/>
      </w:pPr>
      <w:bookmarkStart w:id="390" w:name="__RefHeading___Toc506727_1395250215"/>
      <w:bookmarkStart w:id="391" w:name="_Toc157"/>
      <w:bookmarkEnd w:id="390"/>
      <w:r>
        <w:rPr>
          <w:rtl w:val="true"/>
        </w:rPr>
        <w:t>الف</w:t>
      </w:r>
      <w:r>
        <w:rPr>
          <w:rtl w:val="true"/>
        </w:rPr>
        <w:t xml:space="preserve">. </w:t>
      </w:r>
      <w:r>
        <w:rPr>
          <w:rtl w:val="true"/>
        </w:rPr>
        <w:t>اگر دو فعل از جهت مصلحت و مفسده مساوی باشند فاعلیت فاعل نسبت به هر دو فعل، مساوی و بالقوه است</w:t>
      </w:r>
      <w:r>
        <w:rPr>
          <w:rtl w:val="true"/>
        </w:rPr>
        <w:t>.</w:t>
      </w:r>
      <w:bookmarkEnd w:id="391"/>
    </w:p>
    <w:p>
      <w:pPr>
        <w:pStyle w:val="Heading4"/>
        <w:numPr>
          <w:ilvl w:val="3"/>
          <w:numId w:val="1"/>
        </w:numPr>
        <w:rPr/>
      </w:pPr>
      <w:bookmarkStart w:id="392" w:name="__RefHeading___Toc506729_1395250215"/>
      <w:bookmarkStart w:id="393" w:name="_Toc158"/>
      <w:bookmarkEnd w:id="392"/>
      <w:r>
        <w:rPr>
          <w:rtl w:val="true"/>
        </w:rPr>
        <w:t>ب</w:t>
      </w:r>
      <w:r>
        <w:rPr>
          <w:rtl w:val="true"/>
        </w:rPr>
        <w:t xml:space="preserve">. </w:t>
      </w:r>
      <w:r>
        <w:rPr>
          <w:rtl w:val="true"/>
        </w:rPr>
        <w:t>اگر فاعلیت فاعل نسبت به دو فعل، مساوی و بالقوه باشد، تبدیل فاعلیت بالقوه به فاعلیت بالفعل نسبت به هر یک از دو فعل، علت و مرجح ندارد</w:t>
      </w:r>
      <w:r>
        <w:rPr>
          <w:rtl w:val="true"/>
        </w:rPr>
        <w:t>.</w:t>
      </w:r>
      <w:bookmarkEnd w:id="393"/>
    </w:p>
    <w:p>
      <w:pPr>
        <w:pStyle w:val="Heading4"/>
        <w:numPr>
          <w:ilvl w:val="3"/>
          <w:numId w:val="1"/>
        </w:numPr>
        <w:rPr/>
      </w:pPr>
      <w:bookmarkStart w:id="394" w:name="__RefHeading___Toc506731_1395250215"/>
      <w:bookmarkStart w:id="395" w:name="_Toc159"/>
      <w:bookmarkEnd w:id="394"/>
      <w:r>
        <w:rPr>
          <w:rtl w:val="true"/>
        </w:rPr>
        <w:t>ج</w:t>
      </w:r>
      <w:r>
        <w:rPr>
          <w:rtl w:val="true"/>
        </w:rPr>
        <w:t xml:space="preserve">. </w:t>
      </w:r>
      <w:r>
        <w:rPr>
          <w:rtl w:val="true"/>
        </w:rPr>
        <w:t>اگر تبدیل فاعلیت بالقوه به فاعلیت بالفعل نسبت به هر یک از دو فعل، علت و مرجح ندارد و فاعلیت بالفعل نسبت به هر کدام از دو فعل حاصل شود، ترجح بلامرجح محقق شده است</w:t>
      </w:r>
      <w:r>
        <w:rPr>
          <w:rtl w:val="true"/>
        </w:rPr>
        <w:t>.</w:t>
      </w:r>
      <w:bookmarkEnd w:id="395"/>
    </w:p>
    <w:p>
      <w:pPr>
        <w:pStyle w:val="Heading4"/>
        <w:numPr>
          <w:ilvl w:val="3"/>
          <w:numId w:val="1"/>
        </w:numPr>
        <w:rPr/>
      </w:pPr>
      <w:bookmarkStart w:id="396" w:name="__RefHeading___Toc506733_1395250215"/>
      <w:bookmarkStart w:id="397" w:name="_Toc160"/>
      <w:bookmarkEnd w:id="396"/>
      <w:r>
        <w:rPr>
          <w:rtl w:val="true"/>
        </w:rPr>
        <w:t>د</w:t>
      </w:r>
      <w:r>
        <w:rPr>
          <w:rtl w:val="true"/>
        </w:rPr>
        <w:t xml:space="preserve">. </w:t>
      </w:r>
      <w:r>
        <w:rPr>
          <w:rtl w:val="true"/>
        </w:rPr>
        <w:t>ترجح بلامرجح محال است</w:t>
      </w:r>
      <w:r>
        <w:rPr>
          <w:rtl w:val="true"/>
        </w:rPr>
        <w:t>.</w:t>
      </w:r>
      <w:bookmarkEnd w:id="397"/>
    </w:p>
    <w:p>
      <w:pPr>
        <w:pStyle w:val="Heading4"/>
        <w:numPr>
          <w:ilvl w:val="3"/>
          <w:numId w:val="1"/>
        </w:numPr>
        <w:rPr/>
      </w:pPr>
      <w:bookmarkStart w:id="398" w:name="__RefHeading___Toc506735_1395250215"/>
      <w:bookmarkStart w:id="399" w:name="_Toc161"/>
      <w:bookmarkEnd w:id="398"/>
      <w:r>
        <w:rPr>
          <w:rtl w:val="true"/>
        </w:rPr>
        <w:t>هـ</w:t>
      </w:r>
      <w:r>
        <w:rPr>
          <w:rtl w:val="true"/>
        </w:rPr>
        <w:t xml:space="preserve">. </w:t>
      </w:r>
      <w:r>
        <w:rPr>
          <w:rtl w:val="true"/>
        </w:rPr>
        <w:t>پس این امر محال است که تبدیل فاعلیت بالقوه به فاعلیت بالفعل نسبت به هر یک از دو فعل، علت و مرجح نداشته باشد و فاعلیت بالفعل نسبت به یکی از دو فعل حاصل شود</w:t>
      </w:r>
      <w:r>
        <w:rPr>
          <w:rtl w:val="true"/>
        </w:rPr>
        <w:t>.</w:t>
      </w:r>
      <w:bookmarkEnd w:id="39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0" w:name="__RefHeading___Toc506737_1395250215"/>
      <w:bookmarkStart w:id="401" w:name="_Toc162"/>
      <w:bookmarkEnd w:id="400"/>
      <w:r>
        <w:rPr>
          <w:rtl w:val="true"/>
        </w:rPr>
        <w:t>و</w:t>
      </w:r>
      <w:r>
        <w:rPr>
          <w:rtl w:val="true"/>
        </w:rPr>
        <w:t xml:space="preserve">. </w:t>
      </w:r>
      <w:r>
        <w:rPr>
          <w:rtl w:val="true"/>
        </w:rPr>
        <w:t>تبدیل فاعلیت بالقوه به فاعلیت بالفعل نسبت به هر کدام از دو فعل مساوی در فاعل مختار را ترجیح بلامرجح می نامند</w:t>
      </w:r>
      <w:r>
        <w:rPr>
          <w:rtl w:val="true"/>
        </w:rPr>
        <w:t>.</w:t>
      </w:r>
      <w:bookmarkStart w:id="402" w:name="pg2622_17860"/>
      <w:bookmarkEnd w:id="401"/>
    </w:p>
    <w:p>
      <w:pPr>
        <w:pStyle w:val="Heading4"/>
        <w:numPr>
          <w:ilvl w:val="3"/>
          <w:numId w:val="1"/>
        </w:numPr>
        <w:rPr/>
      </w:pPr>
      <w:bookmarkStart w:id="403" w:name="__RefHeading___Toc506739_1395250215"/>
      <w:bookmarkStart w:id="404" w:name="_Toc163"/>
      <w:bookmarkEnd w:id="402"/>
      <w:bookmarkEnd w:id="403"/>
      <w:r>
        <w:rPr>
          <w:rtl w:val="true"/>
        </w:rPr>
        <w:t>ز</w:t>
      </w:r>
      <w:r>
        <w:rPr>
          <w:rtl w:val="true"/>
        </w:rPr>
        <w:t xml:space="preserve">. </w:t>
      </w:r>
      <w:r>
        <w:rPr>
          <w:rtl w:val="true"/>
        </w:rPr>
        <w:t>پس ترجیح بلامرجح محال است</w:t>
      </w:r>
      <w:r>
        <w:rPr>
          <w:rtl w:val="true"/>
        </w:rPr>
        <w:t>.</w:t>
      </w:r>
      <w:bookmarkEnd w:id="404"/>
    </w:p>
    <w:p>
      <w:pPr>
        <w:pStyle w:val="Heading5"/>
        <w:numPr>
          <w:ilvl w:val="4"/>
          <w:numId w:val="1"/>
        </w:numPr>
        <w:rPr/>
      </w:pPr>
      <w:bookmarkStart w:id="405" w:name="__RefHeading___Toc506741_1395250215"/>
      <w:bookmarkStart w:id="406" w:name="_Toc164"/>
      <w:bookmarkEnd w:id="405"/>
      <w:r>
        <w:rPr>
          <w:rtl w:val="true"/>
        </w:rPr>
        <w:t>فیلسوفان در مسأله مرجع یعنی در مورد اراده یکی از دو فعل مساوی که از افعال مباشری نفس است نیز استدلالی شبیه به آنچه گذشت اقامه می کنندکه صورت منطقی آن چنین است</w:t>
      </w:r>
      <w:r>
        <w:rPr>
          <w:rtl w:val="true"/>
        </w:rPr>
        <w:t>:</w:t>
      </w:r>
      <w:bookmarkEnd w:id="406"/>
    </w:p>
    <w:p>
      <w:pPr>
        <w:pStyle w:val="Heading6"/>
        <w:numPr>
          <w:ilvl w:val="5"/>
          <w:numId w:val="1"/>
        </w:numPr>
        <w:rPr/>
      </w:pPr>
      <w:bookmarkStart w:id="407" w:name="__RefHeading___Toc506743_1395250215"/>
      <w:bookmarkStart w:id="408" w:name="_Toc165"/>
      <w:bookmarkEnd w:id="407"/>
      <w:r>
        <w:rPr>
          <w:rtl w:val="true"/>
        </w:rPr>
        <w:t>الف</w:t>
      </w:r>
      <w:r>
        <w:rPr>
          <w:rtl w:val="true"/>
        </w:rPr>
        <w:t xml:space="preserve">. </w:t>
      </w:r>
      <w:r>
        <w:rPr>
          <w:rtl w:val="true"/>
        </w:rPr>
        <w:t>اگر دو فعل از جهت مصلحت و مفسده مساوی باشند نسبت تعلق اراده فاعل به هر یک از دو فعل مساوی است</w:t>
      </w:r>
      <w:r>
        <w:rPr>
          <w:rtl w:val="true"/>
        </w:rPr>
        <w:t>.</w:t>
      </w:r>
      <w:bookmarkEnd w:id="408"/>
    </w:p>
    <w:p>
      <w:pPr>
        <w:pStyle w:val="Heading6"/>
        <w:numPr>
          <w:ilvl w:val="5"/>
          <w:numId w:val="1"/>
        </w:numPr>
        <w:rPr/>
      </w:pPr>
      <w:bookmarkStart w:id="409" w:name="__RefHeading___Toc506745_1395250215"/>
      <w:bookmarkStart w:id="410" w:name="_Toc166"/>
      <w:bookmarkEnd w:id="409"/>
      <w:r>
        <w:rPr>
          <w:rtl w:val="true"/>
        </w:rPr>
        <w:t>ب</w:t>
      </w:r>
      <w:r>
        <w:rPr>
          <w:rtl w:val="true"/>
        </w:rPr>
        <w:t xml:space="preserve">: </w:t>
      </w:r>
      <w:r>
        <w:rPr>
          <w:rtl w:val="true"/>
        </w:rPr>
        <w:t>اگر نسبت تعلق اراده به هر یک از دو فعل مساوی باشد ولی تعلق اراده به یکی از دو فعل حاصل شود، ترجح بلامرجح محقق شده است</w:t>
      </w:r>
      <w:r>
        <w:rPr>
          <w:rtl w:val="true"/>
        </w:rPr>
        <w:t>.</w:t>
      </w:r>
      <w:bookmarkEnd w:id="410"/>
    </w:p>
    <w:p>
      <w:pPr>
        <w:pStyle w:val="Heading6"/>
        <w:numPr>
          <w:ilvl w:val="5"/>
          <w:numId w:val="1"/>
        </w:numPr>
        <w:rPr/>
      </w:pPr>
      <w:bookmarkStart w:id="411" w:name="__RefHeading___Toc506747_1395250215"/>
      <w:bookmarkStart w:id="412" w:name="_Toc167"/>
      <w:bookmarkEnd w:id="411"/>
      <w:r>
        <w:rPr>
          <w:rtl w:val="true"/>
        </w:rPr>
        <w:t>ج</w:t>
      </w:r>
      <w:r>
        <w:rPr>
          <w:rtl w:val="true"/>
        </w:rPr>
        <w:t xml:space="preserve">. </w:t>
      </w:r>
      <w:r>
        <w:rPr>
          <w:rtl w:val="true"/>
        </w:rPr>
        <w:t>ترجح بلامرجح محال است</w:t>
      </w:r>
      <w:r>
        <w:rPr>
          <w:rtl w:val="true"/>
        </w:rPr>
        <w:t>.</w:t>
      </w:r>
      <w:bookmarkEnd w:id="412"/>
    </w:p>
    <w:p>
      <w:pPr>
        <w:pStyle w:val="Heading6"/>
        <w:numPr>
          <w:ilvl w:val="5"/>
          <w:numId w:val="1"/>
        </w:numPr>
        <w:rPr/>
      </w:pPr>
      <w:bookmarkStart w:id="413" w:name="__RefHeading___Toc506749_1395250215"/>
      <w:bookmarkStart w:id="414" w:name="_Toc168"/>
      <w:bookmarkEnd w:id="413"/>
      <w:r>
        <w:rPr>
          <w:rtl w:val="true"/>
        </w:rPr>
        <w:t>د</w:t>
      </w:r>
      <w:r>
        <w:rPr>
          <w:rtl w:val="true"/>
        </w:rPr>
        <w:t xml:space="preserve">. </w:t>
      </w:r>
      <w:r>
        <w:rPr>
          <w:rtl w:val="true"/>
        </w:rPr>
        <w:t>پس محال است که نسبت تعلق اراده به هر یک از دو فعل مساوی باشد و تعلق اراده حاصل شود</w:t>
      </w:r>
      <w:r>
        <w:rPr>
          <w:rtl w:val="true"/>
        </w:rPr>
        <w:t>.</w:t>
      </w:r>
      <w:bookmarkEnd w:id="414"/>
    </w:p>
    <w:p>
      <w:pPr>
        <w:pStyle w:val="Heading6"/>
        <w:numPr>
          <w:ilvl w:val="5"/>
          <w:numId w:val="1"/>
        </w:numPr>
        <w:rPr/>
      </w:pPr>
      <w:bookmarkStart w:id="415" w:name="__RefHeading___Toc506751_1395250215"/>
      <w:bookmarkStart w:id="416" w:name="_Toc169"/>
      <w:bookmarkEnd w:id="415"/>
      <w:r>
        <w:rPr>
          <w:rtl w:val="true"/>
        </w:rPr>
        <w:t xml:space="preserve">ﻫ </w:t>
      </w:r>
      <w:r>
        <w:rPr>
          <w:rtl w:val="true"/>
        </w:rPr>
        <w:t xml:space="preserve">. </w:t>
      </w:r>
      <w:r>
        <w:rPr>
          <w:rtl w:val="true"/>
        </w:rPr>
        <w:t>تعلق اراده فاعل به یکی از دو فعل مساوی را در اصطلاح ترجیح بلامرجح می نامند</w:t>
      </w:r>
      <w:r>
        <w:rPr>
          <w:rtl w:val="true"/>
        </w:rPr>
        <w:t>.</w:t>
      </w:r>
      <w:bookmarkEnd w:id="416"/>
    </w:p>
    <w:p>
      <w:pPr>
        <w:pStyle w:val="Heading6"/>
        <w:numPr>
          <w:ilvl w:val="5"/>
          <w:numId w:val="1"/>
        </w:numPr>
        <w:rPr/>
      </w:pPr>
      <w:bookmarkStart w:id="417" w:name="__RefHeading___Toc506753_1395250215"/>
      <w:bookmarkStart w:id="418" w:name="_Toc170"/>
      <w:bookmarkEnd w:id="417"/>
      <w:r>
        <w:rPr>
          <w:rtl w:val="true"/>
        </w:rPr>
        <w:t>و</w:t>
      </w:r>
      <w:r>
        <w:rPr>
          <w:rtl w:val="true"/>
        </w:rPr>
        <w:t xml:space="preserve">. </w:t>
      </w:r>
      <w:r>
        <w:rPr>
          <w:rtl w:val="true"/>
        </w:rPr>
        <w:t xml:space="preserve">پس ترجیح بلامرجح محال است </w:t>
      </w:r>
      <w:r>
        <w:rPr>
          <w:rtl w:val="true"/>
        </w:rPr>
        <w:t>(</w:t>
      </w:r>
      <w:r>
        <w:rPr>
          <w:rtl w:val="true"/>
        </w:rPr>
        <w:t xml:space="preserve">مطهری، </w:t>
      </w:r>
      <w:r>
        <w:rPr/>
        <w:t>1377</w:t>
      </w:r>
      <w:r>
        <w:rPr>
          <w:rtl w:val="true"/>
        </w:rPr>
        <w:t xml:space="preserve">، </w:t>
      </w:r>
      <w:r>
        <w:rPr/>
        <w:t>6</w:t>
      </w:r>
      <w:r>
        <w:rPr>
          <w:rtl w:val="true"/>
        </w:rPr>
        <w:t xml:space="preserve">: </w:t>
      </w:r>
      <w:r>
        <w:rPr/>
        <w:t>1021</w:t>
      </w:r>
      <w:r>
        <w:rPr>
          <w:rtl w:val="true"/>
        </w:rPr>
        <w:t>).</w:t>
      </w:r>
      <w:bookmarkEnd w:id="41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bookmarkStart w:id="419" w:name="pg2622_17861"/>
    </w:p>
    <w:p>
      <w:pPr>
        <w:pStyle w:val="Heading4"/>
        <w:numPr>
          <w:ilvl w:val="3"/>
          <w:numId w:val="1"/>
        </w:numPr>
        <w:rPr/>
      </w:pPr>
      <w:bookmarkStart w:id="420" w:name="__RefHeading___Toc506755_1395250215"/>
      <w:bookmarkStart w:id="421" w:name="_Toc171"/>
      <w:bookmarkEnd w:id="419"/>
      <w:bookmarkEnd w:id="420"/>
      <w:r>
        <w:rPr>
          <w:rtl w:val="true"/>
        </w:rPr>
        <w:t>نقد و بررسی دلیل مذکور، از دیدگاه مخالفان استحاله</w:t>
      </w:r>
      <w:bookmarkEnd w:id="421"/>
    </w:p>
    <w:p>
      <w:pPr>
        <w:pStyle w:val="BookText"/>
        <w:rPr/>
      </w:pPr>
      <w:r>
        <w:rPr>
          <w:rFonts w:ascii="IRNazanin" w:hAnsi="IRNazanin" w:eastAsia="IRNazanin"/>
          <w:color w:val="111111"/>
          <w:sz w:val="28"/>
          <w:sz w:val="28"/>
          <w:szCs w:val="28"/>
          <w:rtl w:val="true"/>
          <w:lang w:bidi="fa-IR"/>
        </w:rPr>
        <w:t xml:space="preserve">مخالفان می توانند ملازمه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نپذیرند و بگویند در این حالت، فاعل مختار به اقتضای صفت اختیارش مرجح و علت تامه یکی از دو طرف مساوی خواهد بود؛ زیرا این علیت و مرجح بودن ویژگی صفت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صفت اختیار چنین تمکنی را به موجود مختار ندهد، وجود و عدم آن تفاوتی نخواهد داشت و فاعل مختار از جهت وجود و عدم اختیار با فاعل موجَب، یکسان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آنان می توانند در حالی که بدیهی بودن استحاله ترجح بلامرجح را بپذیرند ولی معتقد باشند که تعلق اراده فاعل به یکی از دو فعل بدون علت و مرجح بیرونی از مصادیق ترجح بلامرجح نیست که محال باشد</w:t>
      </w:r>
      <w:r>
        <w:rPr>
          <w:rFonts w:eastAsia="IRNazanin" w:cs="IRNazanin"/>
          <w:color w:val="111111"/>
          <w:sz w:val="28"/>
          <w:szCs w:val="28"/>
          <w:rtl w:val="true"/>
          <w:lang w:bidi="fa-IR"/>
        </w:rPr>
        <w:t>.</w:t>
      </w:r>
    </w:p>
    <w:p>
      <w:pPr>
        <w:pStyle w:val="Heading3"/>
        <w:numPr>
          <w:ilvl w:val="2"/>
          <w:numId w:val="1"/>
        </w:numPr>
        <w:rPr/>
      </w:pPr>
      <w:bookmarkStart w:id="422" w:name="__RefHeading___Toc506757_1395250215"/>
      <w:bookmarkStart w:id="423" w:name="_Toc172"/>
      <w:bookmarkEnd w:id="422"/>
      <w:r>
        <w:rPr>
          <w:rtl w:val="true"/>
        </w:rPr>
        <w:t>تحلیل نظریه جواز و استحاله ترجیح بلامرجح و بیان مبانی دو نظریه</w:t>
      </w:r>
      <w:bookmarkEnd w:id="423"/>
    </w:p>
    <w:p>
      <w:pPr>
        <w:pStyle w:val="Heading4"/>
        <w:numPr>
          <w:ilvl w:val="3"/>
          <w:numId w:val="1"/>
        </w:numPr>
        <w:rPr/>
      </w:pPr>
      <w:bookmarkStart w:id="424" w:name="__RefHeading___Toc506759_1395250215"/>
      <w:bookmarkStart w:id="425" w:name="_Toc173"/>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طرفداران نظریه جواز ترجیح بلامرجح معتقدند از آن جا که قدرت انتخاب و ترجیح یکی از دو طرف مساوی از خواص ذاتی صفت اختیار است ایراد وارد بر این نظریه دفع می گردد؛ یعنی پرسش از چرایی ترجیح متوقف می شود؛ زیرا ذاتی، علتی غیر از ذات نمی خواهد</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مرجح و علت تامه انتخاب، ذات فاعل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مصلحت فعل به نحو علت ناقصه و مقتضی در انتخاب و ترجیح فاعل همه جا نقش دارد؛ مگر در انتخاب مصلحت و ترجیح آن بر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بپرسند که چرا فاعل، فعل راجح را انتخاب کرد نه فعل مرجوح را؟ معتقدان به جواز می توانند بگویند که چون حکیم بود و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معتقدان به استحاله ناگزیرند پاسخ 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فعل، مصلحت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پرسیده شود که چرا فاعل مصلحت را انتخاب و مفسده را ترک می کند؟ پاسخ طرفداران جواز این خواهد بود که چون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معتقدان به استحاله ناچارند پاسخ 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انتخاب مصلحت و ترجیح آن بر مفسده، اقتضای ذاتی فاعل است و او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از این اقتضای ذاتی خود تخلف کند؛ زیرا تخلف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وانتخاب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علمی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یعنی خداوند موجود مختار را این گونه آفریده که ذات او اقتضای انتخاب مصلحت را دارد و همان طور که موجودات موجَب، تحت سیطره اقتضای ذاتی و طبیعی خود هستند موجود مختار نیز از این اقتضای ذاتی خود نمی تواند تخلف کند که این امر در انتخاب و ترجیح مصلحت بر مفسده تحت سیطره قانون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طبیعی است و این اصل فلسفی که علت غایی، علت فاعلیت فاعل است بیانگر همین مطلب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در مقابل، همان طور که شهید مطهری نوشته است معتقدان به جواز، اصل علیت را منحصر به ماده و مادیات می دانند و معتقدند غیر ماده مثل نفس انسان و ذات باری نسبت به آثار خود، فاعل است نه علت و نسبت معلول به علت ضرورت است ولی نسبت فعل به فاعل ضرورت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روانشناسان نیز اراده انسان را از تحت قانون علیت عمومی خارج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سازگاری ضرورت علی معلولی و اختیار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معتقدان به استحاله نیز در پاسخ به سخنان یاد شده از معتقدان به جواز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ترجیح بلامرجح، مستلزم ترجح بلامرجح است و چیزی که مستلزم محال است نمی تواند از خواص ذاتی و لوازم ماهیتی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وقتی اراده ای به یک طرف تعلق گرفته اگر به طرف دیگر نیز تعلق می گرفت این ویژگی اختیار محقق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تعلق اراده، یک نسبت امکانی است و به مرجحی نیاز دارد که یکی از دو طرف را ترجیح دهد و محال است اختیار یا اراده به طور ذاتی مرجح باشد؛ زیرا اگر این ترجیح و انتخاب ممکن باشد ، این پرسش مطرح می شود که چرا این طرف انتخاب شدو نه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عاقلی با مراجعه به وجدان خود در می یابد که نفس اراده و انتخاب، مرجح یکی از دو طرف مساوی نیست؛ مگر وقتی که امری مقدم بر علت حصول اراده باشد؛ مانند علم به انجام فعلی که مصلحت دارد و در این حالت، اراده فعل معین، از این علم نشأت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شهرزوری،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نظریه استحاله ترجیح بلامرجح برای رد این نظریه می توانند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نـخست این که، استحاله ترجح بلامرجح که از بدیهیات شمرده شده و مورد اتفاق همه اندیشمندان می باشد به معنای آن است که هیچ ممکن الوجودی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ذاتی تمایل و اقتضایی نسبت به دو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و در این صورت، بداهت عقلی حکم می کند که تمایل آن به یکی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مرجح بیرون از ذات محال است و گرنه اگر مقصود از آن چیزی که به طور ذاتی تمایل و اقتضایی به یکی از دو طرف ندارد، فاعل مختار باشد، بداهت استحاله ترجیح قابل قبول نیست بلکه امکان ترجیح یکی از دو طرف مساوی و بالاتر از آن یعنی امکان ترجیح مرجوح توسط فاعل مختار بدیهی است و این مسأله با رجوع به وجدان،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وقتی گفته می شود ترجیح یکی از دو طرف مساوی ویژگی ذاتی اختیار است به این معنا است که علت مختار با علت غیر مختار به طور ذاتی تفاوت می کند و در نتیجه احکام آنها نیز با یکدیگر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می تواند یک اختلاف مبنایی بین معتقدان به جواز و معتقدان به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bookmarkStart w:id="426" w:name="pg2622_17863"/>
    </w:p>
    <w:p>
      <w:pPr>
        <w:pStyle w:val="BookText"/>
        <w:rPr/>
      </w:pPr>
      <w:bookmarkEnd w:id="426"/>
      <w:r>
        <w:rPr>
          <w:rFonts w:ascii="IRNazanin" w:hAnsi="IRNazanin" w:eastAsia="IRNazanin"/>
          <w:color w:val="111111"/>
          <w:sz w:val="28"/>
          <w:sz w:val="28"/>
          <w:szCs w:val="28"/>
          <w:rtl w:val="true"/>
          <w:lang w:bidi="fa-IR"/>
        </w:rPr>
        <w:t>استحاله باشد و روشن است که در چنین موردی نمی توان با مغالطه های عرَضی مانند این که ذهنیت معتقدان به جواز عرفی است مدعای آنها را باطل و مدعای معتقدان به استحاله را صائب دانست</w:t>
      </w:r>
      <w:r>
        <w:rPr>
          <w:rFonts w:eastAsia="IRNazanin" w:cs="IRNazanin"/>
          <w:color w:val="111111"/>
          <w:sz w:val="28"/>
          <w:szCs w:val="28"/>
          <w:rtl w:val="true"/>
          <w:lang w:bidi="fa-IR"/>
        </w:rPr>
        <w:t>.</w:t>
      </w:r>
    </w:p>
    <w:p>
      <w:pPr>
        <w:pStyle w:val="Heading4"/>
        <w:numPr>
          <w:ilvl w:val="3"/>
          <w:numId w:val="1"/>
        </w:numPr>
        <w:rPr/>
      </w:pPr>
      <w:bookmarkStart w:id="427" w:name="__RefHeading___Toc506761_1395250215"/>
      <w:bookmarkStart w:id="428" w:name="_Toc174"/>
      <w:bookmarkEnd w:id="427"/>
      <w:r>
        <w:rPr>
          <w:rtl w:val="true"/>
        </w:rPr>
        <w:t>دلیل و شاهد برخی معتقدان به جواز ترجیح بلامرجح</w:t>
      </w:r>
      <w:bookmarkEnd w:id="428"/>
    </w:p>
    <w:p>
      <w:pPr>
        <w:pStyle w:val="BookText"/>
        <w:rPr/>
      </w:pPr>
      <w:r>
        <w:rPr>
          <w:rFonts w:ascii="IRNazanin" w:hAnsi="IRNazanin" w:eastAsia="IRNazanin"/>
          <w:color w:val="111111"/>
          <w:sz w:val="28"/>
          <w:sz w:val="28"/>
          <w:szCs w:val="28"/>
          <w:rtl w:val="true"/>
          <w:lang w:bidi="fa-IR"/>
        </w:rPr>
        <w:t>برخی متکلمان برای تنبیه بر بداهت جواز ترجیح بلامرجح، مثال هایی را عنوان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کاسه آب یا دو قرص نان که از هر جهت مساوی هستند را در جلو تشنه یا گرسنه ای بگذاریم، او به طور قهری یکی از آن دو کاسه یا دو قرص نان را برخواهد داشت و این در حالی است که نسبت فاعل به برداشتن هر یک از دو کاسه آب یا هر یک از دو قرص نان مساوی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حال کسی که از دست درنده ای فرار می کند و به سر دو راهی می رسد که هر دو راه او را به یک نحو از دست درنده نجات می دهد نیز این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صدرالمتألهین، بی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Heading4"/>
        <w:numPr>
          <w:ilvl w:val="3"/>
          <w:numId w:val="1"/>
        </w:numPr>
        <w:rPr/>
      </w:pPr>
      <w:bookmarkStart w:id="429" w:name="__RefHeading___Toc506763_1395250215"/>
      <w:bookmarkStart w:id="430" w:name="_Toc175"/>
      <w:bookmarkEnd w:id="429"/>
      <w:r>
        <w:rPr>
          <w:rtl w:val="true"/>
        </w:rPr>
        <w:t>نقد و بررسی</w:t>
      </w:r>
      <w:bookmarkEnd w:id="430"/>
    </w:p>
    <w:p>
      <w:pPr>
        <w:pStyle w:val="BookText"/>
        <w:rPr/>
      </w:pPr>
      <w:r>
        <w:rPr>
          <w:rFonts w:ascii="IRNazanin" w:hAnsi="IRNazanin" w:eastAsia="IRNazanin"/>
          <w:color w:val="111111"/>
          <w:sz w:val="28"/>
          <w:sz w:val="28"/>
          <w:szCs w:val="28"/>
          <w:rtl w:val="true"/>
          <w:lang w:bidi="fa-IR"/>
        </w:rPr>
        <w:t xml:space="preserve">شهید مطهری با پیروی از صدر المتألهین در پاسخ به این مسأله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صدرالمتألهین، بی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کسانی که اهل تحقیق در این مسأله نیستند، خواسته اند با یک سری مثال های عوامانه این قاعده عقلی را نقض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مثال های یاد شده در نهایت، عدم علم به مرجح را ثابت می کند، نه عدم مرجح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نصیرالدین،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روانشناسی فلسفی ثابت شده که عوامل نفسی بسیاری در ضمیر ناخودآگاه ما در ترجیح اراده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مثال ها را نمی توان دلیلی بر وقوع ترجیح بلامرجح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درباره این بیان به نظر می رسد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بحث از تأثیر علم ناخودآگاه در افعال انسان و چگونگی آن، یک مسأله روانشناختی است و در این مقال نمی گنجد و بر فرض پذیرش، مخالفان می توانند بگویند بحث بر سر آن نیست که آیا انسان به طور معمولی یا همیشه برای انتخاب یکی از دو راه پیش روی خود مرجحاتی در ضمیر خودآگاه یا ناخودآگاه خود دارد یا ندارد، یا اگر نداشته باشد برای یافتن آن تلاش می کند و پس از یافتن یک مصلحت و مرجح یکی از آن دو راه را انتخاب می کند و از آن جا که انسان مصلحت طلب است اگر نتواند چنین مصلحت و مرجحی پیدا کند قدم از قدم بر نمی دارد و هیچ یک از آن دو کار را انجام نمی دهد؛ بلکه بحث بر سر این است که بر فرض آن که بعد از تفکر وتأمل، هیچ مصلحت و مرجحی برای یکی از آن دو راه نداشته باشد آیا انسان از آن جهت که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مختار است می تواند یکی از آن دو راه را انتخاب کند یا این انتخاب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انجام دادن یا ندادن یا وجود یا عدم مرجح بیرونی در ضمیر ناخودآگاه نیست بلکه امکان انتخاب یکی از دو فعل مساوی در صورت عدم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اصلی صاحبان نظریه جواز، از مثال های یاد شده این نیست که وقوع ترجیح بلامرجح را دلیل بر امکان آن بدانند بلکه می خواهند مواردی از تساوی دو طرف را مثال بزنند که فاعل نسبت به انتخاب یکی از دو طرف متساوی، اضطرار دارد، تا نشان دهند اگر موجود مختار نتواند این انتخاب را انجام دهد از یک سو مستلزم تناقض است و از سوی دیگر لوازمی به دنبال دارد که کمتر کسی ممکن است به آن ملتزم شود؛ زیرا التزام به این لوازم، مضحک به نظر می رسد و به این ترتیب استبعاد صحت نظریه استحاله را آشکار کرده و دیگران را بر صحت نظر خود متنبه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یکی از موافقان استحاله به صراحت به یکی از لوازم این نظریه ملتزم شده و می گوید کسی که از درنده ای فرار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به سر دو راه مساوی می رسد آن جا توقف کند تا درنده او را بدرد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مدافعان از استحاله باید به این حکم ملتزم شوند که اگر ما دو کاسه آب به طور کامل مشابه به کسی که نزدیک است از تشنگی تلف شود بدهیم و نسبت این دو کاسه به او مساوی باشد حکم قتل او را صادر کرده ایم؛ زیرا او قادر نیست یکی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مطرح کردن این مثال ها از جانب متکلمان از این جهت نبوده که بهترین دلیل بر امکان یک پدیده وقوع آن است تا بتوانیم در پاسخ بگوییم مثال های یاد شده، حداکثر عدم علم به مرجح را ثابت می کند، نه عدم مرجح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که؛ طبق نظر که مدافعان استحاله که می گویند در این گونه موارد تأثیر عوامل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المتألهین، بی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نفسانی، ناخودآگاه در انتخاب و ترجیح اراده به صورت علیت تامه است به گونه ای که حتی اگر انسان به این عوامل توجه نیز داشته باشد امکان تخلف از آن انتخاب وجود ندارد، چه مفهومی را غیر از جبر می توان از این فرایند انتزاع کرد؟ به نظر می رسد پاسخ مذکور نه تنها مشکل جبر و عدم اختیار را حل نمی کند بلکه به استحکام آن کمک می کند؛ زیرا عقل فطری انسان در این مورد به جبر حکم می کند نه اختیار و سازگاری نظریه استحاله با اختیار، مخالف ارتکاز عقلا و 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در این صورت در حقیقت ترجح راجح خواهیم داشت، نه ترجیح راجح؛ زیرا فاعل در انتخاب نقشی نداشته و در اصل، انتخابی در کار نبوده است و ما با ایجاد معلولی تخلف ناپذیر توسط علتی طبیعی مواجه هستیم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bookmarkStart w:id="431" w:name="pg2622_17865"/>
    </w:p>
    <w:p>
      <w:pPr>
        <w:pStyle w:val="Heading3"/>
        <w:numPr>
          <w:ilvl w:val="2"/>
          <w:numId w:val="1"/>
        </w:numPr>
        <w:rPr/>
      </w:pPr>
      <w:bookmarkStart w:id="432" w:name="__RefHeading___Toc506765_1395250215"/>
      <w:bookmarkStart w:id="433" w:name="_Toc176"/>
      <w:bookmarkEnd w:id="431"/>
      <w:bookmarkEnd w:id="432"/>
      <w:r>
        <w:rPr>
          <w:rtl w:val="true"/>
        </w:rPr>
        <w:t>سازگاری یا ناسازگاری نظریه استحاله ترجیح بلامرجح با اختیار</w:t>
      </w:r>
      <w:bookmarkEnd w:id="433"/>
    </w:p>
    <w:p>
      <w:pPr>
        <w:pStyle w:val="Heading4"/>
        <w:numPr>
          <w:ilvl w:val="3"/>
          <w:numId w:val="1"/>
        </w:numPr>
        <w:rPr/>
      </w:pPr>
      <w:bookmarkStart w:id="434" w:name="__RefHeading___Toc506767_1395250215"/>
      <w:bookmarkStart w:id="435" w:name="_Toc177"/>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همان طور که بیان شد معتقدان به جواز برآنند که اگر مرجح بیرونی علت انتخاب و اراده فاعل مختار و ایجاب کننده فعل او باشد، نه نفس او، و فاعل مختار نتواند یکی از دو طرف مساوی یا طرف مرجوح را بر طرف دیگر ترجیح دهد، مختار نخواهد بود و تفاوتی با موجودات موجب نخواهد داشت؛ زیرا مختار، فاعلی است که در هر حالتی امکان فعل و ترک برایش فراهم باشد و اگر در موردی استحاله فعل یا ترک برای او ثابت شود، یا اجتماع نقیضین لازم می آید و یا تخصیص اختیار او به برخی افعال هرچند در همان مواردی هم که اختیار برای او ثابت می شود در حقیقت اختیاری در کار نیست بلکه مجبور است به جبر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که از وجود مصلحت در فعل نشأت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جواز پاسخ می دهند که تفاوت فاعل مختار با غیرمختار از جهت وجود و عدم خواست فاعل است و بر این اساس، این دو جمله صادق اند که خواست فاعل مختار در فعلش تأثیر دارد و خواست فاعل غیرمختار در فعلش تأثیر ندارد و صدق جمله اخیر سالبه به انتفاع موضوع است؛ یعنی به طور اساسی موجود غیرمختار خواستی ندارد که بخواهد در فعلش تأثیر داشته یا نداشته باشد و این مستلزم آن است که علم و رضایت به فعل هم نداشته باشد؛ زیرا علم و اراده در وجود و عدم متلازمان هستند و تنها موجودات بی شعورند که خواست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چند مسأله مطرح می شود که بیان می نماییم؛</w:t>
      </w:r>
    </w:p>
    <w:p>
      <w:pPr>
        <w:pStyle w:val="BookText"/>
        <w:rPr/>
      </w:pPr>
      <w:r>
        <w:rPr>
          <w:rFonts w:ascii="IRNazanin" w:hAnsi="IRNazanin" w:eastAsia="IRNazanin"/>
          <w:color w:val="111111"/>
          <w:sz w:val="28"/>
          <w:sz w:val="28"/>
          <w:szCs w:val="28"/>
          <w:rtl w:val="true"/>
          <w:lang w:bidi="fa-IR"/>
        </w:rPr>
        <w:t>نخست این که، چنین معنایی برای اختیار با شهود فطری انسان مخالف است و عموم انسان ها چنین برداشتی از اختیار و عدم اختیار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اگر علم به مصلحت بیرونی است که موجب می شود اراده و خواست انسان به یک طرف تعلق بگیرد، پس به طور اساسی انتخاب و ترجیح معنا نخواهد داشت و تعلق ضروری و جبری اراده به یک طرف که از علم به وجود مصلحت نشأت می گیرد را نمی توان انتخاب یا ترجیح فاعل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انتخاب و ترجیح در این نظریه به این معنا است که اراده یا عدم اراده برای این فاعل ضروری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بازگشت این که اختیار به معنای تأثیر خواست فاعل در فعل می باشد به این است فاعل در خواستش اختیار ندارد؛ زیرا تأثیر خواستش با تأثیر خواست دیگر نیست وگرنه تسلسل لازم می آید و اگر خواست فاعل به اختیار خود نباشد در هیچ فعلی اختیار نخواهد داشت؛ زیرا به نظر فیلسوفان همه افعال اختیاری با خواست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گفته شود که فاعل مختار در خواستش اختیار ندارد مستلزم آن نیست که در افعالش مجبور باشد؛ زیرا مشیت و خواست فاعل، از مقوله فعل نیست بلکه از امیال فاعل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درحالی که مسأله جبر و اختیار در افعال فاعل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مشیت و خواست فاعل به طور تخصصی از بحث جبر و اختیار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چنین تفسیری از اختیار به این معنا است که فاعل مختار به طور ذاتی به مصلحت تمایل دارد</w:t>
      </w:r>
      <w:r>
        <w:rPr>
          <w:rStyle w:val="FootnoteAnchor"/>
          <w:rtl w:val="true"/>
        </w:rPr>
        <w:footnoteReference w:id="72"/>
      </w:r>
      <w:r>
        <w:rPr>
          <w:rFonts w:ascii="IRNazanin" w:hAnsi="IRNazanin" w:eastAsia="IRNazanin"/>
          <w:color w:val="111111"/>
          <w:sz w:val="28"/>
          <w:sz w:val="28"/>
          <w:szCs w:val="28"/>
          <w:rtl w:val="true"/>
          <w:lang w:bidi="fa-IR"/>
        </w:rPr>
        <w:t>به طوری که قدرت ترک فعل مصلحت دار را ندارد و این به معنای آن است که خداوند همه موجودات اعم از مختار و غیرمختار را تحث سیطره جبر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آفریده و آثار و خواصی برای آنها قرار داده که این آثار برای موجودات، تخلف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تفاوتی که وجود دارد این است که به برخی علم داده و به برخی دیگر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گروه نخست به فعلشان رضایت دارند و گروه دوم به فعلشان رضایت ندارند؛ زیرا علم ندارند و رضایت متفرع بر علم است و اگر دارای علم بودند آنها نیز رضایت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این موجودات به صورت مذکور توسط خداوند متعال نیز تحت سیطره ضرورت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و تخلف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این گونه تعبیر کرد که همه موجودات عالم هستی در یک نظام جبری علی معلولی قرار دارند؛ به طوری که برخی از آنها به فعلشان علم و رضایت دارند و بعضی هم علم و رضایت ندارند و خداوند متعال در گروه نخست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جابری نیست که خداوند را به کارش اجبار کند جبری نیز درکار نخواهد بود؛ زیرا برای تحقق معنای جبر، جابر لازم است</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رئیس مکتب مشایی و صاحب حکمت متعالیه در پاسخ به مخالفان خود آنگاه که استحاله ترجیح بلامرجح را مستلزم عدم اختیار انسان به معنای جواز فعل و ترک می دانند، به عدم اختیار انسان به این معنا ملتزم شده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مضطری است به صورت مختار؛ زیرا افعالش را بر طبق دواعی زاید بر ذات انجام می دهد و هر قادری که افعالش معلل به اغراض و دواعی زاید بر ذات باشد مضطری در صورت مختار است؛ چراکه دواعی که همان مصالح واقعی خارجی اند مخلوق خدایند و در اختیار انسان نیستند و از خارج به ذهن انسان وارد شده و او را تحت تأثیر قرار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صدرالمتألهین، بی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پس از تصریح به مضطر بودن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قدرت و اختیار انسان نیز معتقد است که قدرت انسان برای انجام فعل نیاز به عامل بیرونی دارد که فعل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بیرونی تقدیر خداوند است که فعل را معین می کند و همان داعی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همه افعال انسان خیر و به تقدیر خداوند است و تقدیر، 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و مخصص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سوق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صدرالمتألهین، بی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برای رهایی از این اشکال که تفسیر فیلسوفان از قدرت، مستلزم جبر خداوند است سه عنصر را در تحقق مفهوم جبر دخیل دانسته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علم به فعل؛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مشیت؛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جابری که فاعل تحت سیطره آن باشد و چون این سه عنصر در مورد خداوند منتفی است، بنابراین خداوند مجبور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استلزام جبر در ذات خداوند را نمی توان با تأثیر ضروری علم و خواست فاعل در فعل و تعیّن فعل با تعیین فاعل و نبود جابر حل کرد</w:t>
      </w:r>
      <w:r>
        <w:rPr>
          <w:rStyle w:val="FootnoteAnchor"/>
          <w:rtl w:val="true"/>
        </w:rPr>
        <w:footnoteReference w:id="74"/>
      </w:r>
      <w:r>
        <w:rPr>
          <w:rFonts w:ascii="IRNazanin" w:hAnsi="IRNazanin" w:eastAsia="IRNazanin"/>
          <w:color w:val="111111"/>
          <w:sz w:val="28"/>
          <w:sz w:val="28"/>
          <w:szCs w:val="28"/>
          <w:rtl w:val="true"/>
          <w:lang w:bidi="fa-IR"/>
        </w:rPr>
        <w:t>زیرا مقصود از استلزام جبر، جبر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جبری که بر موجودات موجب نظیر خورشید و آتش حکمفرما است، نه جبر غیری که مستلزم وجود جابر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تفسیر فیلسوفان درباره قدرت و اختیار به هیچ وجه به معنای تعیّن فعل با تعیین فاعل نیست بلکه بهتر است از آن به تعیّن فعل با تعیّن مصلحت یا علم به مصلحت یاد کرد؛ زیرا نقش فاعل در فعل تنها از جهت علم به مصلحت و رضایت به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صدرالمتألهین نیز بعد از آن که انسان را مضطری به شکل مختار معرفی کرده اختیار خداوند را به معنای آن دانسته که جابری او را بر فعل مجبور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دوانی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قصد و اراده اش اختیار ندارد؛ زیرا اگر اراده نیاز به اراده دیگری داشته باشد تسلسل لازم می آید و نمی توان گفت که برخی اراده ها نیاز به اراده دارند و برخی ندارند و این بیان ناروایی است که مخالف وجدان می باشد؛ زیرا هنگامی که شوق انسان مؤکد می شود اراده محقق می گردد؛ یعنی مبادی افعال اختیاری منتهی به افعال غیر اختیاری می شود که به طور ضروری از حیوان صادر می شود؛ زیرا اعتقاد به نفع و لذت غیر اختیاری است و به دنبال آن شوق حاصل می شود و زمانی که شوق شدت می یابد، قوه محرکة اضطرار از آن تبعیت می کند و این امور به طور ضروری مترتب بر یکدیگرند همچنین اختیار در حیوان نیز به این معنا است که علم و شوقی که تابع علم است سبب فعل می باشد و این به معنای قدرت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دوانی،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bookmarkStart w:id="436" w:name="pg2622_17868"/>
    </w:p>
    <w:p>
      <w:pPr>
        <w:pStyle w:val="Heading4"/>
        <w:numPr>
          <w:ilvl w:val="3"/>
          <w:numId w:val="1"/>
        </w:numPr>
        <w:rPr/>
      </w:pPr>
      <w:bookmarkStart w:id="437" w:name="__RefHeading___Toc506769_1395250215"/>
      <w:bookmarkStart w:id="438" w:name="_Toc178"/>
      <w:bookmarkEnd w:id="436"/>
      <w:bookmarkEnd w:id="437"/>
      <w:r>
        <w:rPr>
          <w:rtl w:val="true"/>
        </w:rPr>
        <w:t>نقد و بررسی سخن محقق دوانی</w:t>
      </w:r>
      <w:bookmarkEnd w:id="438"/>
    </w:p>
    <w:p>
      <w:pPr>
        <w:pStyle w:val="BookText"/>
        <w:rPr/>
      </w:pPr>
      <w:r>
        <w:rPr>
          <w:rFonts w:ascii="IRNazanin" w:hAnsi="IRNazanin" w:eastAsia="IRNazanin"/>
          <w:color w:val="111111"/>
          <w:sz w:val="28"/>
          <w:sz w:val="28"/>
          <w:szCs w:val="28"/>
          <w:rtl w:val="true"/>
          <w:lang w:bidi="fa-IR"/>
        </w:rPr>
        <w:t>یکی از اشکال های این نظریه آن است که فعل اختیاری را به معنای فعل ارادی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فعل اختیاری اعم از فعل 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اراده به عنوان فعلی از افعال مباشری نفس، ارادی نیست ولی اختیاری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فعل قبیح که مترتب بر اراده آن اختیاری است و موجب عقاب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دیگر این نظریه که به موضوع این رساله چندان ارتباطی ندارد آن است که اگر مانند محقق دوانی و برخی دیگر از اندیشمندان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را به معنای شوق مؤکد بدانیم از جهت دیگری نیز انسان را مجبور دانسته ایم؛ زیرا تصدیق به فایده کار مصلحت دار، شوق به آن کار و تشدید آن شوق، گاهی بی اختیار برای انسان حاصل می شود و این به معنای آن است که اراده گاهی بی اختیار برای انسان به وجود می آید؛ چراکه اراده را شوق مؤکد دانسته اند و انسان درمی یابد که وقتی شدیدترین شوق را به کاری دارد قادر است آن کار را اراده نکند و هر چقدر این شوق شدید شود باز اراده و عدم اراده در اختیار انسان است؛ به طوری که گاهی از این که آن فعل را قصد کرده و انجام داده، پشیمان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درحالی که اگر اراده همان شوق مؤکد باشد پشیمانی بر آن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اگر اراده اختیاری نباشد و همان شوق مؤکد باشد و یا از شوق مؤکد زاییده شود، تکلیف و ثواب و عقاب در مورد انسان قبیح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اندیشمندان معاصر در مقام دفاع از عدم منافات بین اختیار انسان و سیطره ضرورت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بر انتخاب و ترجیح مصلحت که فعل انسان است بیان نموده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یکی از این دو صورت انسان پس از مقایسه و سنجش و موازنه فواید و مضار، جانب ترک را ترجیح می دهد و در صورت دیگر جانب فعل را و در هر دو صورت آن چیزی که به فعل وجود می دهد و ضرورت می بخشد همانا ترجیح و انتخاب و اراده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علم به مصلحت بیرونی است که علت تامه و مرجح تعلق اراده انسان به یک طرف است و امکان خلاصی از آن نیست؛ زیرا مستلزم تخلف معلول از علت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 گفت که بعد از سنجش مقدار مصلحت و مفسده دو طرف، این انسان است که جانب فعل یا ترک را ترجیح می دهد؟ آیا بهتر نیست در توضیح نظریه استحاله به طور واضح بگوییم که بعد از سنجش مقدار مصلحت و مفسده توسط انسان و پیدایش علم به مصلحت، اراده انسان از علم به مصلحت و به صورت تخلف ناپذیر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ملاصدرا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 که فعلش دائمی است در صورتی غیرقادر می باشد که فعلش بدون اراده اش باشد؛ مانند فاعل های بالطبع، بالقسر و بالتسخیر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bookmarkStart w:id="439" w:name="pg2622_17869"/>
    </w:p>
    <w:p>
      <w:pPr>
        <w:pStyle w:val="BookText"/>
        <w:rPr/>
      </w:pPr>
      <w:bookmarkEnd w:id="439"/>
      <w:r>
        <w:rPr>
          <w:rFonts w:ascii="IRNazanin" w:hAnsi="IRNazanin" w:eastAsia="IRNazanin"/>
          <w:color w:val="111111"/>
          <w:sz w:val="28"/>
          <w:sz w:val="28"/>
          <w:szCs w:val="28"/>
          <w:rtl w:val="true"/>
          <w:lang w:bidi="fa-IR"/>
        </w:rPr>
        <w:t>ولی اگر مبدأ و علت فعلش علم و اراده او باشد در هر صورت قادر است؛ چه علمش تخیل باشد یا وهم یا تعقل و چه تعقلش زاید بر ذات باشد یا عین ذات و چه علم و اراده اش دائمی و غیرمتغیر باشد و چه اتفاقی و چه لزومی و غیرقابل انفکاک و تغییر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صدرالمتألهین،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4"/>
        <w:numPr>
          <w:ilvl w:val="3"/>
          <w:numId w:val="1"/>
        </w:numPr>
        <w:rPr/>
      </w:pPr>
      <w:bookmarkStart w:id="440" w:name="__RefHeading___Toc506771_1395250215"/>
      <w:bookmarkStart w:id="441" w:name="_Toc179"/>
      <w:bookmarkEnd w:id="440"/>
      <w:r>
        <w:rPr>
          <w:rtl w:val="true"/>
        </w:rPr>
        <w:t>دیگر لوازم نظریه استحاله ترجیح بلامرجح</w:t>
      </w:r>
      <w:bookmarkEnd w:id="441"/>
    </w:p>
    <w:p>
      <w:pPr>
        <w:pStyle w:val="BookText"/>
        <w:rPr/>
      </w:pPr>
      <w:r>
        <w:rPr>
          <w:rFonts w:ascii="IRNazanin" w:hAnsi="IRNazanin" w:eastAsia="IRNazanin"/>
          <w:color w:val="111111"/>
          <w:sz w:val="28"/>
          <w:sz w:val="28"/>
          <w:szCs w:val="28"/>
          <w:rtl w:val="true"/>
          <w:lang w:bidi="fa-IR"/>
        </w:rPr>
        <w:t>چنانچه گذشت وقتی انتخاب وترجیح یکی از دو راه، متوقف به وجود مصلحت در یکی از آن دو راه باشد، به طوری که مصلحت، علت فاعلیت فاعل و خروج آن از قوه به فعل باشد و فاعل متمکن از فعل و ترک نباشد در حقیقت خود فاعل نقش تعیین کنندگی در فعل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عالَم واقع و خالق آن است که تعیین کننده افعال انسان می باشد و انسان در طول زندگی خود به ناچار از مسیرهایی عبور می کند که معتقد است برایش مصلحت دارد و نمی تواند در غیر از آنها قدم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علمش خطا ناپذیر و معصوم است همیشه از مسیرهایی عبور می کند که در واقع نیز مصلحت دارند؛ زیرا معصوم است و اعتقادش مطابق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شخصی بیشتر از انسان های معمولی تحت تأثیر مصالح و مفاسد واقعی است که مخلوق خدایند و همیشه این مصالح و مفاسد واقعی، علت فاعلیت او هستند و فاعلیت او را از قوه به فعل خارج می کنند؛ یعنی چنین شخصی به طور کامل تحت سیطره عالم واقع و خالق آن است و مسیر زندگیش قبل از خلقتش توسط عالم واقع یا خالقش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افراد دیگری غیر از معصومین نیز گرفتار چنین جریانی هستند و اراده و افعالشان به صورت تخلف ناپذیری از علمشان به مصلحت افعال نشأت می گیرد ولی از آن جا که علمشان همیشه مطابق با واقع نیست گاهی تحت سیطره مصلحت و مفسده واقعی و گاهی تحت سیطره مصلحت و مفسده موهوم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کسانی که معتقدند سرنوشت انسان از پیش نوشته شده و انسان تنها مجری این نمایشنامه است و عمومیت قضا و قدر الهی در مورد افعال اختیاری انسان را نیز همین گونه معنا می کنند، ناشی از آن باشد که ترجیح بلامرجح را محال و علت غایی را علت فاعلیت فاعل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تصویر اختیار در مورد انسان صادق باشد مستلزم آن است که خداوند انسان را به خاطر علمش یا اقدام بر تحصیل علم و یا رضایتش به فعل مؤاخذه کند؛ نه به خاطر افعال قبیحش؛ زیرا افعال قبیح به خاطر علم خطایی به مصلحتشان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از انسان صادر شده و انسان قدرت ترک آنها را نداشته است، بنابراین انسان هیچ فعلی انجام نداده که متمکن از ترک آن باشد تا به خاطرش مؤاخذه شود؛ زیرا همان طور که فیلسوفان تصریح کرده اند برخی اوقات حصول علم برای انسان غیراختیاری و ضروری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خداوند متعال نیز که علم ازلی و عین ذات مقدسش منشأ افعالش می باشد قادر و مختار است؛ البته نه به خاطر آن که امکان ترک خلق برایش مهیا بوده و او فعل را بر ترک ترجیح داده بلکه به خاطر آن که آگاهانه خواسته و انجام داده است؛ اگر چه نمی توانسته نخواهد و انجام ندهد؛ پس واجب تعالی نیز تحت سیطره نظام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و اقتضای ذاتی خود به صورت تخلف ناپذیری خلق کرده ولی چون عالم به فعلش بوده و رضایت داشته مختار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صدرالمتألهین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طورگفته شود پس لازم می آید خداوند در افعالش مانند آتش در سوزاندن یا آب در سرد کردن یا خورشید در پرتوافکنی مجبور باشد ولی این گونه نیست؛ زیرا آتش و آب و خورشید به فعلشان علم و رضایت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افعال خداوند با علم و رضایت از او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حال انسانی که اراده اش از علم به مصلحت نشأت می گیرد و مجبور و مقهور مصلحت افعال است نیز این گونه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المتألهین، بی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اگر چه صدرا در ابتدای عبارت اختیار به معنای امکان فعل و ترک در مورد انسان را می پذیرد</w:t>
      </w:r>
      <w:r>
        <w:rPr>
          <w:rStyle w:val="FootnoteAnchor"/>
          <w:rtl w:val="true"/>
        </w:rPr>
        <w:footnoteReference w:id="75"/>
      </w:r>
      <w:r>
        <w:rPr>
          <w:rFonts w:ascii="IRNazanin" w:hAnsi="IRNazanin" w:eastAsia="IRNazanin"/>
          <w:color w:val="111111"/>
          <w:sz w:val="28"/>
          <w:sz w:val="28"/>
          <w:szCs w:val="28"/>
          <w:rtl w:val="true"/>
          <w:lang w:bidi="fa-IR"/>
        </w:rPr>
        <w:t>ولی در انتهای عبارت، به لوازم نظریه خود ملتزم شده و انسان را مجبور و مقهور دواعی معرفی می کند و اراده او را اضطراری می داند؛ زیرا از اغراض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نیز در افعال، متمکن از فعل و ترک نیست؛ زیرا در انتخاب فعل راجح مجبور است و امکان ترک راجح برای او مهیا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امکان انتخاب و ترک هیچ یک از دو فعل مساوی برای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به معنای آن است که به طور اساسی اختیار به معنای امکان فعل و ترک نیست؛ چون چنین معنایی نه در خداوند متعال وجود دارد و نه در انسان و در خداوند و انسان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خداوند به دلیل امکانی بودن این معنا و در انسان به دلیل آن که خودش علت تامه اراده 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اختیار در همه جا به معنای صدور فعل با علم و رضایت از فاعل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اگر چه صدرالمتألهین و دیگر فیلسوفان در ظاهر اختیار به معنای امکان فعل و ترک در فاعلی مانند انسان که اراده اش زاید بر ذاتش می باشد را پذیرفته اند ولی مبانی و اصول فلسفی که برگزیده اند مستلزم انکار اختیار به معنای مذکور در هر فاعل مختار و از جمله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صدرالمتألهین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سخن میرداماد تلازم این دو معنا در انسان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یکی از دلایلی که فیلسوفان از اختیار به معنای کلامی اعراض کرده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فعل و ان لم یشأ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 اند، همین باشد که به طور اساسی برخی مبانی فلسفی مانند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bookmarkStart w:id="442" w:name="pg2622_17871"/>
    </w:p>
    <w:p>
      <w:pPr>
        <w:pStyle w:val="BookText"/>
        <w:rPr/>
      </w:pPr>
      <w:bookmarkEnd w:id="442"/>
      <w:r>
        <w:rPr>
          <w:rFonts w:ascii="IRNazanin" w:hAnsi="IRNazanin" w:eastAsia="IRNazanin"/>
          <w:color w:val="111111"/>
          <w:sz w:val="28"/>
          <w:sz w:val="28"/>
          <w:szCs w:val="28"/>
          <w:rtl w:val="true"/>
          <w:lang w:bidi="fa-IR"/>
        </w:rPr>
        <w:t>لزوم علت غایی در افعال اختیاری مستلزم استحاله ترجیح بلامرجح و موجب عدم صحت مفهوم کلامی اختیار حتی در مورد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مبانی و پیش فرض های فیلسوفان مستلزم عدم صحت مفهوم کلامی اختیار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مانند میرداماد و صدرالمتألهین بپذیریم که اختیار کلامی با اختیار فلسفی از جهت مفهوم متلازم اند دراین صورت مبانی مذکور مستلزم بطلان مفهوم فلسفی اختیار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شاید به همین خاطر است که صدرالمتألهین تلاش کرده این تلازم مفهومی را از طریق نفی تلازم در تحقق یکی از مصادیق یعنی خداوند متعال، نفی کنند و مدعی شوند که در مورد خداوند مفهوم امکان فعل و ترک صدق نمی کند ولی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فعل و ان لم یشأ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بیان شد شارح قبسات نیز از عبارت ابن سینا استفاده کرده که وی مفهوم اختیار یا اراده در خداوند متعال را عین مفهوم علم می داند و این ادعایی است نادر و غریب؛ زیرا تغایر مفهومی اختیار یا اراده با علم بدیهی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Heading3"/>
        <w:numPr>
          <w:ilvl w:val="2"/>
          <w:numId w:val="1"/>
        </w:numPr>
        <w:rPr/>
      </w:pPr>
      <w:bookmarkStart w:id="443" w:name="__RefHeading___Toc506773_1395250215"/>
      <w:bookmarkStart w:id="444" w:name="_Toc180"/>
      <w:bookmarkEnd w:id="443"/>
      <w:r>
        <w:rPr>
          <w:rtl w:val="true"/>
        </w:rPr>
        <w:t>نتیجه گیری</w:t>
      </w:r>
      <w:bookmarkEnd w:id="444"/>
    </w:p>
    <w:p>
      <w:pPr>
        <w:pStyle w:val="Heading4"/>
        <w:numPr>
          <w:ilvl w:val="3"/>
          <w:numId w:val="1"/>
        </w:numPr>
        <w:rPr/>
      </w:pPr>
      <w:bookmarkStart w:id="445" w:name="__RefHeading___Toc506775_1395250215"/>
      <w:bookmarkStart w:id="446" w:name="_Toc181"/>
      <w:bookmarkEnd w:id="445"/>
      <w:r>
        <w:rPr>
          <w:rtl w:val="true"/>
        </w:rPr>
        <w:t>الف</w:t>
      </w:r>
      <w:r>
        <w:rPr>
          <w:rtl w:val="true"/>
        </w:rPr>
        <w:t xml:space="preserve">. </w:t>
      </w:r>
      <w:r>
        <w:rPr>
          <w:rtl w:val="true"/>
        </w:rPr>
        <w:t>نظریه استحاله ترجیح بلامرجح با اختیار</w:t>
      </w:r>
      <w:r>
        <w:rPr>
          <w:rtl w:val="true"/>
        </w:rPr>
        <w:t>...</w:t>
      </w:r>
      <w:bookmarkEnd w:id="446"/>
    </w:p>
    <w:p>
      <w:pPr>
        <w:pStyle w:val="BookText"/>
        <w:rPr/>
      </w:pPr>
      <w:r>
        <w:rPr>
          <w:rFonts w:ascii="IRNazanin" w:hAnsi="IRNazanin" w:eastAsia="IRNazanin"/>
          <w:color w:val="111111"/>
          <w:sz w:val="28"/>
          <w:sz w:val="28"/>
          <w:szCs w:val="28"/>
          <w:rtl w:val="true"/>
          <w:lang w:bidi="fa-IR"/>
        </w:rPr>
        <w:t>نظریه استحاله ترجیح بلامرجح با اختیار به معنای کلامی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فیلسوفانی مانند ابن سینا و صدرالمتألهین به آن اعتراف دارند و سخن آنان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طبق نظر میرداماد اگر تلازم مفهوم فلسفی و کلامی اختیار را بپذیریم، این نظریه با مفهوم فلسفی اختیار منافات خواهد داشت ولی اگر مانند صدرالمتألهین تنها تلازم مصداقی را در مورد انسان بپذیریم این نظریه فقط با اختیار انسان ناسازگار است</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7" w:name="__RefHeading___Toc506777_1395250215"/>
      <w:bookmarkStart w:id="448" w:name="_Toc182"/>
      <w:bookmarkEnd w:id="447"/>
      <w:r>
        <w:rPr>
          <w:rtl w:val="true"/>
        </w:rPr>
        <w:t>ب</w:t>
      </w:r>
      <w:r>
        <w:rPr>
          <w:rtl w:val="true"/>
        </w:rPr>
        <w:t xml:space="preserve">. </w:t>
      </w:r>
      <w:r>
        <w:rPr>
          <w:rtl w:val="true"/>
        </w:rPr>
        <w:t>اگر تلازم دو مفهوم فلسفی و کلامی اختیار</w:t>
      </w:r>
      <w:r>
        <w:rPr>
          <w:rtl w:val="true"/>
        </w:rPr>
        <w:t>...</w:t>
      </w:r>
      <w:bookmarkEnd w:id="448"/>
    </w:p>
    <w:p>
      <w:pPr>
        <w:pStyle w:val="BookText"/>
        <w:rPr/>
      </w:pPr>
      <w:r>
        <w:rPr>
          <w:rFonts w:ascii="IRNazanin" w:hAnsi="IRNazanin" w:eastAsia="IRNazanin"/>
          <w:color w:val="111111"/>
          <w:sz w:val="28"/>
          <w:sz w:val="28"/>
          <w:szCs w:val="28"/>
          <w:rtl w:val="true"/>
          <w:lang w:bidi="fa-IR"/>
        </w:rPr>
        <w:t>اگر تلازم دو مفهوم فلسفی و کلامی اختیار پذیرفته شود، قول به صدق مفهوم فلسفی اختیار و عدم صدقمفهوم کلامی آن درباره موجودات مجرد مانند خداوند باطل است</w:t>
      </w:r>
      <w:r>
        <w:rPr>
          <w:rFonts w:eastAsia="IRNazanin" w:cs="IRNazanin"/>
          <w:color w:val="111111"/>
          <w:sz w:val="28"/>
          <w:szCs w:val="28"/>
          <w:rtl w:val="true"/>
          <w:lang w:bidi="fa-IR"/>
        </w:rPr>
        <w:t>.</w:t>
      </w:r>
    </w:p>
    <w:p>
      <w:pPr>
        <w:pStyle w:val="Heading4"/>
        <w:numPr>
          <w:ilvl w:val="3"/>
          <w:numId w:val="1"/>
        </w:numPr>
        <w:rPr/>
      </w:pPr>
      <w:bookmarkStart w:id="449" w:name="__RefHeading___Toc506779_1395250215"/>
      <w:bookmarkStart w:id="450" w:name="_Toc183"/>
      <w:bookmarkEnd w:id="449"/>
      <w:r>
        <w:rPr>
          <w:rtl w:val="true"/>
        </w:rPr>
        <w:t>ج</w:t>
      </w:r>
      <w:r>
        <w:rPr>
          <w:rtl w:val="true"/>
        </w:rPr>
        <w:t xml:space="preserve">. </w:t>
      </w:r>
      <w:r>
        <w:rPr>
          <w:rtl w:val="true"/>
        </w:rPr>
        <w:t xml:space="preserve">مختار دانستن موجودی که امکان ترک در افعالش </w:t>
      </w:r>
      <w:r>
        <w:rPr>
          <w:rtl w:val="true"/>
        </w:rPr>
        <w:t>....</w:t>
      </w:r>
      <w:bookmarkEnd w:id="450"/>
    </w:p>
    <w:p>
      <w:pPr>
        <w:pStyle w:val="BookText"/>
        <w:rPr/>
      </w:pPr>
      <w:r>
        <w:rPr>
          <w:rFonts w:ascii="IRNazanin" w:hAnsi="IRNazanin" w:eastAsia="IRNazanin"/>
          <w:color w:val="111111"/>
          <w:sz w:val="28"/>
          <w:sz w:val="28"/>
          <w:szCs w:val="28"/>
          <w:rtl w:val="true"/>
          <w:lang w:bidi="fa-IR"/>
        </w:rPr>
        <w:t>مختار دانستن موجودی که امکان ترک در افعالش و امکان فعل در تروکش وجود ندارد مخالف علم وجدانی و فطری است و استناد به شرایط صدق گزاره شرطی برای اثبات صدق مفهوم فلسفی اختیار در مورد چنین فاعلی خلط بین احکام لفظی و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بر فرض صحت چنین استدلالی به جای این نتیجه که می توان فاعل را حتی در صورت عدم امکان ترک فعل، مختار نامید باید تعریف اختیار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فعل و ان لم یشا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نادرست دانست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bookmarkStart w:id="451" w:name="pg2622_17872"/>
    </w:p>
    <w:p>
      <w:pPr>
        <w:pStyle w:val="Heading3"/>
        <w:numPr>
          <w:ilvl w:val="2"/>
          <w:numId w:val="1"/>
        </w:numPr>
        <w:rPr/>
      </w:pPr>
      <w:bookmarkStart w:id="452" w:name="__RefHeading___Toc506781_1395250215"/>
      <w:bookmarkStart w:id="453" w:name="_Toc184"/>
      <w:bookmarkEnd w:id="451"/>
      <w:bookmarkEnd w:id="452"/>
      <w:r>
        <w:rPr>
          <w:rtl w:val="true"/>
        </w:rPr>
        <w:t>منابع</w:t>
      </w:r>
      <w:bookmarkEnd w:id="4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الغیلان، افضل الدین عمر بن علی،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حدوث العالم، تهران، موسسه مطالعات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سینا، ابوعلی حسین،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بدوی، بیروت، مکتبة الاعلام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ابوحیان توحیدی، علی بن محمد،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الامتاع و المؤانسة، بیروت، مکتبة عنصریة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مقابسات، حسن السندوبی، مصر، المکتبة البحاریة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استرآبادی، محمد تقی،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فصوص الحکم، تهران،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بهمنیار، ابن المرزبان،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التحصیل، شهید مرتضی مطهری، تهران، انتشارات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تهانوی، محمدعلی،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کشاف اصطلاحات الفنون و العلوم، بیروت، مکتبة لبنان ناشرون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جامی، عبدالرحمن،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الدرة الفاخرة، تهران، مؤسسه مطالعات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جمیل صلیبا،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الفلسفی، بیروت، الشرکة العالمیة للکتاب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اجوبة المسائل النصیریة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پژوهشگاه علوم انسانی و مطالعات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ملاهادی،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منظومه، حسن زاده آملی، تهران، نشر ناب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سمیع دغیم،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مصطلحات الامام فخر الدین الرازی، مکتبة لبنان ناشرون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شهرزوری، شمس الدین،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الشجرة الالهیة فی علوم الحقایق الربانیة، نجف قلی حبیبی، تهران، موسسه حکمت و فلسفه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صدرالمتألهین،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حاشیة بر الهیات الشفاء، قم، انتشارات بیدار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رساله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سیدجلال الدین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دفتر تبلیغات اسلامی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رسالة حدوث العالم، تهران، بنیاد حکمت اسلامی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رسائل فلسفی، حامد ناجی اصفهانی، تهران انتشارات حکمت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الحکمة المتعالیة فی الاسفار العقلیة الاربعة، بیروت، دار احیاء التراث العربی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خواجه نصیرالدین،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الاشارات و التنبیهات مع المحاکمات، قم، نشر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عبودیت، عبدالرسول،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خداشناسی فلسفی، مجتبی مصباح، قم، مؤسسه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فاضل مقداد،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الباب الحادی عشر مع شرحیه النافع یوم الحشر و مفتاح الباب، تهران، مؤسسه مطالعات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طباطبائی، سیدمحمدحسین،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نهایة الحکمة، با تعلیقه استاد فیاضی، قم، موسسه آموزشی پژوهشی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 احمد بن زین العابدین،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کتاب القبسات، تهران، مؤسسه مطالعات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لطائف غیبیة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جا، مکتب السید الداماد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غازانی، سیداسماعیل،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فصوص الحکم و شرحه، علی اوجبی، تهران، انجمن آثار و مفاخر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محسن،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المعارف، سید جلال الدین آشتیانی، قم،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الدین الرازی، محمد،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الهیات المحاکمات مع تعلیقات الباغنوی، باغنوی، تهران، میراث مکتوب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دوانی، ملا اسماعیل خواجوئی،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سبع رسائل، تهران، میراث مکتوب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دوانی، میرمحمد باقر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الرسائل المختارة، رساله نورالهدایة، اصفهان، مکتبة الامام امیر المؤمنین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محمدتقی،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آموزش فلسفه، تهران، سازمان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میرداماد، محمد بن محمد،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قبسات، تهران، مؤسسه انتشارات و چاپ دانشگاه تهران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bookmarkStart w:id="454" w:name="pg2622_17874"/>
    </w:p>
    <w:p>
      <w:pPr>
        <w:pStyle w:val="Heading2"/>
        <w:numPr>
          <w:ilvl w:val="1"/>
          <w:numId w:val="1"/>
        </w:numPr>
        <w:rPr/>
      </w:pPr>
      <w:bookmarkStart w:id="455" w:name="__RefHeading___Toc506783_1395250215"/>
      <w:bookmarkStart w:id="456" w:name="_Toc185"/>
      <w:bookmarkEnd w:id="454"/>
      <w:bookmarkEnd w:id="455"/>
      <w:r>
        <w:rPr>
          <w:rtl w:val="true"/>
        </w:rPr>
        <w:t>تأثیر اندیشه‌های فلسفی بر قرائت فخر رازی از نظریه کسب</w:t>
      </w:r>
      <w:r>
        <w:rPr>
          <w:rtl w:val="true"/>
        </w:rPr>
        <w:t xml:space="preserve">/ </w:t>
      </w:r>
      <w:r>
        <w:rPr>
          <w:rtl w:val="true"/>
        </w:rPr>
        <w:t>عین</w:t>
      </w:r>
      <w:r>
        <w:rPr>
          <w:rtl w:val="true"/>
        </w:rPr>
        <w:t>¬</w:t>
      </w:r>
      <w:r>
        <w:rPr>
          <w:rtl w:val="true"/>
        </w:rPr>
        <w:t>الله خادمی و سیدحسن طالقانی</w:t>
      </w:r>
      <w:bookmarkEnd w:id="456"/>
    </w:p>
    <w:p>
      <w:pPr>
        <w:pStyle w:val="Heading3"/>
        <w:numPr>
          <w:ilvl w:val="2"/>
          <w:numId w:val="1"/>
        </w:numPr>
        <w:rPr/>
      </w:pPr>
      <w:bookmarkStart w:id="457" w:name="__RefHeading___Toc506785_1395250215"/>
      <w:bookmarkStart w:id="458" w:name="_Toc186"/>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عین الله خادمی</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سید حسن طالقانی</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تاریخ دریافت </w:t>
      </w:r>
      <w:r>
        <w:rPr>
          <w:rFonts w:eastAsia="IRNazanin" w:cs="IRNazanin"/>
          <w:color w:val="111111"/>
          <w:sz w:val="28"/>
          <w:szCs w:val="28"/>
          <w:rtl w:val="true"/>
          <w:lang w:bidi="fa-IR"/>
        </w:rPr>
        <w:t xml:space="preserve">: </w:t>
      </w:r>
      <w:r>
        <w:rPr>
          <w:rFonts w:eastAsia="IRNazanin" w:cs="IRNazanin"/>
          <w:color w:val="111111"/>
          <w:sz w:val="28"/>
          <w:szCs w:val="28"/>
          <w:lang w:bidi="fa-IR"/>
        </w:rPr>
        <w:t>1392/06/05</w:t>
      </w:r>
    </w:p>
    <w:p>
      <w:pPr>
        <w:pStyle w:val="BookText"/>
        <w:rPr/>
      </w:pPr>
      <w:r>
        <w:rPr>
          <w:rFonts w:ascii="IRNazanin" w:hAnsi="IRNazanin" w:eastAsia="IRNazanin"/>
          <w:color w:val="111111"/>
          <w:sz w:val="28"/>
          <w:sz w:val="28"/>
          <w:szCs w:val="28"/>
          <w:rtl w:val="true"/>
          <w:lang w:bidi="fa-IR"/>
        </w:rPr>
        <w:t xml:space="preserve">تاریخ تایید </w:t>
      </w:r>
      <w:r>
        <w:rPr>
          <w:rFonts w:eastAsia="IRNazanin" w:cs="IRNazanin"/>
          <w:color w:val="111111"/>
          <w:sz w:val="28"/>
          <w:szCs w:val="28"/>
          <w:rtl w:val="true"/>
          <w:lang w:bidi="fa-IR"/>
        </w:rPr>
        <w:t xml:space="preserve">: </w:t>
      </w:r>
      <w:r>
        <w:rPr>
          <w:rFonts w:eastAsia="IRNazanin" w:cs="IRNazanin"/>
          <w:color w:val="111111"/>
          <w:sz w:val="28"/>
          <w:szCs w:val="28"/>
          <w:lang w:bidi="fa-IR"/>
        </w:rPr>
        <w:t>1392/06/16</w:t>
      </w:r>
    </w:p>
    <w:p>
      <w:pPr>
        <w:pStyle w:val="Heading3"/>
        <w:numPr>
          <w:ilvl w:val="2"/>
          <w:numId w:val="1"/>
        </w:numPr>
        <w:rPr/>
      </w:pPr>
      <w:bookmarkStart w:id="459" w:name="__RefHeading___Toc506787_1395250215"/>
      <w:bookmarkStart w:id="460" w:name="_Toc187"/>
      <w:bookmarkEnd w:id="459"/>
      <w:r>
        <w:rPr>
          <w:rtl w:val="true"/>
        </w:rPr>
        <w:t>چکیده</w:t>
      </w:r>
      <w:bookmarkEnd w:id="460"/>
    </w:p>
    <w:p>
      <w:pPr>
        <w:pStyle w:val="BookText"/>
        <w:rPr/>
      </w:pPr>
      <w:r>
        <w:rPr>
          <w:rFonts w:ascii="IRNazanin" w:hAnsi="IRNazanin" w:eastAsia="IRNazanin"/>
          <w:color w:val="111111"/>
          <w:sz w:val="28"/>
          <w:sz w:val="28"/>
          <w:szCs w:val="28"/>
          <w:rtl w:val="true"/>
          <w:lang w:bidi="fa-IR"/>
        </w:rPr>
        <w:t xml:space="preserve">نظریه کسب از سوی متکلمان اشعری برای تبیین ارتباط فعل اختیاری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افعال اختیاری، مانند سایرمخلوقات با اراده و قدرت الهی خلق شده و نقش انسان در افعال خویش تنها به عنوان کاسب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مبتنی بر مبانی متعددی است که با پاره‌ای از اصول فلسفی در تعارض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با وجود همراهی با بسیاری از مبانی کلامی اشاعره و حتی اعتقاد به مخلوق بودن افعال عباد و عدم استقلال انسان در فعل خویش، به دلیل پذیرش آموزه‌های فلسفی، تقریری متفاوت از نظریه کسب ارائه نموده و در مواردی نه تنها از قبول نظریه کسب خودداری کرده بلکه این نظریه را اسمی بدون مسمی معرفی می‌کند</w:t>
      </w:r>
      <w:r>
        <w:rPr>
          <w:rFonts w:eastAsia="IRNazanin" w:cs="IRNazanin"/>
          <w:color w:val="111111"/>
          <w:sz w:val="28"/>
          <w:szCs w:val="28"/>
          <w:rtl w:val="true"/>
          <w:lang w:bidi="fa-IR"/>
        </w:rPr>
        <w:t>.</w:t>
      </w:r>
    </w:p>
    <w:p>
      <w:pPr>
        <w:pStyle w:val="Heading3"/>
        <w:numPr>
          <w:ilvl w:val="2"/>
          <w:numId w:val="1"/>
        </w:numPr>
        <w:rPr/>
      </w:pPr>
      <w:bookmarkStart w:id="461" w:name="__RefHeading___Toc506789_1395250215"/>
      <w:bookmarkStart w:id="462" w:name="_Toc188"/>
      <w:bookmarkEnd w:id="461"/>
      <w:r>
        <w:rPr>
          <w:rtl w:val="true"/>
        </w:rPr>
        <w:t>واژگان کلیدی</w:t>
      </w:r>
      <w:bookmarkEnd w:id="462"/>
    </w:p>
    <w:p>
      <w:pPr>
        <w:pStyle w:val="BookText"/>
        <w:rPr/>
      </w:pPr>
      <w:r>
        <w:rPr>
          <w:rFonts w:ascii="IRNazanin" w:hAnsi="IRNazanin" w:eastAsia="IRNazanin"/>
          <w:color w:val="111111"/>
          <w:sz w:val="28"/>
          <w:sz w:val="28"/>
          <w:szCs w:val="28"/>
          <w:rtl w:val="true"/>
          <w:lang w:bidi="fa-IR"/>
        </w:rPr>
        <w:t>کسب، فخررازی، فعل اختیاری، خلق اعمال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bookmarkStart w:id="463" w:name="pg2622_17875"/>
    </w:p>
    <w:p>
      <w:pPr>
        <w:pStyle w:val="Heading3"/>
        <w:numPr>
          <w:ilvl w:val="2"/>
          <w:numId w:val="1"/>
        </w:numPr>
        <w:rPr/>
      </w:pPr>
      <w:bookmarkStart w:id="464" w:name="__RefHeading___Toc506791_1395250215"/>
      <w:bookmarkStart w:id="465" w:name="_Toc189"/>
      <w:bookmarkEnd w:id="463"/>
      <w:bookmarkEnd w:id="464"/>
      <w:r>
        <w:rPr>
          <w:rtl w:val="true"/>
        </w:rPr>
        <w:t>طرح مسأله</w:t>
      </w:r>
      <w:bookmarkEnd w:id="465"/>
    </w:p>
    <w:p>
      <w:pPr>
        <w:pStyle w:val="BookText"/>
        <w:rPr/>
      </w:pPr>
      <w:r>
        <w:rPr>
          <w:rFonts w:ascii="IRNazanin" w:hAnsi="IRNazanin" w:eastAsia="IRNazanin"/>
          <w:color w:val="111111"/>
          <w:sz w:val="28"/>
          <w:sz w:val="28"/>
          <w:szCs w:val="28"/>
          <w:rtl w:val="true"/>
          <w:lang w:bidi="fa-IR"/>
        </w:rPr>
        <w:t>مسأله آزادی اراده انسان در افعال اختیاری و نسبت آن با نظام فعل الهی که گاه با عنوان جبر و اختیار یا قضا و قدر و گاه با عنوان خلق افعال، درکتاب‌های کلامی مطرح می‌شود، یکی از دشوارترین مسائل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است که سابقه‌ای به درازای تاریخ اندیشه بشری داشته و همواره ذهن انسان را به خود مشغول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کشاکش نظریه‌های مختلفی ارائه شده و گروه‌هایی رویاروی هم قرار گرفته‌اند، لیکن پرسش اصلی این چنین است که آیا بشر به راستی در انجام کارهای ارادی خود آزاد است؟ اگر انسان بر پایه آزادی اراده و قدرت خویش، به تنهایی و مستقل از غیر، کاری را انجام دهد یا ترک کند، لازمه آن محدودیت قدرت و اراده الهی است؟ در مقابل، با پذیرش فاعلیت مطلق خداوند، افعال ارادی انسان نیز مانند سایر پدیده‌های حادث، آفریده خداوند بوده و بر پایه تقدیر و خواست خدا واقع می‌شوند و لازمه آن سلب اختیار انسان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پرسش اصلی درباره نسبت اختیار انسان با عمومیت قدرت و اراده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طول تاریخ، نظریه های مختلفی در پاسخ به این پرسش شکل گرفته و گروه‌هایی در صدد ارائه راه حل برآمده‌اند، اما به طور خاص در تاریخ کلام اسلامی تا پایان قرن نخست هجری می‌توان دو پاسخ افراطی برای این پرسش‌ها یافت؛ گروهی با تأکید بر آزادی و اختیار انسان، عمومیت فعل الهی را انکار کردند و دسته ای برای حفظ فاعلیت مطلق خداوند پذیرای جبر و عدم اختیار انسان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بغدادی،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نظر گروه نخست، خداوند کارهای ارادی انسان را به او واگذاشته و انسان با داشتن قدرت و اراده‌ای آزاد، مسؤول کردارهای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طرفداران این دیدگاه با عنوان قدریان نخستین در تاریخ اندیشه شناخته شده‌اند و پس از آنها معتزلیان مهم‌ترین داعیه داران این نظریه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دوم که با عنوان مجبره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می‌شوند فاعل حقیقی را خداوند دانسته و کردارهای اختیاری انسان را نیز آفریده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انسان درکارهای خویش آزاد نیست و انتساب افعال به او انتسابی مجازی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این نظریه می‌توانست آیات و روایاتی باشد که بر عمومیت قضا و قدر الهی دلالت دارد و نیز دلایلی که از قدرت مطلق و نامحدود الهی حکایت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نظریه نخست قدرت و حاکمیت مطلق الهی را محدود می‌ساخت اعتقاد به جبر نیز مشکل بی معنا شدن تکلیف و مسؤولیت آدمی و اشکال در توجیه مسأله ارسال رسل و ثواب و عقاب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تلاش‌هایی برای یافتن راهی میانه صورت گرفت و پاره‌ای از اندیشمندان سعی نمودند راهی ارائه دهند که نه قدرت مطلق خداوند را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bookmarkStart w:id="466" w:name="pg2622_17876"/>
    </w:p>
    <w:p>
      <w:pPr>
        <w:pStyle w:val="BookText"/>
        <w:rPr/>
      </w:pPr>
      <w:bookmarkEnd w:id="466"/>
      <w:r>
        <w:rPr>
          <w:rFonts w:ascii="IRNazanin" w:hAnsi="IRNazanin" w:eastAsia="IRNazanin"/>
          <w:color w:val="111111"/>
          <w:sz w:val="28"/>
          <w:sz w:val="28"/>
          <w:szCs w:val="28"/>
          <w:rtl w:val="true"/>
          <w:lang w:bidi="fa-IR"/>
        </w:rPr>
        <w:t>محدود سازد و نه به بنیان حکمت و عدالت الهی خللی وارد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نظریه کسب به عنوان راهی میانه، برای حل تعارض میان مسؤولیت اخلاقی انسان از یک سو و اعتقاد به قدرت مطلق خداوند و حضور مداوم او در افعال آدمی، از سوی ابوالحسن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مذهب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به عنوان یکی از محوری‌ترین اندیشه‌های کلامی اشاعره از سوی همه اشعریان مورد پذیرش قرار گرفت و اگرچه درگذر زمان تقریرهای متفاوتی پیدا کرد ولی شاکله این نظریه مورد اتفاق متکلمان اشعری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فخررازی که از متکلمان بنام اشاعره در قرن هفتم هجری است تقریری متفاوت از این نظریه داشت و حتی در مواضعی از آثارش تئوری کسب را انکار نمود که البته به نظر می‌رسد این تفاوت دیدگاه، ناشی از اندیشه‌های فلسفی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این نوشتار، بررسی تاثرات فخررازی از اندیشه‌های فلسفی در مواجهه با نظریه کسب است و به این پرسش پاسخ می‌دهد که چرا ایشان به عنوان متکلمی اشعری از نظریه کسب رویگردان شده و تنها تقریری کاملا متفاوت از آن ارائه می‌کند؟ اگرچه این نوشتار در صدد شناخت قرائت‌های مختلف از نظریه کسب نیست، ولی برای نشان دادن جایگاه فخررازی در تاریخ این نظریه، چاره ای جز بررسی تطورات این دیدگاه و مدعای آن و شناخت رازی و بستر فکری زمانه او ندارد</w:t>
      </w:r>
      <w:r>
        <w:rPr>
          <w:rFonts w:eastAsia="IRNazanin" w:cs="IRNazanin"/>
          <w:color w:val="111111"/>
          <w:sz w:val="28"/>
          <w:szCs w:val="28"/>
          <w:rtl w:val="true"/>
          <w:lang w:bidi="fa-IR"/>
        </w:rPr>
        <w:t>.</w:t>
      </w:r>
    </w:p>
    <w:p>
      <w:pPr>
        <w:pStyle w:val="Heading3"/>
        <w:numPr>
          <w:ilvl w:val="2"/>
          <w:numId w:val="1"/>
        </w:numPr>
        <w:rPr/>
      </w:pPr>
      <w:bookmarkStart w:id="467" w:name="__RefHeading___Toc506793_1395250215"/>
      <w:bookmarkStart w:id="468" w:name="_Toc190"/>
      <w:bookmarkEnd w:id="467"/>
      <w:r>
        <w:rPr>
          <w:rtl w:val="true"/>
        </w:rPr>
        <w:t>پیشینه نظریه کسب</w:t>
      </w:r>
      <w:bookmarkEnd w:id="468"/>
    </w:p>
    <w:p>
      <w:pPr>
        <w:pStyle w:val="BookText"/>
        <w:rPr/>
      </w:pPr>
      <w:r>
        <w:rPr>
          <w:rFonts w:ascii="IRNazanin" w:hAnsi="IRNazanin" w:eastAsia="IRNazanin"/>
          <w:color w:val="111111"/>
          <w:sz w:val="28"/>
          <w:sz w:val="28"/>
          <w:szCs w:val="28"/>
          <w:rtl w:val="true"/>
          <w:lang w:bidi="fa-IR"/>
        </w:rPr>
        <w:t xml:space="preserve">در پایان قرن نخست هجری، دو گروه جبریه و قدریه نظریه های متعارضی در مورد خلق افعال عباد پدید آوردند؛ قدریان نخستین همچون معبد جهنی و غیلان دمشقی، قدرت انسان را در خلق افعال خویش 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جهانگیری،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اندیشه شمول اراده و قدرت مطلق الهی در نظر جبرگرایان، جایی برای انتخاب آزاد انسان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جبرگرایانی مانند جهم بن صفوان، خدا را خالق و فاعل حقیقی دانسته و انتساب افعال به بندگان را مجازی و همچون نسبت طلوع آفتاب به خورشید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شهرستانی،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معتزلیان که میراث داران قدریه نخستین بودند نیز قول مشهور، تأثیر مستقل قدرت عبد، در حصول فعل بود و ایشان نیز انسان را خالق افعال خویش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تدریج پاره‌ای از معتزلیان گرایش های جدیدی نشان داده و از بدنه اصلی قدریان فاصله گرفتند و با واقع بینی بیشتر به رابطه پیچیده عوامل بیرونی و اراده انسان پرداختند؛ ضرار بن عمرو، نجار و شحام سه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bookmarkStart w:id="469" w:name="pg2622_17877"/>
    </w:p>
    <w:p>
      <w:pPr>
        <w:pStyle w:val="BookText"/>
        <w:rPr/>
      </w:pPr>
      <w:bookmarkEnd w:id="469"/>
      <w:r>
        <w:rPr>
          <w:rFonts w:ascii="IRNazanin" w:hAnsi="IRNazanin" w:eastAsia="IRNazanin"/>
          <w:color w:val="111111"/>
          <w:sz w:val="28"/>
          <w:sz w:val="28"/>
          <w:szCs w:val="28"/>
          <w:rtl w:val="true"/>
          <w:lang w:bidi="fa-IR"/>
        </w:rPr>
        <w:t xml:space="preserve">معتزلی بودند که نگاه‌های جدیدی در مورد رابطه فعل اختیاری و خداوند مطرح کرده و هر سه نفر نظریه خود را با به کارگیری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واژه‌ای قرآنی است توضیح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ضرار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 حدود</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دو فاعل برای یک فعل، خداوند را خالق و انسان را کاسب افعال دانست و معتقد بود انسان با داشتن استطاعتِ قبل از فعل، فاعل است و کسب، فعل حقیقی عبد بر پایه استطاعت پیشین است؛ پس خداوند نیز خالق و فاعل حقیقی فعل</w:t>
      </w:r>
    </w:p>
    <w:p>
      <w:pPr>
        <w:pStyle w:val="BookText"/>
        <w:rPr/>
      </w:pPr>
      <w:r>
        <w:rPr>
          <w:rFonts w:ascii="IRNazanin" w:hAnsi="IRNazanin" w:eastAsia="IRNazanin"/>
          <w:color w:val="111111"/>
          <w:sz w:val="28"/>
          <w:sz w:val="28"/>
          <w:szCs w:val="28"/>
          <w:rtl w:val="true"/>
          <w:lang w:bidi="fa-IR"/>
        </w:rPr>
        <w:t xml:space="preserve">شمرده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شهرستانی،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ضرار و جریان عمومی معتزله، استطاعت پیش از فعل را انکار کرد و با مطرح کردن استطاعت مع الفعل تاثیر استطاعت و قدرت حادثه را کسب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خداوند در عین فاعل بودن خالق افعال عباد است و عبد نیز کاسب آن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شهرستانی،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شحام نیز معتقد بود فعل واحد می‌تواند مقدور خدا و عبد باشد؛ به طوری که اگر خدا آن را انجام داد، فعل خدا و اگر انسان انجام داد، اکتساب از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549</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Heading3"/>
        <w:numPr>
          <w:ilvl w:val="2"/>
          <w:numId w:val="1"/>
        </w:numPr>
        <w:rPr/>
      </w:pPr>
      <w:bookmarkStart w:id="470" w:name="__RefHeading___Toc506795_1395250215"/>
      <w:bookmarkStart w:id="471" w:name="_Toc191"/>
      <w:bookmarkEnd w:id="470"/>
      <w:r>
        <w:rPr>
          <w:rtl w:val="true"/>
        </w:rPr>
        <w:t>نظریه کسب اشعری</w:t>
      </w:r>
      <w:bookmarkEnd w:id="471"/>
    </w:p>
    <w:p>
      <w:pPr>
        <w:pStyle w:val="BookText"/>
        <w:rPr/>
      </w:pPr>
      <w:r>
        <w:rPr>
          <w:rFonts w:ascii="IRNazanin" w:hAnsi="IRNazanin" w:eastAsia="IRNazanin"/>
          <w:color w:val="111111"/>
          <w:sz w:val="28"/>
          <w:sz w:val="28"/>
          <w:szCs w:val="28"/>
          <w:rtl w:val="true"/>
          <w:lang w:bidi="fa-IR"/>
        </w:rPr>
        <w:t>به دنبال این موضع‌گیری‌ها، اشعری برای فرار از جبر و حفظ عظمت و سلطنت الهی که با توحید افعالی بیان می‌شد نظریه خویش را با به کارگیری واژه کسب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کسب اشعری بر دو پایه استوار است که رکن نخست 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خداوند است؛ به عقیده وی تنها قدرت مؤثر در تکوین، احداث و ایجاد، قدرت الهی می باشد که از آن به قدرت قدیمه تعبیر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ابن فورک،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هرآنچه از جوهر، عرض و افعال انسان وجود دارد فعل و خلق خداوند است و به قدرت قدیمه وجود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رکن دوم در نظریه کسب، پذیرش قدرتی حادث در انسان است که به فعل تعلق می‌گیرد ولی سبب ایجاد آن نمی‌شود بلکه تنها با تعلق به فعل، سبب اکتساب آن برای فاعل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این دو رکن، خالق و فاعل حقیقی فعل، خداوند است وانسان با قدرت حادثه، فعلی را که مخلوق خداوند است،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اشعری حقیقت کسب، وقوع فعل همزمان با قدرت حادثه است و به عبارتی همزمانی خلق فعل با خلق قدرت حادثه در شخص کاسب،کسب 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ابن فورک،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مقدار در خروج از جبر کافی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bookmarkStart w:id="472" w:name="pg2622_17878"/>
    </w:p>
    <w:p>
      <w:pPr>
        <w:pStyle w:val="BookText"/>
        <w:rPr/>
      </w:pPr>
      <w:bookmarkEnd w:id="472"/>
      <w:r>
        <w:rPr>
          <w:rFonts w:ascii="IRNazanin" w:hAnsi="IRNazanin" w:eastAsia="IRNazanin"/>
          <w:color w:val="111111"/>
          <w:sz w:val="28"/>
          <w:sz w:val="28"/>
          <w:szCs w:val="28"/>
          <w:rtl w:val="true"/>
          <w:lang w:bidi="fa-IR"/>
        </w:rPr>
        <w:t>این بیان از دیدگاه کسب که با نام اشعری گره خورده، همواره مورد پرسش و ابهام بوده و از سوی مخالفان، ناکارآمد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تئوری کسب وی، بیش از آن که به نقش انسان در فعل اختیاری توجه داشته باشد، به دنبال تبیین قدرت مطلق و بلامنازع خداوند و بیان توحید در خالقیت است و از آن جا که وقوع هر فعلی در قلمرو قدرت الهی و بر خلاف اراده و مشیت او امری ناپسند و غیر مجاز شمرده می‌شود، تنها مورد مؤثر در وجود و فاعل حقیقی را خداوند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در نظریه کسب اشعری با تمام ابهاماتش وجود دارد این است که هماهنگی و تطابق فعل، با قدرت و اراده عبد و به عبارتی استلزام موجود بین قدرت و فعل، تنها بر اساس سنت الهی تفسیر می‌شود و هیچ رابطه علی و ضروری میان قدرت و خلق فعل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تقریر از نظریه کسب قدرت و اختیار انسان هیچ‌گونه تأثیری در تحقق افعال ندارد و همچنان این اشکال باقی می ماند که عدم تأثیر قدرت و اراده انسان مستلزم جبر بوده و نظریه جبر نیز با یافت وجدانی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پس از اشعری، شاگردان مکتب او برای توجیه اختیار انسان و بیان ارتباط فعل اختیاری با اراده و قدرت عبد، تفسیرها و تقریرهای متفاوتی از این نظریه ارائه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باقلانی ذات فعل را مقدور خداوند دانست ولی صفت فعل یعنی طاعت یا معصیت بودن آن را به قدرت عبد منسوب کرد و تأثیر قدرت عبد، در وصف فعل را کسب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باقلانی،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رازی،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ابو اسحاق اسفراینی با پذیرش اجتماع دو مؤثر بر فعل واحد، قدرت خدا و قدرت عبد را مؤثر در ذات فعل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الحرمین جوینی نیز با تقریری جدید از نظریه کسب، برای قدرت و استطاعت انسان اثر واقعی مطرح کرد؛ زیرا قدرتی که اثر واقعی نداشته باشد در حکم انکار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نظر او خداوند قدرت و اراده را در عبد ایجاد کرده و با این واسطه فعل را ایجاد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طولی قدرت انسان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تقریر فعل، معلول اراده عبد است و رابطه ضروری میان اراده و وقوع فعل تصویر می‌شود ولی اراده نیز معلول خداوند است و مشکل وقوع فعلی بر خلاف اراده الهی وجود نخواهد داشت</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506797_1395250215"/>
      <w:bookmarkStart w:id="474" w:name="_Toc192"/>
      <w:bookmarkEnd w:id="473"/>
      <w:r>
        <w:rPr>
          <w:rtl w:val="true"/>
        </w:rPr>
        <w:t>دیدگاه فخررازی درباره وقوع افعال اختیاری</w:t>
      </w:r>
      <w:bookmarkEnd w:id="474"/>
    </w:p>
    <w:p>
      <w:pPr>
        <w:pStyle w:val="BookText"/>
        <w:rPr/>
      </w:pPr>
      <w:r>
        <w:rPr>
          <w:rFonts w:ascii="IRNazanin" w:hAnsi="IRNazanin" w:eastAsia="IRNazanin"/>
          <w:color w:val="111111"/>
          <w:sz w:val="28"/>
          <w:sz w:val="28"/>
          <w:szCs w:val="28"/>
          <w:rtl w:val="true"/>
          <w:lang w:bidi="fa-IR"/>
        </w:rPr>
        <w:t>اگر چه در بیشتر مسائل، انتساب یک نظر قاطع به فخررازی مشکل است و در سرتاسر آثار وی، عقاید متفاوتی را می‌توان از او سراغ گرفت، اما می‌توان ادعا نمود که ایشان با سایر اشعریان در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bookmarkStart w:id="475" w:name="pg2622_17879"/>
    </w:p>
    <w:p>
      <w:pPr>
        <w:pStyle w:val="BookText"/>
        <w:rPr/>
      </w:pPr>
      <w:bookmarkEnd w:id="475"/>
      <w:r>
        <w:rPr>
          <w:rFonts w:ascii="IRNazanin" w:hAnsi="IRNazanin" w:eastAsia="IRNazanin"/>
          <w:color w:val="111111"/>
          <w:sz w:val="28"/>
          <w:sz w:val="28"/>
          <w:szCs w:val="28"/>
          <w:rtl w:val="true"/>
          <w:lang w:bidi="fa-IR"/>
        </w:rPr>
        <w:t xml:space="preserve">عدم استقلال انسان در افعالش هم عقیده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مخلوق بودن افعال انسان و سیطره قضا و قدر الهی بر همه افعال آدمی، مورد پذیرش وی در آثار متعدد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وی درباره نظریه کسب به عنوان راه حل مشکل جبر و تبیین کننده ارتباط فعل انسان با خدا، نه تنها با دیدگاه سایر اشعریان تفاوت دارد، بلکه در مواضع مختلفی از میراث وی نیز متفاوت عرضه شده است</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کلمات رازی آنچه بدون تردید قابل انتساب به او است، مخالفت ایشان با نظر قدریه و اهل تفویض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با دلایل متعددی با انکار دیدگاه معتزلیان، انسان را در افعال خویش وابسته و غیر مستقل می‌داند</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وی در مورد علم پیشین الهی و عمومیت قضا و قدر نیز منشأ بودن علم خدا برای وقوع یا عدم وقوع افعال، مستلزم قول به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همین حال به تفاوت میان فعل ارادی و غیر ارادی هم نظر داشته و انسان را دارای قدرت و در مواضعی از آثارش، فاعل مختار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دیدگاه فخر رازی در مسأله افعال انسان گرایش به جبر دارد؛ اگرچه خود از قبول جبر محض پرهیز داشته و آن را نظریه‌ای نادرست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Heading3"/>
        <w:numPr>
          <w:ilvl w:val="2"/>
          <w:numId w:val="1"/>
        </w:numPr>
        <w:rPr/>
      </w:pPr>
      <w:bookmarkStart w:id="476" w:name="__RefHeading___Toc506799_1395250215"/>
      <w:bookmarkStart w:id="477" w:name="_Toc193"/>
      <w:bookmarkEnd w:id="476"/>
      <w:r>
        <w:rPr>
          <w:rtl w:val="true"/>
        </w:rPr>
        <w:t>فخررازی و نظریه کسب</w:t>
      </w:r>
      <w:bookmarkEnd w:id="477"/>
    </w:p>
    <w:p>
      <w:pPr>
        <w:pStyle w:val="BookText"/>
        <w:rPr/>
      </w:pPr>
      <w:r>
        <w:rPr>
          <w:rFonts w:ascii="IRNazanin" w:hAnsi="IRNazanin" w:eastAsia="IRNazanin"/>
          <w:color w:val="111111"/>
          <w:sz w:val="28"/>
          <w:sz w:val="28"/>
          <w:szCs w:val="28"/>
          <w:rtl w:val="true"/>
          <w:lang w:bidi="fa-IR"/>
        </w:rPr>
        <w:t xml:space="preserve">از آن‌جا که فخررازی متکلمی اشعری مذهب بوده، درمواضع مختلفی از آثارش همگام با سایر اشعریان انسان را مکتسب معرفی کرده و از تئوری کسب 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رویکرد، در تفسیر، بیشتر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تبیین وی از رابطه فعل اختیاری انسان با خدا، در پایه و مبانی، با اندیشه کسب اشعری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شاید به این دلیل باشد که در بیشتر آثار کلامی وی پس از ذکر تقریر‌های مختلف نظریه کسب، دیدگاه مختار او بدون یادکردی از عنوان کسب مطرح شده و البته در مواردی آشکارا با پذیرش رسمی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کسب را ناکارآمد و تنها اسمی بدون مسمی معرفی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فخر به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نظریه کسب اشعری را باید در مؤلفه‌های این دیدکاه پیگیری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بیان شد نظریه کسب دو پایه اصلی دارد که یکی قدرت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اشعری کسب، وقوع فعل به دنبال قدرت حادثه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همزمان با فعل در شخص فاعل ایجاد می‌شود و تقدم بر فعل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حادثه که گاهی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مع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می‌شود مورد اتفاق همه اشعریان است و متکلمان اشعری استطاعت و قدرت را عرضی دانستند که همراه فعل در انسان خلق می‌شود و از آن تعبیر به قدرت حادثه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بنابر تعریف بیشتر متکلمان معتزلی قدرت یا استطاعت عبارت است از سلامت اعضا و مزاج معتدل که البته این مقدار، پیش از فعل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فخررازی با توضیحی هر دو تعریف را قبول کرده و در بسیاری از آثار وی اصطلاح معتزلی قدرت با تسامح پذیرفته شده است؛ نظر ایشان قدرت عبارت است از سلامت اعضا و مزاج معتدل و چون سلامت اعضا، قبل از فعل موجود است می‌توان گفت بیان استطاعت قبل الفعل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دیدگاه فخر با معتزلیان در این نکته است که از نظر وی این قدرت در حصول فعل کافی نیست و باید با داعی و اراده قاطع همراه گردد تا فعل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که قدرت و استطاعت حقیقی، مع الفعل است؛ چون با انضمام قدرت و داعی است که حصول فعل ضروری شده و فعل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در کتاب المحصل همنوا با سایر اشعریان تصریح می‌کند که قدرت، عرضی است که باقی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قدرت که هنگام انجام فعل وجود دارد همان است که به نظر وی موصوف آن، تمکن از ایجاد و تکوین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سلامت اعضا و صحت 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المباحث المشرقیة در پاسخ به استبعاد ابن سینا درباره همزمانی قدرت با فعل، این مطلب را بیشتر توضیح داده است؛ به بیان 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تغییر است و اگر فرد بر فعل قوت داشته باشد فعل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مبدأ تغییر، همه جهات لازم برای تغییر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فعل به ضرورت همراه با او موجود می‌شود و محال است این مبدأ، مقدم بر اثر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کلام اشاعره که قوت را همراه با فعل می‌دانند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مبدأ تغییر، همه جهات لازم برای تغییر را نداشته باشد آنچه موجود است در حقیقت قوت بر فعل نیست بلکه بخشی از قوت است و این مقدار می‌تواند قبل از فعل موجود باشد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چنانچه کیفیت حاصل از صحت مزاج که قدرت نامیده می‌شود قبل از فعل و بعد از آن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می‌شود که رازی اگرچه از قدرت پیش از فعل سخن می‌گوید و در استدلال‌هایش از آن استفاده می‌کند، ولی مراد او بخشی از قدرت است که به تنهایی منجر به وقوع فعل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در این مسأله که قدرت بر فعل، عرضی است و دوام ندارد و تنها همزمان با فعل موجود می شود با سایر اشعریان همراه و هم عقیده می باشد و به تعبیر اینان معتقد است که قدرت انسان قدرت حادثه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اشاره شد از مؤلفه های دیدگاه کسب، عدم تاثیر قدرت حادثه در ایجاد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تقریرهای مختلف نظریه کسب، قدرت حادثه که مقارن با فعل، حادث می‌شود، تاثیری در ایجاد فعل نداشته و تنها به صرف مقارن بودن یا تاثیر در صفت فعل به عنوان کسب خوانده می‌شود و راهی برای فرار از بیان صریح به جبر تلقی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اگرچه به یک معنا قدرت حادثه را پذیرفت و معتقد بود که صحت جسم و به تعبیری قدرت پیش از فعل، تنها بخشی از قدرت است و صلاحیت ایجاد فعل را ندارد، ولی با تقریر اشعری در بی تأثیر بودن قدرت نیز موافق نبود و مجموع قدرت و داعی را مؤثر در فعل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فعل در نتیجه پیوند داعی و قدرت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قدرت به عنوان علت حصول فعل به معنای پذیرش تأثیر قدرت انسان در فعل است که این مسأله مورد انکار غالب اشعریان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در این جا حائز اهمیت ضروری است که اگرچه از نظر رازی مجموع قدرت و داعی مستلزم فعل است و با وجود قدرت و داعی حصول فعل ضروری شده و این مجموع، مؤثر در وقوع 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ضرورت، قدرت را مؤثر در ایجاد نمی‌کند؛ یعنی قدرت عبد، هیچ تأثیری در ایجاد فعل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نصیرالدین،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مستلزم حصول 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و ملزوم هر دو به قدرت خداوند ایجاد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ادامه تصریح کرده که عامل مؤثر در خلق و ایجاد افعال بندگان چیزی غیر از قدرت خداوند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به معنای احداث و ایجاد، مخصوص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خلق ممکن است مستقیم و بی واسطه باشد و یا از طریق خلق سبب، حاصل شود؛ به طور مثال خداوند داعی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بر فعل را خلق نمایدکه با انضمام به قدرت، سبب ایجاب فعل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عبارتی قدرت حادثه، علت موجده و مؤثر در وجود افعال نیست بلکه علت معده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اگرچه با دیدگاه متکلمان اشعری در خالقیت خداوند تعارضی ندارد و در ظاهر تأثیری برای قدرت حادثه در خلق و ایجاد قایل نیست ولی در برخی توابع بحث، با تقریر رایج اشاعره تعارض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تقریر رازی آنچه پیش از فعل در فرد وجود دارد و به اعتبار آن، شخص قادر خوانده می‌شود نسبت به فعل و ترک، حالت تساوی دارد؛ یعنی از این قدرت، هم فعل و هم ترک فعل می‌تواند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قدرت در حالت استوا باشد فعلی صادر نمی‌شود و برای وقوع فعل، نیازمند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مرجح همان داعی و انگیزه انجام فعل است که وقتی به قدرت ضمیمه شود فعل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ایشان انضمام داعی به قدرت، وجود فعل را ضروری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اگرچه قدرت به تنهایی صلاحیت تأثیر نداشت اما زمانی که به داعی پیوند می‌خورد این مجموع، دارای اثر شده و مؤثری تام می شود که تخلف اثر از او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اندیشه وی مجموع قدرت و داعی، فعل را به ضرورت ایجاد می‌کند؛ اگرچه هرکدام از قدرت و داعی به تنهایی صلاحیت ایجاد ندارد و خود، مخلوق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بنا بر نظریه کسب، قدرت عبد نه تنها ضرورتی ایجاد نمی‌کند بلکه هیچ تأثیری در تحقق فعل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نقطه را باید نقطه افتراق رازی از جبهه اشاعره دانست و ریشه آن را در اندیشه‌های فلسفی که وی به آنها تمایل داشت جستجوکرد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ایشان از کیفیت پیدایش افعال اختیاری انسان، مسأله علیت و ضرورت که برگرفته از مفاهیم فلسفی و مورد انکار اشعریان می باشد، به روشنی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استدلال فخر این است که اگر قدرت بر فعل را عبارت از صحت فعل و ترک بدانیم برای تحقق فعل باید یکی از طرفین فعل یا ترک بر دیگری ترجیح پیدا کند و با این ترجیح ، فعل به ضرورت محقق شده و یا نفی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دیدگاه وی، مرجحی که این حالت تساوی را از بین می‌برد همان داعی است که با ضمیمه شدن به قدرت، وجوب فعل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این فرایند را بر پایه مبانی فلسفی می‌توان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با پذیرش تقسیم بندی موجودات به واجب و ممکن که تفکیکی فلسفی است، افعال عباد را از امور ممکنه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خارج شدن از حالت امکان و استوای طرفین و در نتیجه موجود شدن نیازمند به علت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بر پایه قاعده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تا به مرحله وجوب نرسد از فاعل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علت صدور فعل به گونه‌ای باشدکه با وجود آن، عدم الفعل، ممتنع و در نتیجه فعل واجب الوقوع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مجموع قدرت و داعی به مثابه علت تامه برای تحقق فعل است که تخلف معلول از آن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موجود شدن علت، معلول نیز وجود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فقدان قدرت و داعی، حصول فعل را ممتنع و وجود قدرت و داعی، فعل را واجب الوقوع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اگرچه وی قدرت و داعی را مخلوق خدا می‌داند و همچون دیگر اشاعره عبد را غیر مستقل در فعل معرفی می‌کند، ولی تأثیر و علیت قدرت را درحصول فعل نیز تایید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را پیشتر امام الحرمین جوینی نیز به نوعی با طرح رابطه طولی خدا و خلق مطرح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جوینی،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تقریر، خداوند خالق حقیقی افعال عباد است ولی با واسطه نیز قدرت حادثه تأثیر استقلالی در ایجاد فعل ندارد؛ زیرا قدرت به تنهایی برای ایجاد فعل کافی نیست و تا اراده ضمیمه نشود فعل تحقق پیدا نمی‌کند و البته ایجاد داعی و اراده، فعل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استدلال رازی، اگر داعی را به خداوند مستند نکنیم به تسلسل یا نفی صانع دچار می‌شویم؛ چون هر داعی برای موجود شدن نیازمند داعی و اراده دیگری است و چاره‌ای نیست مگر این که اراده و داعی فعل را مخلوق خدا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خدا نخواهد داعی بر فعل را ایجاد نمی‌کند و تا داعی وجود نداشته باشد فعل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تبیین از تحقق افعال اختیاری که مبتنی بر اصل علیت و ضرورت بیان شده، به ناچار به جبر منتهی می‌شود و از این‌رو فخررازی معتقد است علت و سبب افعال بندگان با واسطه یا بی واسطه، در سلسله حاجت و نیاز، به واجب الوجود منتهی شده و در نتیجه، همه افعال بندگان به قضا و قدر الهی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آشکارا مدعی شده که اگرچه انسان در ظاهر مختار است ولی در حقیقت مضطر آفریده شده و در عالم وجود چیزی غیر از جبر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فخررازی</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bookmarkStart w:id="478" w:name="pg2622_17884"/>
    </w:p>
    <w:p>
      <w:pPr>
        <w:pStyle w:val="Heading3"/>
        <w:numPr>
          <w:ilvl w:val="2"/>
          <w:numId w:val="1"/>
        </w:numPr>
        <w:rPr/>
      </w:pPr>
      <w:bookmarkStart w:id="479" w:name="__RefHeading___Toc506801_1395250215"/>
      <w:bookmarkStart w:id="480" w:name="_Toc194"/>
      <w:bookmarkEnd w:id="478"/>
      <w:bookmarkEnd w:id="479"/>
      <w:r>
        <w:rPr>
          <w:rtl w:val="true"/>
        </w:rPr>
        <w:t>نتیجه گیری</w:t>
      </w:r>
      <w:bookmarkEnd w:id="480"/>
    </w:p>
    <w:p>
      <w:pPr>
        <w:pStyle w:val="BookText"/>
        <w:rPr/>
      </w:pPr>
      <w:r>
        <w:rPr>
          <w:rFonts w:ascii="IRNazanin" w:hAnsi="IRNazanin" w:eastAsia="IRNazanin"/>
          <w:color w:val="111111"/>
          <w:sz w:val="28"/>
          <w:sz w:val="28"/>
          <w:szCs w:val="28"/>
          <w:rtl w:val="true"/>
          <w:lang w:bidi="fa-IR"/>
        </w:rPr>
        <w:t>فخررازی به عنوان متکلمی اشعری، همچون سایر اشعریان انسان را در افعالش غیر مستقل و وابسته به اراده الهی معرفی می‌کند و به بیان روشن‌تر افعال انسان را مخلوق خداوند دانسته و دیدگاه قدریان و معتزله درباره انتساب فعل به فاعل مختار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تأثیر آموزه های فلسفی بر اندیشه فخر سبب شده تا تقریر وی از کیفیت ارتباط فعل انسان و خدا با تقریر مشهور متکلمان اشعری تفاوت یابد و با ورود ضرورت علّی، نظریه کسب، معنایی متمایز از سایر تقریرها پیدا کند</w:t>
      </w:r>
      <w:r>
        <w:rPr>
          <w:rFonts w:eastAsia="IRNazanin" w:cs="IRNazanin"/>
          <w:color w:val="111111"/>
          <w:sz w:val="28"/>
          <w:szCs w:val="28"/>
          <w:rtl w:val="true"/>
          <w:lang w:bidi="fa-IR"/>
        </w:rPr>
        <w:t>.</w:t>
      </w:r>
    </w:p>
    <w:p>
      <w:pPr>
        <w:pStyle w:val="Heading3"/>
        <w:numPr>
          <w:ilvl w:val="2"/>
          <w:numId w:val="1"/>
        </w:numPr>
        <w:rPr/>
      </w:pPr>
      <w:bookmarkStart w:id="481" w:name="__RefHeading___Toc506803_1395250215"/>
      <w:bookmarkStart w:id="482" w:name="_Toc195"/>
      <w:bookmarkEnd w:id="481"/>
      <w:r>
        <w:rPr>
          <w:rtl w:val="true"/>
        </w:rPr>
        <w:t>منابع</w:t>
      </w:r>
      <w:bookmarkEnd w:id="4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فورک، محمدبن الحسن،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مجرد مقالات الشیخ ابی الحسن الاشعری، احمد عبدالرحیم السایح، مصر، مکتبةالثقافة الدینیة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ارشدریاحی،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و تابستان</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نظریه خلق اعمال فخررازی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فلسفه و کلام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ابوالحسن علی بن اسماعیل،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الاسلامیین و اختلاف المصلین، هلموت ریتر، 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اللمع فی الرد علی اهل الزیغ و البدع، حمودة زکی غرابة، مصر، مکتبة الازهریه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باقلانی، ابوبکرمحمدبن الطیب،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تمهید الاوائل و تلخیص الدلائل، عمادالدین احمدحیدر، بیروت، مؤسسة الکتب الثقافیة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عبدالقاهر،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الفرق بین الفرق، محمد محیی الدین عبدالحمید، مصر، مکتبة دارالتراث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احمد و فارسی نژاد،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فخررازی بر سر دو راهی جبر و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اندیشه دینی، ش</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جوینی، عبدالملک بن عبدالله،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الی قواطع الادلة فی اصول الاعتقاد، احمد عبدالرحیم السایح، مصر، مکتبةالثقافة الدینیة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جهانگیری، محسن،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قدریان نخستین در مجموعه مقالات کلام اسلامی، تهران، انتشارات حکمت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فخرالدین محمد بن عمر،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 التقدیس، به کوشش احمد حجازی السقا، قاهره، مکتبة الکلیات الازهریة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الاربعین فی اصول الدین، مصطفی حجازی السقا، قاهره، مکتبة الکلیات الازهریة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شرحی الاشارات، قم، انتشارات کتابخانه آیت‌الله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چهارده رساله، سبزواری، محمدباقر، انتشارات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المطالب العالیة،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احمد حجازی السقا، بیروت، دارالکتاب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الغیب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بیروت، دار احیاءالتراث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المباحث المشرقیة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 مکتبة بیدار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معالم اصول الدین، طه عبدالرووف سعد، قاهره، مکتبة الازهریة للتراث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لوامع البینات، طه عبدالرؤوف سعد، قاهره، مکتبة الکلیات الازهریة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المحصل، حسین اتای، قم، انتشارات شریف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القضاء و القدر، محمد المعتصم بالله البغدادی، بیروت، دارالکتاب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عبدالکریم،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الملل و النحل، محمد بن فتح الله بدران، قاهره، مکتبة الانجلو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خواجه نصیرالدین،</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تلخیص المحصل، عبدالله نورانی، دانشگاه تهران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bookmarkStart w:id="483" w:name="pg2622_17886"/>
    </w:p>
    <w:p>
      <w:pPr>
        <w:pStyle w:val="Heading2"/>
        <w:numPr>
          <w:ilvl w:val="1"/>
          <w:numId w:val="1"/>
        </w:numPr>
        <w:rPr/>
      </w:pPr>
      <w:bookmarkStart w:id="484" w:name="__RefHeading___Toc506805_1395250215"/>
      <w:bookmarkStart w:id="485" w:name="_Toc196"/>
      <w:bookmarkEnd w:id="483"/>
      <w:bookmarkEnd w:id="484"/>
      <w:r>
        <w:rPr>
          <w:rtl w:val="true"/>
        </w:rPr>
        <w:t>چکیده عربی مقالات</w:t>
      </w:r>
      <w:bookmarkEnd w:id="485"/>
    </w:p>
    <w:p>
      <w:pPr>
        <w:pStyle w:val="BookText"/>
        <w:rPr/>
      </w:pPr>
      <w:r>
        <w:rPr>
          <w:rFonts w:ascii="IRNazanin" w:hAnsi="IRNazanin" w:eastAsia="IRNazanin"/>
          <w:color w:val="111111"/>
          <w:sz w:val="28"/>
          <w:sz w:val="28"/>
          <w:szCs w:val="28"/>
          <w:rtl w:val="true"/>
          <w:lang w:bidi="fa-IR"/>
        </w:rPr>
        <w:t>خلاصة المقالات باللغة العربیة</w:t>
      </w:r>
    </w:p>
    <w:p>
      <w:pPr>
        <w:pStyle w:val="BookText"/>
        <w:rPr/>
      </w:pPr>
      <w:r>
        <w:rPr>
          <w:rFonts w:ascii="IRNazanin" w:hAnsi="IRNazanin" w:eastAsia="IRNazanin"/>
          <w:color w:val="111111"/>
          <w:sz w:val="28"/>
          <w:sz w:val="28"/>
          <w:szCs w:val="28"/>
          <w:rtl w:val="true"/>
          <w:lang w:bidi="fa-IR"/>
        </w:rPr>
        <w:t>أول الواجبات العقائدیة</w:t>
      </w:r>
    </w:p>
    <w:p>
      <w:pPr>
        <w:pStyle w:val="BookText"/>
        <w:rPr/>
      </w:pPr>
      <w:r>
        <w:rPr>
          <w:rFonts w:ascii="IRNazanin" w:hAnsi="IRNazanin" w:eastAsia="IRNazanin"/>
          <w:color w:val="111111"/>
          <w:sz w:val="28"/>
          <w:sz w:val="28"/>
          <w:szCs w:val="28"/>
          <w:rtl w:val="true"/>
          <w:lang w:bidi="fa-IR"/>
        </w:rPr>
        <w:t>رضا برنجکار</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مهدی نصرتیان اهور</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تعیین اول الواجبات العقائدیة هو من المسائل التی أثیر البحث حولها فی علم الکلام، فالشک والقصد والارادة والنظر و الاستدلال و معرفة الله هی من أهم المسائل فی هذا البحث، فإن أرید بأول الواجبات بلحاظ المقصود الأصلی فلابد أن یکون مصداقه معرفة الله، و إن أرید الأول بلحاظ کل عنوان فلابد أن یکون مصداقه القصد و الإرادة، و إن آمنا بالمعرفة الفطریة لله سبحانه فلابد أن یکون مصداقه الإیمان بالله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pStyle w:val="BookText"/>
        <w:rPr/>
      </w:pPr>
      <w:r>
        <w:rPr>
          <w:rFonts w:ascii="IRNazanin" w:hAnsi="IRNazanin" w:eastAsia="IRNazanin"/>
          <w:color w:val="111111"/>
          <w:sz w:val="28"/>
          <w:sz w:val="28"/>
          <w:szCs w:val="28"/>
          <w:rtl w:val="true"/>
          <w:lang w:bidi="fa-IR"/>
        </w:rPr>
        <w:t>الاستدلال، النظر، المعرفة العقلیة، العقد القلبی، التدین، الواجب العقائدی، معرفة الله، الشک، القصد و الارادة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النطاق المعنوی للحکمة الالهیة فی کلام الامامیة</w:t>
      </w:r>
    </w:p>
    <w:p>
      <w:pPr>
        <w:pStyle w:val="BookText"/>
        <w:rPr/>
      </w:pPr>
      <w:r>
        <w:rPr>
          <w:rFonts w:ascii="IRNazanin" w:hAnsi="IRNazanin" w:eastAsia="IRNazanin"/>
          <w:color w:val="111111"/>
          <w:sz w:val="28"/>
          <w:sz w:val="28"/>
          <w:szCs w:val="28"/>
          <w:rtl w:val="true"/>
          <w:lang w:bidi="fa-IR"/>
        </w:rPr>
        <w:t>السید محمود الموسوی</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محمد رنجبر الحسینی</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الحکمة الالهیة و کون الباری حکیماً هو أحد المبانی الفکریة للمتکلمین الامامیة و هو المفتاح لأبحاث کلامیة 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 تتبعنا جذور ذلک وجدناها تمتد الی أبحاث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الحسن و القبح العقلیین، قاعدة اللطف، ضرورة بعثة الانبیاء و نصب الامام، عدم لغویة افعال الله سبحانه، الآلام و الاعواض و الانتصاف و سائر الأبحاث الکلامیة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یرید متکلمو الإمامیة من وصف الله بالحکیم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یتحاشی کل فعل قبیح أو لا یقصر فی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و هذا أهم معانی حکمة الله سبحانه، و بذلک یکون مساوقاً لمفهوم العدل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فحاولنا فی هذا المقال ـ ومن خلال تتبع الاستعمالات ـ أن نبین معنی الحکمة الالهیة فی عقیدة المتکلمین الامامیة، لیتضح الی حد ما سبب هذا تلقی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ضوء هذا المعنی فإن کل أمر و فعل قبیح؛ نظیر الظلم، العبث، الکذب، نقض الغرض و غیرها، یسلب صفة الحکمة عنه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أخری یرید متکلمو الإمامیة اتقان الصنع؛ و ذلک بلحاظ جذر الحکمة لغة، کما یقصدون بها أحیاناً المعرفة الأفضل و الحقیقیة لجمیع الأشیاء و بالدقة فی المبانی الفکریة للمتکلمین الامامیة یتضح أن الحکمة الالهیة بالنسبة للمعنی الذی أرید منها هی من الصفات الذاتیة أو الفعلیة 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pStyle w:val="BookText"/>
        <w:rPr/>
      </w:pPr>
      <w:r>
        <w:rPr>
          <w:rFonts w:ascii="IRNazanin" w:hAnsi="IRNazanin" w:eastAsia="IRNazanin"/>
          <w:color w:val="111111"/>
          <w:sz w:val="28"/>
          <w:sz w:val="28"/>
          <w:szCs w:val="28"/>
          <w:rtl w:val="true"/>
          <w:lang w:bidi="fa-IR"/>
        </w:rPr>
        <w:t>متکلمو الامامیة، الحکمة، الحکیم، العدل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ابان بن تغلب متکلم من فصیلة المحدثین الامامیة</w:t>
      </w:r>
    </w:p>
    <w:p>
      <w:pPr>
        <w:pStyle w:val="BookText"/>
        <w:rPr/>
      </w:pPr>
      <w:r>
        <w:rPr>
          <w:rFonts w:ascii="IRNazanin" w:hAnsi="IRNazanin" w:eastAsia="IRNazanin"/>
          <w:color w:val="111111"/>
          <w:sz w:val="28"/>
          <w:sz w:val="28"/>
          <w:szCs w:val="28"/>
          <w:rtl w:val="true"/>
          <w:lang w:bidi="fa-IR"/>
        </w:rPr>
        <w:t xml:space="preserve">محمد جاودان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حسین منصوری راد</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ابان بن تغلب من الأصحاب الأجلاء للامامین الباقر و الصادق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و قد ذکرته مصادر الفریقین بثناء و إجلال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یظهر من المعطیات التاریخیة أن اهتمامه کان منصباً علی الفقه أکثر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 الحاضر یحاول أن یبین ـ و بنظرة تحلیلیة ـ أنه کان ذا باع فی علم الکلام ـ مضافاً للفقه ـ و أنه کان یستخدمه بشکل جید؛ و ذلک من خلال اعتماده علی الکتاب الکریم فی بیان المبانی الفکریة للشیعة بدقة، و دفاعه عن أفکارها، و قدرته علی إجابة الأسئلة المختلفة الموجهة من قبل الشیعة و غیرهم، و مواجهته الصحیحة للشبهات، و کل ذلک یغطی مساحة واسعة من الروایات العقائدیة، لیعکس بالتالی اهتماماته الکلامیة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pStyle w:val="BookText"/>
        <w:rPr/>
      </w:pPr>
      <w:r>
        <w:rPr>
          <w:rFonts w:ascii="IRNazanin" w:hAnsi="IRNazanin" w:eastAsia="IRNazanin"/>
          <w:color w:val="111111"/>
          <w:sz w:val="28"/>
          <w:sz w:val="28"/>
          <w:szCs w:val="28"/>
          <w:rtl w:val="true"/>
          <w:lang w:bidi="fa-IR"/>
        </w:rPr>
        <w:t>ابان بن تغلب، مدرسة الکوفة، التیارات الکلامیة، المحدث ـ المتکلم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البحث حول الإمامیة فی مصادر الملل والنحل لأهل السنة</w:t>
      </w:r>
    </w:p>
    <w:p>
      <w:pPr>
        <w:pStyle w:val="BookText"/>
        <w:rPr/>
      </w:pPr>
      <w:r>
        <w:rPr>
          <w:rFonts w:ascii="IRNazanin" w:hAnsi="IRNazanin" w:eastAsia="IRNazanin"/>
          <w:color w:val="111111"/>
          <w:sz w:val="28"/>
          <w:sz w:val="28"/>
          <w:szCs w:val="28"/>
          <w:rtl w:val="true"/>
          <w:lang w:bidi="fa-IR"/>
        </w:rPr>
        <w:t>محمد تقی السبحانی</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اکبر اقوام الکرباسی</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التبصیر فی الدین کتاب فی علم الملل والنحل لأبی المظفر الاسفراینی تم تدوینه فی القرن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الکتاب من جملة المصادر التی یعتمدها الباحثون فی مجال التعرف علی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ألف الاسفراینی کتابه علی أساس حدیث افتراق الأمة الی ثلاث وسبعین فرقة، فجعل عشرین منها من فرق الشیعة و قد جعل بدایة الشیعة ـ و الذین ذکرهم بعناوین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الإمامیة، الرافضیة، القطعیة، الاثنی عشریة ـ راجعة الی ابن سبا الیهودی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الأساسی بین الإمامیة و غیرهم ـ وفق رأی الاسفراینی ـ هو الاختلاف فی مسألة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وفق تصویر الاسفراینی للامامیة ـ باعتبارهم لا یؤمنون بالقرآن و الحدیث ـ فإنهم یعتقدون بالکثیر من الإشکالات العقائدیة کتحریف القرآن و التشبیه و التجسیم و الجبر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الإطار فإن للأئمة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مرموقة و خاصة فی کتاب التبصیر، لکنه لا یبرز الرابطة بین الرافضة و بین المعصومین فحسب بل إنه ینفیها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بصورة عامة فإنه لم یسلک فی کتابه مسلک أصحاب الملل و النحل و إنما سلک مسلک أشعری متعصب یحاول إلقاء عقائده و متبنیاته و ینسب تمام العیوب الی غیره و خاصة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pStyle w:val="BookText"/>
        <w:rPr/>
      </w:pPr>
      <w:r>
        <w:rPr>
          <w:rFonts w:ascii="IRNazanin" w:hAnsi="IRNazanin" w:eastAsia="IRNazanin"/>
          <w:color w:val="111111"/>
          <w:sz w:val="28"/>
          <w:sz w:val="28"/>
          <w:szCs w:val="28"/>
          <w:rtl w:val="true"/>
          <w:lang w:bidi="fa-IR"/>
        </w:rPr>
        <w:t>الاسفراینی، التبصیر، الامامیة، الرافضة، التعرف علی الشیعة، البحث حول الشیعة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تطور نظریة الأشاعرة فیما یخص رؤیة الله</w:t>
      </w:r>
    </w:p>
    <w:p>
      <w:pPr>
        <w:pStyle w:val="BookText"/>
        <w:rPr/>
      </w:pPr>
      <w:r>
        <w:rPr>
          <w:rFonts w:ascii="IRNazanin" w:hAnsi="IRNazanin" w:eastAsia="IRNazanin"/>
          <w:color w:val="111111"/>
          <w:sz w:val="28"/>
          <w:sz w:val="28"/>
          <w:szCs w:val="28"/>
          <w:rtl w:val="true"/>
          <w:lang w:bidi="fa-IR"/>
        </w:rPr>
        <w:t>محمد جواد النجفی</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نرجس بهشتی</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البحث عن رؤیة الله و کیفیته من أهم الأبحاث الکلامیة بین الفرق الاسلامیة ومنهم الاشاعرة و یری القدماء من الأشاعرة ـ استناداً لبعض الأدلة النقلیة ـ إمکان رؤیة الله سبحانه و أن بإمکان المؤمنین فی الآخرة رؤیة الله بأعینهم و قد واجه هذا الرأی تغییرات علی مدی التاریخ، بحیث أن الاتجاه العرفانی أخذ یقوی فیما بینهم فی فترة الاستدلال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الفخر الرازی من جملة العلماء الأشاعرة الذین تکلموا فی هذا المجال و تختلف نظریته عن متقدمیه بسبب شرائطه الروحیة و 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أن درس النظریات المختلفة اعتقد أنه لا یمکن إثبات رؤیة الله بالادلة العقلیة، و إنما السبیل الوحید لذلک هو الاعتماد علی النقل فحسب و رأی أخیراً أن رؤیة الله فی الآخرة هی نوع من الکشف، و بذلک فقد قال ما قاله شیعة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ضوء تعالیم أئمتهم قبل ذلک بقرون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pStyle w:val="BookText"/>
        <w:rPr/>
      </w:pPr>
      <w:r>
        <w:rPr>
          <w:rFonts w:ascii="IRNazanin" w:hAnsi="IRNazanin" w:eastAsia="IRNazanin"/>
          <w:color w:val="111111"/>
          <w:sz w:val="28"/>
          <w:sz w:val="28"/>
          <w:szCs w:val="28"/>
          <w:rtl w:val="true"/>
          <w:lang w:bidi="fa-IR"/>
        </w:rPr>
        <w:t>الرؤیة، الاشعری، الرازی، الأدلة النقلیة، البراهین العقلیة، الکشف، الحس السادس</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الترجیح بلا مرجح و الاختیار</w:t>
      </w:r>
    </w:p>
    <w:p>
      <w:pPr>
        <w:pStyle w:val="BookText"/>
        <w:rPr/>
      </w:pPr>
      <w:r>
        <w:rPr>
          <w:rFonts w:ascii="IRNazanin" w:hAnsi="IRNazanin" w:eastAsia="IRNazanin"/>
          <w:color w:val="111111"/>
          <w:sz w:val="28"/>
          <w:sz w:val="28"/>
          <w:szCs w:val="28"/>
          <w:rtl w:val="true"/>
          <w:lang w:bidi="fa-IR"/>
        </w:rPr>
        <w:t>احمد حیدرپور</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المقال الحاضر یحاول بیان نظریة استحالة الترجیح بلا مرجح و ارتباطها بالاختیار بأسلوب سهل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فإننا بعد التعرف علی المفاهیم ذات الصلة، درسنا اعتماد نظریة استحالة الترجیح بلامرجّح علی لزوم العلة الغائیة فی الافعال الاختیاریة و القاعده الفلسفیة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الغائیة هی العلة الفاعلیة للفاعل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انسجامها مع الاختیار بمعنی امکان الفعل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أشرنا الی اللوازم الاخری للنظریة الفلسفیة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تعرضنا لقاعدة استحالة الترجیح بلامرجّح، هی الترابط الوثیق بینها و بین المسائل الفلسفیة الهامة نظیر معنی و مفهوم الاختیار، اقتران العلة التامة و المعلولفی فعل الفاعل المختار، حدوث و قدم العالم، معرفة صفات و افعال الله سبحانه، معرفة الانسان و ارتباط افعاله بالقضاء و القدر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الإطار حاولنا بیان النظریة الحقة من خلال الرجوع للمصادر الفلسفیة الأصیلة، و من خلال طرح بعض التساؤلات و الإجابة عنها، و بیان لوازم کل من النظریتین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pStyle w:val="BookText"/>
        <w:rPr/>
      </w:pPr>
      <w:r>
        <w:rPr>
          <w:rFonts w:ascii="IRNazanin" w:hAnsi="IRNazanin" w:eastAsia="IRNazanin"/>
          <w:color w:val="111111"/>
          <w:sz w:val="28"/>
          <w:sz w:val="28"/>
          <w:szCs w:val="28"/>
          <w:rtl w:val="true"/>
          <w:lang w:bidi="fa-IR"/>
        </w:rPr>
        <w:t>المرجح، الترجیح بلامرجح، الترجح بلامرجح، اصل العلیة، الاختیار، الارادة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تأثیر العقائد الفلسفیة علی قراءة الفخر الرازی لنظریة الکسب</w:t>
      </w:r>
    </w:p>
    <w:p>
      <w:pPr>
        <w:pStyle w:val="BookText"/>
        <w:rPr/>
      </w:pPr>
      <w:r>
        <w:rPr>
          <w:rFonts w:ascii="IRNazanin" w:hAnsi="IRNazanin" w:eastAsia="IRNazanin"/>
          <w:color w:val="111111"/>
          <w:sz w:val="28"/>
          <w:sz w:val="28"/>
          <w:szCs w:val="28"/>
          <w:rtl w:val="true"/>
          <w:lang w:bidi="fa-IR"/>
        </w:rPr>
        <w:t>عین الله خادمی</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سید حسن طالقانی</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عرضت نظریة الکسب من قبل متکلمی الاشاعرة لأجل بیان الارتباط بین الفعل الاختیاری للانسان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سبحانه و علی أساس هذه النظریة فإن الافعال الاختیاریة مخلوقة کسائر المخلوقات و دور الانسان فی أفعاله هو خصوص أنه کاسب لها و تبتنی هذه النظریة علی مبانی عدیدة تتعارض مع عدد من الأصول الفلسفیة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الرغم من أن الفخر الرازی سایر الأشاعرة فی الکثیر من مبانیهم الکلامیة حتی الاعتقاد بخلق افعال العباد و عدم استقلال الانسان فی أفعاله، إلا أنه أبدی تقریراً متفاوتاً لنظریة الکسب؛ بسبب إیمانه بالمبادئ الفلسفیة، بل إنه فی بعض الموارد لم یمتنع من قبول نظریة الکسب فحسب بل إنه عدها أحیاناً اسماً فاقداً للمسمی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pStyle w:val="BookText"/>
        <w:rPr/>
      </w:pPr>
      <w:r>
        <w:rPr>
          <w:rFonts w:ascii="IRNazanin" w:hAnsi="IRNazanin" w:eastAsia="IRNazanin"/>
          <w:color w:val="111111"/>
          <w:sz w:val="28"/>
          <w:sz w:val="28"/>
          <w:szCs w:val="28"/>
          <w:rtl w:val="true"/>
          <w:lang w:bidi="fa-IR"/>
        </w:rPr>
        <w:t>الکسب، الفخر الرازی، الفعل الاختیاری، خلق الاعمال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bookmarkStart w:id="486" w:name="pg2622_17893"/>
    </w:p>
    <w:p>
      <w:pPr>
        <w:pStyle w:val="BookText"/>
        <w:rPr/>
      </w:pPr>
      <w:bookmarkEnd w:id="486"/>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7" w:name="__RefHeading___Toc506807_1395250215"/>
      <w:bookmarkStart w:id="488" w:name="_Toc197"/>
      <w:bookmarkEnd w:id="487"/>
      <w:r>
        <w:rPr>
          <w:rtl w:val="true"/>
        </w:rPr>
        <w:t>چکیده انگلیسی مقالات</w:t>
      </w:r>
      <w:bookmarkEnd w:id="488"/>
    </w:p>
    <w:p>
      <w:pPr>
        <w:pStyle w:val="BookText"/>
        <w:rPr/>
      </w:pPr>
      <w:r>
        <w:rPr>
          <w:rFonts w:eastAsia="Times New Roman" w:cs="Times New Roman" w:ascii="Times New Roman" w:hAnsi="Times New Roman"/>
          <w:color w:val="111111"/>
          <w:sz w:val="28"/>
          <w:szCs w:val="28"/>
          <w:lang w:val="en-US" w:bidi="en-US"/>
        </w:rPr>
        <w:t>p: 1</w:t>
      </w:r>
    </w:p>
    <w:p>
      <w:pPr>
        <w:pStyle w:val="BookText"/>
        <w:rPr/>
      </w:pPr>
      <w:r>
        <w:rPr>
          <w:rFonts w:eastAsia="Times New Roman" w:cs="Times New Roman" w:ascii="Times New Roman" w:hAnsi="Times New Roman"/>
          <w:color w:val="111111"/>
          <w:sz w:val="28"/>
          <w:szCs w:val="28"/>
          <w:lang w:val="en-US" w:bidi="en-US"/>
        </w:rPr>
        <w:t>Tahqīqāt-e Kalāmi</w:t>
      </w:r>
    </w:p>
    <w:p>
      <w:pPr>
        <w:pStyle w:val="BookText"/>
        <w:rPr/>
      </w:pPr>
      <w:r>
        <w:rPr>
          <w:rFonts w:eastAsia="Times New Roman" w:cs="Times New Roman" w:ascii="Times New Roman" w:hAnsi="Times New Roman"/>
          <w:color w:val="111111"/>
          <w:sz w:val="28"/>
          <w:szCs w:val="28"/>
          <w:lang w:val="en-US" w:bidi="en-US"/>
        </w:rPr>
        <w:t>Islamic Theology Studies</w:t>
      </w:r>
    </w:p>
    <w:p>
      <w:pPr>
        <w:pStyle w:val="BookText"/>
        <w:rPr/>
      </w:pPr>
      <w:r>
        <w:rPr>
          <w:rFonts w:eastAsia="Times New Roman" w:cs="Times New Roman" w:ascii="Times New Roman" w:hAnsi="Times New Roman"/>
          <w:color w:val="111111"/>
          <w:sz w:val="28"/>
          <w:szCs w:val="28"/>
          <w:lang w:val="en-US" w:bidi="en-US"/>
        </w:rPr>
        <w:t>An Academic Quarterly</w:t>
      </w:r>
    </w:p>
    <w:p>
      <w:pPr>
        <w:pStyle w:val="BookText"/>
        <w:rPr/>
      </w:pPr>
      <w:r>
        <w:rPr>
          <w:rFonts w:eastAsia="Times New Roman" w:cs="Times New Roman" w:ascii="Times New Roman" w:hAnsi="Times New Roman"/>
          <w:color w:val="111111"/>
          <w:sz w:val="28"/>
          <w:szCs w:val="28"/>
          <w:lang w:val="en-US" w:bidi="en-US"/>
        </w:rPr>
        <w:t>Islamic Theology Association</w:t>
      </w:r>
    </w:p>
    <w:p>
      <w:pPr>
        <w:pStyle w:val="BookText"/>
        <w:rPr/>
      </w:pPr>
      <w:r>
        <w:rPr>
          <w:rFonts w:eastAsia="Times New Roman" w:cs="Times New Roman" w:ascii="Times New Roman" w:hAnsi="Times New Roman"/>
          <w:color w:val="111111"/>
          <w:sz w:val="28"/>
          <w:szCs w:val="28"/>
          <w:lang w:val="en-US" w:bidi="en-US"/>
        </w:rPr>
        <w:t>Islamic Seminary (Hawza) of Qum</w:t>
      </w:r>
    </w:p>
    <w:p>
      <w:pPr>
        <w:pStyle w:val="BookText"/>
        <w:rPr/>
      </w:pPr>
      <w:r>
        <w:rPr>
          <w:rFonts w:eastAsia="Times New Roman" w:cs="Times New Roman" w:ascii="Times New Roman" w:hAnsi="Times New Roman"/>
          <w:color w:val="111111"/>
          <w:sz w:val="28"/>
          <w:szCs w:val="28"/>
          <w:lang w:val="en-US" w:bidi="en-US"/>
        </w:rPr>
        <w:t>Vol.1, No.1, Summer 2013</w:t>
      </w:r>
    </w:p>
    <w:p>
      <w:pPr>
        <w:pStyle w:val="BookText"/>
        <w:rPr/>
      </w:pPr>
      <w:r>
        <w:rPr>
          <w:rFonts w:eastAsia="Times New Roman" w:cs="Times New Roman" w:ascii="Times New Roman" w:hAnsi="Times New Roman"/>
          <w:color w:val="111111"/>
          <w:sz w:val="28"/>
          <w:szCs w:val="28"/>
          <w:lang w:val="en-US" w:bidi="en-US"/>
        </w:rPr>
        <w:t>Proprietor: Islamic Theology Association, Qum Seminary (Hawza)</w:t>
      </w:r>
    </w:p>
    <w:p>
      <w:pPr>
        <w:pStyle w:val="BookText"/>
        <w:rPr/>
      </w:pPr>
      <w:r>
        <w:rPr>
          <w:rFonts w:eastAsia="Times New Roman" w:cs="Times New Roman" w:ascii="Times New Roman" w:hAnsi="Times New Roman"/>
          <w:color w:val="111111"/>
          <w:sz w:val="28"/>
          <w:szCs w:val="28"/>
          <w:lang w:val="en-US" w:bidi="en-US"/>
        </w:rPr>
        <w:t>Manager: Hadi Sadeqi</w:t>
      </w:r>
    </w:p>
    <w:p>
      <w:pPr>
        <w:pStyle w:val="BookText"/>
        <w:rPr/>
      </w:pPr>
      <w:r>
        <w:rPr>
          <w:rFonts w:eastAsia="Times New Roman" w:cs="Times New Roman" w:ascii="Times New Roman" w:hAnsi="Times New Roman"/>
          <w:color w:val="111111"/>
          <w:sz w:val="28"/>
          <w:szCs w:val="28"/>
          <w:lang w:val="en-US" w:bidi="en-US"/>
        </w:rPr>
        <w:t>Editor-in-Cheif: Reza Berenjkar</w:t>
      </w:r>
    </w:p>
    <w:p>
      <w:pPr>
        <w:pStyle w:val="BookText"/>
        <w:rPr/>
      </w:pPr>
      <w:r>
        <w:rPr>
          <w:rFonts w:eastAsia="Times New Roman" w:cs="Times New Roman" w:ascii="Times New Roman" w:hAnsi="Times New Roman"/>
          <w:color w:val="111111"/>
          <w:sz w:val="28"/>
          <w:szCs w:val="28"/>
          <w:lang w:val="en-US" w:bidi="en-US"/>
        </w:rPr>
        <w:t>Editorial Manager: Mousa Eshkevari</w:t>
      </w:r>
    </w:p>
    <w:p>
      <w:pPr>
        <w:pStyle w:val="BookText"/>
        <w:rPr/>
      </w:pPr>
      <w:r>
        <w:rPr>
          <w:rFonts w:eastAsia="Times New Roman" w:cs="Times New Roman" w:ascii="Times New Roman" w:hAnsi="Times New Roman"/>
          <w:color w:val="111111"/>
          <w:sz w:val="28"/>
          <w:szCs w:val="28"/>
          <w:lang w:val="en-US" w:bidi="en-US"/>
        </w:rPr>
        <w:t>Editor: Alireza Valizadeh</w:t>
      </w:r>
    </w:p>
    <w:p>
      <w:pPr>
        <w:pStyle w:val="BookText"/>
        <w:rPr/>
      </w:pPr>
      <w:r>
        <w:rPr>
          <w:rFonts w:eastAsia="Times New Roman" w:cs="Times New Roman" w:ascii="Times New Roman" w:hAnsi="Times New Roman"/>
          <w:color w:val="111111"/>
          <w:sz w:val="28"/>
          <w:szCs w:val="28"/>
          <w:lang w:val="en-US" w:bidi="en-US"/>
        </w:rPr>
        <w:t>Graphic Designer: Mahmood Karimi</w:t>
      </w:r>
    </w:p>
    <w:p>
      <w:pPr>
        <w:pStyle w:val="BookText"/>
        <w:rPr/>
      </w:pPr>
      <w:r>
        <w:rPr>
          <w:rFonts w:eastAsia="Times New Roman" w:cs="Times New Roman" w:ascii="Times New Roman" w:hAnsi="Times New Roman"/>
          <w:color w:val="111111"/>
          <w:sz w:val="28"/>
          <w:szCs w:val="28"/>
          <w:lang w:val="en-US" w:bidi="en-US"/>
        </w:rPr>
        <w:t>Layout: Maryam Kazemiparandan</w:t>
      </w:r>
    </w:p>
    <w:p>
      <w:pPr>
        <w:pStyle w:val="BookText"/>
        <w:rPr/>
      </w:pPr>
      <w:r>
        <w:rPr>
          <w:rFonts w:eastAsia="Times New Roman" w:cs="Times New Roman" w:ascii="Times New Roman" w:hAnsi="Times New Roman"/>
          <w:color w:val="111111"/>
          <w:sz w:val="28"/>
          <w:szCs w:val="28"/>
          <w:lang w:val="en-US" w:bidi="en-US"/>
        </w:rPr>
        <w:t>ISSN: 2345-3788</w:t>
      </w:r>
    </w:p>
    <w:p>
      <w:pPr>
        <w:pStyle w:val="BookText"/>
        <w:rPr/>
      </w:pPr>
      <w:r>
        <w:rPr>
          <w:rFonts w:eastAsia="Times New Roman" w:cs="Times New Roman" w:ascii="Times New Roman" w:hAnsi="Times New Roman"/>
          <w:color w:val="111111"/>
          <w:sz w:val="28"/>
          <w:szCs w:val="28"/>
          <w:lang w:val="en-US" w:bidi="en-US"/>
        </w:rPr>
        <w:t>Address: Islamic Theology Association, Islamic Seminary (Hawza), First Left Alley, Alley No. 2, Jomhoori Eslami Boulevard, Qom, Iran</w:t>
      </w:r>
    </w:p>
    <w:p>
      <w:pPr>
        <w:pStyle w:val="BookText"/>
        <w:rPr/>
      </w:pPr>
      <w:r>
        <w:rPr>
          <w:rFonts w:eastAsia="Times New Roman" w:cs="Times New Roman" w:ascii="Times New Roman" w:hAnsi="Times New Roman"/>
          <w:color w:val="111111"/>
          <w:sz w:val="28"/>
          <w:szCs w:val="28"/>
          <w:lang w:val="en-US" w:bidi="en-US"/>
        </w:rPr>
        <w:t>PO Box: 3765 -133</w:t>
      </w:r>
    </w:p>
    <w:p>
      <w:pPr>
        <w:pStyle w:val="BookText"/>
        <w:rPr/>
      </w:pPr>
      <w:r>
        <w:rPr>
          <w:rFonts w:eastAsia="Times New Roman" w:cs="Times New Roman" w:ascii="Times New Roman" w:hAnsi="Times New Roman"/>
          <w:color w:val="111111"/>
          <w:sz w:val="28"/>
          <w:szCs w:val="28"/>
          <w:lang w:val="en-US" w:bidi="en-US"/>
        </w:rPr>
        <w:t>Telephone: 0098-25- 32928546</w:t>
      </w:r>
    </w:p>
    <w:p>
      <w:pPr>
        <w:pStyle w:val="BookText"/>
        <w:rPr/>
      </w:pPr>
      <w:r>
        <w:rPr>
          <w:rFonts w:eastAsia="Times New Roman" w:cs="Times New Roman" w:ascii="Times New Roman" w:hAnsi="Times New Roman"/>
          <w:color w:val="111111"/>
          <w:sz w:val="28"/>
          <w:szCs w:val="28"/>
          <w:lang w:val="en-US" w:bidi="en-US"/>
        </w:rPr>
        <w:t>Tsms: 30007227007705</w:t>
      </w:r>
    </w:p>
    <w:p>
      <w:pPr>
        <w:pStyle w:val="BookText"/>
        <w:rPr/>
      </w:pPr>
      <w:r>
        <w:rPr>
          <w:rFonts w:eastAsia="Times New Roman" w:cs="Times New Roman" w:ascii="Times New Roman" w:hAnsi="Times New Roman"/>
          <w:color w:val="111111"/>
          <w:sz w:val="28"/>
          <w:szCs w:val="28"/>
          <w:lang w:val="en-US" w:bidi="en-US"/>
        </w:rPr>
        <w:t>Site: www.tkalam.ir / www.ikq.ir</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Info@Tkalam.ir / Info@Ikq.ir</w:t>
      </w:r>
    </w:p>
    <w:p>
      <w:pPr>
        <w:pStyle w:val="BookText"/>
        <w:rPr/>
      </w:pPr>
      <w:r>
        <w:rPr>
          <w:rFonts w:eastAsia="Times New Roman" w:cs="Times New Roman" w:ascii="Times New Roman" w:hAnsi="Times New Roman"/>
          <w:color w:val="111111"/>
          <w:sz w:val="28"/>
          <w:szCs w:val="28"/>
          <w:lang w:val="en-US" w:bidi="en-US"/>
        </w:rPr>
        <w:t>p: 2</w:t>
      </w:r>
    </w:p>
    <w:p>
      <w:pPr>
        <w:pStyle w:val="BookText"/>
        <w:rPr/>
      </w:pPr>
      <w:r>
        <w:rPr>
          <w:rFonts w:eastAsia="Times New Roman" w:cs="Times New Roman" w:ascii="Times New Roman" w:hAnsi="Times New Roman"/>
          <w:color w:val="111111"/>
          <w:sz w:val="28"/>
          <w:szCs w:val="28"/>
          <w:lang w:val="en-US" w:bidi="en-US"/>
        </w:rPr>
        <w:t>Abstracts</w:t>
      </w:r>
    </w:p>
    <w:p>
      <w:pPr>
        <w:pStyle w:val="BookText"/>
        <w:rPr/>
      </w:pPr>
      <w:r>
        <w:rPr>
          <w:rFonts w:eastAsia="Times New Roman" w:cs="Times New Roman" w:ascii="Times New Roman" w:hAnsi="Times New Roman"/>
          <w:color w:val="111111"/>
          <w:sz w:val="28"/>
          <w:szCs w:val="28"/>
          <w:lang w:val="en-US" w:bidi="en-US"/>
        </w:rPr>
        <w:t>First Ritual Obligation</w:t>
      </w:r>
    </w:p>
    <w:p>
      <w:pPr>
        <w:pStyle w:val="BookText"/>
        <w:rPr/>
      </w:pPr>
      <w:r>
        <w:rPr>
          <w:rFonts w:eastAsia="Times New Roman" w:cs="Times New Roman" w:ascii="Times New Roman" w:hAnsi="Times New Roman"/>
          <w:color w:val="111111"/>
          <w:sz w:val="28"/>
          <w:szCs w:val="28"/>
          <w:lang w:val="en-US" w:bidi="en-US"/>
        </w:rPr>
        <w:t>Reza Berenjkar</w:t>
      </w:r>
    </w:p>
    <w:p>
      <w:pPr>
        <w:pStyle w:val="BookText"/>
        <w:rPr/>
      </w:pPr>
      <w:r>
        <w:rPr>
          <w:rFonts w:eastAsia="Times New Roman" w:cs="Times New Roman" w:ascii="Times New Roman" w:hAnsi="Times New Roman"/>
          <w:color w:val="111111"/>
          <w:sz w:val="28"/>
          <w:szCs w:val="28"/>
          <w:lang w:val="en-US" w:bidi="en-US"/>
        </w:rPr>
        <w:t>Mahdi Nosratian Ahvar</w:t>
      </w:r>
    </w:p>
    <w:p>
      <w:pPr>
        <w:pStyle w:val="BookText"/>
        <w:rPr/>
      </w:pPr>
      <w:r>
        <w:rPr>
          <w:rFonts w:eastAsia="Times New Roman" w:cs="Times New Roman" w:ascii="Times New Roman" w:hAnsi="Times New Roman"/>
          <w:color w:val="111111"/>
          <w:sz w:val="28"/>
          <w:szCs w:val="28"/>
          <w:lang w:val="en-US" w:bidi="en-US"/>
        </w:rPr>
        <w:t>Determination of the first ritual obligation is one of the most challenging issues in Islamic Theology. Doubt, intention, will, opinion, reason, and knowledge of God are the most important theories in this discussion. If the first ritual obligation is meant to be the main obligation then the knowledge of God should be regarded as its example and if the first includes all then intention and will is the first ritual obligation. However, if we believe in the innate knowledge of God then faith and belief in God will be the first</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 Words: Argument, Opinion, Rational Knowledge, Insight, Piety, Ritual Obligation, Knowledge of God, Constitutional Doubt, Intention, Will</w:t>
      </w:r>
    </w:p>
    <w:p>
      <w:pPr>
        <w:pStyle w:val="BookText"/>
        <w:rPr/>
      </w:pPr>
      <w:r>
        <w:rPr>
          <w:rFonts w:eastAsia="Times New Roman" w:cs="Times New Roman" w:ascii="Times New Roman" w:hAnsi="Times New Roman"/>
          <w:color w:val="111111"/>
          <w:sz w:val="28"/>
          <w:szCs w:val="28"/>
          <w:lang w:val="en-US" w:bidi="en-US"/>
        </w:rPr>
        <w:t>p: 3</w:t>
      </w:r>
    </w:p>
    <w:p>
      <w:pPr>
        <w:pStyle w:val="BookText"/>
        <w:rPr/>
      </w:pPr>
      <w:r>
        <w:rPr>
          <w:rFonts w:eastAsia="Times New Roman" w:cs="Times New Roman" w:ascii="Times New Roman" w:hAnsi="Times New Roman"/>
          <w:color w:val="111111"/>
          <w:sz w:val="28"/>
          <w:szCs w:val="28"/>
          <w:lang w:val="en-US" w:bidi="en-US"/>
        </w:rPr>
        <w:t>Aban bn Taghlib: A Theologian of Twelver Hadith Scholars</w:t>
      </w:r>
    </w:p>
    <w:p>
      <w:pPr>
        <w:pStyle w:val="BookText"/>
        <w:rPr/>
      </w:pPr>
      <w:r>
        <w:rPr>
          <w:rFonts w:eastAsia="Times New Roman" w:cs="Times New Roman" w:ascii="Times New Roman" w:hAnsi="Times New Roman"/>
          <w:color w:val="111111"/>
          <w:sz w:val="28"/>
          <w:szCs w:val="28"/>
          <w:lang w:val="en-US" w:bidi="en-US"/>
        </w:rPr>
        <w:t>Mohammad Javedan</w:t>
      </w:r>
    </w:p>
    <w:p>
      <w:pPr>
        <w:pStyle w:val="BookText"/>
        <w:rPr/>
      </w:pPr>
      <w:r>
        <w:rPr>
          <w:rFonts w:eastAsia="Times New Roman" w:cs="Times New Roman" w:ascii="Times New Roman" w:hAnsi="Times New Roman"/>
          <w:color w:val="111111"/>
          <w:sz w:val="28"/>
          <w:szCs w:val="28"/>
          <w:lang w:val="en-US" w:bidi="en-US"/>
        </w:rPr>
        <w:t>Hossein Mansoori Rad</w:t>
      </w:r>
    </w:p>
    <w:p>
      <w:pPr>
        <w:pStyle w:val="BookText"/>
        <w:rPr/>
      </w:pPr>
      <w:r>
        <w:rPr>
          <w:rFonts w:eastAsia="Times New Roman" w:cs="Times New Roman" w:ascii="Times New Roman" w:hAnsi="Times New Roman"/>
          <w:color w:val="111111"/>
          <w:sz w:val="28"/>
          <w:szCs w:val="28"/>
          <w:lang w:val="en-US" w:bidi="en-US"/>
        </w:rPr>
        <w:t>Aban bn Taghlib is one of the prominent companions of Imam Baqir and Imam Sadiq praised in the Shia and Sunni sources. Historical data show that he, more than anyone else, paid attention to Islamic jurisprudence. However, the present paper, with analytical approach, attempts to show that he, in addition to fiqh (Islamic jurisprudence), was an expert in Islamic theology and very well at it. The authors of the present paper try to present Taghlib’s theological concerns through his reliance on the revelation while explaining Shia’s intellectual principles in detail, defending its teachings, and its ability to respond to questions raised by Shia and others, correct approach to dubious (religious) questions, using large volumes of religious narratives</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 Words: Aban ibn Taghlib, Kufa School, Theological Currents, Hadith Scholar, Theologian</w:t>
      </w:r>
    </w:p>
    <w:p>
      <w:pPr>
        <w:pStyle w:val="BookText"/>
        <w:rPr/>
      </w:pPr>
      <w:r>
        <w:rPr>
          <w:rFonts w:eastAsia="Times New Roman" w:cs="Times New Roman" w:ascii="Times New Roman" w:hAnsi="Times New Roman"/>
          <w:color w:val="111111"/>
          <w:sz w:val="28"/>
          <w:szCs w:val="28"/>
          <w:lang w:val="en-US" w:bidi="en-US"/>
        </w:rPr>
        <w:t>p: 4</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Semantic Scope of Divine Wisdom in Twelver Theology</w:t>
      </w:r>
    </w:p>
    <w:p>
      <w:pPr>
        <w:pStyle w:val="BookText"/>
        <w:rPr/>
      </w:pPr>
      <w:r>
        <w:rPr>
          <w:rFonts w:eastAsia="Times New Roman" w:cs="Times New Roman" w:ascii="Times New Roman" w:hAnsi="Times New Roman"/>
          <w:color w:val="111111"/>
          <w:sz w:val="28"/>
          <w:szCs w:val="28"/>
          <w:lang w:val="en-US" w:bidi="en-US"/>
        </w:rPr>
        <w:t>Sayyid Mahmud Musavi</w:t>
      </w:r>
    </w:p>
    <w:p>
      <w:pPr>
        <w:pStyle w:val="BookText"/>
        <w:rPr/>
      </w:pPr>
      <w:r>
        <w:rPr>
          <w:rFonts w:eastAsia="Times New Roman" w:cs="Times New Roman" w:ascii="Times New Roman" w:hAnsi="Times New Roman"/>
          <w:color w:val="111111"/>
          <w:sz w:val="28"/>
          <w:szCs w:val="28"/>
          <w:lang w:val="en-US" w:bidi="en-US"/>
        </w:rPr>
        <w:t>Mohammad Ranjbar Hosseini</w:t>
      </w:r>
    </w:p>
    <w:p>
      <w:pPr>
        <w:pStyle w:val="BookText"/>
        <w:rPr/>
      </w:pPr>
      <w:r>
        <w:rPr>
          <w:rFonts w:eastAsia="Times New Roman" w:cs="Times New Roman" w:ascii="Times New Roman" w:hAnsi="Times New Roman"/>
          <w:color w:val="111111"/>
          <w:sz w:val="28"/>
          <w:szCs w:val="28"/>
          <w:lang w:val="en-US" w:bidi="en-US"/>
        </w:rPr>
        <w:t>One of the intellectual foundations of Twelver theologians, addressing important theological issues, is Divine Wisdom and that God is Wise. It traces back to topics such as the rule of rational badness and goodness, the rule of grace, the need for sending prophets and appointing the Imam, purposefulness of God’s acts, suffering, equity and other theological issues. Imami theologians sometimes consider God’s Wisdom as “His refrain from any bad action, and disturbing the obligatory”. This is the most important semantic layer of Divine Wisdom which is identical with the concept of Divine Justice. In this paper, the authors try to have a functional approach to the concept analysis of Divine Wisdom in Twelver theological thought. They have partly pointed to the reasons for considering them as identical concept. Based on the perception any kind of bad act, such as being unjust, being vain, false, and defeating the purpose, etc. is denied of the Wise God. In the light of the root of the words, Imami theologians sometimes mean Divine Action and Firm Creation and sometimes the best and true knowledge of all things. Analysis of Imami theological thought indicates that the Divine Wisdom, in terms of its meanings, can be of essence or acts attributes</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 Words: Twelver, Theologians, Wisdom, Wise, Justice</w:t>
      </w:r>
    </w:p>
    <w:p>
      <w:pPr>
        <w:pStyle w:val="BookText"/>
        <w:rPr/>
      </w:pPr>
      <w:r>
        <w:rPr>
          <w:rFonts w:eastAsia="Times New Roman" w:cs="Times New Roman" w:ascii="Times New Roman" w:hAnsi="Times New Roman"/>
          <w:color w:val="111111"/>
          <w:sz w:val="28"/>
          <w:szCs w:val="28"/>
          <w:lang w:val="en-US" w:bidi="en-US"/>
        </w:rPr>
        <w:t>p: 5</w:t>
      </w:r>
    </w:p>
    <w:p>
      <w:pPr>
        <w:pStyle w:val="BookText"/>
        <w:rPr/>
      </w:pPr>
      <w:r>
        <w:rPr>
          <w:rFonts w:eastAsia="Times New Roman" w:cs="Times New Roman" w:ascii="Times New Roman" w:hAnsi="Times New Roman"/>
          <w:color w:val="111111"/>
          <w:sz w:val="28"/>
          <w:szCs w:val="28"/>
          <w:lang w:val="en-US" w:bidi="en-US"/>
        </w:rPr>
        <w:t>Twelver Studies in Sunni Sources on Sects</w:t>
      </w:r>
    </w:p>
    <w:p>
      <w:pPr>
        <w:pStyle w:val="BookText"/>
        <w:rPr/>
      </w:pPr>
      <w:r>
        <w:rPr>
          <w:rFonts w:eastAsia="Times New Roman" w:cs="Times New Roman" w:ascii="Times New Roman" w:hAnsi="Times New Roman"/>
          <w:color w:val="111111"/>
          <w:sz w:val="28"/>
          <w:szCs w:val="28"/>
          <w:lang w:val="en-US" w:bidi="en-US"/>
        </w:rPr>
        <w:t>Mohammad Taqi Sobhani</w:t>
      </w:r>
    </w:p>
    <w:p>
      <w:pPr>
        <w:pStyle w:val="BookText"/>
        <w:rPr/>
      </w:pPr>
      <w:r>
        <w:rPr>
          <w:rFonts w:eastAsia="Times New Roman" w:cs="Times New Roman" w:ascii="Times New Roman" w:hAnsi="Times New Roman"/>
          <w:color w:val="111111"/>
          <w:sz w:val="28"/>
          <w:szCs w:val="28"/>
          <w:lang w:val="en-US" w:bidi="en-US"/>
        </w:rPr>
        <w:t>Akbar Aqvam Karbasi</w:t>
      </w:r>
    </w:p>
    <w:p>
      <w:pPr>
        <w:pStyle w:val="BookText"/>
        <w:rPr/>
      </w:pPr>
      <w:r>
        <w:rPr>
          <w:rFonts w:eastAsia="Times New Roman" w:cs="Times New Roman" w:ascii="Times New Roman" w:hAnsi="Times New Roman"/>
          <w:color w:val="111111"/>
          <w:sz w:val="28"/>
          <w:szCs w:val="28"/>
          <w:lang w:val="en-US" w:bidi="en-US"/>
        </w:rPr>
        <w:t>Al-Tabsir fi al-Din, a work in the field of sect studies, has been written by Abu al-Muzaffar Esfarayeni in the fifth century. This book is of the reference works utilized by researchers in the field of Shia studies. He has written the book based on tradition of Iftiraq and considered 20 sects of 73 as Shia. The establishment of Imami Shia, described in this book with titles such as the Rafidi, Imami, Qatiyyah, Ithna Ashariyyah, has been attributed to Ibn Saba the Jew. The main difference in Esfarayeni’s thought of Imami sect is the difference in the question of leadership (Imamat). Since the group has no belief in the Qur'an and hadith, one face with many theological problems in Esfarayeni’s illustration of Imami sect such as distortion of the Quran, comparison (tashbih), making Allah into a Body (tajsim), determination (jabr), etc. The infallible Imams have a special position in Al-Tabsir fi al-Din But not only there is no relation between Rafidies and Infallible Imams but basically negates it. Overall, not as a sect writer but as a fanatic Ash'ari who tries to present a good picture of his thought and belief, and in contrast, flaws and all evil are attributed to others, especially Rafidies</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 Words: Esfarayeni, Al-Tabsir fi al-Din, Imamiyya (Twelver), Rafidies, Shia Studies, Imami Scholarship</w:t>
      </w:r>
    </w:p>
    <w:p>
      <w:pPr>
        <w:pStyle w:val="BookText"/>
        <w:rPr/>
      </w:pPr>
      <w:r>
        <w:rPr>
          <w:rFonts w:eastAsia="Times New Roman" w:cs="Times New Roman" w:ascii="Times New Roman" w:hAnsi="Times New Roman"/>
          <w:color w:val="111111"/>
          <w:sz w:val="28"/>
          <w:szCs w:val="28"/>
          <w:lang w:val="en-US" w:bidi="en-US"/>
        </w:rPr>
        <w:t>p: 5</w:t>
      </w:r>
    </w:p>
    <w:p>
      <w:pPr>
        <w:pStyle w:val="BookText"/>
        <w:rPr/>
      </w:pPr>
      <w:r>
        <w:rPr>
          <w:rFonts w:eastAsia="Times New Roman" w:cs="Times New Roman" w:ascii="Times New Roman" w:hAnsi="Times New Roman"/>
          <w:color w:val="111111"/>
          <w:sz w:val="28"/>
          <w:szCs w:val="28"/>
          <w:lang w:val="en-US" w:bidi="en-US"/>
        </w:rPr>
        <w:t>Development of Ash'ari Theory about Seeing God From Ash'ari to Fakhr Razi</w:t>
      </w:r>
    </w:p>
    <w:p>
      <w:pPr>
        <w:pStyle w:val="BookText"/>
        <w:rPr/>
      </w:pPr>
      <w:r>
        <w:rPr>
          <w:rFonts w:eastAsia="Times New Roman" w:cs="Times New Roman" w:ascii="Times New Roman" w:hAnsi="Times New Roman"/>
          <w:color w:val="111111"/>
          <w:sz w:val="28"/>
          <w:szCs w:val="28"/>
          <w:lang w:val="en-US" w:bidi="en-US"/>
        </w:rPr>
        <w:t>Mohammad Javad Najafi</w:t>
      </w:r>
    </w:p>
    <w:p>
      <w:pPr>
        <w:pStyle w:val="BookText"/>
        <w:rPr/>
      </w:pPr>
      <w:r>
        <w:rPr>
          <w:rFonts w:eastAsia="Times New Roman" w:cs="Times New Roman" w:ascii="Times New Roman" w:hAnsi="Times New Roman"/>
          <w:color w:val="111111"/>
          <w:sz w:val="28"/>
          <w:szCs w:val="28"/>
          <w:lang w:val="en-US" w:bidi="en-US"/>
        </w:rPr>
        <w:t>Narges Beheshti</w:t>
      </w:r>
    </w:p>
    <w:p>
      <w:pPr>
        <w:pStyle w:val="BookText"/>
        <w:rPr/>
      </w:pPr>
      <w:r>
        <w:rPr>
          <w:rFonts w:eastAsia="Times New Roman" w:cs="Times New Roman" w:ascii="Times New Roman" w:hAnsi="Times New Roman"/>
          <w:color w:val="111111"/>
          <w:sz w:val="28"/>
          <w:szCs w:val="28"/>
          <w:lang w:val="en-US" w:bidi="en-US"/>
        </w:rPr>
        <w:t>Discussion of the seeing God and its quality is one of the important theological debates among Islamic sects, including the al-Ash'ari. Early Ash'aris, according to transmitted reasons, believe that God is visible and the believers, in the hereafter, can see God with their eyes. This theory faced with changes in historical trends; so that in some periods intellectual arguments and in some others spiritual approaches were reinforced among them. Fakhr Razi is of the Ash'ari scholars who spoke about this theory. However his theory, due to his mental condition and history, is different from that of Ash'arites. After reviewing the various opinions, he believed that seeing God is not provable through rational reasons and cannot be achieved except by transmission and auscultation. He finally considered seeing God in the hereafter as a kind of intuition and accepted the view those centuries ago was achieved by Imamia in light of the teachings of Ahl al-Bayt</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 Words: Seeing God, Ash'ari, Razi, Transmitted Reasons, Rational Arguments, Discovery, the Sixth Sense</w:t>
      </w:r>
    </w:p>
    <w:p>
      <w:pPr>
        <w:pStyle w:val="BookText"/>
        <w:rPr/>
      </w:pPr>
      <w:r>
        <w:rPr>
          <w:rFonts w:eastAsia="Times New Roman" w:cs="Times New Roman" w:ascii="Times New Roman" w:hAnsi="Times New Roman"/>
          <w:color w:val="111111"/>
          <w:sz w:val="28"/>
          <w:szCs w:val="28"/>
          <w:lang w:val="en-US" w:bidi="en-US"/>
        </w:rPr>
        <w:t>p: 6</w:t>
      </w:r>
    </w:p>
    <w:p>
      <w:pPr>
        <w:pStyle w:val="BookText"/>
        <w:rPr/>
      </w:pPr>
      <w:r>
        <w:rPr>
          <w:rFonts w:eastAsia="Times New Roman" w:cs="Times New Roman" w:ascii="Times New Roman" w:hAnsi="Times New Roman"/>
          <w:color w:val="111111"/>
          <w:sz w:val="28"/>
          <w:szCs w:val="28"/>
          <w:lang w:val="en-US" w:bidi="en-US"/>
        </w:rPr>
        <w:t>Free Will and Preference without Any Cause</w:t>
      </w:r>
    </w:p>
    <w:p>
      <w:pPr>
        <w:pStyle w:val="BookText"/>
        <w:rPr/>
      </w:pPr>
      <w:r>
        <w:rPr>
          <w:rFonts w:eastAsia="Times New Roman" w:cs="Times New Roman" w:ascii="Times New Roman" w:hAnsi="Times New Roman"/>
          <w:color w:val="111111"/>
          <w:sz w:val="28"/>
          <w:szCs w:val="28"/>
          <w:lang w:val="en-US" w:bidi="en-US"/>
        </w:rPr>
        <w:t>Ahmad Heidar pur</w:t>
      </w:r>
    </w:p>
    <w:p>
      <w:pPr>
        <w:pStyle w:val="BookText"/>
        <w:rPr/>
      </w:pPr>
      <w:r>
        <w:rPr>
          <w:rFonts w:eastAsia="Times New Roman" w:cs="Times New Roman" w:ascii="Times New Roman" w:hAnsi="Times New Roman"/>
          <w:color w:val="111111"/>
          <w:sz w:val="28"/>
          <w:szCs w:val="28"/>
          <w:lang w:val="en-US" w:bidi="en-US"/>
        </w:rPr>
        <w:t>In this article, the author tries to give a description of the theory of transformation of Preference without Any Cause, and its relation with Free Will in a simple but scientific and documented way. Thus, after the concept analysis of the subject, he discusses the following themes: the reliance of the theory of Transformation of Preference without Any Cause on the necessity of ultimate cause in voluntary actions, Philosophical Principle of “Final Cause Is the Agency of the Subject”, and its incompatibility with free will i.e. possibility of acting and abandoning. Then he points to the other devices of this philosophical theory. He addresses the rule of transformation of Preference without Any Cause due to these reasons: its deep relation with other important philosophical issues such as the meaning and concept of free will, associating cause and effect with action of free subject, the creation of the universe, knowledge of the Attributes and Acts of God, knowledge of man and his/her relationship with divine destiny. In this regard, referring to the original sources, philosophical questions and answers, and devices used by each of them, he has tried to demonstrate the theological standpoint as a true one</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 Words: the Preferred, Preference without Any Cause, the Principle of Causality, Free Will, Will, Choice</w:t>
      </w:r>
    </w:p>
    <w:p>
      <w:pPr>
        <w:pStyle w:val="BookText"/>
        <w:rPr/>
      </w:pPr>
      <w:r>
        <w:rPr>
          <w:rFonts w:eastAsia="Times New Roman" w:cs="Times New Roman" w:ascii="Times New Roman" w:hAnsi="Times New Roman"/>
          <w:color w:val="111111"/>
          <w:sz w:val="28"/>
          <w:szCs w:val="28"/>
          <w:lang w:val="en-US" w:bidi="en-US"/>
        </w:rPr>
        <w:t>p: 7</w:t>
      </w:r>
    </w:p>
    <w:p>
      <w:pPr>
        <w:pStyle w:val="BookText"/>
        <w:rPr/>
      </w:pPr>
      <w:r>
        <w:rPr>
          <w:rFonts w:eastAsia="Times New Roman" w:cs="Times New Roman" w:ascii="Times New Roman" w:hAnsi="Times New Roman"/>
          <w:color w:val="111111"/>
          <w:sz w:val="28"/>
          <w:szCs w:val="28"/>
          <w:lang w:val="en-US" w:bidi="en-US"/>
        </w:rPr>
        <w:t>Effect of Philosophical Thoughts on Fakhr Razi’s View of Kasb (Acquisition) Theory</w:t>
      </w:r>
    </w:p>
    <w:p>
      <w:pPr>
        <w:pStyle w:val="BookText"/>
        <w:rPr/>
      </w:pPr>
      <w:r>
        <w:rPr>
          <w:rFonts w:eastAsia="Times New Roman" w:cs="Times New Roman" w:ascii="Times New Roman" w:hAnsi="Times New Roman"/>
          <w:color w:val="111111"/>
          <w:sz w:val="28"/>
          <w:szCs w:val="28"/>
          <w:lang w:val="en-US" w:bidi="en-US"/>
        </w:rPr>
        <w:t>Ainollah Khademi</w:t>
      </w:r>
    </w:p>
    <w:p>
      <w:pPr>
        <w:pStyle w:val="BookText"/>
        <w:rPr/>
      </w:pPr>
      <w:r>
        <w:rPr>
          <w:rFonts w:eastAsia="Times New Roman" w:cs="Times New Roman" w:ascii="Times New Roman" w:hAnsi="Times New Roman"/>
          <w:color w:val="111111"/>
          <w:sz w:val="28"/>
          <w:szCs w:val="28"/>
          <w:lang w:val="en-US" w:bidi="en-US"/>
        </w:rPr>
        <w:t>Sayyid Hasan Taleqani</w:t>
      </w:r>
    </w:p>
    <w:p>
      <w:pPr>
        <w:pStyle w:val="BookText"/>
        <w:rPr/>
      </w:pPr>
      <w:r>
        <w:rPr>
          <w:rFonts w:eastAsia="Times New Roman" w:cs="Times New Roman" w:ascii="Times New Roman" w:hAnsi="Times New Roman"/>
          <w:color w:val="111111"/>
          <w:sz w:val="28"/>
          <w:szCs w:val="28"/>
          <w:lang w:val="en-US" w:bidi="en-US"/>
        </w:rPr>
        <w:t>Theory of Kasb (Acquisition) presented by Ash'ari theologians to explain the relationship between voluntary action of man (subject), and God. According to this theory, voluntary action, like other creatures have been created by the Will and Power of God and man's role in his actions is defined only as a kasib. This theory is based on several principles that are in conflict with some philosophical principles. In spite of accepting many theological foundations of Ash'arites even belief in acts of worship as created beings and lack of free will in man’s acts, Fakhr Razi has presented a different view of the theory of kasb, due to his acceptance of the philosophical teachings. In some cases he not only refused to accept the theory of kasb but also introduced the theory as a nominal one and value-free</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 Words: Acquisition, Fakhr Razi, Voluntary Action, Doing Actions</w:t>
      </w:r>
    </w:p>
    <w:p>
      <w:pPr>
        <w:pStyle w:val="BookText"/>
        <w:rPr/>
      </w:pPr>
      <w:r>
        <w:rPr>
          <w:rFonts w:eastAsia="Times New Roman" w:cs="Times New Roman" w:ascii="Times New Roman" w:hAnsi="Times New Roman"/>
          <w:color w:val="111111"/>
          <w:sz w:val="28"/>
          <w:szCs w:val="28"/>
          <w:lang w:val="en-US" w:bidi="en-US"/>
        </w:rPr>
        <w:t>p: 8</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تحقیق با حمایت دانشگاه تهران و پژوهشگاه قرآن و حدیث انجام شده است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دانشگاه تهران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معارف دانشگاه قران وحدیث و پژوهشگر قرآن و حدیث</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 علی هذا أن یکون القصد إلی النظر و اختیاره أول الواجبات فإن النظر لایحصل إلا به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کذلک لأن النظر مجرد الفعل، و مجرد الفعل لا یحتاج إلی القصد و الإرادة، و حیث یقع مع القصد فالقصد یقع تبعا له، و صار الحال فیه کالحال فی إرادة الأکل مع الأکل، فکما أن الأکل لا یحتاج إلی الإرادة و حیث تقع معه إنما تقع تبعا للأکل، و المقصود هو الأکل، کذلک هاهنا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برنجکار، رضا، 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 اراده در مبادی عمل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یار دانشگاه باقر العلوم علیه السلام</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هیات علمی دانشگاه قرآن و حدیث</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تحقیق با حمایت پژوهشگاه قرآن وحدیث انجام شده است</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هیات علمی دانشگاه ادیان ومذاهب</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پژوهشگاه قرآن وحدیث</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اس با اختصاص دادن مدخلی کوتاه در مورد ابان، وی را در کنار ابوحمزه ثمالی، حمران بن اعین و محمدبن مسلم از شمار افرادی قرار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 که در شکل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گیری کلام اسلامی نقش آفرینی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کنند و در مقابل قائلین به نور بودن و حرکت داشتن خدا، بایستد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 اس،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اکبر ضیائی در مدخلی با همین رویکرد در دائرةالمعارف بزرگ اسلامی اطلاعات خوبی درباره او به دست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همسو با این نوشتار واقعیاتی از زمان ابان را این‌گونه ابراز می‌دارهد که ابوسعید در عصری می‌زیسته که مسلمانان در اثر آشنایی با افکار و معارف ملل دیگر با جدال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های فکری و اعتقادی بسیاری روبرو بودند و ابان نیز با الهام از آموزش های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دفاع از تشیع و تبلیغ آموزه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های شیعه اهتمام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موسوی بجنوردی،</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حامد خانی در مقاله‌ای با عنوان مشیخه ابان در طبقه صحابه و تابعین، توانسته بر پایه شواهد مستخرج از مشیخه، سال شماری از زندگی فردی، اساتید و طبقه وی را ارائه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 کوفه در سال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ق در حدود سه سال پس از خلافت عمربن الخطاب در مدینه، تاسیس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طبری،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مراجعه به ترجمه‌های برخی شاگردان امام 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هشام بن حکم، هشام‌بن‌سالم، ابان‌بن‌تغلب، جابر‌بن‌یزید، مومن الطاق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رجال شیعه این مهم تصدیق می‌شود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متکلمان با استفاده از سلسله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های تاریخ کلام استاد محمدتقی سبحانی بوده که توسط پژوهشکده کلام 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نظارت ایشان در حال آماده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سازی برای چاپ می‌باشد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منابع اهل سنت با کنیه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اندکی نیز به صورت نقل ضعیف کنیه ابوامیه یا ابوامیمه را در ترجمه ابان آورده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صفدی،</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های ذهبی مانند سیر اعلام النبلاء،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تغلب نام پدر ابان است که تاریخ اطلاعاتی از زندگی وی را ضبط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تلفظ تَغلب با فتحه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سکون غین و کسره لام 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عسقلانی، بی تا،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نجاشی نام جد ابان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نگاشته که این لفظ در برخی منابع متأخر به اشتباه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نویسان ابان را از موالی قبیله بنی جریر دانسته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 که قبیله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ساکن در کوفه بوده و شاخه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از قبیله بزرگ بکر بن وائل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مطالعه چگونگی ترکیب قبایل عرب به کتاب تشیع در مسیر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سیدحسین جعفری مراجعه شود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شامل روایاتی بوده که ابان در فضیلت امیرالمومنین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زهرا</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دیگر امامان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شنیده بود؛</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از اسمش پیداست ظاهرا توصیفی از واقعه صفین بوده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کتاب ظاهرا قواعدی در مورد روایات در حوزه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های مختلف است، گرچه فان اس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منحصر در فقه شیعه دانست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اس،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اثر اولین نگاشته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است که با استناد به شواهدی از اشعار عرب الفاظ غریب قرآن تفسیر شده است، لذا همان گونه که دیگران نیز اعتراف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 ابان را بایستی نخستین مؤلف در این علم خصوص دانست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امین،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ابان یکی از قراء مشهور بوده که به وجوه قرائت مسلط بوده و خود سبکی خاص داشته و شاگردانی مثل محمد بن موسی بن ابی مریم داشته که در مورد استادش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قاری قرآنی بهتر از ابا ندیدم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ندیم نام دیگر این کتاب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الندیم،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ادامه بحث مناظره و بسیاری از تلاش‌های کلامی او مستند خواهد 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تعداد روایت با حذف موارد تکراری در منابع روایی فریقین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وَیلٌ لِلْمُشْرِکِینَ الَّذِینَ لا یؤْتُونَ الزَّکاةَ وَ هُمْ بِالْآخِرَةِ هُمْ کافِرُون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زیدیه، کیسانیه، خوارج، اهل حدیث و معتزله از بارزترین فرقه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های فعال کوفه در قرن دوم هجری بودند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ابْتَلی إِبْراهِیمَ رَبُّهُ بِکَلِماتٍ فَأَتَمَّهُنَّ قالَ إِنِّی جاعِلُکَ لِلنَّاسِ إِماماً قالَ وَ مِنْ ذُرِّیتِی قالَ لا ینالُ عَهْدِی الظَّالِمِینَ؛ و چون پروردگار ابراهیم، وی را با صحنه‌هایی بیازمود و او به حد کامل آن امتحانات را انجام داد، به وی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 را امام خواهم کرد ابراهیم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ذریه‌ام نیز کسانی را بامامت برسان،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من به ستمگران نمی‌رسد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محمد بن علی</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عن قول النبی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سعید تسأل عن مثل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أعلمهم أنه یقوم فیهم مقامه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حر عاملی،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ان الصادق</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اهل المدینه فانی احب ان یکون مثلک من رواتی و رجالی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ابن تغلب، قال، قال لی أبوعبداللّه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جالس أهل المدینه فانی أحب أن یری فی شیعتنا مثلک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کشی،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تعبیرات در دوره نظریه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پردازی مدرسه کوفه در مورد مناظره بکار می‌رفته است که این مطلب از سلسله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های تاریخ کلام استاد محمدتقی سبحانی بوده و آقای رضایی بخشی از آن را مستند سازی کرده و در 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کلامی شیعه در مرحله تاسیس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نگارش در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رضایی،</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که ذیل بحث 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و پاسخ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های کلامی آوردیم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عامربن واثله، عطیه بن سعد بن جناده و عمروبن ابی مقدام برخی از کسانی هستند که به دلیل اعتقاد به برتری امیرالمومنین بر دیگر صحابه غالی نامیده شده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شفیعی،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او را زائغ و متجاهر توصیف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عدی او را غلو کننده در تشیع خود دانسته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تشیع و غلو در آن، در نگاه منابع اهل سنت پیشین با نگاه امروزی متفاوت است چنانچه ابن حجر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 نگاشته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تشیع عبارت است از محبت و دوستی علی، و مقدم دانستن وی بر سایر 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از ابوبکر 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اگر کسی علی را بر ابوبکر و عمر مقدم بدارد، در تشیع خود، غالی است و عنوان رافضی بر او اطلاق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 و در غیر این صورت،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اگر چنین فردی سب و شتم صحابه را نیز بیفزاید، یا به کینه خود نسبت به آنان تصریح کند، غالی است و اگر به رجعت نیز معتقد باشد، غلو خود را از حد گذرانده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عسقلانی،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هایی از این روایات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کثرت روایات اعتقادی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نوشتار آمده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با شنیدن خبر فوت ابان در روایتی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رحمتش کند والله مرگ ابان دلم را به درد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بابویه،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روایت از منزلت ویژه ابان نزد امام تا پایان عمرش حکایت دارد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فرقه هشامیه از پیروان هشام بن حکم که قول تجسیم در مورد خداوند به این فرقه مربوط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اشعری،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ق، زیرمجموعه فرقه 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علیرضا اسعدی در کتاب خود به نام هشام بن حکم تمام مناظرات او را در آخرکتاب جمع‌آوری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یار پژوهشگاه علوم وفرهنگ اسلامی</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مذاهب کلامی و پژوهشگر پژوهشگاه قرآن و حدیث</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افتقرت الیهود احدی و سبعین فرقه وافتقرت النصاری اثنین وسبعین فرقه وافترق امتی ثلاثاً و سبعین فرقه کلهم فی النار الا واحدة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این اقدام به ملاک او در افتراف فرقه‌ها باز می‌گردد که در ادامه از آن بحث خواهیم کرد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حنبل، احمد،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طبرانی،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12997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درنا پرنده‌ای است بزرگ، با گردن دراز، دم نسبتاً کوتاه، 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های دراز و منقاری بلند و کلفت، و ظاهری شبیه لک لک که پاهایی نحیف و لاغر دارد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اهل سنت و التبصیر، از ایشان با عنوان شیطان الطاق یاد می‌کنند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اسفراینی اهل اهواء را به این صورت هم تعریف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یفارقونهم فی الحقیقة عن الایمان و ان کانوا یلبسونهم فی ظاهر الحال ـ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یار دانشگاه قم</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دکترای علوم قرآن وحدیث دانشگاه قم</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نظریه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کلامی فخررازی و علامه طباطبایی درباره رؤیت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دکترسیدرضا مؤدب؛ پایان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کارشناسی ارشد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تطبیقی دیدگاه فخررازی، خواجه نصیرالدین طوسی و ابن تیمیه در مسأله رؤیت خداوند متعال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فخر رازی نوشته اصغر دادبه، ایمان گرایی خرد پیشه در اندیشه فخررازی، تألیف محمدحسین مهدوی نژاد؛ فخرالدین رازی تالیف محمدصالح الزرکان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جَاءَ مُوسیَ لِمِیقَاتِنَا وَ کلََّمَهُ رَبُّهُ قَالَ رَبّ‌ِ أَرِنیِ أَنظُرْ إِلَیکَ قَالَ لَن تَرَئنیِ وَ لَاکِنِ انظُرْ إِلیَ الْجَبَلِ فَإِنِ اسْتَقَرَّ مَکَانَهُ فَسَوْفَ تَرَئنیِ فَلَمَّا تجََلیَ رَبُّهُ لِلْجَبَلِ جَعَلَهُ دَکًّا وَ خَرَّ مُوسیَ صَعِقًا فَلَمَّا أَفَاقَ قَالَ سُبْحَنَکَ تُبْتُ إِلَیکَ وَ أَنَا أَوَّلُ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تحَیتُهُمْ یوْمَ یلْقَوْنَهُ سَلَامٌ وَ أَعَدَّ لهَُمْ أَجْرًا کَرِیمًا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ضرار بن عمرو و حفص اعتقاد داشتند که خداوند با این چشم ها دیده نمی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 بلکه خداوند در قیامت حس ششمی برای انسان خلق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 که به واسطه آن خداوند درک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اشعری،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سبحانی،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همین مطلب را از ابن حزم نیز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 زیرا او معتقد بود که دیدار خدا با قوای همین چشم قابل درک نیست بلکه به واسطه قوای دیگری که از سوی خدا به بنده داده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شود امکان پذیر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سبحانی، 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قرائت مَلِکاً؛ 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فخررازی معتقد است در این حدیث رویت الهی به رویت ماه از نظر روشنی و وضوح تشبیه شده است؛ نه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خدا به ماه تشبیه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فخررازی ،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تفسیر از زمان باقلانی درباره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رویت ماه صورت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باقلانی،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برخلاف ماتریدی که اعتقاد داشت که در حدیث رویت، خدا به ماه تشبیه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ماتریدی،</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یار موسسه آمزشی و پژوهشی امام خمینی رحمه الله علیه</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معنا تفاوتی بین دو یا چند فعل وجود ندارد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 که هر ترکی مستلزم یک فعل است حالت ترجیح فعل یا ترک، یکی از مصادیق همین معنا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نظر برخی دانشمندان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استحاله ترجح بلامرجح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دیگری از اصل علیت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طباطبائی،</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خواجه نصیرالدین،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ابن سینا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استحاله ترجح بلامرجح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بدیهی و غیر از اصل علیت دانسته و سعی کرده اصل علیت را به کمک آن ثابت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اشارات، نمط چهارم، اشاره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بدیهی یا نظری بودن اصل علیت مورد اختلاف بین اندیشمندان است فخررازی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بررسی نظرات هر دو گروه پرداخته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 که بنابر اعتقاد اندیشمندان خداوند فاعل بالاراده نیست، بنابراین کاربرد ترجیح بلامرجح در این مورد با کاربرد آن درباره انسان تفاوت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کاربرد در صورتی است که برای زمان، واقعیتی مستقل از عالم ماده در نظر گرفته شود ولی اگر زمان را 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 که امروزه برای اندیشمندان آشکار شده از مفاهیم ثانی فلسفی بدانیم که واقعیتی منحاز از منشأ انتزاع خود ندارد و در خارج عین وجود موجود سیال است باز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 این مورد را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گونه بیان کرد که خلق ماسوی الله در همه آنات ظرف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 یا سرمد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خداوند مساوی است بنابراین خلق آن در آنی از آنات ترجیح بلامرجح خواهد بود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مثال این گزاره شرطیه صادق است با این که مقدم و تالی آن کاذب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انسان پرواز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 در هوا حرکت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الذاتی لایعلل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خداوند متعال که میل در او معنا ندارد به معنای حب به خیر و مصلحت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علامه طباطبایی در پاسخ به این اشکال که چنین تفسیری از اختیار خداوند موجب جبر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 تحقق جبر نیاز به جابر دارد در حالی که هیچ جابری بر خداوند متعال تسلط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الحکمة، بحث قدرت و اختیار باری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این پاسخ قانع کننده نیست؛ زیرا مقصود مستشکل آن است که با این تفسیر از قدرت و اختیار، خداوند مجبور به جبر ذاتی است نه جبری که مستلزم جابر بیرون از ذات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در نظر ایشان ضرورت صدور فعل از فاعل چون مستند به ذات فاعل است، نه غیر به معنای جبر نیست؛ زیرا برای تحقق جبر، جابر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علامه طباطبائی نیز در نهایة الحکمة از او پیروی کرده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نوشته است تلازم بین دو معنای اختیار تنها در قادری امکان دارد که اراده اش زاید بر ذات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نقل شد صدرالمتألهین تلازم این دو معنا از اختیار را تنها درباره انسان را پذیرفت و درباره خداوند متعال انکار کرد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دانشگاه تربیت دبیر شهید رجایی</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دکترای مذاهب کلامی دانشگاه ادیان و مذاهب و پژوهشگر پژوهشگاه قران و حدیث</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هیچ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از تقریر‌های مختلف نظریه کسب خالی از اشکال نیست و نقدهای متعددی متوجه این نظریه است که در این نوشتار مجال آن نیست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بهشتی، احمد و فارسی نژاد، علیرضا، فخر رازی بر سر دو راهی جبر و اختیار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و آشنایی بیشتر با دلائل فخررازی بر خلق اعمال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ارشد ریاحی، علی، نقد و بررسی نظریه خلق اعمال فخررازی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بروفسور واستاذ فی جامعة طهران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دکتوراه فرع تدریس المعارف الاسلامیة و باحث فی مرکز أبحاث القرآن و الحدیث</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دکتور فی جامعة باقر العلوم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الهیئة العلمیة فی جامعة القرآن و الحدیث</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الهیئة العلمیة فی جامعة الادیان و المذاهب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فی مرکز أبحاث القرآن و الحدیث</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دکتور فی مرکز ابحاث العلوم و الثقافة الاسلامیة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دکتوراه و باحث فی مرکز ابحاث القرآن و الحدیث</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دکتور فی جامعة قم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دکتوراه علوم القرآن و الحدیث فی جامعة قم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دکتور فی مؤسسة الامام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العلمیة البحثیة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دکتور فی کلیة التربیة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 رجائی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 دکتوراه فی کلیة المذاهب الکلامیة فی جامعة الادیان و المذاهب و باحث فی مرکز ابحاث القرآن و الحدیث</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161</Pages>
  <Words>46906</Words>
  <Characters>191804</Characters>
  <CharactersWithSpaces>237531</CharactersWithSpaces>
  <Paragraphs>1187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2026-08-17T11:03:50Z</dcterms:created>
  <dc:creator>ghaemiyeh.com</dc:creator>
  <dc:description/>
  <dc:language>en-US</dc:language>
  <cp:lastModifiedBy/>
  <dcterms:modified xsi:type="dcterms:W3CDTF">2026-08-17T14:33:55Z</dcterms:modified>
  <cp:revision>1</cp:revision>
  <dc:subject/>
  <dc:title>فصلنامه تحقیقات کلامی شماره 1</dc:title>
</cp:coreProperties>
</file>

<file path=docProps/custom.xml><?xml version="1.0" encoding="utf-8"?>
<Properties xmlns="http://schemas.openxmlformats.org/officeDocument/2006/custom-properties" xmlns:vt="http://schemas.openxmlformats.org/officeDocument/2006/docPropsVTypes"/>
</file>