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الوصایا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7931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77933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77935_3804643083">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3877937_3804643083">
            <w:r>
              <w:rPr>
                <w:webHidden/>
                <w:rStyle w:val="IndexLink"/>
                <w:rtl w:val="true"/>
              </w:rPr>
              <w:t>[</w:t>
            </w:r>
            <w:r>
              <w:rPr>
                <w:rStyle w:val="IndexLink"/>
                <w:rtl w:val="true"/>
              </w:rPr>
              <w:t>مقدمة الأمين العام للمؤتمر</w:t>
            </w:r>
            <w:r>
              <w:rPr>
                <w:rStyle w:val="IndexLink"/>
                <w:rtl w:val="true"/>
              </w:rPr>
              <w:t>]</w:t>
              <w:tab/>
            </w:r>
            <w:r>
              <w:rPr>
                <w:rStyle w:val="IndexLink"/>
              </w:rPr>
              <w:t>8</w:t>
            </w:r>
          </w:hyperlink>
        </w:p>
        <w:p>
          <w:pPr>
            <w:pStyle w:val="Contents3"/>
            <w:tabs>
              <w:tab w:val="clear" w:pos="8459"/>
              <w:tab w:val="right" w:pos="9026" w:leader="dot"/>
            </w:tabs>
            <w:rPr/>
          </w:pPr>
          <w:hyperlink w:anchor="__RefHeading___Toc3877939_3804643083">
            <w:r>
              <w:rPr>
                <w:webHidden/>
                <w:rStyle w:val="IndexLink"/>
                <w:rtl w:val="true"/>
              </w:rPr>
              <w:t>[</w:t>
            </w:r>
            <w:r>
              <w:rPr>
                <w:rStyle w:val="IndexLink"/>
                <w:rtl w:val="true"/>
              </w:rPr>
              <w:t>مقدمة</w:t>
            </w:r>
            <w:r>
              <w:rPr>
                <w:rStyle w:val="IndexLink"/>
                <w:rtl w:val="true"/>
              </w:rPr>
              <w:t>]</w:t>
              <w:tab/>
            </w:r>
            <w:r>
              <w:rPr>
                <w:rStyle w:val="IndexLink"/>
              </w:rPr>
              <w:t>11</w:t>
            </w:r>
          </w:hyperlink>
        </w:p>
        <w:p>
          <w:pPr>
            <w:pStyle w:val="Contents4"/>
            <w:tabs>
              <w:tab w:val="clear" w:pos="8176"/>
              <w:tab w:val="right" w:pos="9026" w:leader="dot"/>
            </w:tabs>
            <w:rPr/>
          </w:pPr>
          <w:hyperlink w:anchor="__RefHeading___Toc3877941_380464308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877943_3804643083">
            <w:r>
              <w:rPr>
                <w:webHidden/>
                <w:rStyle w:val="IndexLink"/>
                <w:rtl w:val="true"/>
              </w:rPr>
              <w:t>النسخ المعتمد عليها</w:t>
            </w:r>
            <w:r>
              <w:rPr>
                <w:rStyle w:val="IndexLink"/>
                <w:rtl w:val="true"/>
              </w:rPr>
              <w:t>:</w:t>
              <w:tab/>
            </w:r>
            <w:r>
              <w:rPr>
                <w:rStyle w:val="IndexLink"/>
              </w:rPr>
              <w:t>13</w:t>
            </w:r>
          </w:hyperlink>
        </w:p>
        <w:p>
          <w:pPr>
            <w:pStyle w:val="Contents2"/>
            <w:tabs>
              <w:tab w:val="clear" w:pos="8743"/>
              <w:tab w:val="right" w:pos="9026" w:leader="dot"/>
            </w:tabs>
            <w:rPr/>
          </w:pPr>
          <w:hyperlink w:anchor="__RefHeading___Toc3877945_3804643083">
            <w:r>
              <w:rPr>
                <w:webHidden/>
                <w:rStyle w:val="IndexLink"/>
                <w:rtl w:val="true"/>
              </w:rPr>
              <w:t>الفصل الأوّل في الوصيّة</w:t>
            </w:r>
            <w:r>
              <w:rPr>
                <w:rStyle w:val="IndexLink"/>
                <w:rtl w:val="true"/>
              </w:rPr>
              <w:tab/>
            </w:r>
            <w:r>
              <w:rPr>
                <w:rStyle w:val="IndexLink"/>
              </w:rPr>
              <w:t>16</w:t>
            </w:r>
          </w:hyperlink>
        </w:p>
        <w:p>
          <w:pPr>
            <w:pStyle w:val="Contents3"/>
            <w:tabs>
              <w:tab w:val="clear" w:pos="8459"/>
              <w:tab w:val="right" w:pos="9026" w:leader="dot"/>
            </w:tabs>
            <w:rPr/>
          </w:pPr>
          <w:hyperlink w:anchor="__RefHeading___Toc3877947_380464308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877949_3804643083">
            <w:r>
              <w:rPr>
                <w:webHidden/>
                <w:rStyle w:val="IndexLink"/>
                <w:rtl w:val="true"/>
              </w:rPr>
              <w:t>[</w:t>
            </w:r>
            <w:r>
              <w:rPr>
                <w:rStyle w:val="IndexLink"/>
                <w:rtl w:val="true"/>
              </w:rPr>
              <w:t>الوصية لغة</w:t>
            </w:r>
            <w:r>
              <w:rPr>
                <w:rStyle w:val="IndexLink"/>
                <w:rtl w:val="true"/>
              </w:rPr>
              <w:t>]</w:t>
              <w:tab/>
            </w:r>
            <w:r>
              <w:rPr>
                <w:rStyle w:val="IndexLink"/>
              </w:rPr>
              <w:t>17</w:t>
            </w:r>
          </w:hyperlink>
        </w:p>
        <w:p>
          <w:pPr>
            <w:pStyle w:val="Contents3"/>
            <w:tabs>
              <w:tab w:val="clear" w:pos="8459"/>
              <w:tab w:val="right" w:pos="9026" w:leader="dot"/>
            </w:tabs>
            <w:rPr/>
          </w:pPr>
          <w:hyperlink w:anchor="__RefHeading___Toc3877951_3804643083">
            <w:r>
              <w:rPr>
                <w:webHidden/>
                <w:rStyle w:val="IndexLink"/>
                <w:rtl w:val="true"/>
              </w:rPr>
              <w:t>[</w:t>
            </w:r>
            <w:r>
              <w:rPr>
                <w:rStyle w:val="IndexLink"/>
                <w:rtl w:val="true"/>
              </w:rPr>
              <w:t>الوصية شرعا</w:t>
            </w:r>
            <w:r>
              <w:rPr>
                <w:rStyle w:val="IndexLink"/>
                <w:rtl w:val="true"/>
              </w:rPr>
              <w:t>]</w:t>
              <w:tab/>
            </w:r>
            <w:r>
              <w:rPr>
                <w:rStyle w:val="IndexLink"/>
              </w:rPr>
              <w:t>18</w:t>
            </w:r>
          </w:hyperlink>
        </w:p>
        <w:p>
          <w:pPr>
            <w:pStyle w:val="Contents3"/>
            <w:tabs>
              <w:tab w:val="clear" w:pos="8459"/>
              <w:tab w:val="right" w:pos="9026" w:leader="dot"/>
            </w:tabs>
            <w:rPr/>
          </w:pPr>
          <w:hyperlink w:anchor="__RefHeading___Toc3877953_3804643083">
            <w:r>
              <w:rPr>
                <w:webHidden/>
                <w:rStyle w:val="IndexLink"/>
                <w:rtl w:val="true"/>
              </w:rPr>
              <w:t>[</w:t>
            </w:r>
            <w:r>
              <w:rPr>
                <w:rStyle w:val="IndexLink"/>
                <w:rtl w:val="true"/>
              </w:rPr>
              <w:t>رواية في بيان كيفية الوصية</w:t>
            </w:r>
            <w:r>
              <w:rPr>
                <w:rStyle w:val="IndexLink"/>
                <w:rtl w:val="true"/>
              </w:rPr>
              <w:t>]</w:t>
              <w:tab/>
            </w:r>
            <w:r>
              <w:rPr>
                <w:rStyle w:val="IndexLink"/>
              </w:rPr>
              <w:t>18</w:t>
            </w:r>
          </w:hyperlink>
        </w:p>
        <w:p>
          <w:pPr>
            <w:pStyle w:val="Contents3"/>
            <w:tabs>
              <w:tab w:val="clear" w:pos="8459"/>
              <w:tab w:val="right" w:pos="9026" w:leader="dot"/>
            </w:tabs>
            <w:rPr/>
          </w:pPr>
          <w:hyperlink w:anchor="__RefHeading___Toc3877955_3804643083">
            <w:r>
              <w:rPr>
                <w:webHidden/>
                <w:rStyle w:val="IndexLink"/>
                <w:rtl w:val="true"/>
              </w:rPr>
              <w:t>[</w:t>
            </w:r>
            <w:r>
              <w:rPr>
                <w:rStyle w:val="IndexLink"/>
                <w:rtl w:val="true"/>
              </w:rPr>
              <w:t>احتياج الوصية إلى الموصي و الموصي إليه و الموصي به</w:t>
            </w:r>
            <w:r>
              <w:rPr>
                <w:rStyle w:val="IndexLink"/>
                <w:rtl w:val="true"/>
              </w:rPr>
              <w:t>]</w:t>
              <w:tab/>
            </w:r>
            <w:r>
              <w:rPr>
                <w:rStyle w:val="IndexLink"/>
              </w:rPr>
              <w:t>20</w:t>
            </w:r>
          </w:hyperlink>
        </w:p>
        <w:p>
          <w:pPr>
            <w:pStyle w:val="Contents3"/>
            <w:tabs>
              <w:tab w:val="clear" w:pos="8459"/>
              <w:tab w:val="right" w:pos="9026" w:leader="dot"/>
            </w:tabs>
            <w:rPr/>
          </w:pPr>
          <w:hyperlink w:anchor="__RefHeading___Toc3877957_3804643083">
            <w:r>
              <w:rPr>
                <w:webHidden/>
                <w:rStyle w:val="IndexLink"/>
                <w:rtl w:val="true"/>
              </w:rPr>
              <w:t>[</w:t>
            </w:r>
            <w:r>
              <w:rPr>
                <w:rStyle w:val="IndexLink"/>
                <w:rtl w:val="true"/>
              </w:rPr>
              <w:t>تعريف الوصية التمليكية و الموصي له من أركان الوصية التمليكية</w:t>
            </w:r>
            <w:r>
              <w:rPr>
                <w:rStyle w:val="IndexLink"/>
                <w:rtl w:val="true"/>
              </w:rPr>
              <w:t>]</w:t>
              <w:tab/>
            </w:r>
            <w:r>
              <w:rPr>
                <w:rStyle w:val="IndexLink"/>
              </w:rPr>
              <w:t>20</w:t>
            </w:r>
          </w:hyperlink>
        </w:p>
        <w:p>
          <w:pPr>
            <w:pStyle w:val="Contents3"/>
            <w:tabs>
              <w:tab w:val="clear" w:pos="8459"/>
              <w:tab w:val="right" w:pos="9026" w:leader="dot"/>
            </w:tabs>
            <w:rPr/>
          </w:pPr>
          <w:hyperlink w:anchor="__RefHeading___Toc3877959_3804643083">
            <w:r>
              <w:rPr>
                <w:webHidden/>
                <w:rStyle w:val="IndexLink"/>
                <w:rtl w:val="true"/>
              </w:rPr>
              <w:t>[</w:t>
            </w:r>
            <w:r>
              <w:rPr>
                <w:rStyle w:val="IndexLink"/>
                <w:rtl w:val="true"/>
              </w:rPr>
              <w:t>هل أن الوصية عقد</w:t>
            </w:r>
            <w:r>
              <w:rPr>
                <w:rStyle w:val="IndexLink"/>
                <w:rtl w:val="true"/>
              </w:rPr>
              <w:t>]</w:t>
              <w:tab/>
            </w:r>
            <w:r>
              <w:rPr>
                <w:rStyle w:val="IndexLink"/>
              </w:rPr>
              <w:t>21</w:t>
            </w:r>
          </w:hyperlink>
        </w:p>
        <w:p>
          <w:pPr>
            <w:pStyle w:val="Contents3"/>
            <w:tabs>
              <w:tab w:val="clear" w:pos="8459"/>
              <w:tab w:val="right" w:pos="9026" w:leader="dot"/>
            </w:tabs>
            <w:rPr/>
          </w:pPr>
          <w:hyperlink w:anchor="__RefHeading___Toc3877961_3804643083">
            <w:r>
              <w:rPr>
                <w:webHidden/>
                <w:rStyle w:val="IndexLink"/>
                <w:rtl w:val="true"/>
              </w:rPr>
              <w:t>[</w:t>
            </w:r>
            <w:r>
              <w:rPr>
                <w:rStyle w:val="IndexLink"/>
                <w:rtl w:val="true"/>
              </w:rPr>
              <w:t>في الإيجاب</w:t>
            </w:r>
            <w:r>
              <w:rPr>
                <w:rStyle w:val="IndexLink"/>
                <w:rtl w:val="true"/>
              </w:rPr>
              <w:t>]</w:t>
              <w:tab/>
            </w:r>
            <w:r>
              <w:rPr>
                <w:rStyle w:val="IndexLink"/>
              </w:rPr>
              <w:t>22</w:t>
            </w:r>
          </w:hyperlink>
        </w:p>
        <w:p>
          <w:pPr>
            <w:pStyle w:val="Contents4"/>
            <w:tabs>
              <w:tab w:val="clear" w:pos="8176"/>
              <w:tab w:val="right" w:pos="9026" w:leader="dot"/>
            </w:tabs>
            <w:rPr/>
          </w:pPr>
          <w:hyperlink w:anchor="__RefHeading___Toc3877963_3804643083">
            <w:r>
              <w:rPr>
                <w:webHidden/>
                <w:rStyle w:val="IndexLink"/>
                <w:rtl w:val="true"/>
              </w:rPr>
              <w:t>[</w:t>
            </w:r>
            <w:r>
              <w:rPr>
                <w:rStyle w:val="IndexLink"/>
                <w:rtl w:val="true"/>
              </w:rPr>
              <w:t>اعتبار اللفظ في الإيجاب</w:t>
            </w:r>
            <w:r>
              <w:rPr>
                <w:rStyle w:val="IndexLink"/>
                <w:rtl w:val="true"/>
              </w:rPr>
              <w:t>]</w:t>
              <w:tab/>
            </w:r>
            <w:r>
              <w:rPr>
                <w:rStyle w:val="IndexLink"/>
              </w:rPr>
              <w:t>22</w:t>
            </w:r>
          </w:hyperlink>
        </w:p>
        <w:p>
          <w:pPr>
            <w:pStyle w:val="Contents4"/>
            <w:tabs>
              <w:tab w:val="clear" w:pos="8176"/>
              <w:tab w:val="right" w:pos="9026" w:leader="dot"/>
            </w:tabs>
            <w:rPr/>
          </w:pPr>
          <w:hyperlink w:anchor="__RefHeading___Toc3877965_3804643083">
            <w:r>
              <w:rPr>
                <w:webHidden/>
                <w:rStyle w:val="IndexLink"/>
                <w:rtl w:val="true"/>
              </w:rPr>
              <w:t>[</w:t>
            </w:r>
            <w:r>
              <w:rPr>
                <w:rStyle w:val="IndexLink"/>
                <w:rtl w:val="true"/>
              </w:rPr>
              <w:t>عدم كفاية الإشارة و الكتابة في الإيجاب</w:t>
            </w:r>
            <w:r>
              <w:rPr>
                <w:rStyle w:val="IndexLink"/>
                <w:rtl w:val="true"/>
              </w:rPr>
              <w:t>]</w:t>
              <w:tab/>
            </w:r>
            <w:r>
              <w:rPr>
                <w:rStyle w:val="IndexLink"/>
              </w:rPr>
              <w:t>22</w:t>
            </w:r>
          </w:hyperlink>
        </w:p>
        <w:p>
          <w:pPr>
            <w:pStyle w:val="Contents4"/>
            <w:tabs>
              <w:tab w:val="clear" w:pos="8176"/>
              <w:tab w:val="right" w:pos="9026" w:leader="dot"/>
            </w:tabs>
            <w:rPr/>
          </w:pPr>
          <w:hyperlink w:anchor="__RefHeading___Toc3877967_3804643083">
            <w:r>
              <w:rPr>
                <w:webHidden/>
                <w:rStyle w:val="IndexLink"/>
                <w:rtl w:val="true"/>
              </w:rPr>
              <w:t>[</w:t>
            </w:r>
            <w:r>
              <w:rPr>
                <w:rStyle w:val="IndexLink"/>
                <w:rtl w:val="true"/>
              </w:rPr>
              <w:t>عدم إلزام الورثة بالمكتوب و إن عملوا ببعضه</w:t>
            </w:r>
            <w:r>
              <w:rPr>
                <w:rStyle w:val="IndexLink"/>
                <w:rtl w:val="true"/>
              </w:rPr>
              <w:t>]</w:t>
              <w:tab/>
            </w:r>
            <w:r>
              <w:rPr>
                <w:rStyle w:val="IndexLink"/>
              </w:rPr>
              <w:t>24</w:t>
            </w:r>
          </w:hyperlink>
        </w:p>
        <w:p>
          <w:pPr>
            <w:pStyle w:val="Contents4"/>
            <w:tabs>
              <w:tab w:val="clear" w:pos="8176"/>
              <w:tab w:val="right" w:pos="9026" w:leader="dot"/>
            </w:tabs>
            <w:rPr/>
          </w:pPr>
          <w:hyperlink w:anchor="__RefHeading___Toc3877969_3804643083">
            <w:r>
              <w:rPr>
                <w:webHidden/>
                <w:rStyle w:val="IndexLink"/>
                <w:rtl w:val="true"/>
              </w:rPr>
              <w:t>[</w:t>
            </w:r>
            <w:r>
              <w:rPr>
                <w:rStyle w:val="IndexLink"/>
                <w:rtl w:val="true"/>
              </w:rPr>
              <w:t>الألفاظ الدالة على الإيجاب في الوصية</w:t>
            </w:r>
            <w:r>
              <w:rPr>
                <w:rStyle w:val="IndexLink"/>
                <w:rtl w:val="true"/>
              </w:rPr>
              <w:t>]</w:t>
              <w:tab/>
            </w:r>
            <w:r>
              <w:rPr>
                <w:rStyle w:val="IndexLink"/>
              </w:rPr>
              <w:t>24</w:t>
            </w:r>
          </w:hyperlink>
        </w:p>
        <w:p>
          <w:pPr>
            <w:pStyle w:val="Contents3"/>
            <w:tabs>
              <w:tab w:val="clear" w:pos="8459"/>
              <w:tab w:val="right" w:pos="9026" w:leader="dot"/>
            </w:tabs>
            <w:rPr/>
          </w:pPr>
          <w:hyperlink w:anchor="__RefHeading___Toc3877971_3804643083">
            <w:r>
              <w:rPr>
                <w:webHidden/>
                <w:rStyle w:val="IndexLink"/>
                <w:rtl w:val="true"/>
              </w:rPr>
              <w:t>[</w:t>
            </w:r>
            <w:r>
              <w:rPr>
                <w:rStyle w:val="IndexLink"/>
                <w:rtl w:val="true"/>
              </w:rPr>
              <w:t>في القبول</w:t>
            </w:r>
            <w:r>
              <w:rPr>
                <w:rStyle w:val="IndexLink"/>
                <w:rtl w:val="true"/>
              </w:rPr>
              <w:t>]</w:t>
              <w:tab/>
            </w:r>
            <w:r>
              <w:rPr>
                <w:rStyle w:val="IndexLink"/>
              </w:rPr>
              <w:t>25</w:t>
            </w:r>
          </w:hyperlink>
        </w:p>
        <w:p>
          <w:pPr>
            <w:pStyle w:val="Contents4"/>
            <w:tabs>
              <w:tab w:val="clear" w:pos="8176"/>
              <w:tab w:val="right" w:pos="9026" w:leader="dot"/>
            </w:tabs>
            <w:rPr/>
          </w:pPr>
          <w:hyperlink w:anchor="__RefHeading___Toc3877973_3804643083">
            <w:r>
              <w:rPr>
                <w:webHidden/>
                <w:rStyle w:val="IndexLink"/>
                <w:rtl w:val="true"/>
              </w:rPr>
              <w:t>[</w:t>
            </w:r>
            <w:r>
              <w:rPr>
                <w:rStyle w:val="IndexLink"/>
                <w:rtl w:val="true"/>
              </w:rPr>
              <w:t>انتقال الملك بالوصية إلى الموصى له بموت الموصي و القبول</w:t>
            </w:r>
            <w:r>
              <w:rPr>
                <w:rStyle w:val="IndexLink"/>
                <w:rtl w:val="true"/>
              </w:rPr>
              <w:t>]</w:t>
              <w:tab/>
            </w:r>
            <w:r>
              <w:rPr>
                <w:rStyle w:val="IndexLink"/>
              </w:rPr>
              <w:t>25</w:t>
            </w:r>
          </w:hyperlink>
        </w:p>
        <w:p>
          <w:pPr>
            <w:pStyle w:val="Contents5"/>
            <w:tabs>
              <w:tab w:val="clear" w:pos="7892"/>
              <w:tab w:val="right" w:pos="9026" w:leader="dot"/>
            </w:tabs>
            <w:rPr/>
          </w:pPr>
          <w:hyperlink w:anchor="__RefHeading___Toc3877975_3804643083">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3877977_3804643083">
            <w:r>
              <w:rPr>
                <w:webHidden/>
                <w:rStyle w:val="IndexLink"/>
                <w:rtl w:val="true"/>
              </w:rPr>
              <w:t>[</w:t>
            </w:r>
            <w:r>
              <w:rPr>
                <w:rStyle w:val="IndexLink"/>
                <w:rtl w:val="true"/>
              </w:rPr>
              <w:t>هل القبول شرط عند المحقق</w:t>
            </w:r>
            <w:r>
              <w:rPr>
                <w:rStyle w:val="IndexLink"/>
                <w:rtl w:val="true"/>
              </w:rPr>
              <w:t>]</w:t>
              <w:tab/>
            </w:r>
            <w:r>
              <w:rPr>
                <w:rStyle w:val="IndexLink"/>
              </w:rPr>
              <w:t>25</w:t>
            </w:r>
          </w:hyperlink>
        </w:p>
        <w:p>
          <w:pPr>
            <w:pStyle w:val="Contents4"/>
            <w:tabs>
              <w:tab w:val="clear" w:pos="8176"/>
              <w:tab w:val="right" w:pos="9026" w:leader="dot"/>
            </w:tabs>
            <w:rPr/>
          </w:pPr>
          <w:hyperlink w:anchor="__RefHeading___Toc3877979_3804643083">
            <w:r>
              <w:rPr>
                <w:webHidden/>
                <w:rStyle w:val="IndexLink"/>
                <w:rtl w:val="true"/>
              </w:rPr>
              <w:t>[</w:t>
            </w:r>
            <w:r>
              <w:rPr>
                <w:rStyle w:val="IndexLink"/>
                <w:rtl w:val="true"/>
              </w:rPr>
              <w:t>الاحتمالات في القبول أربعة</w:t>
            </w:r>
            <w:r>
              <w:rPr>
                <w:rStyle w:val="IndexLink"/>
                <w:rtl w:val="true"/>
              </w:rPr>
              <w:t>]</w:t>
              <w:tab/>
            </w:r>
            <w:r>
              <w:rPr>
                <w:rStyle w:val="IndexLink"/>
              </w:rPr>
              <w:t>26</w:t>
            </w:r>
          </w:hyperlink>
        </w:p>
        <w:p>
          <w:pPr>
            <w:pStyle w:val="Contents4"/>
            <w:tabs>
              <w:tab w:val="clear" w:pos="8176"/>
              <w:tab w:val="right" w:pos="9026" w:leader="dot"/>
            </w:tabs>
            <w:rPr/>
          </w:pPr>
          <w:hyperlink w:anchor="__RefHeading___Toc3877981_3804643083">
            <w:r>
              <w:rPr>
                <w:webHidden/>
                <w:rStyle w:val="IndexLink"/>
                <w:rtl w:val="true"/>
              </w:rPr>
              <w:t>[</w:t>
            </w:r>
            <w:r>
              <w:rPr>
                <w:rStyle w:val="IndexLink"/>
                <w:rtl w:val="true"/>
              </w:rPr>
              <w:t>حاصل ما اعتمدوه في الكشف أمور</w:t>
            </w:r>
            <w:r>
              <w:rPr>
                <w:rStyle w:val="IndexLink"/>
                <w:rtl w:val="true"/>
              </w:rPr>
              <w:t>]</w:t>
              <w:tab/>
            </w:r>
            <w:r>
              <w:rPr>
                <w:rStyle w:val="IndexLink"/>
              </w:rPr>
              <w:t>27</w:t>
            </w:r>
          </w:hyperlink>
        </w:p>
        <w:p>
          <w:pPr>
            <w:pStyle w:val="Contents5"/>
            <w:tabs>
              <w:tab w:val="clear" w:pos="7892"/>
              <w:tab w:val="right" w:pos="9026" w:leader="dot"/>
            </w:tabs>
            <w:rPr/>
          </w:pPr>
          <w:hyperlink w:anchor="__RefHeading___Toc3877983_380464308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3877985_3804643083">
            <w:r>
              <w:rPr>
                <w:webHidden/>
                <w:rStyle w:val="IndexLink"/>
                <w:rtl w:val="true"/>
              </w:rPr>
              <w:t xml:space="preserve">الأوّل </w:t>
            </w:r>
            <w:r>
              <w:rPr>
                <w:rStyle w:val="IndexLink"/>
                <w:rtl w:val="true"/>
              </w:rPr>
              <w:t>[</w:t>
            </w:r>
            <w:r>
              <w:rPr>
                <w:rStyle w:val="IndexLink"/>
                <w:rtl w:val="true"/>
              </w:rPr>
              <w:t>وقوع القبول على الإيجاب</w:t>
            </w:r>
            <w:r>
              <w:rPr>
                <w:rStyle w:val="IndexLink"/>
                <w:rtl w:val="true"/>
              </w:rPr>
              <w:t>]</w:t>
              <w:tab/>
            </w:r>
            <w:r>
              <w:rPr>
                <w:rStyle w:val="IndexLink"/>
              </w:rPr>
              <w:t>27</w:t>
            </w:r>
          </w:hyperlink>
        </w:p>
        <w:p>
          <w:pPr>
            <w:pStyle w:val="Contents5"/>
            <w:tabs>
              <w:tab w:val="clear" w:pos="7892"/>
              <w:tab w:val="right" w:pos="9026" w:leader="dot"/>
            </w:tabs>
            <w:rPr/>
          </w:pPr>
          <w:hyperlink w:anchor="__RefHeading___Toc3877987_3804643083">
            <w:r>
              <w:rPr>
                <w:webHidden/>
                <w:rStyle w:val="IndexLink"/>
                <w:rtl w:val="true"/>
              </w:rPr>
              <w:t>الثاني</w:t>
            </w:r>
            <w:r>
              <w:rPr>
                <w:rStyle w:val="IndexLink"/>
                <w:rtl w:val="true"/>
              </w:rPr>
              <w:t xml:space="preserve">: </w:t>
            </w:r>
            <w:r>
              <w:rPr>
                <w:rStyle w:val="IndexLink"/>
                <w:rtl w:val="true"/>
              </w:rPr>
              <w:t>ما استدلّ به غير واحد من ظواهر إطلاقات انتقال المال إلى الموصى له بمجرّد الموت من دون توقّف على أمر آخر،</w:t>
            </w:r>
            <w:r>
              <w:rPr>
                <w:rStyle w:val="IndexLink"/>
                <w:rtl w:val="true"/>
              </w:rPr>
              <w:tab/>
            </w:r>
            <w:r>
              <w:rPr>
                <w:rStyle w:val="IndexLink"/>
              </w:rPr>
              <w:t>28</w:t>
            </w:r>
          </w:hyperlink>
        </w:p>
        <w:p>
          <w:pPr>
            <w:pStyle w:val="Contents5"/>
            <w:tabs>
              <w:tab w:val="clear" w:pos="7892"/>
              <w:tab w:val="right" w:pos="9026" w:leader="dot"/>
            </w:tabs>
            <w:rPr/>
          </w:pPr>
          <w:hyperlink w:anchor="__RefHeading___Toc3877989_3804643083">
            <w:r>
              <w:rPr>
                <w:webHidden/>
                <w:rStyle w:val="IndexLink"/>
                <w:rtl w:val="true"/>
              </w:rPr>
              <w:t>الثالث</w:t>
            </w:r>
            <w:r>
              <w:rPr>
                <w:rStyle w:val="IndexLink"/>
                <w:rtl w:val="true"/>
              </w:rPr>
              <w:t xml:space="preserve">: </w:t>
            </w:r>
            <w:r>
              <w:rPr>
                <w:rStyle w:val="IndexLink"/>
                <w:rtl w:val="true"/>
              </w:rPr>
              <w:t>عموم ما دلّ على وجوب نفوذ الوصيّة و حرمة تبديل الوصيّة التي هي فعل الموصي و إيجابه،</w:t>
            </w:r>
            <w:r>
              <w:rPr>
                <w:rStyle w:val="IndexLink"/>
                <w:rtl w:val="true"/>
              </w:rPr>
              <w:tab/>
            </w:r>
            <w:r>
              <w:rPr>
                <w:rStyle w:val="IndexLink"/>
              </w:rPr>
              <w:t>31</w:t>
            </w:r>
          </w:hyperlink>
        </w:p>
        <w:p>
          <w:pPr>
            <w:pStyle w:val="Contents5"/>
            <w:tabs>
              <w:tab w:val="clear" w:pos="7892"/>
              <w:tab w:val="right" w:pos="9026" w:leader="dot"/>
            </w:tabs>
            <w:rPr/>
          </w:pPr>
          <w:hyperlink w:anchor="__RefHeading___Toc3877991_3804643083">
            <w:r>
              <w:rPr>
                <w:webHidden/>
                <w:rStyle w:val="IndexLink"/>
                <w:rtl w:val="true"/>
              </w:rPr>
              <w:t>الرابع</w:t>
            </w:r>
            <w:r>
              <w:rPr>
                <w:rStyle w:val="IndexLink"/>
                <w:rtl w:val="true"/>
              </w:rPr>
              <w:t xml:space="preserve">: </w:t>
            </w:r>
            <w:r>
              <w:rPr>
                <w:rStyle w:val="IndexLink"/>
                <w:rtl w:val="true"/>
              </w:rPr>
              <w:t>أنّه لو لم ينقل من حين الموت</w:t>
            </w:r>
            <w:r>
              <w:rPr>
                <w:rStyle w:val="IndexLink"/>
                <w:rtl w:val="true"/>
              </w:rPr>
              <w:t xml:space="preserve">- </w:t>
            </w:r>
            <w:r>
              <w:rPr>
                <w:rStyle w:val="IndexLink"/>
                <w:rtl w:val="true"/>
              </w:rPr>
              <w:t>مع فرض القبول المتأخّر</w:t>
            </w:r>
            <w:r>
              <w:rPr>
                <w:rStyle w:val="IndexLink"/>
                <w:rtl w:val="true"/>
              </w:rPr>
              <w:t xml:space="preserve">- </w:t>
            </w:r>
            <w:r>
              <w:rPr>
                <w:rStyle w:val="IndexLink"/>
                <w:rtl w:val="true"/>
              </w:rPr>
              <w:t>إلى الموصى له، لكان</w:t>
            </w:r>
            <w:r>
              <w:rPr>
                <w:rStyle w:val="IndexLink"/>
                <w:rtl w:val="true"/>
              </w:rPr>
              <w:t xml:space="preserve">: </w:t>
            </w:r>
            <w:r>
              <w:rPr>
                <w:rStyle w:val="IndexLink"/>
                <w:rtl w:val="true"/>
              </w:rPr>
              <w:t>إمّا باقيا على ملك الميّت، و إمّا منتقلا إلى الوارث؛</w:t>
            </w:r>
            <w:r>
              <w:rPr>
                <w:rStyle w:val="IndexLink"/>
                <w:rtl w:val="true"/>
              </w:rPr>
              <w:tab/>
            </w:r>
            <w:r>
              <w:rPr>
                <w:rStyle w:val="IndexLink"/>
              </w:rPr>
              <w:t>32</w:t>
            </w:r>
          </w:hyperlink>
        </w:p>
        <w:p>
          <w:pPr>
            <w:pStyle w:val="Contents4"/>
            <w:tabs>
              <w:tab w:val="clear" w:pos="8176"/>
              <w:tab w:val="right" w:pos="9026" w:leader="dot"/>
            </w:tabs>
            <w:rPr/>
          </w:pPr>
          <w:hyperlink w:anchor="__RefHeading___Toc3877993_3804643083">
            <w:r>
              <w:rPr>
                <w:webHidden/>
                <w:rStyle w:val="IndexLink"/>
                <w:rtl w:val="true"/>
              </w:rPr>
              <w:t>[</w:t>
            </w:r>
            <w:r>
              <w:rPr>
                <w:rStyle w:val="IndexLink"/>
                <w:rtl w:val="true"/>
              </w:rPr>
              <w:t>جواز القبول قبل الوفاة</w:t>
            </w:r>
            <w:r>
              <w:rPr>
                <w:rStyle w:val="IndexLink"/>
                <w:rtl w:val="true"/>
              </w:rPr>
              <w:t>]</w:t>
              <w:tab/>
            </w:r>
            <w:r>
              <w:rPr>
                <w:rStyle w:val="IndexLink"/>
              </w:rPr>
              <w:t>33</w:t>
            </w:r>
          </w:hyperlink>
        </w:p>
        <w:p>
          <w:pPr>
            <w:pStyle w:val="Contents4"/>
            <w:tabs>
              <w:tab w:val="clear" w:pos="8176"/>
              <w:tab w:val="right" w:pos="9026" w:leader="dot"/>
            </w:tabs>
            <w:rPr/>
          </w:pPr>
          <w:hyperlink w:anchor="__RefHeading___Toc3877995_3804643083">
            <w:r>
              <w:rPr>
                <w:webHidden/>
                <w:rStyle w:val="IndexLink"/>
                <w:rtl w:val="true"/>
              </w:rPr>
              <w:t>[</w:t>
            </w:r>
            <w:r>
              <w:rPr>
                <w:rStyle w:val="IndexLink"/>
                <w:rtl w:val="true"/>
              </w:rPr>
              <w:t>لا حكم للرد في حياة الموصي</w:t>
            </w:r>
            <w:r>
              <w:rPr>
                <w:rStyle w:val="IndexLink"/>
                <w:rtl w:val="true"/>
              </w:rPr>
              <w:t>]</w:t>
              <w:tab/>
            </w:r>
            <w:r>
              <w:rPr>
                <w:rStyle w:val="IndexLink"/>
              </w:rPr>
              <w:t>35</w:t>
            </w:r>
          </w:hyperlink>
        </w:p>
        <w:p>
          <w:pPr>
            <w:pStyle w:val="Contents4"/>
            <w:tabs>
              <w:tab w:val="clear" w:pos="8176"/>
              <w:tab w:val="right" w:pos="9026" w:leader="dot"/>
            </w:tabs>
            <w:rPr/>
          </w:pPr>
          <w:hyperlink w:anchor="__RefHeading___Toc3877997_3804643083">
            <w:r>
              <w:rPr>
                <w:webHidden/>
                <w:rStyle w:val="IndexLink"/>
                <w:rtl w:val="true"/>
              </w:rPr>
              <w:t>[</w:t>
            </w:r>
            <w:r>
              <w:rPr>
                <w:rStyle w:val="IndexLink"/>
                <w:rtl w:val="true"/>
              </w:rPr>
              <w:t>بطلان الوصية لو رد بعد الموت قبل القبول</w:t>
            </w:r>
            <w:r>
              <w:rPr>
                <w:rStyle w:val="IndexLink"/>
                <w:rtl w:val="true"/>
              </w:rPr>
              <w:t>]</w:t>
              <w:tab/>
            </w:r>
            <w:r>
              <w:rPr>
                <w:rStyle w:val="IndexLink"/>
              </w:rPr>
              <w:t>35</w:t>
            </w:r>
          </w:hyperlink>
        </w:p>
        <w:p>
          <w:pPr>
            <w:pStyle w:val="Contents4"/>
            <w:tabs>
              <w:tab w:val="clear" w:pos="8176"/>
              <w:tab w:val="right" w:pos="9026" w:leader="dot"/>
            </w:tabs>
            <w:rPr/>
          </w:pPr>
          <w:hyperlink w:anchor="__RefHeading___Toc3877999_3804643083">
            <w:r>
              <w:rPr>
                <w:webHidden/>
                <w:rStyle w:val="IndexLink"/>
                <w:rtl w:val="true"/>
              </w:rPr>
              <w:t>[</w:t>
            </w:r>
            <w:r>
              <w:rPr>
                <w:rStyle w:val="IndexLink"/>
                <w:rtl w:val="true"/>
              </w:rPr>
              <w:t>قيام الورثة مقام الموصي له لو مات قبل القبول</w:t>
            </w:r>
            <w:r>
              <w:rPr>
                <w:rStyle w:val="IndexLink"/>
                <w:rtl w:val="true"/>
              </w:rPr>
              <w:t>]</w:t>
              <w:tab/>
            </w:r>
            <w:r>
              <w:rPr>
                <w:rStyle w:val="IndexLink"/>
              </w:rPr>
              <w:t>36</w:t>
            </w:r>
          </w:hyperlink>
        </w:p>
        <w:p>
          <w:pPr>
            <w:pStyle w:val="Contents5"/>
            <w:tabs>
              <w:tab w:val="clear" w:pos="7892"/>
              <w:tab w:val="right" w:pos="9026" w:leader="dot"/>
            </w:tabs>
            <w:rPr/>
          </w:pPr>
          <w:hyperlink w:anchor="__RefHeading___Toc3878001_3804643083">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878003_3804643083">
            <w:r>
              <w:rPr>
                <w:webHidden/>
                <w:rStyle w:val="IndexLink"/>
                <w:rtl w:val="true"/>
              </w:rPr>
              <w:t>[</w:t>
            </w:r>
            <w:r>
              <w:rPr>
                <w:rStyle w:val="IndexLink"/>
                <w:rtl w:val="true"/>
              </w:rPr>
              <w:t>و مستندهم وجوه</w:t>
            </w:r>
            <w:r>
              <w:rPr>
                <w:rStyle w:val="IndexLink"/>
                <w:rtl w:val="true"/>
              </w:rPr>
              <w:t>]</w:t>
              <w:tab/>
            </w:r>
            <w:r>
              <w:rPr>
                <w:rStyle w:val="IndexLink"/>
              </w:rPr>
              <w:t>36</w:t>
            </w:r>
          </w:hyperlink>
        </w:p>
        <w:p>
          <w:pPr>
            <w:pStyle w:val="Contents6"/>
            <w:tabs>
              <w:tab w:val="clear" w:pos="7609"/>
              <w:tab w:val="right" w:pos="9026" w:leader="dot"/>
            </w:tabs>
            <w:rPr/>
          </w:pPr>
          <w:hyperlink w:anchor="__RefHeading___Toc3878005_3804643083">
            <w:r>
              <w:rPr>
                <w:webHidden/>
                <w:rStyle w:val="IndexLink"/>
                <w:rtl w:val="true"/>
              </w:rPr>
              <w:t>:</w:t>
            </w:r>
            <w:r>
              <w:rPr>
                <w:rStyle w:val="IndexLink"/>
                <w:rtl w:val="true"/>
              </w:rPr>
              <w:t>الأوّل</w:t>
            </w:r>
            <w:r>
              <w:rPr>
                <w:rStyle w:val="IndexLink"/>
                <w:rtl w:val="true"/>
              </w:rPr>
              <w:t xml:space="preserve">: </w:t>
            </w:r>
            <w:r>
              <w:rPr>
                <w:rStyle w:val="IndexLink"/>
                <w:rtl w:val="true"/>
              </w:rPr>
              <w:t>أنّ الموصى له، بوجود سبب الملك</w:t>
            </w:r>
            <w:r>
              <w:rPr>
                <w:rStyle w:val="IndexLink"/>
                <w:rtl w:val="true"/>
              </w:rPr>
              <w:t xml:space="preserve">- </w:t>
            </w:r>
            <w:r>
              <w:rPr>
                <w:rStyle w:val="IndexLink"/>
                <w:rtl w:val="true"/>
              </w:rPr>
              <w:t>و هو الإيجاب</w:t>
            </w:r>
            <w:r>
              <w:rPr>
                <w:rStyle w:val="IndexLink"/>
                <w:rtl w:val="true"/>
              </w:rPr>
              <w:t xml:space="preserve">- </w:t>
            </w:r>
            <w:r>
              <w:rPr>
                <w:rStyle w:val="IndexLink"/>
                <w:rtl w:val="true"/>
              </w:rPr>
              <w:t>صار قابلا لأن يتملّك،</w:t>
            </w:r>
            <w:r>
              <w:rPr>
                <w:rStyle w:val="IndexLink"/>
                <w:rtl w:val="true"/>
              </w:rPr>
              <w:tab/>
            </w:r>
            <w:r>
              <w:rPr>
                <w:rStyle w:val="IndexLink"/>
              </w:rPr>
              <w:t>36</w:t>
            </w:r>
          </w:hyperlink>
        </w:p>
        <w:p>
          <w:pPr>
            <w:pStyle w:val="Contents6"/>
            <w:tabs>
              <w:tab w:val="clear" w:pos="7609"/>
              <w:tab w:val="right" w:pos="9026" w:leader="dot"/>
            </w:tabs>
            <w:rPr/>
          </w:pPr>
          <w:hyperlink w:anchor="__RefHeading___Toc3878007_3804643083">
            <w:r>
              <w:rPr>
                <w:webHidden/>
                <w:rStyle w:val="IndexLink"/>
                <w:rtl w:val="true"/>
              </w:rPr>
              <w:t>الثاني</w:t>
            </w:r>
            <w:r>
              <w:rPr>
                <w:rStyle w:val="IndexLink"/>
                <w:rtl w:val="true"/>
              </w:rPr>
              <w:t xml:space="preserve">: </w:t>
            </w:r>
            <w:r>
              <w:rPr>
                <w:rStyle w:val="IndexLink"/>
                <w:rtl w:val="true"/>
              </w:rPr>
              <w:t>ما ذكره جمال الدّين في حاشية الروضة</w:t>
            </w:r>
            <w:r>
              <w:rPr>
                <w:rStyle w:val="IndexLink"/>
                <w:rtl w:val="true"/>
              </w:rPr>
              <w:t xml:space="preserve">: </w:t>
            </w:r>
            <w:r>
              <w:rPr>
                <w:rStyle w:val="IndexLink"/>
                <w:rtl w:val="true"/>
              </w:rPr>
              <w:t>من العمومات الدالّة على وجوب إنفاذ الوصيّة، خرج منه ما إذا لم يتعقّبها قبول من الموصى له و لا من الوارث،</w:t>
            </w:r>
            <w:r>
              <w:rPr>
                <w:rStyle w:val="IndexLink"/>
                <w:rtl w:val="true"/>
              </w:rPr>
              <w:tab/>
            </w:r>
            <w:r>
              <w:rPr>
                <w:rStyle w:val="IndexLink"/>
              </w:rPr>
              <w:t>38</w:t>
            </w:r>
          </w:hyperlink>
        </w:p>
        <w:p>
          <w:pPr>
            <w:pStyle w:val="Contents6"/>
            <w:tabs>
              <w:tab w:val="clear" w:pos="7609"/>
              <w:tab w:val="right" w:pos="9026" w:leader="dot"/>
            </w:tabs>
            <w:rPr/>
          </w:pPr>
          <w:hyperlink w:anchor="__RefHeading___Toc3878009_3804643083">
            <w:r>
              <w:rPr>
                <w:webHidden/>
                <w:rStyle w:val="IndexLink"/>
                <w:rtl w:val="true"/>
              </w:rPr>
              <w:t>الثالث</w:t>
            </w:r>
            <w:r>
              <w:rPr>
                <w:rStyle w:val="IndexLink"/>
                <w:rtl w:val="true"/>
              </w:rPr>
              <w:t xml:space="preserve">: </w:t>
            </w:r>
            <w:r>
              <w:rPr>
                <w:rStyle w:val="IndexLink"/>
                <w:rtl w:val="true"/>
              </w:rPr>
              <w:t>رواية محمّد بن قيس الثقة</w:t>
            </w:r>
            <w:r>
              <w:rPr>
                <w:rStyle w:val="IndexLink"/>
                <w:rtl w:val="true"/>
              </w:rPr>
              <w:t xml:space="preserve">- </w:t>
            </w:r>
            <w:r>
              <w:rPr>
                <w:rStyle w:val="IndexLink"/>
                <w:rtl w:val="true"/>
              </w:rPr>
              <w:t>بقرينة رواية عاصم بن حميد عنه،</w:t>
            </w:r>
            <w:r>
              <w:rPr>
                <w:rStyle w:val="IndexLink"/>
                <w:rtl w:val="true"/>
              </w:rPr>
              <w:tab/>
            </w:r>
            <w:r>
              <w:rPr>
                <w:rStyle w:val="IndexLink"/>
              </w:rPr>
              <w:t>39</w:t>
            </w:r>
          </w:hyperlink>
        </w:p>
        <w:p>
          <w:pPr>
            <w:pStyle w:val="Contents5"/>
            <w:tabs>
              <w:tab w:val="clear" w:pos="7892"/>
              <w:tab w:val="right" w:pos="9026" w:leader="dot"/>
            </w:tabs>
            <w:rPr/>
          </w:pPr>
          <w:hyperlink w:anchor="__RefHeading___Toc3878011_3804643083">
            <w:r>
              <w:rPr>
                <w:webHidden/>
                <w:rStyle w:val="IndexLink"/>
                <w:rtl w:val="true"/>
              </w:rPr>
              <w:t>[</w:t>
            </w:r>
            <w:r>
              <w:rPr>
                <w:rStyle w:val="IndexLink"/>
                <w:rtl w:val="true"/>
              </w:rPr>
              <w:t>التفصيل بين تعلق غرض الموصي بخصوص الموصى له و عدمه</w:t>
            </w:r>
            <w:r>
              <w:rPr>
                <w:rStyle w:val="IndexLink"/>
                <w:rtl w:val="true"/>
              </w:rPr>
              <w:t>]</w:t>
              <w:tab/>
            </w:r>
            <w:r>
              <w:rPr>
                <w:rStyle w:val="IndexLink"/>
              </w:rPr>
              <w:t>40</w:t>
            </w:r>
          </w:hyperlink>
        </w:p>
        <w:p>
          <w:pPr>
            <w:pStyle w:val="Contents5"/>
            <w:tabs>
              <w:tab w:val="clear" w:pos="7892"/>
              <w:tab w:val="right" w:pos="9026" w:leader="dot"/>
            </w:tabs>
            <w:rPr/>
          </w:pPr>
          <w:hyperlink w:anchor="__RefHeading___Toc3878013_3804643083">
            <w:r>
              <w:rPr>
                <w:webHidden/>
                <w:rStyle w:val="IndexLink"/>
                <w:rtl w:val="true"/>
              </w:rPr>
              <w:t>[</w:t>
            </w:r>
            <w:r>
              <w:rPr>
                <w:rStyle w:val="IndexLink"/>
                <w:rtl w:val="true"/>
              </w:rPr>
              <w:t>الحكم في صورة موت الموصى له بعد الموصي</w:t>
            </w:r>
            <w:r>
              <w:rPr>
                <w:rStyle w:val="IndexLink"/>
                <w:rtl w:val="true"/>
              </w:rPr>
              <w:t>]</w:t>
              <w:tab/>
            </w:r>
            <w:r>
              <w:rPr>
                <w:rStyle w:val="IndexLink"/>
              </w:rPr>
              <w:t>41</w:t>
            </w:r>
          </w:hyperlink>
        </w:p>
        <w:p>
          <w:pPr>
            <w:pStyle w:val="Contents3"/>
            <w:tabs>
              <w:tab w:val="clear" w:pos="8459"/>
              <w:tab w:val="right" w:pos="9026" w:leader="dot"/>
            </w:tabs>
            <w:rPr/>
          </w:pPr>
          <w:hyperlink w:anchor="__RefHeading___Toc3878015_3804643083">
            <w:r>
              <w:rPr>
                <w:webHidden/>
                <w:rStyle w:val="IndexLink"/>
                <w:rtl w:val="true"/>
              </w:rPr>
              <w:t>[</w:t>
            </w:r>
            <w:r>
              <w:rPr>
                <w:rStyle w:val="IndexLink"/>
                <w:rtl w:val="true"/>
              </w:rPr>
              <w:t>تفريع على القول بالنقل و الكشف</w:t>
            </w:r>
            <w:r>
              <w:rPr>
                <w:rStyle w:val="IndexLink"/>
                <w:rtl w:val="true"/>
              </w:rPr>
              <w:t>]</w:t>
              <w:tab/>
            </w:r>
            <w:r>
              <w:rPr>
                <w:rStyle w:val="IndexLink"/>
              </w:rPr>
              <w:t>43</w:t>
            </w:r>
          </w:hyperlink>
        </w:p>
        <w:p>
          <w:pPr>
            <w:pStyle w:val="Contents4"/>
            <w:tabs>
              <w:tab w:val="clear" w:pos="8176"/>
              <w:tab w:val="right" w:pos="9026" w:leader="dot"/>
            </w:tabs>
            <w:rPr/>
          </w:pPr>
          <w:hyperlink w:anchor="__RefHeading___Toc3878017_380464308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878019_3804643083">
            <w:r>
              <w:rPr>
                <w:webHidden/>
                <w:rStyle w:val="IndexLink"/>
                <w:rtl w:val="true"/>
              </w:rPr>
              <w:t>[</w:t>
            </w:r>
            <w:r>
              <w:rPr>
                <w:rStyle w:val="IndexLink"/>
                <w:rtl w:val="true"/>
              </w:rPr>
              <w:t>انتقال المال إلى الوارث الموصى له من حين القبول على النقل</w:t>
            </w:r>
            <w:r>
              <w:rPr>
                <w:rStyle w:val="IndexLink"/>
                <w:rtl w:val="true"/>
              </w:rPr>
              <w:t>]</w:t>
              <w:tab/>
            </w:r>
            <w:r>
              <w:rPr>
                <w:rStyle w:val="IndexLink"/>
              </w:rPr>
              <w:t>43</w:t>
            </w:r>
          </w:hyperlink>
        </w:p>
        <w:p>
          <w:pPr>
            <w:pStyle w:val="Contents4"/>
            <w:tabs>
              <w:tab w:val="clear" w:pos="8176"/>
              <w:tab w:val="right" w:pos="9026" w:leader="dot"/>
            </w:tabs>
            <w:rPr/>
          </w:pPr>
          <w:hyperlink w:anchor="__RefHeading___Toc3878021_3804643083">
            <w:r>
              <w:rPr>
                <w:webHidden/>
                <w:rStyle w:val="IndexLink"/>
                <w:rtl w:val="true"/>
              </w:rPr>
              <w:t>[</w:t>
            </w:r>
            <w:r>
              <w:rPr>
                <w:rStyle w:val="IndexLink"/>
                <w:rtl w:val="true"/>
              </w:rPr>
              <w:t>حرمة الوصية بالمعصية و بطلانها</w:t>
            </w:r>
            <w:r>
              <w:rPr>
                <w:rStyle w:val="IndexLink"/>
                <w:rtl w:val="true"/>
              </w:rPr>
              <w:t>]</w:t>
              <w:tab/>
            </w:r>
            <w:r>
              <w:rPr>
                <w:rStyle w:val="IndexLink"/>
              </w:rPr>
              <w:t>47</w:t>
            </w:r>
          </w:hyperlink>
        </w:p>
        <w:p>
          <w:pPr>
            <w:pStyle w:val="Contents4"/>
            <w:tabs>
              <w:tab w:val="clear" w:pos="8176"/>
              <w:tab w:val="right" w:pos="9026" w:leader="dot"/>
            </w:tabs>
            <w:rPr/>
          </w:pPr>
          <w:hyperlink w:anchor="__RefHeading___Toc3878023_3804643083">
            <w:r>
              <w:rPr>
                <w:webHidden/>
                <w:rStyle w:val="IndexLink"/>
                <w:rtl w:val="true"/>
              </w:rPr>
              <w:t>[</w:t>
            </w:r>
            <w:r>
              <w:rPr>
                <w:rStyle w:val="IndexLink"/>
                <w:rtl w:val="true"/>
              </w:rPr>
              <w:t>الوصية مطلقا جائزة من طرف الموصي</w:t>
            </w:r>
            <w:r>
              <w:rPr>
                <w:rStyle w:val="IndexLink"/>
                <w:rtl w:val="true"/>
              </w:rPr>
              <w:t>]</w:t>
              <w:tab/>
            </w:r>
            <w:r>
              <w:rPr>
                <w:rStyle w:val="IndexLink"/>
              </w:rPr>
              <w:t>49</w:t>
            </w:r>
          </w:hyperlink>
        </w:p>
        <w:p>
          <w:pPr>
            <w:pStyle w:val="Contents4"/>
            <w:tabs>
              <w:tab w:val="clear" w:pos="8176"/>
              <w:tab w:val="right" w:pos="9026" w:leader="dot"/>
            </w:tabs>
            <w:rPr/>
          </w:pPr>
          <w:hyperlink w:anchor="__RefHeading___Toc3878025_3804643083">
            <w:r>
              <w:rPr>
                <w:webHidden/>
                <w:rStyle w:val="IndexLink"/>
                <w:rtl w:val="true"/>
              </w:rPr>
              <w:t>[</w:t>
            </w:r>
            <w:r>
              <w:rPr>
                <w:rStyle w:val="IndexLink"/>
                <w:rtl w:val="true"/>
              </w:rPr>
              <w:t>تحقق الرجوع باللفظ أو فعل المنافي</w:t>
            </w:r>
            <w:r>
              <w:rPr>
                <w:rStyle w:val="IndexLink"/>
                <w:rtl w:val="true"/>
              </w:rPr>
              <w:t>]</w:t>
              <w:tab/>
            </w:r>
            <w:r>
              <w:rPr>
                <w:rStyle w:val="IndexLink"/>
              </w:rPr>
              <w:t>50</w:t>
            </w:r>
          </w:hyperlink>
        </w:p>
        <w:p>
          <w:pPr>
            <w:pStyle w:val="Contents5"/>
            <w:tabs>
              <w:tab w:val="clear" w:pos="7892"/>
              <w:tab w:val="right" w:pos="9026" w:leader="dot"/>
            </w:tabs>
            <w:rPr/>
          </w:pPr>
          <w:hyperlink w:anchor="__RefHeading___Toc3878027_3804643083">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3878029_3804643083">
            <w:r>
              <w:rPr>
                <w:webHidden/>
                <w:rStyle w:val="IndexLink"/>
                <w:rtl w:val="true"/>
              </w:rPr>
              <w:t>[</w:t>
            </w:r>
            <w:r>
              <w:rPr>
                <w:rStyle w:val="IndexLink"/>
                <w:rtl w:val="true"/>
              </w:rPr>
              <w:t>ارتكاب فعل المنافي غفلة</w:t>
            </w:r>
            <w:r>
              <w:rPr>
                <w:rStyle w:val="IndexLink"/>
                <w:rtl w:val="true"/>
              </w:rPr>
              <w:t>]</w:t>
              <w:tab/>
            </w:r>
            <w:r>
              <w:rPr>
                <w:rStyle w:val="IndexLink"/>
              </w:rPr>
              <w:t>50</w:t>
            </w:r>
          </w:hyperlink>
        </w:p>
        <w:p>
          <w:pPr>
            <w:pStyle w:val="Contents5"/>
            <w:tabs>
              <w:tab w:val="clear" w:pos="7892"/>
              <w:tab w:val="right" w:pos="9026" w:leader="dot"/>
            </w:tabs>
            <w:rPr/>
          </w:pPr>
          <w:hyperlink w:anchor="__RefHeading___Toc3878031_3804643083">
            <w:r>
              <w:rPr>
                <w:webHidden/>
                <w:rStyle w:val="IndexLink"/>
                <w:rtl w:val="true"/>
              </w:rPr>
              <w:t>[</w:t>
            </w:r>
            <w:r>
              <w:rPr>
                <w:rStyle w:val="IndexLink"/>
                <w:rtl w:val="true"/>
              </w:rPr>
              <w:t>إخراج الموصى به عن مسماه رجوع</w:t>
            </w:r>
            <w:r>
              <w:rPr>
                <w:rStyle w:val="IndexLink"/>
                <w:rtl w:val="true"/>
              </w:rPr>
              <w:t>]</w:t>
              <w:tab/>
            </w:r>
            <w:r>
              <w:rPr>
                <w:rStyle w:val="IndexLink"/>
              </w:rPr>
              <w:t>52</w:t>
            </w:r>
          </w:hyperlink>
        </w:p>
        <w:p>
          <w:pPr>
            <w:pStyle w:val="Contents2"/>
            <w:tabs>
              <w:tab w:val="clear" w:pos="8743"/>
              <w:tab w:val="right" w:pos="9026" w:leader="dot"/>
            </w:tabs>
            <w:rPr/>
          </w:pPr>
          <w:hyperlink w:anchor="__RefHeading___Toc3878033_3804643083">
            <w:r>
              <w:rPr>
                <w:webHidden/>
                <w:rStyle w:val="IndexLink"/>
                <w:rtl w:val="true"/>
              </w:rPr>
              <w:t>الفصل الثّاني في الموصي</w:t>
            </w:r>
            <w:r>
              <w:rPr>
                <w:rStyle w:val="IndexLink"/>
                <w:rtl w:val="true"/>
              </w:rPr>
              <w:tab/>
            </w:r>
            <w:r>
              <w:rPr>
                <w:rStyle w:val="IndexLink"/>
              </w:rPr>
              <w:t>53</w:t>
            </w:r>
          </w:hyperlink>
        </w:p>
        <w:p>
          <w:pPr>
            <w:pStyle w:val="Contents2"/>
            <w:tabs>
              <w:tab w:val="clear" w:pos="8743"/>
              <w:tab w:val="right" w:pos="9026" w:leader="dot"/>
            </w:tabs>
            <w:rPr/>
          </w:pPr>
          <w:hyperlink w:anchor="__RefHeading___Toc3878035_3804643083">
            <w:r>
              <w:rPr>
                <w:webHidden/>
                <w:rStyle w:val="IndexLink"/>
                <w:rtl w:val="true"/>
              </w:rPr>
              <w:t>الفصل الثّالث في الموصى به</w:t>
            </w:r>
            <w:r>
              <w:rPr>
                <w:rStyle w:val="IndexLink"/>
                <w:rtl w:val="true"/>
              </w:rPr>
              <w:tab/>
            </w:r>
            <w:r>
              <w:rPr>
                <w:rStyle w:val="IndexLink"/>
              </w:rPr>
              <w:t>56</w:t>
            </w:r>
          </w:hyperlink>
        </w:p>
        <w:p>
          <w:pPr>
            <w:pStyle w:val="Contents3"/>
            <w:tabs>
              <w:tab w:val="clear" w:pos="8459"/>
              <w:tab w:val="right" w:pos="9026" w:leader="dot"/>
            </w:tabs>
            <w:rPr/>
          </w:pPr>
          <w:hyperlink w:anchor="__RefHeading___Toc3878037_380464308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878039_3804643083">
            <w:r>
              <w:rPr>
                <w:webHidden/>
                <w:rStyle w:val="IndexLink"/>
                <w:rtl w:val="true"/>
              </w:rPr>
              <w:t>[</w:t>
            </w:r>
            <w:r>
              <w:rPr>
                <w:rStyle w:val="IndexLink"/>
                <w:rtl w:val="true"/>
              </w:rPr>
              <w:t>في متعلق الوصية</w:t>
            </w:r>
            <w:r>
              <w:rPr>
                <w:rStyle w:val="IndexLink"/>
                <w:rtl w:val="true"/>
              </w:rPr>
              <w:t>]</w:t>
              <w:tab/>
            </w:r>
            <w:r>
              <w:rPr>
                <w:rStyle w:val="IndexLink"/>
              </w:rPr>
              <w:t>57</w:t>
            </w:r>
          </w:hyperlink>
        </w:p>
        <w:p>
          <w:pPr>
            <w:pStyle w:val="Contents4"/>
            <w:tabs>
              <w:tab w:val="clear" w:pos="8176"/>
              <w:tab w:val="right" w:pos="9026" w:leader="dot"/>
            </w:tabs>
            <w:rPr/>
          </w:pPr>
          <w:hyperlink w:anchor="__RefHeading___Toc3878041_380464308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878043_3804643083">
            <w:r>
              <w:rPr>
                <w:webHidden/>
                <w:rStyle w:val="IndexLink"/>
                <w:rtl w:val="true"/>
              </w:rPr>
              <w:t>[</w:t>
            </w:r>
            <w:r>
              <w:rPr>
                <w:rStyle w:val="IndexLink"/>
                <w:rtl w:val="true"/>
              </w:rPr>
              <w:t>متعلق الوصية إما عين أو منفعة</w:t>
            </w:r>
            <w:r>
              <w:rPr>
                <w:rStyle w:val="IndexLink"/>
                <w:rtl w:val="true"/>
              </w:rPr>
              <w:t>]</w:t>
              <w:tab/>
            </w:r>
            <w:r>
              <w:rPr>
                <w:rStyle w:val="IndexLink"/>
              </w:rPr>
              <w:t>57</w:t>
            </w:r>
          </w:hyperlink>
        </w:p>
        <w:p>
          <w:pPr>
            <w:pStyle w:val="Contents4"/>
            <w:tabs>
              <w:tab w:val="clear" w:pos="8176"/>
              <w:tab w:val="right" w:pos="9026" w:leader="dot"/>
            </w:tabs>
            <w:rPr/>
          </w:pPr>
          <w:hyperlink w:anchor="__RefHeading___Toc3878045_3804643083">
            <w:r>
              <w:rPr>
                <w:webHidden/>
                <w:rStyle w:val="IndexLink"/>
                <w:rtl w:val="true"/>
              </w:rPr>
              <w:t>[</w:t>
            </w:r>
            <w:r>
              <w:rPr>
                <w:rStyle w:val="IndexLink"/>
                <w:rtl w:val="true"/>
              </w:rPr>
              <w:t>اعتبار الملك أو الاختصاص في المتعلق</w:t>
            </w:r>
            <w:r>
              <w:rPr>
                <w:rStyle w:val="IndexLink"/>
                <w:rtl w:val="true"/>
              </w:rPr>
              <w:t>]</w:t>
              <w:tab/>
            </w:r>
            <w:r>
              <w:rPr>
                <w:rStyle w:val="IndexLink"/>
              </w:rPr>
              <w:t>57</w:t>
            </w:r>
          </w:hyperlink>
        </w:p>
        <w:p>
          <w:pPr>
            <w:pStyle w:val="Contents4"/>
            <w:tabs>
              <w:tab w:val="clear" w:pos="8176"/>
              <w:tab w:val="right" w:pos="9026" w:leader="dot"/>
            </w:tabs>
            <w:rPr/>
          </w:pPr>
          <w:hyperlink w:anchor="__RefHeading___Toc3878047_3804643083">
            <w:r>
              <w:rPr>
                <w:webHidden/>
                <w:rStyle w:val="IndexLink"/>
                <w:rtl w:val="true"/>
              </w:rPr>
              <w:t>[</w:t>
            </w:r>
            <w:r>
              <w:rPr>
                <w:rStyle w:val="IndexLink"/>
                <w:rtl w:val="true"/>
              </w:rPr>
              <w:t>اشتراط كون متعلق الوصية بمقدار الثلث</w:t>
            </w:r>
            <w:r>
              <w:rPr>
                <w:rStyle w:val="IndexLink"/>
                <w:rtl w:val="true"/>
              </w:rPr>
              <w:t>]</w:t>
              <w:tab/>
            </w:r>
            <w:r>
              <w:rPr>
                <w:rStyle w:val="IndexLink"/>
              </w:rPr>
              <w:t>58</w:t>
            </w:r>
          </w:hyperlink>
        </w:p>
        <w:p>
          <w:pPr>
            <w:pStyle w:val="Contents4"/>
            <w:tabs>
              <w:tab w:val="clear" w:pos="8176"/>
              <w:tab w:val="right" w:pos="9026" w:leader="dot"/>
            </w:tabs>
            <w:rPr/>
          </w:pPr>
          <w:hyperlink w:anchor="__RefHeading___Toc3878049_3804643083">
            <w:r>
              <w:rPr>
                <w:webHidden/>
                <w:rStyle w:val="IndexLink"/>
                <w:rtl w:val="true"/>
              </w:rPr>
              <w:t>[</w:t>
            </w:r>
            <w:r>
              <w:rPr>
                <w:rStyle w:val="IndexLink"/>
                <w:rtl w:val="true"/>
              </w:rPr>
              <w:t>بطلان الوصية فيما زاد عن الثلث</w:t>
            </w:r>
            <w:r>
              <w:rPr>
                <w:rStyle w:val="IndexLink"/>
                <w:rtl w:val="true"/>
              </w:rPr>
              <w:t>]</w:t>
              <w:tab/>
            </w:r>
            <w:r>
              <w:rPr>
                <w:rStyle w:val="IndexLink"/>
              </w:rPr>
              <w:t>58</w:t>
            </w:r>
          </w:hyperlink>
        </w:p>
        <w:p>
          <w:pPr>
            <w:pStyle w:val="Contents5"/>
            <w:tabs>
              <w:tab w:val="clear" w:pos="7892"/>
              <w:tab w:val="right" w:pos="9026" w:leader="dot"/>
            </w:tabs>
            <w:rPr/>
          </w:pPr>
          <w:hyperlink w:anchor="__RefHeading___Toc3878051_380464308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878053_3804643083">
            <w:r>
              <w:rPr>
                <w:webHidden/>
                <w:rStyle w:val="IndexLink"/>
                <w:rtl w:val="true"/>
              </w:rPr>
              <w:t>[</w:t>
            </w:r>
            <w:r>
              <w:rPr>
                <w:rStyle w:val="IndexLink"/>
                <w:rtl w:val="true"/>
              </w:rPr>
              <w:t>قول الصدوق بلزوم الوصية و إن تجاوزت الثلث</w:t>
            </w:r>
            <w:r>
              <w:rPr>
                <w:rStyle w:val="IndexLink"/>
                <w:rtl w:val="true"/>
              </w:rPr>
              <w:t>]</w:t>
              <w:tab/>
            </w:r>
            <w:r>
              <w:rPr>
                <w:rStyle w:val="IndexLink"/>
              </w:rPr>
              <w:t>60</w:t>
            </w:r>
          </w:hyperlink>
        </w:p>
        <w:p>
          <w:pPr>
            <w:pStyle w:val="Contents4"/>
            <w:tabs>
              <w:tab w:val="clear" w:pos="8176"/>
              <w:tab w:val="right" w:pos="9026" w:leader="dot"/>
            </w:tabs>
            <w:rPr/>
          </w:pPr>
          <w:hyperlink w:anchor="__RefHeading___Toc3878055_3804643083">
            <w:r>
              <w:rPr>
                <w:webHidden/>
                <w:rStyle w:val="IndexLink"/>
                <w:rtl w:val="true"/>
              </w:rPr>
              <w:t>[</w:t>
            </w:r>
            <w:r>
              <w:rPr>
                <w:rStyle w:val="IndexLink"/>
                <w:rtl w:val="true"/>
              </w:rPr>
              <w:t>الوصية بالواجب و غيره هل تخرج من الأصل أو الثلث و بيان المراد من الإيصاء بالواجب</w:t>
            </w:r>
            <w:r>
              <w:rPr>
                <w:rStyle w:val="IndexLink"/>
                <w:rtl w:val="true"/>
              </w:rPr>
              <w:t>]</w:t>
              <w:tab/>
            </w:r>
            <w:r>
              <w:rPr>
                <w:rStyle w:val="IndexLink"/>
              </w:rPr>
              <w:t>61</w:t>
            </w:r>
          </w:hyperlink>
        </w:p>
        <w:p>
          <w:pPr>
            <w:pStyle w:val="Contents4"/>
            <w:tabs>
              <w:tab w:val="clear" w:pos="8176"/>
              <w:tab w:val="right" w:pos="9026" w:leader="dot"/>
            </w:tabs>
            <w:rPr/>
          </w:pPr>
          <w:hyperlink w:anchor="__RefHeading___Toc3878057_3804643083">
            <w:r>
              <w:rPr>
                <w:webHidden/>
                <w:rStyle w:val="IndexLink"/>
                <w:rtl w:val="true"/>
              </w:rPr>
              <w:t>[</w:t>
            </w:r>
            <w:r>
              <w:rPr>
                <w:rStyle w:val="IndexLink"/>
                <w:rtl w:val="true"/>
              </w:rPr>
              <w:t>الواجب البدني و غيره عدا الواجب المالي يخرج من الثلث</w:t>
            </w:r>
            <w:r>
              <w:rPr>
                <w:rStyle w:val="IndexLink"/>
                <w:rtl w:val="true"/>
              </w:rPr>
              <w:t>]</w:t>
              <w:tab/>
            </w:r>
            <w:r>
              <w:rPr>
                <w:rStyle w:val="IndexLink"/>
              </w:rPr>
              <w:t>63</w:t>
            </w:r>
          </w:hyperlink>
        </w:p>
        <w:p>
          <w:pPr>
            <w:pStyle w:val="Contents5"/>
            <w:tabs>
              <w:tab w:val="clear" w:pos="7892"/>
              <w:tab w:val="right" w:pos="9026" w:leader="dot"/>
            </w:tabs>
            <w:rPr/>
          </w:pPr>
          <w:hyperlink w:anchor="__RefHeading___Toc3878059_3804643083">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878061_3804643083">
            <w:r>
              <w:rPr>
                <w:webHidden/>
                <w:rStyle w:val="IndexLink"/>
                <w:rtl w:val="true"/>
              </w:rPr>
              <w:t>[</w:t>
            </w:r>
            <w:r>
              <w:rPr>
                <w:rStyle w:val="IndexLink"/>
                <w:rtl w:val="true"/>
              </w:rPr>
              <w:t>القول بتقديم الواجب البدني</w:t>
            </w:r>
            <w:r>
              <w:rPr>
                <w:rStyle w:val="IndexLink"/>
                <w:rtl w:val="true"/>
              </w:rPr>
              <w:t>]</w:t>
              <w:tab/>
            </w:r>
            <w:r>
              <w:rPr>
                <w:rStyle w:val="IndexLink"/>
              </w:rPr>
              <w:t>64</w:t>
            </w:r>
          </w:hyperlink>
        </w:p>
        <w:p>
          <w:pPr>
            <w:pStyle w:val="Contents4"/>
            <w:tabs>
              <w:tab w:val="clear" w:pos="8176"/>
              <w:tab w:val="right" w:pos="9026" w:leader="dot"/>
            </w:tabs>
            <w:rPr/>
          </w:pPr>
          <w:hyperlink w:anchor="__RefHeading___Toc3878063_3804643083">
            <w:r>
              <w:rPr>
                <w:webHidden/>
                <w:rStyle w:val="IndexLink"/>
                <w:rtl w:val="true"/>
              </w:rPr>
              <w:t>[</w:t>
            </w:r>
            <w:r>
              <w:rPr>
                <w:rStyle w:val="IndexLink"/>
                <w:rtl w:val="true"/>
              </w:rPr>
              <w:t>البدء بالأول فالأول مع عدم الواجب أو الواجب المالي</w:t>
            </w:r>
            <w:r>
              <w:rPr>
                <w:rStyle w:val="IndexLink"/>
                <w:rtl w:val="true"/>
              </w:rPr>
              <w:t>]</w:t>
              <w:tab/>
            </w:r>
            <w:r>
              <w:rPr>
                <w:rStyle w:val="IndexLink"/>
              </w:rPr>
              <w:t>66</w:t>
            </w:r>
          </w:hyperlink>
        </w:p>
        <w:p>
          <w:pPr>
            <w:pStyle w:val="Contents5"/>
            <w:tabs>
              <w:tab w:val="clear" w:pos="7892"/>
              <w:tab w:val="right" w:pos="9026" w:leader="dot"/>
            </w:tabs>
            <w:rPr/>
          </w:pPr>
          <w:hyperlink w:anchor="__RefHeading___Toc3878065_3804643083">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878067_3804643083">
            <w:r>
              <w:rPr>
                <w:webHidden/>
                <w:rStyle w:val="IndexLink"/>
                <w:rtl w:val="true"/>
              </w:rPr>
              <w:t>[</w:t>
            </w:r>
            <w:r>
              <w:rPr>
                <w:rStyle w:val="IndexLink"/>
                <w:rtl w:val="true"/>
              </w:rPr>
              <w:t>بيان المراد من الأوّل</w:t>
            </w:r>
            <w:r>
              <w:rPr>
                <w:rStyle w:val="IndexLink"/>
                <w:rtl w:val="true"/>
              </w:rPr>
              <w:t>]</w:t>
              <w:tab/>
            </w:r>
            <w:r>
              <w:rPr>
                <w:rStyle w:val="IndexLink"/>
              </w:rPr>
              <w:t>67</w:t>
            </w:r>
          </w:hyperlink>
        </w:p>
        <w:p>
          <w:pPr>
            <w:pStyle w:val="Contents4"/>
            <w:tabs>
              <w:tab w:val="clear" w:pos="8176"/>
              <w:tab w:val="right" w:pos="9026" w:leader="dot"/>
            </w:tabs>
            <w:rPr/>
          </w:pPr>
          <w:hyperlink w:anchor="__RefHeading___Toc3878069_3804643083">
            <w:r>
              <w:rPr>
                <w:webHidden/>
                <w:rStyle w:val="IndexLink"/>
                <w:rtl w:val="true"/>
              </w:rPr>
              <w:t>[</w:t>
            </w:r>
            <w:r>
              <w:rPr>
                <w:rStyle w:val="IndexLink"/>
                <w:rtl w:val="true"/>
              </w:rPr>
              <w:t>الوصية بثلث من ماله و لآخر بربعه</w:t>
            </w:r>
            <w:r>
              <w:rPr>
                <w:rStyle w:val="IndexLink"/>
                <w:rtl w:val="true"/>
              </w:rPr>
              <w:t>]</w:t>
              <w:tab/>
            </w:r>
            <w:r>
              <w:rPr>
                <w:rStyle w:val="IndexLink"/>
              </w:rPr>
              <w:t>67</w:t>
            </w:r>
          </w:hyperlink>
        </w:p>
        <w:p>
          <w:pPr>
            <w:pStyle w:val="Contents4"/>
            <w:tabs>
              <w:tab w:val="clear" w:pos="8176"/>
              <w:tab w:val="right" w:pos="9026" w:leader="dot"/>
            </w:tabs>
            <w:rPr/>
          </w:pPr>
          <w:hyperlink w:anchor="__RefHeading___Toc3878071_3804643083">
            <w:r>
              <w:rPr>
                <w:webHidden/>
                <w:rStyle w:val="IndexLink"/>
                <w:rtl w:val="true"/>
              </w:rPr>
              <w:t>[</w:t>
            </w:r>
            <w:r>
              <w:rPr>
                <w:rStyle w:val="IndexLink"/>
                <w:rtl w:val="true"/>
              </w:rPr>
              <w:t>الوصية بثلثه لواحد، و بثلثه لآخر</w:t>
            </w:r>
            <w:r>
              <w:rPr>
                <w:rStyle w:val="IndexLink"/>
                <w:rtl w:val="true"/>
              </w:rPr>
              <w:t>]</w:t>
              <w:tab/>
            </w:r>
            <w:r>
              <w:rPr>
                <w:rStyle w:val="IndexLink"/>
              </w:rPr>
              <w:t>68</w:t>
            </w:r>
          </w:hyperlink>
        </w:p>
        <w:p>
          <w:pPr>
            <w:pStyle w:val="Contents4"/>
            <w:tabs>
              <w:tab w:val="clear" w:pos="8176"/>
              <w:tab w:val="right" w:pos="9026" w:leader="dot"/>
            </w:tabs>
            <w:rPr/>
          </w:pPr>
          <w:hyperlink w:anchor="__RefHeading___Toc3878073_3804643083">
            <w:r>
              <w:rPr>
                <w:webHidden/>
                <w:rStyle w:val="IndexLink"/>
                <w:rtl w:val="true"/>
              </w:rPr>
              <w:t>[</w:t>
            </w:r>
            <w:r>
              <w:rPr>
                <w:rStyle w:val="IndexLink"/>
                <w:rtl w:val="true"/>
              </w:rPr>
              <w:t>إخراج الأول بالقرعة مع الاشتباه</w:t>
            </w:r>
            <w:r>
              <w:rPr>
                <w:rStyle w:val="IndexLink"/>
                <w:rtl w:val="true"/>
              </w:rPr>
              <w:t>]</w:t>
              <w:tab/>
            </w:r>
            <w:r>
              <w:rPr>
                <w:rStyle w:val="IndexLink"/>
              </w:rPr>
              <w:t>68</w:t>
            </w:r>
          </w:hyperlink>
        </w:p>
        <w:p>
          <w:pPr>
            <w:pStyle w:val="Contents4"/>
            <w:tabs>
              <w:tab w:val="clear" w:pos="8176"/>
              <w:tab w:val="right" w:pos="9026" w:leader="dot"/>
            </w:tabs>
            <w:rPr/>
          </w:pPr>
          <w:hyperlink w:anchor="__RefHeading___Toc3878075_3804643083">
            <w:r>
              <w:rPr>
                <w:webHidden/>
                <w:rStyle w:val="IndexLink"/>
                <w:rtl w:val="true"/>
              </w:rPr>
              <w:t>[</w:t>
            </w:r>
            <w:r>
              <w:rPr>
                <w:rStyle w:val="IndexLink"/>
                <w:rtl w:val="true"/>
              </w:rPr>
              <w:t>الوصية بعتق مماليكه</w:t>
            </w:r>
            <w:r>
              <w:rPr>
                <w:rStyle w:val="IndexLink"/>
                <w:rtl w:val="true"/>
              </w:rPr>
              <w:t>]</w:t>
              <w:tab/>
            </w:r>
            <w:r>
              <w:rPr>
                <w:rStyle w:val="IndexLink"/>
              </w:rPr>
              <w:t>68</w:t>
            </w:r>
          </w:hyperlink>
        </w:p>
        <w:p>
          <w:pPr>
            <w:pStyle w:val="Contents4"/>
            <w:tabs>
              <w:tab w:val="clear" w:pos="8176"/>
              <w:tab w:val="right" w:pos="9026" w:leader="dot"/>
            </w:tabs>
            <w:rPr/>
          </w:pPr>
          <w:hyperlink w:anchor="__RefHeading___Toc3878077_3804643083">
            <w:r>
              <w:rPr>
                <w:webHidden/>
                <w:rStyle w:val="IndexLink"/>
                <w:rtl w:val="true"/>
              </w:rPr>
              <w:t>[</w:t>
            </w:r>
            <w:r>
              <w:rPr>
                <w:rStyle w:val="IndexLink"/>
                <w:rtl w:val="true"/>
              </w:rPr>
              <w:t>إجازة الورثة للنصف مع اعتقاد قلته</w:t>
            </w:r>
            <w:r>
              <w:rPr>
                <w:rStyle w:val="IndexLink"/>
                <w:rtl w:val="true"/>
              </w:rPr>
              <w:t>]</w:t>
              <w:tab/>
            </w:r>
            <w:r>
              <w:rPr>
                <w:rStyle w:val="IndexLink"/>
              </w:rPr>
              <w:t>71</w:t>
            </w:r>
          </w:hyperlink>
        </w:p>
        <w:p>
          <w:pPr>
            <w:pStyle w:val="Contents4"/>
            <w:tabs>
              <w:tab w:val="clear" w:pos="8176"/>
              <w:tab w:val="right" w:pos="9026" w:leader="dot"/>
            </w:tabs>
            <w:rPr/>
          </w:pPr>
          <w:hyperlink w:anchor="__RefHeading___Toc3878079_3804643083">
            <w:r>
              <w:rPr>
                <w:webHidden/>
                <w:rStyle w:val="IndexLink"/>
                <w:rtl w:val="true"/>
              </w:rPr>
              <w:t>[</w:t>
            </w:r>
            <w:r>
              <w:rPr>
                <w:rStyle w:val="IndexLink"/>
                <w:rtl w:val="true"/>
              </w:rPr>
              <w:t>إجازة الورثة للوصية بالمعلوم لو ادعوا ظن القلة</w:t>
            </w:r>
            <w:r>
              <w:rPr>
                <w:rStyle w:val="IndexLink"/>
                <w:rtl w:val="true"/>
              </w:rPr>
              <w:t>]</w:t>
              <w:tab/>
            </w:r>
            <w:r>
              <w:rPr>
                <w:rStyle w:val="IndexLink"/>
              </w:rPr>
              <w:t>73</w:t>
            </w:r>
          </w:hyperlink>
        </w:p>
        <w:p>
          <w:pPr>
            <w:pStyle w:val="Contents4"/>
            <w:tabs>
              <w:tab w:val="clear" w:pos="8176"/>
              <w:tab w:val="right" w:pos="9026" w:leader="dot"/>
            </w:tabs>
            <w:rPr/>
          </w:pPr>
          <w:hyperlink w:anchor="__RefHeading___Toc3878081_3804643083">
            <w:r>
              <w:rPr>
                <w:webHidden/>
                <w:rStyle w:val="IndexLink"/>
                <w:rtl w:val="true"/>
              </w:rPr>
              <w:t>[</w:t>
            </w:r>
            <w:r>
              <w:rPr>
                <w:rStyle w:val="IndexLink"/>
                <w:rtl w:val="true"/>
              </w:rPr>
              <w:t>الوصية بشي‌ء معين كان مقدار الثلث</w:t>
            </w:r>
            <w:r>
              <w:rPr>
                <w:rStyle w:val="IndexLink"/>
                <w:rtl w:val="true"/>
              </w:rPr>
              <w:t>]</w:t>
              <w:tab/>
            </w:r>
            <w:r>
              <w:rPr>
                <w:rStyle w:val="IndexLink"/>
              </w:rPr>
              <w:t>74</w:t>
            </w:r>
          </w:hyperlink>
        </w:p>
        <w:p>
          <w:pPr>
            <w:pStyle w:val="Contents4"/>
            <w:tabs>
              <w:tab w:val="clear" w:pos="8176"/>
              <w:tab w:val="right" w:pos="9026" w:leader="dot"/>
            </w:tabs>
            <w:rPr/>
          </w:pPr>
          <w:hyperlink w:anchor="__RefHeading___Toc3878083_3804643083">
            <w:r>
              <w:rPr>
                <w:webHidden/>
                <w:rStyle w:val="IndexLink"/>
                <w:rtl w:val="true"/>
              </w:rPr>
              <w:t>[</w:t>
            </w:r>
            <w:r>
              <w:rPr>
                <w:rStyle w:val="IndexLink"/>
                <w:rtl w:val="true"/>
              </w:rPr>
              <w:t>اعتبار كون ضعف الموصى به في يد الورثة في استقرار ملك الموصى له</w:t>
            </w:r>
            <w:r>
              <w:rPr>
                <w:rStyle w:val="IndexLink"/>
                <w:rtl w:val="true"/>
              </w:rPr>
              <w:t>]</w:t>
              <w:tab/>
            </w:r>
            <w:r>
              <w:rPr>
                <w:rStyle w:val="IndexLink"/>
              </w:rPr>
              <w:t>75</w:t>
            </w:r>
          </w:hyperlink>
        </w:p>
        <w:p>
          <w:pPr>
            <w:pStyle w:val="Contents5"/>
            <w:tabs>
              <w:tab w:val="clear" w:pos="7892"/>
              <w:tab w:val="right" w:pos="9026" w:leader="dot"/>
            </w:tabs>
            <w:rPr/>
          </w:pPr>
          <w:hyperlink w:anchor="__RefHeading___Toc3878085_380464308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878087_3804643083">
            <w:r>
              <w:rPr>
                <w:webHidden/>
                <w:rStyle w:val="IndexLink"/>
                <w:rtl w:val="true"/>
              </w:rPr>
              <w:t>[</w:t>
            </w:r>
            <w:r>
              <w:rPr>
                <w:rStyle w:val="IndexLink"/>
                <w:rtl w:val="true"/>
              </w:rPr>
              <w:t>المراد من حضور ضعف الموصى به لدى الورثة</w:t>
            </w:r>
            <w:r>
              <w:rPr>
                <w:rStyle w:val="IndexLink"/>
                <w:rtl w:val="true"/>
              </w:rPr>
              <w:t>]</w:t>
              <w:tab/>
            </w:r>
            <w:r>
              <w:rPr>
                <w:rStyle w:val="IndexLink"/>
              </w:rPr>
              <w:t>76</w:t>
            </w:r>
          </w:hyperlink>
        </w:p>
        <w:p>
          <w:pPr>
            <w:pStyle w:val="Contents4"/>
            <w:tabs>
              <w:tab w:val="clear" w:pos="8176"/>
              <w:tab w:val="right" w:pos="9026" w:leader="dot"/>
            </w:tabs>
            <w:rPr/>
          </w:pPr>
          <w:hyperlink w:anchor="__RefHeading___Toc3878089_3804643083">
            <w:r>
              <w:rPr>
                <w:webHidden/>
                <w:rStyle w:val="IndexLink"/>
                <w:rtl w:val="true"/>
              </w:rPr>
              <w:t>[</w:t>
            </w:r>
            <w:r>
              <w:rPr>
                <w:rStyle w:val="IndexLink"/>
                <w:rtl w:val="true"/>
              </w:rPr>
              <w:t>فرع</w:t>
            </w:r>
            <w:r>
              <w:rPr>
                <w:rStyle w:val="IndexLink"/>
                <w:rtl w:val="true"/>
              </w:rPr>
              <w:t>]</w:t>
              <w:tab/>
            </w:r>
            <w:r>
              <w:rPr>
                <w:rStyle w:val="IndexLink"/>
              </w:rPr>
              <w:t>78</w:t>
            </w:r>
          </w:hyperlink>
        </w:p>
        <w:p>
          <w:pPr>
            <w:pStyle w:val="Contents5"/>
            <w:tabs>
              <w:tab w:val="clear" w:pos="7892"/>
              <w:tab w:val="right" w:pos="9026" w:leader="dot"/>
            </w:tabs>
            <w:rPr/>
          </w:pPr>
          <w:hyperlink w:anchor="__RefHeading___Toc3878091_3804643083">
            <w:r>
              <w:rPr>
                <w:webHidden/>
                <w:rStyle w:val="IndexLink"/>
                <w:rtl w:val="true"/>
              </w:rPr>
              <w:t>[</w:t>
            </w:r>
            <w:r>
              <w:rPr>
                <w:rStyle w:val="IndexLink"/>
                <w:rtl w:val="true"/>
              </w:rPr>
              <w:t>الوصية بثلث مال مع اعتقاد الموصي تملك الكل</w:t>
            </w:r>
            <w:r>
              <w:rPr>
                <w:rStyle w:val="IndexLink"/>
                <w:rtl w:val="true"/>
              </w:rPr>
              <w:t>]</w:t>
              <w:tab/>
            </w:r>
            <w:r>
              <w:rPr>
                <w:rStyle w:val="IndexLink"/>
              </w:rPr>
              <w:t>78</w:t>
            </w:r>
          </w:hyperlink>
        </w:p>
        <w:p>
          <w:pPr>
            <w:pStyle w:val="Contents5"/>
            <w:tabs>
              <w:tab w:val="clear" w:pos="7892"/>
              <w:tab w:val="right" w:pos="9026" w:leader="dot"/>
            </w:tabs>
            <w:rPr/>
          </w:pPr>
          <w:hyperlink w:anchor="__RefHeading___Toc3878093_3804643083">
            <w:r>
              <w:rPr>
                <w:webHidden/>
                <w:rStyle w:val="IndexLink"/>
                <w:rtl w:val="true"/>
              </w:rPr>
              <w:t>[</w:t>
            </w:r>
            <w:r>
              <w:rPr>
                <w:rStyle w:val="IndexLink"/>
                <w:rtl w:val="true"/>
              </w:rPr>
              <w:t>الوصية بما يصدق على المحلل و المحرم</w:t>
            </w:r>
            <w:r>
              <w:rPr>
                <w:rStyle w:val="IndexLink"/>
                <w:rtl w:val="true"/>
              </w:rPr>
              <w:t>]</w:t>
              <w:tab/>
            </w:r>
            <w:r>
              <w:rPr>
                <w:rStyle w:val="IndexLink"/>
              </w:rPr>
              <w:t>82</w:t>
            </w:r>
          </w:hyperlink>
        </w:p>
        <w:p>
          <w:pPr>
            <w:pStyle w:val="Contents5"/>
            <w:tabs>
              <w:tab w:val="clear" w:pos="7892"/>
              <w:tab w:val="right" w:pos="9026" w:leader="dot"/>
            </w:tabs>
            <w:rPr/>
          </w:pPr>
          <w:hyperlink w:anchor="__RefHeading___Toc3878095_3804643083">
            <w:r>
              <w:rPr>
                <w:webHidden/>
                <w:rStyle w:val="IndexLink"/>
                <w:rtl w:val="true"/>
              </w:rPr>
              <w:t>[</w:t>
            </w:r>
            <w:r>
              <w:rPr>
                <w:rStyle w:val="IndexLink"/>
                <w:rtl w:val="true"/>
              </w:rPr>
              <w:t>صحة الوصية بالكلاب المملوكة</w:t>
            </w:r>
            <w:r>
              <w:rPr>
                <w:rStyle w:val="IndexLink"/>
                <w:rtl w:val="true"/>
              </w:rPr>
              <w:t>]</w:t>
              <w:tab/>
            </w:r>
            <w:r>
              <w:rPr>
                <w:rStyle w:val="IndexLink"/>
              </w:rPr>
              <w:t>85</w:t>
            </w:r>
          </w:hyperlink>
        </w:p>
        <w:p>
          <w:pPr>
            <w:pStyle w:val="Contents3"/>
            <w:tabs>
              <w:tab w:val="clear" w:pos="8459"/>
              <w:tab w:val="right" w:pos="9026" w:leader="dot"/>
            </w:tabs>
            <w:rPr/>
          </w:pPr>
          <w:hyperlink w:anchor="__RefHeading___Toc3878097_3804643083">
            <w:r>
              <w:rPr>
                <w:webHidden/>
                <w:rStyle w:val="IndexLink"/>
                <w:rtl w:val="true"/>
              </w:rPr>
              <w:t>[</w:t>
            </w:r>
            <w:r>
              <w:rPr>
                <w:rStyle w:val="IndexLink"/>
                <w:rtl w:val="true"/>
              </w:rPr>
              <w:t>الطرف الثاني في الوصية المبهمة</w:t>
            </w:r>
            <w:r>
              <w:rPr>
                <w:rStyle w:val="IndexLink"/>
                <w:rtl w:val="true"/>
              </w:rPr>
              <w:t>]</w:t>
              <w:tab/>
            </w:r>
            <w:r>
              <w:rPr>
                <w:rStyle w:val="IndexLink"/>
              </w:rPr>
              <w:t>87</w:t>
            </w:r>
          </w:hyperlink>
        </w:p>
        <w:p>
          <w:pPr>
            <w:pStyle w:val="Contents4"/>
            <w:tabs>
              <w:tab w:val="clear" w:pos="8176"/>
              <w:tab w:val="right" w:pos="9026" w:leader="dot"/>
            </w:tabs>
            <w:rPr/>
          </w:pPr>
          <w:hyperlink w:anchor="__RefHeading___Toc3878099_380464308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878101_3804643083">
            <w:r>
              <w:rPr>
                <w:webHidden/>
                <w:rStyle w:val="IndexLink"/>
                <w:rtl w:val="true"/>
              </w:rPr>
              <w:t>[</w:t>
            </w:r>
            <w:r>
              <w:rPr>
                <w:rStyle w:val="IndexLink"/>
                <w:rtl w:val="true"/>
              </w:rPr>
              <w:t>تفريع</w:t>
            </w:r>
            <w:r>
              <w:rPr>
                <w:rStyle w:val="IndexLink"/>
                <w:rtl w:val="true"/>
              </w:rPr>
              <w:t>]</w:t>
              <w:tab/>
            </w:r>
            <w:r>
              <w:rPr>
                <w:rStyle w:val="IndexLink"/>
              </w:rPr>
              <w:t>88</w:t>
            </w:r>
          </w:hyperlink>
        </w:p>
        <w:p>
          <w:pPr>
            <w:pStyle w:val="Contents3"/>
            <w:tabs>
              <w:tab w:val="clear" w:pos="8459"/>
              <w:tab w:val="right" w:pos="9026" w:leader="dot"/>
            </w:tabs>
            <w:rPr/>
          </w:pPr>
          <w:hyperlink w:anchor="__RefHeading___Toc3878103_3804643083">
            <w:r>
              <w:rPr>
                <w:webHidden/>
                <w:rStyle w:val="IndexLink"/>
                <w:rtl w:val="true"/>
              </w:rPr>
              <w:t>[</w:t>
            </w:r>
            <w:r>
              <w:rPr>
                <w:rStyle w:val="IndexLink"/>
                <w:rtl w:val="true"/>
              </w:rPr>
              <w:t>الطرف الثالث في أحكام الوصيّة</w:t>
            </w:r>
            <w:r>
              <w:rPr>
                <w:rStyle w:val="IndexLink"/>
                <w:rtl w:val="true"/>
              </w:rPr>
              <w:t>]</w:t>
              <w:tab/>
            </w:r>
            <w:r>
              <w:rPr>
                <w:rStyle w:val="IndexLink"/>
              </w:rPr>
              <w:t>89</w:t>
            </w:r>
          </w:hyperlink>
        </w:p>
        <w:p>
          <w:pPr>
            <w:pStyle w:val="Contents4"/>
            <w:tabs>
              <w:tab w:val="clear" w:pos="8176"/>
              <w:tab w:val="right" w:pos="9026" w:leader="dot"/>
            </w:tabs>
            <w:rPr/>
          </w:pPr>
          <w:hyperlink w:anchor="__RefHeading___Toc3878105_380464308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878107_3804643083">
            <w:r>
              <w:rPr>
                <w:webHidden/>
                <w:rStyle w:val="IndexLink"/>
                <w:rtl w:val="true"/>
              </w:rPr>
              <w:t>[</w:t>
            </w:r>
            <w:r>
              <w:rPr>
                <w:rStyle w:val="IndexLink"/>
                <w:rtl w:val="true"/>
              </w:rPr>
              <w:t>صحة الوصية بالمنفعة أو النماء مؤبدا أو مدة معينة</w:t>
            </w:r>
            <w:r>
              <w:rPr>
                <w:rStyle w:val="IndexLink"/>
                <w:rtl w:val="true"/>
              </w:rPr>
              <w:t>]</w:t>
              <w:tab/>
            </w:r>
            <w:r>
              <w:rPr>
                <w:rStyle w:val="IndexLink"/>
              </w:rPr>
              <w:t>90</w:t>
            </w:r>
          </w:hyperlink>
        </w:p>
        <w:p>
          <w:pPr>
            <w:pStyle w:val="Contents4"/>
            <w:tabs>
              <w:tab w:val="clear" w:pos="8176"/>
              <w:tab w:val="right" w:pos="9026" w:leader="dot"/>
            </w:tabs>
            <w:rPr/>
          </w:pPr>
          <w:hyperlink w:anchor="__RefHeading___Toc3878109_3804643083">
            <w:r>
              <w:rPr>
                <w:webHidden/>
                <w:rStyle w:val="IndexLink"/>
                <w:rtl w:val="true"/>
              </w:rPr>
              <w:t>[</w:t>
            </w:r>
            <w:r>
              <w:rPr>
                <w:rStyle w:val="IndexLink"/>
                <w:rtl w:val="true"/>
              </w:rPr>
              <w:t>حكم الأعيان المعدومة حكم المنفعة</w:t>
            </w:r>
            <w:r>
              <w:rPr>
                <w:rStyle w:val="IndexLink"/>
                <w:rtl w:val="true"/>
              </w:rPr>
              <w:t>]</w:t>
              <w:tab/>
            </w:r>
            <w:r>
              <w:rPr>
                <w:rStyle w:val="IndexLink"/>
              </w:rPr>
              <w:t>93</w:t>
            </w:r>
          </w:hyperlink>
        </w:p>
        <w:p>
          <w:pPr>
            <w:pStyle w:val="Contents4"/>
            <w:tabs>
              <w:tab w:val="clear" w:pos="8176"/>
              <w:tab w:val="right" w:pos="9026" w:leader="dot"/>
            </w:tabs>
            <w:rPr/>
          </w:pPr>
          <w:hyperlink w:anchor="__RefHeading___Toc3878111_3804643083">
            <w:r>
              <w:rPr>
                <w:webHidden/>
                <w:rStyle w:val="IndexLink"/>
                <w:rtl w:val="true"/>
              </w:rPr>
              <w:t>[</w:t>
            </w:r>
            <w:r>
              <w:rPr>
                <w:rStyle w:val="IndexLink"/>
                <w:rtl w:val="true"/>
              </w:rPr>
              <w:t>حكم استمتاع الموصى له أو الوارث بالجارية الموصى بمنافعها</w:t>
            </w:r>
            <w:r>
              <w:rPr>
                <w:rStyle w:val="IndexLink"/>
                <w:rtl w:val="true"/>
              </w:rPr>
              <w:t>]</w:t>
              <w:tab/>
            </w:r>
            <w:r>
              <w:rPr>
                <w:rStyle w:val="IndexLink"/>
              </w:rPr>
              <w:t>93</w:t>
            </w:r>
          </w:hyperlink>
        </w:p>
        <w:p>
          <w:pPr>
            <w:pStyle w:val="Contents4"/>
            <w:tabs>
              <w:tab w:val="clear" w:pos="8176"/>
              <w:tab w:val="right" w:pos="9026" w:leader="dot"/>
            </w:tabs>
            <w:rPr/>
          </w:pPr>
          <w:hyperlink w:anchor="__RefHeading___Toc3878113_3804643083">
            <w:r>
              <w:rPr>
                <w:webHidden/>
                <w:rStyle w:val="IndexLink"/>
                <w:rtl w:val="true"/>
              </w:rPr>
              <w:t>[</w:t>
            </w:r>
            <w:r>
              <w:rPr>
                <w:rStyle w:val="IndexLink"/>
                <w:rtl w:val="true"/>
              </w:rPr>
              <w:t>ولد الجارية الموصى بمنافعها</w:t>
            </w:r>
            <w:r>
              <w:rPr>
                <w:rStyle w:val="IndexLink"/>
                <w:rtl w:val="true"/>
              </w:rPr>
              <w:t>]</w:t>
              <w:tab/>
            </w:r>
            <w:r>
              <w:rPr>
                <w:rStyle w:val="IndexLink"/>
              </w:rPr>
              <w:t>94</w:t>
            </w:r>
          </w:hyperlink>
        </w:p>
        <w:p>
          <w:pPr>
            <w:pStyle w:val="Contents5"/>
            <w:tabs>
              <w:tab w:val="clear" w:pos="7892"/>
              <w:tab w:val="right" w:pos="9026" w:leader="dot"/>
            </w:tabs>
            <w:rPr/>
          </w:pPr>
          <w:hyperlink w:anchor="__RefHeading___Toc3878115_3804643083">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878117_3804643083">
            <w:r>
              <w:rPr>
                <w:webHidden/>
                <w:rStyle w:val="IndexLink"/>
                <w:rtl w:val="true"/>
              </w:rPr>
              <w:t>و لو قتل هذا العبد عمدا بطل الوصيّة،</w:t>
            </w:r>
            <w:r>
              <w:rPr>
                <w:rStyle w:val="IndexLink"/>
                <w:rtl w:val="true"/>
              </w:rPr>
              <w:tab/>
            </w:r>
            <w:r>
              <w:rPr>
                <w:rStyle w:val="IndexLink"/>
              </w:rPr>
              <w:t>95</w:t>
            </w:r>
          </w:hyperlink>
        </w:p>
        <w:p>
          <w:pPr>
            <w:pStyle w:val="Contents5"/>
            <w:tabs>
              <w:tab w:val="clear" w:pos="7892"/>
              <w:tab w:val="right" w:pos="9026" w:leader="dot"/>
            </w:tabs>
            <w:rPr/>
          </w:pPr>
          <w:hyperlink w:anchor="__RefHeading___Toc3878119_3804643083">
            <w:r>
              <w:rPr>
                <w:webHidden/>
                <w:rStyle w:val="IndexLink"/>
                <w:rtl w:val="true"/>
              </w:rPr>
              <w:t>و لو جني عليها،</w:t>
            </w:r>
            <w:r>
              <w:rPr>
                <w:rStyle w:val="IndexLink"/>
                <w:rtl w:val="true"/>
              </w:rPr>
              <w:tab/>
            </w:r>
            <w:r>
              <w:rPr>
                <w:rStyle w:val="IndexLink"/>
              </w:rPr>
              <w:t>95</w:t>
            </w:r>
          </w:hyperlink>
        </w:p>
        <w:p>
          <w:pPr>
            <w:pStyle w:val="Contents4"/>
            <w:tabs>
              <w:tab w:val="clear" w:pos="8176"/>
              <w:tab w:val="right" w:pos="9026" w:leader="dot"/>
            </w:tabs>
            <w:rPr/>
          </w:pPr>
          <w:hyperlink w:anchor="__RefHeading___Toc3878121_3804643083">
            <w:r>
              <w:rPr>
                <w:webHidden/>
                <w:rStyle w:val="IndexLink"/>
                <w:rtl w:val="true"/>
              </w:rPr>
              <w:t>[</w:t>
            </w:r>
            <w:r>
              <w:rPr>
                <w:rStyle w:val="IndexLink"/>
                <w:rtl w:val="true"/>
              </w:rPr>
              <w:t>نفقة العبد الموصى بخدمته</w:t>
            </w:r>
            <w:r>
              <w:rPr>
                <w:rStyle w:val="IndexLink"/>
                <w:rtl w:val="true"/>
              </w:rPr>
              <w:t>]</w:t>
              <w:tab/>
            </w:r>
            <w:r>
              <w:rPr>
                <w:rStyle w:val="IndexLink"/>
              </w:rPr>
              <w:t>95</w:t>
            </w:r>
          </w:hyperlink>
        </w:p>
        <w:p>
          <w:pPr>
            <w:pStyle w:val="Contents4"/>
            <w:tabs>
              <w:tab w:val="clear" w:pos="8176"/>
              <w:tab w:val="right" w:pos="9026" w:leader="dot"/>
            </w:tabs>
            <w:rPr/>
          </w:pPr>
          <w:hyperlink w:anchor="__RefHeading___Toc3878123_3804643083">
            <w:r>
              <w:rPr>
                <w:webHidden/>
                <w:rStyle w:val="IndexLink"/>
                <w:rtl w:val="true"/>
              </w:rPr>
              <w:t>[</w:t>
            </w:r>
            <w:r>
              <w:rPr>
                <w:rStyle w:val="IndexLink"/>
                <w:rtl w:val="true"/>
              </w:rPr>
              <w:t>الوصية بقوس</w:t>
            </w:r>
            <w:r>
              <w:rPr>
                <w:rStyle w:val="IndexLink"/>
                <w:rtl w:val="true"/>
              </w:rPr>
              <w:t>]</w:t>
              <w:tab/>
            </w:r>
            <w:r>
              <w:rPr>
                <w:rStyle w:val="IndexLink"/>
              </w:rPr>
              <w:t>96</w:t>
            </w:r>
          </w:hyperlink>
        </w:p>
        <w:p>
          <w:pPr>
            <w:pStyle w:val="Contents4"/>
            <w:tabs>
              <w:tab w:val="clear" w:pos="8176"/>
              <w:tab w:val="right" w:pos="9026" w:leader="dot"/>
            </w:tabs>
            <w:rPr/>
          </w:pPr>
          <w:hyperlink w:anchor="__RefHeading___Toc3878125_3804643083">
            <w:r>
              <w:rPr>
                <w:webHidden/>
                <w:rStyle w:val="IndexLink"/>
                <w:rtl w:val="true"/>
              </w:rPr>
              <w:t>[</w:t>
            </w:r>
            <w:r>
              <w:rPr>
                <w:rStyle w:val="IndexLink"/>
                <w:rtl w:val="true"/>
              </w:rPr>
              <w:t>تعيين الفرد في الوصية بكلي متواطئ بيد الورثة</w:t>
            </w:r>
            <w:r>
              <w:rPr>
                <w:rStyle w:val="IndexLink"/>
                <w:rtl w:val="true"/>
              </w:rPr>
              <w:t>]</w:t>
              <w:tab/>
            </w:r>
            <w:r>
              <w:rPr>
                <w:rStyle w:val="IndexLink"/>
              </w:rPr>
              <w:t>96</w:t>
            </w:r>
          </w:hyperlink>
        </w:p>
        <w:p>
          <w:pPr>
            <w:pStyle w:val="Contents4"/>
            <w:tabs>
              <w:tab w:val="clear" w:pos="8176"/>
              <w:tab w:val="right" w:pos="9026" w:leader="dot"/>
            </w:tabs>
            <w:rPr/>
          </w:pPr>
          <w:hyperlink w:anchor="__RefHeading___Toc3878127_3804643083">
            <w:r>
              <w:rPr>
                <w:webHidden/>
                <w:rStyle w:val="IndexLink"/>
                <w:rtl w:val="true"/>
              </w:rPr>
              <w:t>[</w:t>
            </w:r>
            <w:r>
              <w:rPr>
                <w:rStyle w:val="IndexLink"/>
                <w:rtl w:val="true"/>
              </w:rPr>
              <w:t>حكم الوصية بالمماليك لو ماتوا أو قتلوا إلا واحدا</w:t>
            </w:r>
            <w:r>
              <w:rPr>
                <w:rStyle w:val="IndexLink"/>
                <w:rtl w:val="true"/>
              </w:rPr>
              <w:t>]</w:t>
              <w:tab/>
            </w:r>
            <w:r>
              <w:rPr>
                <w:rStyle w:val="IndexLink"/>
              </w:rPr>
              <w:t>98</w:t>
            </w:r>
          </w:hyperlink>
        </w:p>
        <w:p>
          <w:pPr>
            <w:pStyle w:val="Contents4"/>
            <w:tabs>
              <w:tab w:val="clear" w:pos="8176"/>
              <w:tab w:val="right" w:pos="9026" w:leader="dot"/>
            </w:tabs>
            <w:rPr/>
          </w:pPr>
          <w:hyperlink w:anchor="__RefHeading___Toc3878129_3804643083">
            <w:r>
              <w:rPr>
                <w:webHidden/>
                <w:rStyle w:val="IndexLink"/>
                <w:rtl w:val="true"/>
              </w:rPr>
              <w:t>[</w:t>
            </w:r>
            <w:r>
              <w:rPr>
                <w:rStyle w:val="IndexLink"/>
                <w:rtl w:val="true"/>
              </w:rPr>
              <w:t>ثبوت الوصية مطلقا بشاهدين</w:t>
            </w:r>
            <w:r>
              <w:rPr>
                <w:rStyle w:val="IndexLink"/>
                <w:rtl w:val="true"/>
              </w:rPr>
              <w:t>]</w:t>
              <w:tab/>
            </w:r>
            <w:r>
              <w:rPr>
                <w:rStyle w:val="IndexLink"/>
              </w:rPr>
              <w:t>99</w:t>
            </w:r>
          </w:hyperlink>
        </w:p>
        <w:p>
          <w:pPr>
            <w:pStyle w:val="Contents4"/>
            <w:tabs>
              <w:tab w:val="clear" w:pos="8176"/>
              <w:tab w:val="right" w:pos="9026" w:leader="dot"/>
            </w:tabs>
            <w:rPr/>
          </w:pPr>
          <w:hyperlink w:anchor="__RefHeading___Toc3878131_3804643083">
            <w:r>
              <w:rPr>
                <w:webHidden/>
                <w:rStyle w:val="IndexLink"/>
                <w:rtl w:val="true"/>
              </w:rPr>
              <w:t>[</w:t>
            </w:r>
            <w:r>
              <w:rPr>
                <w:rStyle w:val="IndexLink"/>
                <w:rtl w:val="true"/>
              </w:rPr>
              <w:t>شهادة أهل الكتاب في الوصية بالمال خاصة عند عدم عدول المسلمين</w:t>
            </w:r>
            <w:r>
              <w:rPr>
                <w:rStyle w:val="IndexLink"/>
                <w:rtl w:val="true"/>
              </w:rPr>
              <w:t>]</w:t>
              <w:tab/>
            </w:r>
            <w:r>
              <w:rPr>
                <w:rStyle w:val="IndexLink"/>
              </w:rPr>
              <w:t>99</w:t>
            </w:r>
          </w:hyperlink>
        </w:p>
        <w:p>
          <w:pPr>
            <w:pStyle w:val="Contents4"/>
            <w:tabs>
              <w:tab w:val="clear" w:pos="8176"/>
              <w:tab w:val="right" w:pos="9026" w:leader="dot"/>
            </w:tabs>
            <w:rPr/>
          </w:pPr>
          <w:hyperlink w:anchor="__RefHeading___Toc3878133_3804643083">
            <w:r>
              <w:rPr>
                <w:webHidden/>
                <w:rStyle w:val="IndexLink"/>
                <w:rtl w:val="true"/>
              </w:rPr>
              <w:t>[</w:t>
            </w:r>
            <w:r>
              <w:rPr>
                <w:rStyle w:val="IndexLink"/>
                <w:rtl w:val="true"/>
              </w:rPr>
              <w:t>شهادة النساء في الوصية بالمال</w:t>
            </w:r>
            <w:r>
              <w:rPr>
                <w:rStyle w:val="IndexLink"/>
                <w:rtl w:val="true"/>
              </w:rPr>
              <w:t>]</w:t>
              <w:tab/>
            </w:r>
            <w:r>
              <w:rPr>
                <w:rStyle w:val="IndexLink"/>
              </w:rPr>
              <w:t>100</w:t>
            </w:r>
          </w:hyperlink>
        </w:p>
        <w:p>
          <w:pPr>
            <w:pStyle w:val="Contents4"/>
            <w:tabs>
              <w:tab w:val="clear" w:pos="8176"/>
              <w:tab w:val="right" w:pos="9026" w:leader="dot"/>
            </w:tabs>
            <w:rPr/>
          </w:pPr>
          <w:hyperlink w:anchor="__RefHeading___Toc3878135_3804643083">
            <w:r>
              <w:rPr>
                <w:webHidden/>
                <w:rStyle w:val="IndexLink"/>
                <w:rtl w:val="true"/>
              </w:rPr>
              <w:t>[</w:t>
            </w:r>
            <w:r>
              <w:rPr>
                <w:rStyle w:val="IndexLink"/>
                <w:rtl w:val="true"/>
              </w:rPr>
              <w:t>عدم ثبوت الوصية بالولاية إلا بعدلين</w:t>
            </w:r>
            <w:r>
              <w:rPr>
                <w:rStyle w:val="IndexLink"/>
                <w:rtl w:val="true"/>
              </w:rPr>
              <w:t>]</w:t>
              <w:tab/>
            </w:r>
            <w:r>
              <w:rPr>
                <w:rStyle w:val="IndexLink"/>
              </w:rPr>
              <w:t>100</w:t>
            </w:r>
          </w:hyperlink>
        </w:p>
        <w:p>
          <w:pPr>
            <w:pStyle w:val="Contents4"/>
            <w:tabs>
              <w:tab w:val="clear" w:pos="8176"/>
              <w:tab w:val="right" w:pos="9026" w:leader="dot"/>
            </w:tabs>
            <w:rPr/>
          </w:pPr>
          <w:hyperlink w:anchor="__RefHeading___Toc3878137_3804643083">
            <w:r>
              <w:rPr>
                <w:webHidden/>
                <w:rStyle w:val="IndexLink"/>
                <w:rtl w:val="true"/>
              </w:rPr>
              <w:t>[</w:t>
            </w:r>
            <w:r>
              <w:rPr>
                <w:rStyle w:val="IndexLink"/>
                <w:rtl w:val="true"/>
              </w:rPr>
              <w:t>مسائل أربع</w:t>
            </w:r>
            <w:r>
              <w:rPr>
                <w:rStyle w:val="IndexLink"/>
                <w:rtl w:val="true"/>
              </w:rPr>
              <w:t>]</w:t>
              <w:tab/>
            </w:r>
            <w:r>
              <w:rPr>
                <w:rStyle w:val="IndexLink"/>
              </w:rPr>
              <w:t>101</w:t>
            </w:r>
          </w:hyperlink>
        </w:p>
        <w:p>
          <w:pPr>
            <w:pStyle w:val="Contents5"/>
            <w:tabs>
              <w:tab w:val="clear" w:pos="7892"/>
              <w:tab w:val="right" w:pos="9026" w:leader="dot"/>
            </w:tabs>
            <w:rPr/>
          </w:pPr>
          <w:hyperlink w:anchor="__RefHeading___Toc3878139_3804643083">
            <w:r>
              <w:rPr>
                <w:webHidden/>
                <w:rStyle w:val="IndexLink"/>
                <w:rtl w:val="true"/>
              </w:rPr>
              <w:t>[</w:t>
            </w:r>
            <w:r>
              <w:rPr>
                <w:rStyle w:val="IndexLink"/>
                <w:rtl w:val="true"/>
              </w:rPr>
              <w:t>الأولى</w:t>
            </w:r>
            <w:r>
              <w:rPr>
                <w:rStyle w:val="IndexLink"/>
                <w:rtl w:val="true"/>
              </w:rPr>
              <w:t xml:space="preserve">: </w:t>
            </w:r>
            <w:r>
              <w:rPr>
                <w:rStyle w:val="IndexLink"/>
                <w:rtl w:val="true"/>
              </w:rPr>
              <w:t>إذا أوصى بعتق عبيده و ليس له سواهم،</w:t>
            </w:r>
            <w:r>
              <w:rPr>
                <w:rStyle w:val="IndexLink"/>
                <w:rtl w:val="true"/>
              </w:rPr>
              <w:t>]</w:t>
              <w:tab/>
            </w:r>
            <w:r>
              <w:rPr>
                <w:rStyle w:val="IndexLink"/>
              </w:rPr>
              <w:t>101</w:t>
            </w:r>
          </w:hyperlink>
        </w:p>
        <w:p>
          <w:pPr>
            <w:pStyle w:val="Contents5"/>
            <w:tabs>
              <w:tab w:val="clear" w:pos="7892"/>
              <w:tab w:val="right" w:pos="9026" w:leader="dot"/>
            </w:tabs>
            <w:rPr/>
          </w:pPr>
          <w:hyperlink w:anchor="__RefHeading___Toc3878141_3804643083">
            <w:r>
              <w:rPr>
                <w:webHidden/>
                <w:rStyle w:val="IndexLink"/>
                <w:rtl w:val="true"/>
              </w:rPr>
              <w:t>[</w:t>
            </w:r>
            <w:r>
              <w:rPr>
                <w:rStyle w:val="IndexLink"/>
                <w:rtl w:val="true"/>
              </w:rPr>
              <w:t>الثانية</w:t>
            </w:r>
            <w:r>
              <w:rPr>
                <w:rStyle w:val="IndexLink"/>
                <w:rtl w:val="true"/>
              </w:rPr>
              <w:t xml:space="preserve">: </w:t>
            </w:r>
            <w:r>
              <w:rPr>
                <w:rStyle w:val="IndexLink"/>
                <w:rtl w:val="true"/>
              </w:rPr>
              <w:t>لو أعتق مملوكه عند الوفاة، منجّزا و ليس له سواه</w:t>
            </w:r>
            <w:r>
              <w:rPr>
                <w:rStyle w:val="IndexLink"/>
                <w:rtl w:val="true"/>
              </w:rPr>
              <w:t>]</w:t>
              <w:tab/>
            </w:r>
            <w:r>
              <w:rPr>
                <w:rStyle w:val="IndexLink"/>
              </w:rPr>
              <w:t>101</w:t>
            </w:r>
          </w:hyperlink>
        </w:p>
        <w:p>
          <w:pPr>
            <w:pStyle w:val="Contents5"/>
            <w:tabs>
              <w:tab w:val="clear" w:pos="7892"/>
              <w:tab w:val="right" w:pos="9026" w:leader="dot"/>
            </w:tabs>
            <w:rPr/>
          </w:pPr>
          <w:hyperlink w:anchor="__RefHeading___Toc3878143_3804643083">
            <w:r>
              <w:rPr>
                <w:webHidden/>
                <w:rStyle w:val="IndexLink"/>
                <w:rtl w:val="true"/>
              </w:rPr>
              <w:t>[</w:t>
            </w:r>
            <w:r>
              <w:rPr>
                <w:rStyle w:val="IndexLink"/>
                <w:rtl w:val="true"/>
              </w:rPr>
              <w:t>الثالثة</w:t>
            </w:r>
            <w:r>
              <w:rPr>
                <w:rStyle w:val="IndexLink"/>
                <w:rtl w:val="true"/>
              </w:rPr>
              <w:t xml:space="preserve">: </w:t>
            </w:r>
            <w:r>
              <w:rPr>
                <w:rStyle w:val="IndexLink"/>
                <w:rtl w:val="true"/>
              </w:rPr>
              <w:t>لو أوصى بعتق رقبة مؤمنة وجب،</w:t>
            </w:r>
            <w:r>
              <w:rPr>
                <w:rStyle w:val="IndexLink"/>
                <w:rtl w:val="true"/>
              </w:rPr>
              <w:t>]</w:t>
              <w:tab/>
            </w:r>
            <w:r>
              <w:rPr>
                <w:rStyle w:val="IndexLink"/>
              </w:rPr>
              <w:t>101</w:t>
            </w:r>
          </w:hyperlink>
        </w:p>
        <w:p>
          <w:pPr>
            <w:pStyle w:val="Contents5"/>
            <w:tabs>
              <w:tab w:val="clear" w:pos="7892"/>
              <w:tab w:val="right" w:pos="9026" w:leader="dot"/>
            </w:tabs>
            <w:rPr/>
          </w:pPr>
          <w:hyperlink w:anchor="__RefHeading___Toc3878145_3804643083">
            <w:r>
              <w:rPr>
                <w:webHidden/>
                <w:rStyle w:val="IndexLink"/>
                <w:rtl w:val="true"/>
              </w:rPr>
              <w:t>[</w:t>
            </w:r>
            <w:r>
              <w:rPr>
                <w:rStyle w:val="IndexLink"/>
                <w:rtl w:val="true"/>
              </w:rPr>
              <w:t>الرابعة</w:t>
            </w:r>
            <w:r>
              <w:rPr>
                <w:rStyle w:val="IndexLink"/>
                <w:rtl w:val="true"/>
              </w:rPr>
              <w:t xml:space="preserve">: </w:t>
            </w:r>
            <w:r>
              <w:rPr>
                <w:rStyle w:val="IndexLink"/>
                <w:rtl w:val="true"/>
              </w:rPr>
              <w:t>لو أوصى بعتق رقبة بثمن معيّن، فلم يجد به لم يجب شراؤها،</w:t>
            </w:r>
            <w:r>
              <w:rPr>
                <w:rStyle w:val="IndexLink"/>
                <w:rtl w:val="true"/>
              </w:rPr>
              <w:t>]</w:t>
              <w:tab/>
            </w:r>
            <w:r>
              <w:rPr>
                <w:rStyle w:val="IndexLink"/>
              </w:rPr>
              <w:t>101</w:t>
            </w:r>
          </w:hyperlink>
        </w:p>
        <w:p>
          <w:pPr>
            <w:pStyle w:val="Contents2"/>
            <w:tabs>
              <w:tab w:val="clear" w:pos="8743"/>
              <w:tab w:val="right" w:pos="9026" w:leader="dot"/>
            </w:tabs>
            <w:rPr/>
          </w:pPr>
          <w:hyperlink w:anchor="__RefHeading___Toc3878147_3804643083">
            <w:r>
              <w:rPr>
                <w:webHidden/>
                <w:rStyle w:val="IndexLink"/>
                <w:rtl w:val="true"/>
              </w:rPr>
              <w:t>الفصل الرّابع في الموصى له</w:t>
            </w:r>
            <w:r>
              <w:rPr>
                <w:rStyle w:val="IndexLink"/>
                <w:rtl w:val="true"/>
              </w:rPr>
              <w:tab/>
            </w:r>
            <w:r>
              <w:rPr>
                <w:rStyle w:val="IndexLink"/>
              </w:rPr>
              <w:t>102</w:t>
            </w:r>
          </w:hyperlink>
        </w:p>
        <w:p>
          <w:pPr>
            <w:pStyle w:val="Contents2"/>
            <w:tabs>
              <w:tab w:val="clear" w:pos="8743"/>
              <w:tab w:val="right" w:pos="9026" w:leader="dot"/>
            </w:tabs>
            <w:rPr/>
          </w:pPr>
          <w:hyperlink w:anchor="__RefHeading___Toc3878149_3804643083">
            <w:r>
              <w:rPr>
                <w:webHidden/>
                <w:rStyle w:val="IndexLink"/>
                <w:rtl w:val="true"/>
              </w:rPr>
              <w:t>الفصل الخامس في الأوصياء</w:t>
            </w:r>
            <w:r>
              <w:rPr>
                <w:rStyle w:val="IndexLink"/>
                <w:rtl w:val="true"/>
              </w:rPr>
              <w:tab/>
            </w:r>
            <w:r>
              <w:rPr>
                <w:rStyle w:val="IndexLink"/>
              </w:rPr>
              <w:t>106</w:t>
            </w:r>
          </w:hyperlink>
        </w:p>
        <w:p>
          <w:pPr>
            <w:pStyle w:val="Contents3"/>
            <w:tabs>
              <w:tab w:val="clear" w:pos="8459"/>
              <w:tab w:val="right" w:pos="9026" w:leader="dot"/>
            </w:tabs>
            <w:rPr/>
          </w:pPr>
          <w:hyperlink w:anchor="__RefHeading___Toc3878151_380464308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3878153_3804643083">
            <w:r>
              <w:rPr>
                <w:webHidden/>
                <w:rStyle w:val="IndexLink"/>
                <w:rtl w:val="true"/>
              </w:rPr>
              <w:t>[</w:t>
            </w:r>
            <w:r>
              <w:rPr>
                <w:rStyle w:val="IndexLink"/>
                <w:rtl w:val="true"/>
              </w:rPr>
              <w:t>اعتبار العقل و الإسلام و العدالة في الوصي</w:t>
            </w:r>
            <w:r>
              <w:rPr>
                <w:rStyle w:val="IndexLink"/>
                <w:rtl w:val="true"/>
              </w:rPr>
              <w:t>]</w:t>
              <w:tab/>
            </w:r>
            <w:r>
              <w:rPr>
                <w:rStyle w:val="IndexLink"/>
              </w:rPr>
              <w:t>107</w:t>
            </w:r>
          </w:hyperlink>
        </w:p>
        <w:p>
          <w:pPr>
            <w:pStyle w:val="Contents3"/>
            <w:tabs>
              <w:tab w:val="clear" w:pos="8459"/>
              <w:tab w:val="right" w:pos="9026" w:leader="dot"/>
            </w:tabs>
            <w:rPr/>
          </w:pPr>
          <w:hyperlink w:anchor="__RefHeading___Toc3878155_3804643083">
            <w:r>
              <w:rPr>
                <w:webHidden/>
                <w:rStyle w:val="IndexLink"/>
                <w:rtl w:val="true"/>
              </w:rPr>
              <w:t>[</w:t>
            </w:r>
            <w:r>
              <w:rPr>
                <w:rStyle w:val="IndexLink"/>
                <w:rtl w:val="true"/>
              </w:rPr>
              <w:t>رد القول بعدم اعتبار العدالة</w:t>
            </w:r>
            <w:r>
              <w:rPr>
                <w:rStyle w:val="IndexLink"/>
                <w:rtl w:val="true"/>
              </w:rPr>
              <w:t>]</w:t>
              <w:tab/>
            </w:r>
            <w:r>
              <w:rPr>
                <w:rStyle w:val="IndexLink"/>
              </w:rPr>
              <w:t>109</w:t>
            </w:r>
          </w:hyperlink>
        </w:p>
        <w:p>
          <w:pPr>
            <w:pStyle w:val="Contents3"/>
            <w:tabs>
              <w:tab w:val="clear" w:pos="8459"/>
              <w:tab w:val="right" w:pos="9026" w:leader="dot"/>
            </w:tabs>
            <w:rPr/>
          </w:pPr>
          <w:hyperlink w:anchor="__RefHeading___Toc3878157_3804643083">
            <w:r>
              <w:rPr>
                <w:webHidden/>
                <w:rStyle w:val="IndexLink"/>
                <w:rtl w:val="true"/>
              </w:rPr>
              <w:t>[</w:t>
            </w:r>
            <w:r>
              <w:rPr>
                <w:rStyle w:val="IndexLink"/>
                <w:rtl w:val="true"/>
              </w:rPr>
              <w:t>التفصيل بين ما يتعلق بحق الغير و بين غيره</w:t>
            </w:r>
            <w:r>
              <w:rPr>
                <w:rStyle w:val="IndexLink"/>
                <w:rtl w:val="true"/>
              </w:rPr>
              <w:t>]</w:t>
              <w:tab/>
            </w:r>
            <w:r>
              <w:rPr>
                <w:rStyle w:val="IndexLink"/>
              </w:rPr>
              <w:t>111</w:t>
            </w:r>
          </w:hyperlink>
        </w:p>
        <w:p>
          <w:pPr>
            <w:pStyle w:val="Contents3"/>
            <w:tabs>
              <w:tab w:val="clear" w:pos="8459"/>
              <w:tab w:val="right" w:pos="9026" w:leader="dot"/>
            </w:tabs>
            <w:rPr/>
          </w:pPr>
          <w:hyperlink w:anchor="__RefHeading___Toc3878159_3804643083">
            <w:r>
              <w:rPr>
                <w:webHidden/>
                <w:rStyle w:val="IndexLink"/>
                <w:rtl w:val="true"/>
              </w:rPr>
              <w:t>[</w:t>
            </w:r>
            <w:r>
              <w:rPr>
                <w:rStyle w:val="IndexLink"/>
                <w:rtl w:val="true"/>
              </w:rPr>
              <w:t>عدم كفاية وثوق الموصي مع اعتقاد الغير فسق الوصي</w:t>
            </w:r>
            <w:r>
              <w:rPr>
                <w:rStyle w:val="IndexLink"/>
                <w:rtl w:val="true"/>
              </w:rPr>
              <w:t>]</w:t>
              <w:tab/>
            </w:r>
            <w:r>
              <w:rPr>
                <w:rStyle w:val="IndexLink"/>
              </w:rPr>
              <w:t>114</w:t>
            </w:r>
          </w:hyperlink>
        </w:p>
        <w:p>
          <w:pPr>
            <w:pStyle w:val="Contents3"/>
            <w:tabs>
              <w:tab w:val="clear" w:pos="8459"/>
              <w:tab w:val="right" w:pos="9026" w:leader="dot"/>
            </w:tabs>
            <w:rPr/>
          </w:pPr>
          <w:hyperlink w:anchor="__RefHeading___Toc3878161_3804643083">
            <w:r>
              <w:rPr>
                <w:webHidden/>
                <w:rStyle w:val="IndexLink"/>
                <w:rtl w:val="true"/>
              </w:rPr>
              <w:t>[</w:t>
            </w:r>
            <w:r>
              <w:rPr>
                <w:rStyle w:val="IndexLink"/>
                <w:rtl w:val="true"/>
              </w:rPr>
              <w:t>عدم كفاية عدم ظهور الفسق</w:t>
            </w:r>
            <w:r>
              <w:rPr>
                <w:rStyle w:val="IndexLink"/>
                <w:rtl w:val="true"/>
              </w:rPr>
              <w:t>]</w:t>
              <w:tab/>
            </w:r>
            <w:r>
              <w:rPr>
                <w:rStyle w:val="IndexLink"/>
              </w:rPr>
              <w:t>114</w:t>
            </w:r>
          </w:hyperlink>
        </w:p>
        <w:p>
          <w:pPr>
            <w:pStyle w:val="Contents4"/>
            <w:tabs>
              <w:tab w:val="clear" w:pos="8176"/>
              <w:tab w:val="right" w:pos="9026" w:leader="dot"/>
            </w:tabs>
            <w:rPr/>
          </w:pPr>
          <w:hyperlink w:anchor="__RefHeading___Toc3878163_380464308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878165_3804643083">
            <w:r>
              <w:rPr>
                <w:webHidden/>
                <w:rStyle w:val="IndexLink"/>
                <w:rtl w:val="true"/>
              </w:rPr>
              <w:t>[</w:t>
            </w:r>
            <w:r>
              <w:rPr>
                <w:rStyle w:val="IndexLink"/>
                <w:rtl w:val="true"/>
              </w:rPr>
              <w:t>القول بكفاية عدم ظهور الفسق و مناقشته</w:t>
            </w:r>
            <w:r>
              <w:rPr>
                <w:rStyle w:val="IndexLink"/>
                <w:rtl w:val="true"/>
              </w:rPr>
              <w:t>]</w:t>
              <w:tab/>
            </w:r>
            <w:r>
              <w:rPr>
                <w:rStyle w:val="IndexLink"/>
              </w:rPr>
              <w:t>115</w:t>
            </w:r>
          </w:hyperlink>
        </w:p>
        <w:p>
          <w:pPr>
            <w:pStyle w:val="Contents3"/>
            <w:tabs>
              <w:tab w:val="clear" w:pos="8459"/>
              <w:tab w:val="right" w:pos="9026" w:leader="dot"/>
            </w:tabs>
            <w:rPr/>
          </w:pPr>
          <w:hyperlink w:anchor="__RefHeading___Toc3878167_3804643083">
            <w:r>
              <w:rPr>
                <w:webHidden/>
                <w:rStyle w:val="IndexLink"/>
                <w:rtl w:val="true"/>
              </w:rPr>
              <w:t>[</w:t>
            </w:r>
            <w:r>
              <w:rPr>
                <w:rStyle w:val="IndexLink"/>
                <w:rtl w:val="true"/>
              </w:rPr>
              <w:t>الوصي العدل إذا فسق بعد موت الموصي</w:t>
            </w:r>
            <w:r>
              <w:rPr>
                <w:rStyle w:val="IndexLink"/>
                <w:rtl w:val="true"/>
              </w:rPr>
              <w:t>]</w:t>
              <w:tab/>
            </w:r>
            <w:r>
              <w:rPr>
                <w:rStyle w:val="IndexLink"/>
              </w:rPr>
              <w:t>116</w:t>
            </w:r>
          </w:hyperlink>
        </w:p>
        <w:p>
          <w:pPr>
            <w:pStyle w:val="Contents3"/>
            <w:tabs>
              <w:tab w:val="clear" w:pos="8459"/>
              <w:tab w:val="right" w:pos="9026" w:leader="dot"/>
            </w:tabs>
            <w:rPr/>
          </w:pPr>
          <w:hyperlink w:anchor="__RefHeading___Toc3878169_3804643083">
            <w:r>
              <w:rPr>
                <w:webHidden/>
                <w:rStyle w:val="IndexLink"/>
                <w:rtl w:val="true"/>
              </w:rPr>
              <w:t>[</w:t>
            </w:r>
            <w:r>
              <w:rPr>
                <w:rStyle w:val="IndexLink"/>
                <w:rtl w:val="true"/>
              </w:rPr>
              <w:t>مسائل ثلاث</w:t>
            </w:r>
            <w:r>
              <w:rPr>
                <w:rStyle w:val="IndexLink"/>
                <w:rtl w:val="true"/>
              </w:rPr>
              <w:t>]</w:t>
              <w:tab/>
            </w:r>
            <w:r>
              <w:rPr>
                <w:rStyle w:val="IndexLink"/>
              </w:rPr>
              <w:t>119</w:t>
            </w:r>
          </w:hyperlink>
        </w:p>
        <w:p>
          <w:pPr>
            <w:pStyle w:val="Contents4"/>
            <w:tabs>
              <w:tab w:val="clear" w:pos="8176"/>
              <w:tab w:val="right" w:pos="9026" w:leader="dot"/>
            </w:tabs>
            <w:rPr/>
          </w:pPr>
          <w:hyperlink w:anchor="__RefHeading___Toc3878171_3804643083">
            <w:r>
              <w:rPr>
                <w:webHidden/>
                <w:rStyle w:val="IndexLink"/>
                <w:rtl w:val="true"/>
              </w:rPr>
              <w:t>[</w:t>
            </w:r>
            <w:r>
              <w:rPr>
                <w:rStyle w:val="IndexLink"/>
                <w:rtl w:val="true"/>
              </w:rPr>
              <w:t>الاولى</w:t>
            </w:r>
            <w:r>
              <w:rPr>
                <w:rStyle w:val="IndexLink"/>
                <w:rtl w:val="true"/>
              </w:rPr>
              <w:t xml:space="preserve">: </w:t>
            </w:r>
            <w:r>
              <w:rPr>
                <w:rStyle w:val="IndexLink"/>
                <w:rtl w:val="true"/>
              </w:rPr>
              <w:t>الصفات المراعاة في الوصي تعتبر حال الوصية</w:t>
            </w:r>
            <w:r>
              <w:rPr>
                <w:rStyle w:val="IndexLink"/>
                <w:rtl w:val="true"/>
              </w:rPr>
              <w:t>]</w:t>
              <w:tab/>
            </w:r>
            <w:r>
              <w:rPr>
                <w:rStyle w:val="IndexLink"/>
              </w:rPr>
              <w:t>119</w:t>
            </w:r>
          </w:hyperlink>
        </w:p>
        <w:p>
          <w:pPr>
            <w:pStyle w:val="Contents4"/>
            <w:tabs>
              <w:tab w:val="clear" w:pos="8176"/>
              <w:tab w:val="right" w:pos="9026" w:leader="dot"/>
            </w:tabs>
            <w:rPr/>
          </w:pPr>
          <w:hyperlink w:anchor="__RefHeading___Toc3878173_3804643083">
            <w:r>
              <w:rPr>
                <w:webHidden/>
                <w:rStyle w:val="IndexLink"/>
                <w:rtl w:val="true"/>
              </w:rPr>
              <w:t>[</w:t>
            </w:r>
            <w:r>
              <w:rPr>
                <w:rStyle w:val="IndexLink"/>
                <w:rtl w:val="true"/>
              </w:rPr>
              <w:t>الثانية</w:t>
            </w:r>
            <w:r>
              <w:rPr>
                <w:rStyle w:val="IndexLink"/>
                <w:rtl w:val="true"/>
              </w:rPr>
              <w:t xml:space="preserve">: </w:t>
            </w:r>
            <w:r>
              <w:rPr>
                <w:rStyle w:val="IndexLink"/>
                <w:rtl w:val="true"/>
              </w:rPr>
              <w:t>تصح الوصية على كل من للموصى عليه ولاية شرعية</w:t>
            </w:r>
            <w:r>
              <w:rPr>
                <w:rStyle w:val="IndexLink"/>
                <w:rtl w:val="true"/>
              </w:rPr>
              <w:t>]</w:t>
              <w:tab/>
            </w:r>
            <w:r>
              <w:rPr>
                <w:rStyle w:val="IndexLink"/>
              </w:rPr>
              <w:t>119</w:t>
            </w:r>
          </w:hyperlink>
        </w:p>
        <w:p>
          <w:pPr>
            <w:pStyle w:val="Contents4"/>
            <w:tabs>
              <w:tab w:val="clear" w:pos="8176"/>
              <w:tab w:val="right" w:pos="9026" w:leader="dot"/>
            </w:tabs>
            <w:rPr/>
          </w:pPr>
          <w:hyperlink w:anchor="__RefHeading___Toc3878175_3804643083">
            <w:r>
              <w:rPr>
                <w:webHidden/>
                <w:rStyle w:val="IndexLink"/>
                <w:rtl w:val="true"/>
              </w:rPr>
              <w:t>[</w:t>
            </w:r>
            <w:r>
              <w:rPr>
                <w:rStyle w:val="IndexLink"/>
                <w:rtl w:val="true"/>
              </w:rPr>
              <w:t>الثالثة</w:t>
            </w:r>
            <w:r>
              <w:rPr>
                <w:rStyle w:val="IndexLink"/>
                <w:rtl w:val="true"/>
              </w:rPr>
              <w:t xml:space="preserve">: </w:t>
            </w:r>
            <w:r>
              <w:rPr>
                <w:rStyle w:val="IndexLink"/>
                <w:rtl w:val="true"/>
              </w:rPr>
              <w:t>يجوز لمن يتولّى أموال اليتيم أن يأخذ أجرة المثل عن نظره في ماله</w:t>
            </w:r>
            <w:r>
              <w:rPr>
                <w:rStyle w:val="IndexLink"/>
                <w:rtl w:val="true"/>
              </w:rPr>
              <w:t>]</w:t>
              <w:tab/>
            </w:r>
            <w:r>
              <w:rPr>
                <w:rStyle w:val="IndexLink"/>
              </w:rPr>
              <w:t>120</w:t>
            </w:r>
          </w:hyperlink>
        </w:p>
        <w:p>
          <w:pPr>
            <w:pStyle w:val="Contents2"/>
            <w:tabs>
              <w:tab w:val="clear" w:pos="8743"/>
              <w:tab w:val="right" w:pos="9026" w:leader="dot"/>
            </w:tabs>
            <w:rPr/>
          </w:pPr>
          <w:hyperlink w:anchor="__RefHeading___Toc3878177_3804643083">
            <w:r>
              <w:rPr>
                <w:webHidden/>
                <w:rStyle w:val="IndexLink"/>
                <w:rtl w:val="true"/>
              </w:rPr>
              <w:t>الفصل السادس</w:t>
            </w:r>
            <w:r>
              <w:rPr>
                <w:rStyle w:val="IndexLink"/>
                <w:rtl w:val="true"/>
              </w:rPr>
              <w:t xml:space="preserve">: </w:t>
            </w:r>
            <w:r>
              <w:rPr>
                <w:rStyle w:val="IndexLink"/>
                <w:rtl w:val="true"/>
              </w:rPr>
              <w:t>في اللّواحق</w:t>
            </w:r>
            <w:r>
              <w:rPr>
                <w:rStyle w:val="IndexLink"/>
                <w:rtl w:val="true"/>
              </w:rPr>
              <w:tab/>
            </w:r>
            <w:r>
              <w:rPr>
                <w:rStyle w:val="IndexLink"/>
              </w:rPr>
              <w:t>121</w:t>
            </w:r>
          </w:hyperlink>
        </w:p>
        <w:p>
          <w:pPr>
            <w:pStyle w:val="Contents3"/>
            <w:tabs>
              <w:tab w:val="clear" w:pos="8459"/>
              <w:tab w:val="right" w:pos="9026" w:leader="dot"/>
            </w:tabs>
            <w:rPr/>
          </w:pPr>
          <w:hyperlink w:anchor="__RefHeading___Toc3878179_380464308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878181_3804643083">
            <w:r>
              <w:rPr>
                <w:webHidden/>
                <w:rStyle w:val="IndexLink"/>
                <w:rtl w:val="true"/>
              </w:rPr>
              <w:t>[</w:t>
            </w:r>
            <w:r>
              <w:rPr>
                <w:rStyle w:val="IndexLink"/>
                <w:rtl w:val="true"/>
              </w:rPr>
              <w:t>القسم الأوّل</w:t>
            </w:r>
            <w:r>
              <w:rPr>
                <w:rStyle w:val="IndexLink"/>
                <w:rtl w:val="true"/>
              </w:rPr>
              <w:t>]</w:t>
              <w:tab/>
            </w:r>
            <w:r>
              <w:rPr>
                <w:rStyle w:val="IndexLink"/>
              </w:rPr>
              <w:t>122</w:t>
            </w:r>
          </w:hyperlink>
        </w:p>
        <w:p>
          <w:pPr>
            <w:pStyle w:val="Contents4"/>
            <w:tabs>
              <w:tab w:val="clear" w:pos="8176"/>
              <w:tab w:val="right" w:pos="9026" w:leader="dot"/>
            </w:tabs>
            <w:rPr/>
          </w:pPr>
          <w:hyperlink w:anchor="__RefHeading___Toc3878183_380464308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878185_3804643083">
            <w:r>
              <w:rPr>
                <w:webHidden/>
                <w:rStyle w:val="IndexLink"/>
                <w:rtl w:val="true"/>
              </w:rPr>
              <w:t>[</w:t>
            </w:r>
            <w:r>
              <w:rPr>
                <w:rStyle w:val="IndexLink"/>
                <w:rtl w:val="true"/>
              </w:rPr>
              <w:t>الأولى</w:t>
            </w:r>
            <w:r>
              <w:rPr>
                <w:rStyle w:val="IndexLink"/>
                <w:rtl w:val="true"/>
              </w:rPr>
              <w:t xml:space="preserve">: </w:t>
            </w:r>
            <w:r>
              <w:rPr>
                <w:rStyle w:val="IndexLink"/>
                <w:rtl w:val="true"/>
              </w:rPr>
              <w:t>إذا أوصى لأجنبي بمثل نصيب ابنه، و ليس له إلّا واحد</w:t>
            </w:r>
            <w:r>
              <w:rPr>
                <w:rStyle w:val="IndexLink"/>
                <w:rtl w:val="true"/>
              </w:rPr>
              <w:t>]</w:t>
              <w:tab/>
            </w:r>
            <w:r>
              <w:rPr>
                <w:rStyle w:val="IndexLink"/>
              </w:rPr>
              <w:t>122</w:t>
            </w:r>
          </w:hyperlink>
        </w:p>
        <w:p>
          <w:pPr>
            <w:pStyle w:val="Contents4"/>
            <w:tabs>
              <w:tab w:val="clear" w:pos="8176"/>
              <w:tab w:val="right" w:pos="9026" w:leader="dot"/>
            </w:tabs>
            <w:rPr/>
          </w:pPr>
          <w:hyperlink w:anchor="__RefHeading___Toc3878187_3804643083">
            <w:r>
              <w:rPr>
                <w:webHidden/>
                <w:rStyle w:val="IndexLink"/>
                <w:rtl w:val="true"/>
              </w:rPr>
              <w:t>[</w:t>
            </w:r>
            <w:r>
              <w:rPr>
                <w:rStyle w:val="IndexLink"/>
                <w:rtl w:val="true"/>
              </w:rPr>
              <w:t>الثانية</w:t>
            </w:r>
            <w:r>
              <w:rPr>
                <w:rStyle w:val="IndexLink"/>
                <w:rtl w:val="true"/>
              </w:rPr>
              <w:t xml:space="preserve">: </w:t>
            </w:r>
            <w:r>
              <w:rPr>
                <w:rStyle w:val="IndexLink"/>
                <w:rtl w:val="true"/>
              </w:rPr>
              <w:t>لو أوصى لأجنبي بنصيب ولده</w:t>
            </w:r>
            <w:r>
              <w:rPr>
                <w:rStyle w:val="IndexLink"/>
                <w:rtl w:val="true"/>
              </w:rPr>
              <w:t>]</w:t>
              <w:tab/>
            </w:r>
            <w:r>
              <w:rPr>
                <w:rStyle w:val="IndexLink"/>
              </w:rPr>
              <w:t>123</w:t>
            </w:r>
          </w:hyperlink>
        </w:p>
        <w:p>
          <w:pPr>
            <w:pStyle w:val="Contents4"/>
            <w:tabs>
              <w:tab w:val="clear" w:pos="8176"/>
              <w:tab w:val="right" w:pos="9026" w:leader="dot"/>
            </w:tabs>
            <w:rPr/>
          </w:pPr>
          <w:hyperlink w:anchor="__RefHeading___Toc3878189_3804643083">
            <w:r>
              <w:rPr>
                <w:webHidden/>
                <w:rStyle w:val="IndexLink"/>
                <w:rtl w:val="true"/>
              </w:rPr>
              <w:t>[</w:t>
            </w:r>
            <w:r>
              <w:rPr>
                <w:rStyle w:val="IndexLink"/>
                <w:rtl w:val="true"/>
              </w:rPr>
              <w:t>الثالثة</w:t>
            </w:r>
            <w:r>
              <w:rPr>
                <w:rStyle w:val="IndexLink"/>
                <w:rtl w:val="true"/>
              </w:rPr>
              <w:t xml:space="preserve">: </w:t>
            </w:r>
            <w:r>
              <w:rPr>
                <w:rStyle w:val="IndexLink"/>
                <w:rtl w:val="true"/>
              </w:rPr>
              <w:t>إذا أوصى بضعف نصيب ولده، كان له مثلاه</w:t>
            </w:r>
            <w:r>
              <w:rPr>
                <w:rStyle w:val="IndexLink"/>
                <w:rtl w:val="true"/>
              </w:rPr>
              <w:t>]</w:t>
              <w:tab/>
            </w:r>
            <w:r>
              <w:rPr>
                <w:rStyle w:val="IndexLink"/>
              </w:rPr>
              <w:t>123</w:t>
            </w:r>
          </w:hyperlink>
        </w:p>
        <w:p>
          <w:pPr>
            <w:pStyle w:val="Contents4"/>
            <w:tabs>
              <w:tab w:val="clear" w:pos="8176"/>
              <w:tab w:val="right" w:pos="9026" w:leader="dot"/>
            </w:tabs>
            <w:rPr/>
          </w:pPr>
          <w:hyperlink w:anchor="__RefHeading___Toc3878191_3804643083">
            <w:r>
              <w:rPr>
                <w:webHidden/>
                <w:rStyle w:val="IndexLink"/>
                <w:rtl w:val="true"/>
              </w:rPr>
              <w:t>[</w:t>
            </w:r>
            <w:r>
              <w:rPr>
                <w:rStyle w:val="IndexLink"/>
                <w:rtl w:val="true"/>
              </w:rPr>
              <w:t>الرابعة</w:t>
            </w:r>
            <w:r>
              <w:rPr>
                <w:rStyle w:val="IndexLink"/>
                <w:rtl w:val="true"/>
              </w:rPr>
              <w:t xml:space="preserve">: </w:t>
            </w:r>
            <w:r>
              <w:rPr>
                <w:rStyle w:val="IndexLink"/>
                <w:rtl w:val="true"/>
              </w:rPr>
              <w:t>إذا أوصى بثلثه للفقراء و له أموال متفرقة</w:t>
            </w:r>
            <w:r>
              <w:rPr>
                <w:rStyle w:val="IndexLink"/>
                <w:rtl w:val="true"/>
              </w:rPr>
              <w:t>]</w:t>
              <w:tab/>
            </w:r>
            <w:r>
              <w:rPr>
                <w:rStyle w:val="IndexLink"/>
              </w:rPr>
              <w:t>123</w:t>
            </w:r>
          </w:hyperlink>
        </w:p>
        <w:p>
          <w:pPr>
            <w:pStyle w:val="Contents4"/>
            <w:tabs>
              <w:tab w:val="clear" w:pos="8176"/>
              <w:tab w:val="right" w:pos="9026" w:leader="dot"/>
            </w:tabs>
            <w:rPr/>
          </w:pPr>
          <w:hyperlink w:anchor="__RefHeading___Toc3878193_3804643083">
            <w:r>
              <w:rPr>
                <w:webHidden/>
                <w:rStyle w:val="IndexLink"/>
                <w:rtl w:val="true"/>
              </w:rPr>
              <w:t>[</w:t>
            </w:r>
            <w:r>
              <w:rPr>
                <w:rStyle w:val="IndexLink"/>
                <w:rtl w:val="true"/>
              </w:rPr>
              <w:t>الخامسة</w:t>
            </w:r>
            <w:r>
              <w:rPr>
                <w:rStyle w:val="IndexLink"/>
                <w:rtl w:val="true"/>
              </w:rPr>
              <w:t xml:space="preserve">: </w:t>
            </w:r>
            <w:r>
              <w:rPr>
                <w:rStyle w:val="IndexLink"/>
                <w:rtl w:val="true"/>
              </w:rPr>
              <w:t>إذا أوصى لإنسان بعبد معين، و لآخر بتمام الثلث، ثم حدث في العبد عيب قبل تسليمه إلى الموصى له</w:t>
            </w:r>
            <w:r>
              <w:rPr>
                <w:rStyle w:val="IndexLink"/>
                <w:rtl w:val="true"/>
              </w:rPr>
              <w:t>]</w:t>
              <w:tab/>
            </w:r>
            <w:r>
              <w:rPr>
                <w:rStyle w:val="IndexLink"/>
              </w:rPr>
              <w:t>123</w:t>
            </w:r>
          </w:hyperlink>
        </w:p>
        <w:p>
          <w:pPr>
            <w:pStyle w:val="Contents4"/>
            <w:tabs>
              <w:tab w:val="clear" w:pos="8176"/>
              <w:tab w:val="right" w:pos="9026" w:leader="dot"/>
            </w:tabs>
            <w:rPr/>
          </w:pPr>
          <w:hyperlink w:anchor="__RefHeading___Toc3878195_3804643083">
            <w:r>
              <w:rPr>
                <w:webHidden/>
                <w:rStyle w:val="IndexLink"/>
                <w:rtl w:val="true"/>
              </w:rPr>
              <w:t>[</w:t>
            </w:r>
            <w:r>
              <w:rPr>
                <w:rStyle w:val="IndexLink"/>
                <w:rtl w:val="true"/>
              </w:rPr>
              <w:t>السادسة</w:t>
            </w:r>
            <w:r>
              <w:rPr>
                <w:rStyle w:val="IndexLink"/>
                <w:rtl w:val="true"/>
              </w:rPr>
              <w:t xml:space="preserve">: </w:t>
            </w:r>
            <w:r>
              <w:rPr>
                <w:rStyle w:val="IndexLink"/>
                <w:rtl w:val="true"/>
              </w:rPr>
              <w:t>إذا أوصى له بأبيه، فقبل الوصية و هو مريض، عتق عليه من أصل المال</w:t>
            </w:r>
            <w:r>
              <w:rPr>
                <w:rStyle w:val="IndexLink"/>
                <w:rtl w:val="true"/>
              </w:rPr>
              <w:t>]</w:t>
              <w:tab/>
            </w:r>
            <w:r>
              <w:rPr>
                <w:rStyle w:val="IndexLink"/>
              </w:rPr>
              <w:t>124</w:t>
            </w:r>
          </w:hyperlink>
        </w:p>
        <w:p>
          <w:pPr>
            <w:pStyle w:val="Contents4"/>
            <w:tabs>
              <w:tab w:val="clear" w:pos="8176"/>
              <w:tab w:val="right" w:pos="9026" w:leader="dot"/>
            </w:tabs>
            <w:rPr/>
          </w:pPr>
          <w:hyperlink w:anchor="__RefHeading___Toc3878197_3804643083">
            <w:r>
              <w:rPr>
                <w:webHidden/>
                <w:rStyle w:val="IndexLink"/>
                <w:rtl w:val="true"/>
              </w:rPr>
              <w:t>[</w:t>
            </w:r>
            <w:r>
              <w:rPr>
                <w:rStyle w:val="IndexLink"/>
                <w:rtl w:val="true"/>
              </w:rPr>
              <w:t>السابعة</w:t>
            </w:r>
            <w:r>
              <w:rPr>
                <w:rStyle w:val="IndexLink"/>
                <w:rtl w:val="true"/>
              </w:rPr>
              <w:t xml:space="preserve">: </w:t>
            </w:r>
            <w:r>
              <w:rPr>
                <w:rStyle w:val="IndexLink"/>
                <w:rtl w:val="true"/>
              </w:rPr>
              <w:t>إذا أوصى له بدار، فانهدمت و صارت براحا، ثم مات الموصي، بطلت الوصية</w:t>
            </w:r>
            <w:r>
              <w:rPr>
                <w:rStyle w:val="IndexLink"/>
                <w:rtl w:val="true"/>
              </w:rPr>
              <w:t>]</w:t>
              <w:tab/>
            </w:r>
            <w:r>
              <w:rPr>
                <w:rStyle w:val="IndexLink"/>
              </w:rPr>
              <w:t>124</w:t>
            </w:r>
          </w:hyperlink>
        </w:p>
        <w:p>
          <w:pPr>
            <w:pStyle w:val="Contents4"/>
            <w:tabs>
              <w:tab w:val="clear" w:pos="8176"/>
              <w:tab w:val="right" w:pos="9026" w:leader="dot"/>
            </w:tabs>
            <w:rPr/>
          </w:pPr>
          <w:hyperlink w:anchor="__RefHeading___Toc3878199_3804643083">
            <w:r>
              <w:rPr>
                <w:webHidden/>
                <w:rStyle w:val="IndexLink"/>
                <w:rtl w:val="true"/>
              </w:rPr>
              <w:t>[</w:t>
            </w:r>
            <w:r>
              <w:rPr>
                <w:rStyle w:val="IndexLink"/>
                <w:rtl w:val="true"/>
              </w:rPr>
              <w:t>الثامنة</w:t>
            </w:r>
            <w:r>
              <w:rPr>
                <w:rStyle w:val="IndexLink"/>
                <w:rtl w:val="true"/>
              </w:rPr>
              <w:t xml:space="preserve">: </w:t>
            </w:r>
            <w:r>
              <w:rPr>
                <w:rStyle w:val="IndexLink"/>
                <w:rtl w:val="true"/>
              </w:rPr>
              <w:t>إذا قال</w:t>
            </w:r>
            <w:r>
              <w:rPr>
                <w:rStyle w:val="IndexLink"/>
                <w:rtl w:val="true"/>
              </w:rPr>
              <w:t xml:space="preserve">: </w:t>
            </w:r>
            <w:r>
              <w:rPr>
                <w:rStyle w:val="IndexLink"/>
                <w:rtl w:val="true"/>
              </w:rPr>
              <w:t>أعطوا زيدا و الفقراء كذا، كان لزيد النصف من الوصية</w:t>
            </w:r>
            <w:r>
              <w:rPr>
                <w:rStyle w:val="IndexLink"/>
                <w:rtl w:val="true"/>
              </w:rPr>
              <w:t>]</w:t>
              <w:tab/>
            </w:r>
            <w:r>
              <w:rPr>
                <w:rStyle w:val="IndexLink"/>
              </w:rPr>
              <w:t>124</w:t>
            </w:r>
          </w:hyperlink>
        </w:p>
        <w:p>
          <w:pPr>
            <w:pStyle w:val="Contents3"/>
            <w:tabs>
              <w:tab w:val="clear" w:pos="8459"/>
              <w:tab w:val="right" w:pos="9026" w:leader="dot"/>
            </w:tabs>
            <w:rPr/>
          </w:pPr>
          <w:hyperlink w:anchor="__RefHeading___Toc3878201_3804643083">
            <w:r>
              <w:rPr>
                <w:webHidden/>
                <w:rStyle w:val="IndexLink"/>
                <w:rtl w:val="true"/>
              </w:rPr>
              <w:t>[</w:t>
            </w:r>
            <w:r>
              <w:rPr>
                <w:rStyle w:val="IndexLink"/>
                <w:rtl w:val="true"/>
              </w:rPr>
              <w:t>القسم الثاني في تصرفات المريض</w:t>
            </w:r>
            <w:r>
              <w:rPr>
                <w:rStyle w:val="IndexLink"/>
                <w:rtl w:val="true"/>
              </w:rPr>
              <w:t>]</w:t>
              <w:tab/>
            </w:r>
            <w:r>
              <w:rPr>
                <w:rStyle w:val="IndexLink"/>
              </w:rPr>
              <w:t>125</w:t>
            </w:r>
          </w:hyperlink>
        </w:p>
        <w:p>
          <w:pPr>
            <w:pStyle w:val="Contents4"/>
            <w:tabs>
              <w:tab w:val="clear" w:pos="8176"/>
              <w:tab w:val="right" w:pos="9026" w:leader="dot"/>
            </w:tabs>
            <w:rPr/>
          </w:pPr>
          <w:hyperlink w:anchor="__RefHeading___Toc3878203_3804643083">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878205_3804643083">
            <w:r>
              <w:rPr>
                <w:webHidden/>
                <w:rStyle w:val="IndexLink"/>
                <w:rtl w:val="true"/>
              </w:rPr>
              <w:t>[</w:t>
            </w:r>
            <w:r>
              <w:rPr>
                <w:rStyle w:val="IndexLink"/>
                <w:rtl w:val="true"/>
              </w:rPr>
              <w:t>و هي نوعان</w:t>
            </w:r>
            <w:r>
              <w:rPr>
                <w:rStyle w:val="IndexLink"/>
                <w:rtl w:val="true"/>
              </w:rPr>
              <w:t>]</w:t>
              <w:tab/>
            </w:r>
            <w:r>
              <w:rPr>
                <w:rStyle w:val="IndexLink"/>
              </w:rPr>
              <w:t>125</w:t>
            </w:r>
          </w:hyperlink>
        </w:p>
        <w:p>
          <w:pPr>
            <w:pStyle w:val="Contents5"/>
            <w:tabs>
              <w:tab w:val="clear" w:pos="7892"/>
              <w:tab w:val="right" w:pos="9026" w:leader="dot"/>
            </w:tabs>
            <w:rPr/>
          </w:pPr>
          <w:hyperlink w:anchor="__RefHeading___Toc3878207_380464308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878209_3804643083">
            <w:r>
              <w:rPr>
                <w:webHidden/>
                <w:rStyle w:val="IndexLink"/>
                <w:rtl w:val="true"/>
              </w:rPr>
              <w:t>[</w:t>
            </w:r>
            <w:r>
              <w:rPr>
                <w:rStyle w:val="IndexLink"/>
                <w:rtl w:val="true"/>
              </w:rPr>
              <w:t>فالمؤجّلة</w:t>
            </w:r>
            <w:r>
              <w:rPr>
                <w:rStyle w:val="IndexLink"/>
                <w:rtl w:val="true"/>
              </w:rPr>
              <w:t>]</w:t>
              <w:tab/>
            </w:r>
            <w:r>
              <w:rPr>
                <w:rStyle w:val="IndexLink"/>
              </w:rPr>
              <w:t>125</w:t>
            </w:r>
          </w:hyperlink>
        </w:p>
        <w:p>
          <w:pPr>
            <w:pStyle w:val="Contents5"/>
            <w:tabs>
              <w:tab w:val="clear" w:pos="7892"/>
              <w:tab w:val="right" w:pos="9026" w:leader="dot"/>
            </w:tabs>
            <w:rPr/>
          </w:pPr>
          <w:hyperlink w:anchor="__RefHeading___Toc3878211_3804643083">
            <w:r>
              <w:rPr>
                <w:webHidden/>
                <w:rStyle w:val="IndexLink"/>
                <w:rtl w:val="true"/>
              </w:rPr>
              <w:t>[</w:t>
            </w:r>
            <w:r>
              <w:rPr>
                <w:rStyle w:val="IndexLink"/>
                <w:rtl w:val="true"/>
              </w:rPr>
              <w:t>و المنجّزة</w:t>
            </w:r>
            <w:r>
              <w:rPr>
                <w:rStyle w:val="IndexLink"/>
                <w:rtl w:val="true"/>
              </w:rPr>
              <w:t>]</w:t>
              <w:tab/>
            </w:r>
            <w:r>
              <w:rPr>
                <w:rStyle w:val="IndexLink"/>
              </w:rPr>
              <w:t>125</w:t>
            </w:r>
          </w:hyperlink>
        </w:p>
        <w:p>
          <w:pPr>
            <w:pStyle w:val="Contents4"/>
            <w:tabs>
              <w:tab w:val="clear" w:pos="8176"/>
              <w:tab w:val="right" w:pos="9026" w:leader="dot"/>
            </w:tabs>
            <w:rPr/>
          </w:pPr>
          <w:hyperlink w:anchor="__RefHeading___Toc3878213_3804643083">
            <w:r>
              <w:rPr>
                <w:webHidden/>
                <w:rStyle w:val="IndexLink"/>
                <w:rtl w:val="true"/>
              </w:rPr>
              <w:t>[</w:t>
            </w:r>
            <w:r>
              <w:rPr>
                <w:rStyle w:val="IndexLink"/>
                <w:rtl w:val="true"/>
              </w:rPr>
              <w:t>و هاهنا مسائل</w:t>
            </w:r>
            <w:r>
              <w:rPr>
                <w:rStyle w:val="IndexLink"/>
                <w:rtl w:val="true"/>
              </w:rPr>
              <w:t>]</w:t>
              <w:tab/>
            </w:r>
            <w:r>
              <w:rPr>
                <w:rStyle w:val="IndexLink"/>
              </w:rPr>
              <w:t>126</w:t>
            </w:r>
          </w:hyperlink>
        </w:p>
        <w:p>
          <w:pPr>
            <w:pStyle w:val="Contents5"/>
            <w:tabs>
              <w:tab w:val="clear" w:pos="7892"/>
              <w:tab w:val="right" w:pos="9026" w:leader="dot"/>
            </w:tabs>
            <w:rPr/>
          </w:pPr>
          <w:hyperlink w:anchor="__RefHeading___Toc3878215_3804643083">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878217_3804643083">
            <w:r>
              <w:rPr>
                <w:webHidden/>
                <w:rStyle w:val="IndexLink"/>
                <w:rtl w:val="true"/>
              </w:rPr>
              <w:t>[</w:t>
            </w:r>
            <w:r>
              <w:rPr>
                <w:rStyle w:val="IndexLink"/>
                <w:rtl w:val="true"/>
              </w:rPr>
              <w:t>الأولى</w:t>
            </w:r>
            <w:r>
              <w:rPr>
                <w:rStyle w:val="IndexLink"/>
                <w:rtl w:val="true"/>
              </w:rPr>
              <w:t xml:space="preserve">: </w:t>
            </w:r>
            <w:r>
              <w:rPr>
                <w:rStyle w:val="IndexLink"/>
                <w:rtl w:val="true"/>
              </w:rPr>
              <w:t>إذا وهب و حابى</w:t>
            </w:r>
            <w:r>
              <w:rPr>
                <w:rStyle w:val="IndexLink"/>
                <w:rtl w:val="true"/>
              </w:rPr>
              <w:t>]</w:t>
              <w:tab/>
            </w:r>
            <w:r>
              <w:rPr>
                <w:rStyle w:val="IndexLink"/>
              </w:rPr>
              <w:t>126</w:t>
            </w:r>
          </w:hyperlink>
        </w:p>
        <w:p>
          <w:pPr>
            <w:pStyle w:val="Contents5"/>
            <w:tabs>
              <w:tab w:val="clear" w:pos="7892"/>
              <w:tab w:val="right" w:pos="9026" w:leader="dot"/>
            </w:tabs>
            <w:rPr/>
          </w:pPr>
          <w:hyperlink w:anchor="__RefHeading___Toc3878219_3804643083">
            <w:r>
              <w:rPr>
                <w:webHidden/>
                <w:rStyle w:val="IndexLink"/>
                <w:rtl w:val="true"/>
              </w:rPr>
              <w:t>[</w:t>
            </w:r>
            <w:r>
              <w:rPr>
                <w:rStyle w:val="IndexLink"/>
                <w:rtl w:val="true"/>
              </w:rPr>
              <w:t>الثانية</w:t>
            </w:r>
            <w:r>
              <w:rPr>
                <w:rStyle w:val="IndexLink"/>
                <w:rtl w:val="true"/>
              </w:rPr>
              <w:t xml:space="preserve">: </w:t>
            </w:r>
            <w:r>
              <w:rPr>
                <w:rStyle w:val="IndexLink"/>
                <w:rtl w:val="true"/>
              </w:rPr>
              <w:t>إذا جمع بين عطية منجّزة و مؤخّرة قدّمت المنجزّة</w:t>
            </w:r>
            <w:r>
              <w:rPr>
                <w:rStyle w:val="IndexLink"/>
                <w:rtl w:val="true"/>
              </w:rPr>
              <w:t>]</w:t>
              <w:tab/>
            </w:r>
            <w:r>
              <w:rPr>
                <w:rStyle w:val="IndexLink"/>
              </w:rPr>
              <w:t>126</w:t>
            </w:r>
          </w:hyperlink>
        </w:p>
        <w:p>
          <w:pPr>
            <w:pStyle w:val="Contents5"/>
            <w:tabs>
              <w:tab w:val="clear" w:pos="7892"/>
              <w:tab w:val="right" w:pos="9026" w:leader="dot"/>
            </w:tabs>
            <w:rPr/>
          </w:pPr>
          <w:hyperlink w:anchor="__RefHeading___Toc3878221_3804643083">
            <w:r>
              <w:rPr>
                <w:webHidden/>
                <w:rStyle w:val="IndexLink"/>
                <w:rtl w:val="true"/>
              </w:rPr>
              <w:t>[</w:t>
            </w:r>
            <w:r>
              <w:rPr>
                <w:rStyle w:val="IndexLink"/>
                <w:rtl w:val="true"/>
              </w:rPr>
              <w:t>الثالثة</w:t>
            </w:r>
            <w:r>
              <w:rPr>
                <w:rStyle w:val="IndexLink"/>
                <w:rtl w:val="true"/>
              </w:rPr>
              <w:t xml:space="preserve">: </w:t>
            </w:r>
            <w:r>
              <w:rPr>
                <w:rStyle w:val="IndexLink"/>
                <w:rtl w:val="true"/>
              </w:rPr>
              <w:t>إذا باع كرّا من طعام قيمته ستة دنانير و ليس له سواه</w:t>
            </w:r>
            <w:r>
              <w:rPr>
                <w:rStyle w:val="IndexLink"/>
                <w:rtl w:val="true"/>
              </w:rPr>
              <w:t>]</w:t>
              <w:tab/>
            </w:r>
            <w:r>
              <w:rPr>
                <w:rStyle w:val="IndexLink"/>
              </w:rPr>
              <w:t>126</w:t>
            </w:r>
          </w:hyperlink>
        </w:p>
        <w:p>
          <w:pPr>
            <w:pStyle w:val="Contents5"/>
            <w:tabs>
              <w:tab w:val="clear" w:pos="7892"/>
              <w:tab w:val="right" w:pos="9026" w:leader="dot"/>
            </w:tabs>
            <w:rPr/>
          </w:pPr>
          <w:hyperlink w:anchor="__RefHeading___Toc3878223_3804643083">
            <w:r>
              <w:rPr>
                <w:webHidden/>
                <w:rStyle w:val="IndexLink"/>
                <w:rtl w:val="true"/>
              </w:rPr>
              <w:t>[</w:t>
            </w:r>
            <w:r>
              <w:rPr>
                <w:rStyle w:val="IndexLink"/>
                <w:rtl w:val="true"/>
              </w:rPr>
              <w:t>الرابعة</w:t>
            </w:r>
            <w:r>
              <w:rPr>
                <w:rStyle w:val="IndexLink"/>
                <w:rtl w:val="true"/>
              </w:rPr>
              <w:t xml:space="preserve">: </w:t>
            </w:r>
            <w:r>
              <w:rPr>
                <w:rStyle w:val="IndexLink"/>
                <w:rtl w:val="true"/>
              </w:rPr>
              <w:t>لو باع عبدا قيمته مائتان بمائة و بري‌ء لزم العقد</w:t>
            </w:r>
            <w:r>
              <w:rPr>
                <w:rStyle w:val="IndexLink"/>
                <w:rtl w:val="true"/>
              </w:rPr>
              <w:t>.]</w:t>
              <w:tab/>
            </w:r>
            <w:r>
              <w:rPr>
                <w:rStyle w:val="IndexLink"/>
              </w:rPr>
              <w:t>126</w:t>
            </w:r>
          </w:hyperlink>
        </w:p>
        <w:p>
          <w:pPr>
            <w:pStyle w:val="Contents5"/>
            <w:tabs>
              <w:tab w:val="clear" w:pos="7892"/>
              <w:tab w:val="right" w:pos="9026" w:leader="dot"/>
            </w:tabs>
            <w:rPr/>
          </w:pPr>
          <w:hyperlink w:anchor="__RefHeading___Toc3878225_3804643083">
            <w:r>
              <w:rPr>
                <w:webHidden/>
                <w:rStyle w:val="IndexLink"/>
                <w:rtl w:val="true"/>
              </w:rPr>
              <w:t>[</w:t>
            </w:r>
            <w:r>
              <w:rPr>
                <w:rStyle w:val="IndexLink"/>
                <w:rtl w:val="true"/>
              </w:rPr>
              <w:t>الخامسة</w:t>
            </w:r>
            <w:r>
              <w:rPr>
                <w:rStyle w:val="IndexLink"/>
                <w:rtl w:val="true"/>
              </w:rPr>
              <w:t xml:space="preserve">: </w:t>
            </w:r>
            <w:r>
              <w:rPr>
                <w:rStyle w:val="IndexLink"/>
                <w:rtl w:val="true"/>
              </w:rPr>
              <w:t>إذا أعتقها في مرض الموت و تزوّج و دخل بها صح العقد و العتق</w:t>
            </w:r>
            <w:r>
              <w:rPr>
                <w:rStyle w:val="IndexLink"/>
                <w:rtl w:val="true"/>
              </w:rPr>
              <w:t>]</w:t>
              <w:tab/>
            </w:r>
            <w:r>
              <w:rPr>
                <w:rStyle w:val="IndexLink"/>
              </w:rPr>
              <w:t>127</w:t>
            </w:r>
          </w:hyperlink>
        </w:p>
        <w:p>
          <w:pPr>
            <w:pStyle w:val="Contents5"/>
            <w:tabs>
              <w:tab w:val="clear" w:pos="7892"/>
              <w:tab w:val="right" w:pos="9026" w:leader="dot"/>
            </w:tabs>
            <w:rPr/>
          </w:pPr>
          <w:hyperlink w:anchor="__RefHeading___Toc3878227_3804643083">
            <w:r>
              <w:rPr>
                <w:webHidden/>
                <w:rStyle w:val="IndexLink"/>
                <w:rtl w:val="true"/>
              </w:rPr>
              <w:t>[</w:t>
            </w:r>
            <w:r>
              <w:rPr>
                <w:rStyle w:val="IndexLink"/>
                <w:rtl w:val="true"/>
              </w:rPr>
              <w:t>السادسة</w:t>
            </w:r>
            <w:r>
              <w:rPr>
                <w:rStyle w:val="IndexLink"/>
                <w:rtl w:val="true"/>
              </w:rPr>
              <w:t xml:space="preserve">: </w:t>
            </w:r>
            <w:r>
              <w:rPr>
                <w:rStyle w:val="IndexLink"/>
                <w:rtl w:val="true"/>
              </w:rPr>
              <w:t>لو أعتق أمته و قيمتها ثلث تركته، ثم أصدقها الثلث الآخر، و دخل ثم مات</w:t>
            </w:r>
            <w:r>
              <w:rPr>
                <w:rStyle w:val="IndexLink"/>
                <w:rtl w:val="true"/>
              </w:rPr>
              <w:t>]</w:t>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8_30892"/>
      <w:bookmarkStart w:id="1" w:name="pg2498_30892"/>
      <w:bookmarkEnd w:id="1"/>
    </w:p>
    <w:p>
      <w:pPr>
        <w:pStyle w:val="Heading2"/>
        <w:numPr>
          <w:ilvl w:val="1"/>
          <w:numId w:val="1"/>
        </w:numPr>
        <w:rPr/>
      </w:pPr>
      <w:bookmarkStart w:id="2" w:name="pg2498_30892"/>
      <w:bookmarkStart w:id="3" w:name="__RefHeading___Toc3877931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الوصايا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دزفولى، مرتضى بن محمد امين انصارى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بزرگداشت شيخ اعظم انصارى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نوبت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كنگره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الشيخ الأعظم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7933_3804643083"/>
      <w:bookmarkStart w:id="6" w:name="_Toc2"/>
      <w:bookmarkEnd w:id="5"/>
      <w:r>
        <w:rPr>
          <w:rtl w:val="true"/>
        </w:rPr>
        <w:t>اشارة</w:t>
      </w:r>
      <w:bookmarkStart w:id="7" w:name="pg2498_30898"/>
      <w:bookmarkEnd w:id="6"/>
    </w:p>
    <w:p>
      <w:pPr>
        <w:pStyle w:val="Heading2"/>
        <w:numPr>
          <w:ilvl w:val="1"/>
          <w:numId w:val="1"/>
        </w:numPr>
        <w:rPr/>
      </w:pPr>
      <w:bookmarkStart w:id="8" w:name="__RefHeading___Toc3877935_3804643083"/>
      <w:bookmarkStart w:id="9" w:name="_Toc3"/>
      <w:bookmarkEnd w:id="7"/>
      <w:bookmarkEnd w:id="8"/>
      <w:r>
        <w:rPr>
          <w:rtl w:val="true"/>
        </w:rPr>
        <w:t>مقدمة التحقيق</w:t>
      </w:r>
      <w:bookmarkEnd w:id="9"/>
    </w:p>
    <w:p>
      <w:pPr>
        <w:pStyle w:val="Heading3"/>
        <w:numPr>
          <w:ilvl w:val="2"/>
          <w:numId w:val="1"/>
        </w:numPr>
        <w:rPr/>
      </w:pPr>
      <w:bookmarkStart w:id="10" w:name="__RefHeading___Toc3877937_3804643083"/>
      <w:bookmarkStart w:id="11" w:name="_Toc4"/>
      <w:bookmarkEnd w:id="10"/>
      <w:r>
        <w:rPr>
          <w:rtl w:val="true"/>
        </w:rPr>
        <w:t>[</w:t>
      </w:r>
      <w:r>
        <w:rPr>
          <w:rtl w:val="true"/>
        </w:rPr>
        <w:t>مقدمة الأمين العام للمؤتمر</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الثورة الإسلاميّة بقيادة الإمام الخميني رضوان اللّٰه عليه حدثا سياسيّا تتحدّد آثاره التغييريّة بحدود الأوضاع السياسيّة إقليميّة أو عالميّة، بل كانت و بفعل التغييرات الجذريّة التي أعقبتها في القيم و البنى الحضاريّة التي شيّد عليها صرح الحياة الإنسانيّة في عصرها الجديد حدثا حضاريّا إنسانيّا شاملا حمل إلى الإنسان المعاصر رسالة الحياة الحرّة الكريمة التي بشّر بها الأنبياء عليهم الصلاة و السلام على مدى التاريخ و فتح أمام تطلّعات الإنسان الحاضر افقا باسما بالنور و الحياة، و الخير و العطاء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أولي نتائج هذا التحوّل الحضاري الثورة الثقافيّة الشاملة التي شهدها مهد الثورة الإسلاميّة إيران و التي دفعت بالمسلم الإيراني إلى اقتحام ميادين الثقافة و العلوم بشتّى فروعها، و جعلت من إيران، و من قم المقدّسة بوجه خاصّ عاصمة للفكر الإسلامي و قلبا نابضا بثقافة القرآن و علوم الإسلام</w:t>
      </w:r>
    </w:p>
    <w:p>
      <w:pPr>
        <w:pStyle w:val="BookText"/>
        <w:rPr/>
      </w:pPr>
      <w:r>
        <w:rPr>
          <w:rFonts w:ascii="Amiri" w:hAnsi="Amiri" w:eastAsia="Amiri" w:cs="Amiri"/>
          <w:color w:val="111111"/>
          <w:sz w:val="28"/>
          <w:sz w:val="28"/>
          <w:szCs w:val="28"/>
          <w:rtl w:val="true"/>
          <w:lang w:bidi="ar-SA"/>
        </w:rPr>
        <w:t>و لقد كانت تعاليم الإمام الراحل رضوان اللّٰه تعالى عليه و وصاياه و كذا توجيهات قائد الثورة الإسلاميّة و وليّ أمر المسلمين آية اللّٰه الخامنئي المصدر الأوّل الذي تستلهم الثورة الثقافيّة منه دستورها و منهجها، و لقد كانت الثقافة الإسلاميّة بالذات على رأس اهتمامات الإمام الراحل رضوان اللّٰه عليه و قد أولاها سماحة آية اللّٰه الخامنئي حفظه اللّٰه تعالى رعايته الخاصّة، فكان من نتائج ذاك التوجيه و هذه الرّعاية ظهور آفاق جديدة من التطوّر في مناهج الدراسات الإسلاميّة بل و مضامينها، و انبثاق مشاريع و طروح تغييريّة تتّجه إلى تنمية و تطوير العلوم الإسلاميّة و مناهجها بما يناسب مرحلة الثورة الإسلاميّة و حاجات الإنسان الحاضر و تطلّعاته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العلوم الإسلاميّة حصيلة الجهود التي بذلها عباقرة الفكر الإسلاميّ في مجال فهم القرآن الكريم و السنّة الشريفة فقد كان من أهمّ ما تتطلّبه عمليّة التطوير العلمي في الدراسات الإسلاميّة تسليط الأضواء على حصائل آراء العباقرة و النوابغ الأوّلين الذين تصدّروا حركة البناء العلمي لصرح الثقافة الإسلاميّة، و القيام بمحاولة جادّة و جديدة لعرض آرائهم و أفكارهم على طاولة البحث العلمي و النقد الموضوعي، و دعوة أصحاب الرأي و الفكر المعاصرين إلى دراسة جديدة و شاملة لتراث السلف الصالح من بناة الصرح الشامخ للعلوم و الدراسات الإسلاميّة و روّاد الفكر الإسلاميّ و عباقرته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الإمام المجدّد الشيخ الأعظم الأنصاري قدّس اللّٰه نفسه يعتبر الرائد الأوّل للتجديد العلمي في العصر الأخير في مجالي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أهمّ فروع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اضطلعت الأمانة العامّة لمؤتمر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من سماحة قائد الثورة الإسلاميّة</w:t>
      </w:r>
    </w:p>
    <w:p>
      <w:pPr>
        <w:pStyle w:val="BookText"/>
        <w:rPr/>
      </w:pPr>
      <w:r>
        <w:rPr>
          <w:rFonts w:ascii="Amiri" w:hAnsi="Amiri" w:eastAsia="Amiri" w:cs="Amiri"/>
          <w:color w:val="111111"/>
          <w:sz w:val="28"/>
          <w:sz w:val="28"/>
          <w:szCs w:val="28"/>
          <w:rtl w:val="true"/>
          <w:lang w:bidi="ar-SA"/>
        </w:rPr>
        <w:t>آية اللّٰه الخامنئي و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بمشروع إحياء الذكرى المائويّة الثانية لميلاد الشيخ الأعظم الأنصاري قدّس سرّه و ليتمّ من خلال هذا المشروع عرض مدرسة الشيخ الأنصاري الفكريّة في شتّى أبعادها و على الخصوص إبداعات هذه المدرسة و إنتاجاتها المتميّزة التي جعلت منها المدرسة الأمّ لما تلتها من مدارس فكريّة كمدرسة الميرزا الشيرازي و الآخوند الخراساني و المحقّق النائيني و المحقّق العراقي و المحقّق الأصفهاني و غيرهم من زعماء المدارس الفكريّة الحديثة على صعيد الفقه الإسلامي و أصوله و تمهيدا لهذا المشروع فقد ارتأت الأمانة العامّة أن تقوم لجنة مختصّة من فضلاء الحوزة العلميّة بقم المقدّسة بهمّة إحياء تراث الشيخ الأنصاري و تحقيق تركته العلميّة و إخراجها بالاسلوب العلمي اللّائق و عرضها لروّاد الفكر الإسلاميّ و المكتبة الإسلاميّة بالطريقة التي تسهّل للباحثين الاطّلاع على فكر الشيخ الأنصاري و نتاجه العلمي العظيم و الأمانة العامّة لمؤتمر الشيخ الأنصاري إذ تشكر اللّٰه سبحانه و تعالى على هذا التوفيق تبتهل إليه في أن يديم ظلّ قائد الثورة الإسلاميّة و يحفظه للإسلام ناصرا و للمسلمين رائدا و قائدا و أن يتقبّل من العاملين في لجنة التحقيق جهدهم العظيم في سبيل إحياء تراث الشيخ الأعظم الأنصاري و أن يمنّ عليهم بأضعاف من الأجر و الثواب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عام مؤتمر الشيخ الأعظم الأنصاري محسن العراقي</w:t>
      </w:r>
      <w:bookmarkStart w:id="12" w:name="pg2498_30902"/>
    </w:p>
    <w:p>
      <w:pPr>
        <w:pStyle w:val="Heading3"/>
        <w:numPr>
          <w:ilvl w:val="2"/>
          <w:numId w:val="1"/>
        </w:numPr>
        <w:rPr/>
      </w:pPr>
      <w:bookmarkStart w:id="13" w:name="__RefHeading___Toc3877939_3804643083"/>
      <w:bookmarkStart w:id="14" w:name="_Toc5"/>
      <w:bookmarkEnd w:id="12"/>
      <w:bookmarkEnd w:id="13"/>
      <w:r>
        <w:rPr>
          <w:rtl w:val="true"/>
        </w:rPr>
        <w:t>[</w:t>
      </w:r>
      <w:r>
        <w:rPr>
          <w:rtl w:val="true"/>
        </w:rPr>
        <w:t>مقدمة</w:t>
      </w:r>
      <w:r>
        <w:rPr>
          <w:rtl w:val="true"/>
        </w:rPr>
        <w:t>]</w:t>
      </w:r>
      <w:bookmarkEnd w:id="14"/>
    </w:p>
    <w:p>
      <w:pPr>
        <w:pStyle w:val="Heading4"/>
        <w:numPr>
          <w:ilvl w:val="3"/>
          <w:numId w:val="1"/>
        </w:numPr>
        <w:rPr/>
      </w:pPr>
      <w:bookmarkStart w:id="15" w:name="__RefHeading___Toc3877941_3804643083"/>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 الحمد للّٰه المتفرّد بوحدانيّته، و الصلاة و السلام على من بعثه برسالاته و على أهل بيته، أوصيائه و خلفائه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منن اللّٰه تعالى علينا أن وفّقنا لإصدار حلقة اخرى من تراث الشيخ الأعظم قدّس سرّه، و هي تشتمل على ثلاث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و منجّزات المريض،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المواضيع الثلاثة مواضيع جديرة بالاهتمام من الناحية الفقهية و الحقوقية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رسالة الوصايا، فقد كتبها الشيخ قدّس سرّه بصورة شرح مزجي لكتاب شرائع الإسلام، 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تامة، بل نرى في البحث انقطاعا في عدّة مواضع، و لا ندري هل أنّها كانت في الأصل كذلك، أو كانت كاملة و لكن حصل النقص بسبب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فقد أكملنا الناقص منه بمتن الشرائع ليمكن معرفة مقدار النقص، و تحصل المعرفة الإجمالية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رسالة منجّزات المريض، فقد كتبها قدّس سرّه بصورة مستقلة، و لكن واجهتنا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جمع ما كتبه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أوراقا مبعثرة غير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قسم منجزات المريض بعد الوصايا، و قد تابعه من استنسخ على تلك النسخة من دون إشارة إلى نقطة مهمة،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آخر عبارة في آخر صفحة من بحث المنجزات هي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الإنصاف، أنّ المسألة محلّ إشكال، ممّا ذكر، و من عموم أدلة الإرث و الوصية، و عدم نهوض ما ذكر مخصّصا لها، بل أدلّة الدين أيضا، بناء على أنّ اللازم من إخراج ما نحن فيه من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وسط رسالة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الموصى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أوّل بما يرجع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بمقدار صفحتين، و جاء بعدهما في أوّل صفحة جديدة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مزاحمته مع الدين إلّا أنّ بعض أهل هذا القول ادّعى الإجماع على تقديم الواجبات البدنية على الماليّة و عدم مزاحمتها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في البحث عن الموصى به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التدقيق رأينا 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مزاحمته مع الدين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تتمة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تكون العبارة التي جاءت في الوصايا تتمة لآخر عبارة وردت في منجزات المريض، و لذلك نحتمل أن تكون رسالة منجزات المريض قد كتبها الشيخ ضمن الوصايا، و لكن أخّرها المجمّع للأوراق، و مع ذلك فإنّنا حافظنا على الصورة الموجودة في المخطوطة و المطبوعات، مع الإشارة إلى ما توصّلنا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العجيب أنّه جاء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المطبوعة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مزاحمته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ندري من</w:t>
      </w:r>
      <w:bookmarkStart w:id="17" w:name="pg2498_30904"/>
    </w:p>
    <w:p>
      <w:pPr>
        <w:pStyle w:val="BookText"/>
        <w:rPr/>
      </w:pPr>
      <w:bookmarkEnd w:id="17"/>
      <w:r>
        <w:rPr>
          <w:rFonts w:ascii="Amiri" w:hAnsi="Amiri" w:eastAsia="Amiri" w:cs="Amiri"/>
          <w:color w:val="111111"/>
          <w:sz w:val="28"/>
          <w:sz w:val="28"/>
          <w:szCs w:val="28"/>
          <w:rtl w:val="true"/>
          <w:lang w:bidi="ar-SA"/>
        </w:rPr>
        <w:t>أين جاءت هذه العبارة؟</w:t>
      </w:r>
    </w:p>
    <w:p>
      <w:pPr>
        <w:pStyle w:val="BookText"/>
        <w:rPr/>
      </w:pPr>
      <w:r>
        <w:rPr>
          <w:rFonts w:ascii="Amiri" w:hAnsi="Amiri" w:eastAsia="Amiri" w:cs="Amiri"/>
          <w:color w:val="111111"/>
          <w:sz w:val="28"/>
          <w:sz w:val="28"/>
          <w:szCs w:val="28"/>
          <w:rtl w:val="true"/>
          <w:lang w:bidi="ar-SA"/>
        </w:rPr>
        <w:t>و أمّا رسالة الإرث، فقد كتبها بصورة مستقلة و مختصرة أيضا، و لم يتعرّض فيها إلّا إلى بعض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تعرّض لبعض المسائل أكثر من مرّة، و لكن اختلفت كيفية دراسته للمسألة بحسب كيفية طرحه و رؤيته لها، كما حدث في المسألة السابعة و الثامنة و التاسعة، فهذه المسائل تبحث حول موضوع واحد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المستوعب لتركة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 تكن كيفية بحثه حولها على نسق واحد</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877943_3804643083"/>
      <w:bookmarkStart w:id="19" w:name="_Toc7"/>
      <w:bookmarkEnd w:id="18"/>
      <w:r>
        <w:rPr>
          <w:rtl w:val="true"/>
        </w:rPr>
        <w:t>النسخ المعتمد عليها</w:t>
      </w:r>
      <w:r>
        <w:rPr>
          <w:rtl w:val="true"/>
        </w:rPr>
        <w:t>:</w:t>
      </w:r>
      <w:bookmarkEnd w:id="19"/>
    </w:p>
    <w:p>
      <w:pPr>
        <w:pStyle w:val="BookText"/>
        <w:rPr/>
      </w:pPr>
      <w:r>
        <w:rPr>
          <w:rFonts w:ascii="Amiri" w:hAnsi="Amiri" w:eastAsia="Amiri" w:cs="Amiri"/>
          <w:color w:val="111111"/>
          <w:sz w:val="28"/>
          <w:sz w:val="28"/>
          <w:szCs w:val="28"/>
          <w:rtl w:val="true"/>
          <w:lang w:bidi="ar-SA"/>
        </w:rPr>
        <w:t>و كان الاعتماد في التحقيق على النسخ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النسخة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أكثر اعتماد المحققين على مصوّرة النسخة الأصلية التي كتبها الشيخ قدّس سرّه، و الموجودة في مكتبة الإمام الرضا عليه السّلام في مشهد، ضمن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الوصايا، و قد تفضّلت بها المكتبة مشكورة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رمز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نسخة مطبوعة بالطبعة الحجرية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اخرى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نسخة ثانية من المكاسب مطبوعة بالطبعة الحجرية أيضا في أصفهان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رمز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هاتين الطبعتين من المكاسب مصحّحتان، و هما مشتملتان على عدّة رسائل للشيخ الأنصاري قدّس سرّه غير كتاب المكاسب،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الوصايا، و منجزات المريض،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نشير إلى أننا سمّينا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 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 منجّزات المريض 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استفيد في رسالة الإرث من نسخة ثالثة من المكاسب، و هي المعروفة بطبعة الشهيدي المتداولة، و المطبوعة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ختاما، نشكر كل من كان له دور في إحياء هذا الأثر، و نخصّ بالذكر صاحب الفضيلة سماحة حجة الإسلام و المسلمين السيد عبد الصاحب الموسوي الذي قام بمراجعة قسم الوصايا و منجّزات المريض بعد تحقيقهما، و سماحة حجة الإسلام و المسلمين الشيخ مرتضى الواعظي الذي حقّق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سماحة حجة الإسلام و المسلمين الشيخ محمد الحسون الذي حقّق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سماحة حجة الإسلام و المسلمين الشيخ محمد رضا الأنصاري الذي حقّق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حجة الإسلام السيد هادي عظيمي الذي قام بتنظيم الفهارس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لنا و لهم مزيد التوفيق لخدمة مذهب أهل البيت عليهم السّلام، إنه قريب مجيب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 لجنة التحقيق محمّد علي الأنصاري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الوصايا و المواريث</w:t>
      </w:r>
      <w:bookmarkStart w:id="20" w:name="pg2498_30912"/>
    </w:p>
    <w:p>
      <w:pPr>
        <w:pStyle w:val="Heading2"/>
        <w:numPr>
          <w:ilvl w:val="1"/>
          <w:numId w:val="1"/>
        </w:numPr>
        <w:rPr/>
      </w:pPr>
      <w:bookmarkStart w:id="21" w:name="__RefHeading___Toc3877945_3804643083"/>
      <w:bookmarkStart w:id="22" w:name="_Toc8"/>
      <w:bookmarkEnd w:id="20"/>
      <w:bookmarkEnd w:id="21"/>
      <w:r>
        <w:rPr>
          <w:rtl w:val="true"/>
        </w:rPr>
        <w:t>الفصل الأوّل في الوصيّة</w:t>
      </w:r>
      <w:bookmarkEnd w:id="22"/>
    </w:p>
    <w:p>
      <w:pPr>
        <w:pStyle w:val="Heading3"/>
        <w:numPr>
          <w:ilvl w:val="2"/>
          <w:numId w:val="1"/>
        </w:numPr>
        <w:rPr/>
      </w:pPr>
      <w:bookmarkStart w:id="23" w:name="__RefHeading___Toc3877947_3804643083"/>
      <w:bookmarkStart w:id="24" w:name="_Toc9"/>
      <w:bookmarkEnd w:id="23"/>
      <w:r>
        <w:rPr>
          <w:rtl w:val="true"/>
        </w:rPr>
        <w:t>اشارة</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في الوصيّة</w:t>
      </w:r>
      <w:bookmarkStart w:id="25" w:name="pg2498_30914"/>
    </w:p>
    <w:p>
      <w:pPr>
        <w:pStyle w:val="BookText"/>
        <w:rPr/>
      </w:pPr>
      <w:bookmarkEnd w:id="25"/>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أعدائهم أجمعين إلى يوم الدّين</w:t>
      </w:r>
    </w:p>
    <w:p>
      <w:pPr>
        <w:pStyle w:val="Heading3"/>
        <w:numPr>
          <w:ilvl w:val="2"/>
          <w:numId w:val="1"/>
        </w:numPr>
        <w:rPr/>
      </w:pPr>
      <w:bookmarkStart w:id="26" w:name="__RefHeading___Toc3877949_3804643083"/>
      <w:bookmarkStart w:id="27" w:name="_Toc10"/>
      <w:bookmarkEnd w:id="26"/>
      <w:r>
        <w:rPr>
          <w:rtl w:val="true"/>
        </w:rPr>
        <w:t>[</w:t>
      </w:r>
      <w:r>
        <w:rPr>
          <w:rtl w:val="true"/>
        </w:rPr>
        <w:t>الوصية لغة</w:t>
      </w:r>
      <w:r>
        <w:rPr>
          <w:rtl w:val="true"/>
        </w:rPr>
        <w:t>]</w:t>
      </w:r>
      <w:bookmarkEnd w:id="27"/>
    </w:p>
    <w:p>
      <w:pPr>
        <w:pStyle w:val="BookText"/>
        <w:rPr/>
      </w:pP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أوصاه و وصّاه توصية،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كما في القاموس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أولى مما في جملة من كتب الفقه من أخذها من وصى يصي،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لوصل الموصي تصرّفه بعد الموت بتصرّفه قبل الموت </w:t>
      </w:r>
      <w:r>
        <w:rPr>
          <w:rStyle w:val="FootnoteAnchor"/>
          <w:rtl w:val="true"/>
        </w:rPr>
        <w:footnoteReference w:id="3"/>
      </w:r>
      <w:r>
        <w:rPr>
          <w:rFonts w:ascii="Amiri" w:hAnsi="Amiri" w:eastAsia="Amiri" w:cs="Amiri"/>
          <w:color w:val="111111"/>
          <w:sz w:val="28"/>
          <w:sz w:val="28"/>
          <w:szCs w:val="28"/>
          <w:rtl w:val="true"/>
          <w:lang w:bidi="ar-SA"/>
        </w:rPr>
        <w:t xml:space="preserve">لأنّ الألفاظ المستعملة من هذه المادّة في الكتاب </w:t>
      </w:r>
      <w:r>
        <w:rPr>
          <w:rStyle w:val="FootnoteAnchor"/>
          <w:rtl w:val="true"/>
        </w:rPr>
        <w:footnoteReference w:id="4"/>
      </w:r>
      <w:r>
        <w:rPr>
          <w:rFonts w:ascii="Amiri" w:hAnsi="Amiri" w:eastAsia="Amiri" w:cs="Amiri"/>
          <w:color w:val="111111"/>
          <w:sz w:val="28"/>
          <w:sz w:val="28"/>
          <w:szCs w:val="28"/>
          <w:rtl w:val="true"/>
          <w:lang w:bidi="ar-SA"/>
        </w:rPr>
        <w:t xml:space="preserve">و السنّة </w:t>
      </w:r>
      <w:r>
        <w:rPr>
          <w:rStyle w:val="FootnoteAnchor"/>
          <w:rtl w:val="true"/>
        </w:rPr>
        <w:footnoteReference w:id="5"/>
      </w:r>
      <w:r>
        <w:rPr>
          <w:rFonts w:ascii="Amiri" w:hAnsi="Amiri" w:eastAsia="Amiri" w:cs="Amiri"/>
          <w:color w:val="111111"/>
          <w:sz w:val="28"/>
          <w:sz w:val="28"/>
          <w:szCs w:val="28"/>
          <w:rtl w:val="true"/>
          <w:lang w:bidi="ar-SA"/>
        </w:rPr>
        <w:t>و كتب الفقهاء كلّها</w:t>
      </w:r>
      <w:bookmarkStart w:id="28" w:name="pg2498_30915"/>
    </w:p>
    <w:p>
      <w:pPr>
        <w:pStyle w:val="BookText"/>
        <w:rPr/>
      </w:pPr>
      <w:bookmarkEnd w:id="28"/>
      <w:r>
        <w:rPr>
          <w:rFonts w:ascii="Amiri" w:hAnsi="Amiri" w:eastAsia="Amiri" w:cs="Amiri"/>
          <w:color w:val="111111"/>
          <w:sz w:val="28"/>
          <w:sz w:val="28"/>
          <w:szCs w:val="28"/>
          <w:rtl w:val="true"/>
          <w:lang w:bidi="ar-SA"/>
        </w:rPr>
        <w:t xml:space="preserve">من باب الإفعال و التفعيل، لا الثلاثي المجرّد، اللّٰهم إلّا أن يريدوا أنّ أصل هذه اللّفظة مأخوذة من وصى يصي، حتّى أنّ الإيصاء و التوصية بمعنى العهد مأخوذ من ذلك، لا أنّ </w:t>
      </w:r>
      <w:r>
        <w:rPr>
          <w:rStyle w:val="FootnoteAnchor"/>
          <w:rtl w:val="true"/>
        </w:rPr>
        <w:footnoteReference w:id="6"/>
      </w:r>
      <w:r>
        <w:rPr>
          <w:rFonts w:ascii="Amiri" w:hAnsi="Amiri" w:eastAsia="Amiri" w:cs="Amiri"/>
          <w:color w:val="111111"/>
          <w:sz w:val="28"/>
          <w:sz w:val="28"/>
          <w:szCs w:val="28"/>
          <w:rtl w:val="true"/>
          <w:lang w:bidi="ar-SA"/>
        </w:rPr>
        <w:t>الوصية المذكورة في الاستعمالات مصدر وصى يصي، فلا خلاف في المعنى، و لعلّ هذا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يفسّرون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المكلّف، أعني استعمال الطهور، أو نفس الوضوء و الغسل و التيمّم، و مع ذلك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الطهارة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مرادهم أنّ الطهارة المفسّرة بفعل المكلّف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المصدر منه حدث قائم بالجسم الطاهر أو بالشخص المتطهّر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877951_3804643083"/>
      <w:bookmarkStart w:id="30" w:name="_Toc11"/>
      <w:bookmarkEnd w:id="29"/>
      <w:r>
        <w:rPr>
          <w:rtl w:val="true"/>
        </w:rPr>
        <w:t>[</w:t>
      </w:r>
      <w:r>
        <w:rPr>
          <w:rtl w:val="true"/>
        </w:rPr>
        <w:t>الوصية شرعا</w:t>
      </w:r>
      <w:r>
        <w:rPr>
          <w:rtl w:val="true"/>
        </w:rPr>
        <w:t>]</w:t>
      </w:r>
      <w:bookmarkEnd w:id="30"/>
    </w:p>
    <w:p>
      <w:pPr>
        <w:pStyle w:val="BookText"/>
        <w:rPr/>
      </w:pPr>
      <w:r>
        <w:rPr>
          <w:rFonts w:ascii="Amiri" w:hAnsi="Amiri" w:eastAsia="Amiri" w:cs="Amiri"/>
          <w:color w:val="111111"/>
          <w:sz w:val="28"/>
          <w:sz w:val="28"/>
          <w:szCs w:val="28"/>
          <w:rtl w:val="true"/>
          <w:lang w:bidi="ar-SA"/>
        </w:rPr>
        <w:t>و الغرض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في الكتاب و السنّة و ألسنة الفقهاء بمعنى العهد إلى الغير، إلّا أنّ هذا المعنى قد يتعلّق بتمليك شخص شيئا من ماله، و قد يرجع إلى تسليط في التصرّف، و قد يتعلّق بفعل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 ملك بتحرير أو وقف، و قد يرجع إلى أمر يتعلّق بنفس الموصي كأمر تجهيزه و دفنه، و قد يتعلّق بغير ذلك</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877953_3804643083"/>
      <w:bookmarkStart w:id="32" w:name="_Toc12"/>
      <w:bookmarkEnd w:id="31"/>
      <w:r>
        <w:rPr>
          <w:rtl w:val="true"/>
        </w:rPr>
        <w:t>[</w:t>
      </w:r>
      <w:r>
        <w:rPr>
          <w:rtl w:val="true"/>
        </w:rPr>
        <w:t>رواية في بيان كيفية الوصية</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الجعفري </w:t>
      </w:r>
      <w:r>
        <w:rPr>
          <w:rStyle w:val="FootnoteAnchor"/>
          <w:rtl w:val="true"/>
        </w:rPr>
        <w:footnoteReference w:id="7"/>
      </w:r>
      <w:r>
        <w:rPr>
          <w:rFonts w:ascii="Amiri" w:hAnsi="Amiri" w:eastAsia="Amiri" w:cs="Amiri"/>
          <w:color w:val="111111"/>
          <w:sz w:val="28"/>
          <w:sz w:val="28"/>
          <w:szCs w:val="28"/>
          <w:rtl w:val="true"/>
          <w:lang w:bidi="ar-SA"/>
        </w:rPr>
        <w:t xml:space="preserve">،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موته كان نقصا في مروّته و عقله،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يوصي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الوفاة و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w:t>
      </w:r>
    </w:p>
    <w:p>
      <w:pPr>
        <w:pStyle w:val="BookText"/>
        <w:rPr/>
      </w:pPr>
      <w:r>
        <w:rPr>
          <w:rFonts w:ascii="Amiri" w:hAnsi="Amiri" w:eastAsia="Amiri" w:cs="Amiri"/>
          <w:color w:val="111111"/>
          <w:sz w:val="28"/>
          <w:sz w:val="28"/>
          <w:szCs w:val="28"/>
          <w:rtl w:val="true"/>
          <w:lang w:bidi="ar-SA"/>
        </w:rPr>
        <w:t xml:space="preserve">و الشهادة،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إنّي أعهد إليك في دار الدنيا أنّي أشهد أن لا إله إلّا أنت، وحدك لا شريك لك، و أشهد أنّ محمدا عبدك و رسولك، و أنّ الجنّة حقّ، و النار حقّ، و البعث حقّ، و الحساب حقّ، و القبر </w:t>
      </w:r>
      <w:r>
        <w:rPr>
          <w:rStyle w:val="FootnoteAnchor"/>
          <w:rtl w:val="true"/>
        </w:rPr>
        <w:footnoteReference w:id="9"/>
      </w:r>
      <w:r>
        <w:rPr>
          <w:rFonts w:ascii="Amiri" w:hAnsi="Amiri" w:eastAsia="Amiri" w:cs="Amiri"/>
          <w:color w:val="111111"/>
          <w:sz w:val="28"/>
          <w:sz w:val="28"/>
          <w:szCs w:val="28"/>
          <w:rtl w:val="true"/>
          <w:lang w:bidi="ar-SA"/>
        </w:rPr>
        <w:t>حقّ، و الميزان حقّ، و أنّ الدّين كما وصفت، و أنّ الإسلام كما شرعت، و أنّ القول كما حدّثت، و أنّ القرآن كما أنزلت، و أنّك أنت اللّٰه الحقّ المبين، جزى اللّٰه محمّدا عنّا خير الجزاء، و حيّا اللّٰه محمّدا و آل محمّد عنّا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عدّتي عند كربتي، و يا صاحبي عند شدّتي، و يا وليّ نعمتي، إلهي و إله آبائي لا تكلني إلى نفسي طرفة عين أبدا، فإنّك إن تكلني إلى نفسي طرفة عين كنت أقرب من الشّر و أبعد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في القبر وحشتي، و اجعل لي عهدا يوم ألقاك منشورا، ثمّ يوصي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تصديق هذه الوصيّة في القرآن في السورة التي ذكر فيها مريم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عهد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حقّ على كلّ مسلم و مسلمة، و حقّ عليه أن يحفظ هذه الوصيّة و يعلمها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رسول اللّٰه صلّى اللّٰه عليه و آله و سلّم،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10"/>
      </w:r>
      <w:bookmarkStart w:id="33" w:name="pg2498_30917"/>
    </w:p>
    <w:p>
      <w:pPr>
        <w:pStyle w:val="BookText"/>
        <w:rPr/>
      </w:pPr>
      <w:bookmarkEnd w:id="33"/>
      <w:r>
        <w:rPr>
          <w:rFonts w:ascii="Amiri" w:hAnsi="Amiri" w:eastAsia="Amiri" w:cs="Amiri"/>
          <w:color w:val="111111"/>
          <w:sz w:val="28"/>
          <w:sz w:val="28"/>
          <w:szCs w:val="28"/>
          <w:rtl w:val="true"/>
          <w:lang w:bidi="ar-SA"/>
        </w:rPr>
        <w:t xml:space="preserve">و ظاهر بعض القدماء كالمفيد </w:t>
      </w:r>
      <w:r>
        <w:rPr>
          <w:rStyle w:val="FootnoteAnchor"/>
          <w:rtl w:val="true"/>
        </w:rPr>
        <w:footnoteReference w:id="11"/>
      </w:r>
      <w:r>
        <w:rPr>
          <w:rFonts w:ascii="Amiri" w:hAnsi="Amiri" w:eastAsia="Amiri" w:cs="Amiri"/>
          <w:color w:val="111111"/>
          <w:sz w:val="28"/>
          <w:sz w:val="28"/>
          <w:szCs w:val="28"/>
          <w:rtl w:val="true"/>
          <w:lang w:bidi="ar-SA"/>
        </w:rPr>
        <w:t xml:space="preserve">و ابن زهرة </w:t>
      </w:r>
      <w:r>
        <w:rPr>
          <w:rStyle w:val="FootnoteAnchor"/>
          <w:rtl w:val="true"/>
        </w:rPr>
        <w:footnoteReference w:id="12"/>
      </w:r>
      <w:r>
        <w:rPr>
          <w:rFonts w:ascii="Amiri" w:hAnsi="Amiri" w:eastAsia="Amiri" w:cs="Amiri"/>
          <w:color w:val="111111"/>
          <w:sz w:val="28"/>
          <w:sz w:val="28"/>
          <w:szCs w:val="28"/>
          <w:rtl w:val="true"/>
          <w:lang w:bidi="ar-SA"/>
        </w:rPr>
        <w:t xml:space="preserve">و الحلبي </w:t>
      </w:r>
      <w:r>
        <w:rPr>
          <w:rStyle w:val="FootnoteAnchor"/>
          <w:rtl w:val="true"/>
        </w:rPr>
        <w:footnoteReference w:id="13"/>
      </w:r>
      <w:r>
        <w:rPr>
          <w:rFonts w:ascii="Amiri" w:hAnsi="Amiri" w:eastAsia="Amiri" w:cs="Amiri"/>
          <w:color w:val="111111"/>
          <w:sz w:val="28"/>
          <w:sz w:val="28"/>
          <w:szCs w:val="28"/>
          <w:rtl w:val="true"/>
          <w:lang w:bidi="ar-SA"/>
        </w:rPr>
        <w:t>وجوب الوصية بما في الرواية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877955_3804643083"/>
      <w:bookmarkStart w:id="35" w:name="_Toc13"/>
      <w:bookmarkEnd w:id="34"/>
      <w:r>
        <w:rPr>
          <w:rtl w:val="true"/>
        </w:rPr>
        <w:t>[</w:t>
      </w:r>
      <w:r>
        <w:rPr>
          <w:rtl w:val="true"/>
        </w:rPr>
        <w:t>احتياج الوصية إلى الموصي و الموصي إليه و الموصي به</w:t>
      </w:r>
      <w:r>
        <w:rPr>
          <w:rtl w:val="true"/>
        </w:rPr>
        <w:t>]</w:t>
      </w:r>
      <w:bookmarkEnd w:id="35"/>
    </w:p>
    <w:p>
      <w:pPr>
        <w:pStyle w:val="BookText"/>
        <w:rPr/>
      </w:pPr>
      <w:r>
        <w:rPr>
          <w:rFonts w:ascii="Amiri" w:hAnsi="Amiri" w:eastAsia="Amiri" w:cs="Amiri"/>
          <w:color w:val="111111"/>
          <w:sz w:val="28"/>
          <w:sz w:val="28"/>
          <w:szCs w:val="28"/>
          <w:rtl w:val="true"/>
          <w:lang w:bidi="ar-SA"/>
        </w:rPr>
        <w:t>ثمّ إنّ الوصيّة بالمعنى المذكور أعني العهد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بحكم العقل في تحقّقها إلى الموصي، و الموصى إليه، و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حرّ بعد وفاتي، أو لزيد كذا بعد وفاتي، فالموصى إليه عامّ لكلّ من له دخل بهذا المطلب من الورثة و غيرهم، ممّن له شأنيّة ترتيب آثار العتق و الملك، لكنّه مقطوع النظر من جهة عدم تعلّق الغرض به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877957_3804643083"/>
      <w:bookmarkStart w:id="37" w:name="_Toc14"/>
      <w:bookmarkEnd w:id="36"/>
      <w:r>
        <w:rPr>
          <w:rtl w:val="true"/>
        </w:rPr>
        <w:t>[</w:t>
      </w:r>
      <w:r>
        <w:rPr>
          <w:rtl w:val="true"/>
        </w:rPr>
        <w:t>تعريف الوصية التمليكية و الموصي له من أركان الوصية التمليكية</w:t>
      </w:r>
      <w:r>
        <w:rPr>
          <w:rtl w:val="true"/>
        </w:rPr>
        <w:t>]</w:t>
      </w:r>
      <w:bookmarkEnd w:id="37"/>
    </w:p>
    <w:p>
      <w:pPr>
        <w:pStyle w:val="BookText"/>
        <w:rPr/>
      </w:pPr>
      <w:r>
        <w:rPr>
          <w:rFonts w:ascii="Amiri" w:hAnsi="Amiri" w:eastAsia="Amiri" w:cs="Amiri"/>
          <w:color w:val="111111"/>
          <w:sz w:val="28"/>
          <w:sz w:val="28"/>
          <w:szCs w:val="28"/>
          <w:rtl w:val="true"/>
          <w:lang w:bidi="ar-SA"/>
        </w:rPr>
        <w:t>ثمّ الموصى به قد يكون تمليك شخص مالا،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فالموصى له ليس من أركان مطلق الوصية، و إنّما هي </w:t>
      </w:r>
      <w:r>
        <w:rPr>
          <w:rStyle w:val="FootnoteAnchor"/>
          <w:rtl w:val="true"/>
        </w:rPr>
        <w:footnoteReference w:id="14"/>
      </w:r>
      <w:r>
        <w:rPr>
          <w:rFonts w:ascii="Amiri" w:hAnsi="Amiri" w:eastAsia="Amiri" w:cs="Amiri"/>
          <w:color w:val="111111"/>
          <w:sz w:val="28"/>
          <w:sz w:val="28"/>
          <w:szCs w:val="28"/>
          <w:rtl w:val="true"/>
          <w:lang w:bidi="ar-SA"/>
        </w:rPr>
        <w:t xml:space="preserve">من أركان فرد خاص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عرّفها جماعة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عين أو منفعة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عدم كونها جامعة لأفراد الوصية المبحوث عنها عند الفقهاء؛ لخروج أفراد كثيرة، بل و لا مانعة؛ لدخول التمليك بالعوض بعد الوفاة، و لذا زاد في التذكرة قيد التبرّع </w:t>
      </w:r>
      <w:r>
        <w:rPr>
          <w:rStyle w:val="FootnoteAnchor"/>
          <w:rtl w:val="true"/>
        </w:rPr>
        <w:footnoteReference w:id="15"/>
      </w:r>
      <w:r>
        <w:rPr>
          <w:rFonts w:ascii="Amiri" w:hAnsi="Amiri" w:eastAsia="Amiri" w:cs="Amiri"/>
          <w:color w:val="111111"/>
          <w:sz w:val="28"/>
          <w:sz w:val="28"/>
          <w:szCs w:val="28"/>
          <w:rtl w:val="true"/>
          <w:lang w:bidi="ar-SA"/>
        </w:rPr>
        <w:t>، فيخرج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لزيد بعد وفاتي بكذا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أنّه إن أريد عدم صدق الوصية فممنوع، و إن أريد بطلانها فلا دليل عليه إلّا بطلان المعاوضة المعلّقة، فإن تمّ إجماعا، و إلّا ففيه تأمّل</w:t>
      </w:r>
      <w:r>
        <w:rPr>
          <w:rFonts w:eastAsia="Amiri" w:cs="Amiri" w:ascii="Amiri" w:hAnsi="Amiri"/>
          <w:color w:val="111111"/>
          <w:sz w:val="28"/>
          <w:szCs w:val="28"/>
          <w:rtl w:val="true"/>
          <w:lang w:bidi="ar-SA"/>
        </w:rPr>
        <w:t>.</w:t>
      </w:r>
      <w:bookmarkStart w:id="38" w:name="pg2498_30918"/>
    </w:p>
    <w:p>
      <w:pPr>
        <w:pStyle w:val="BookText"/>
        <w:rPr/>
      </w:pPr>
      <w:bookmarkEnd w:id="38"/>
      <w:r>
        <w:rPr>
          <w:rFonts w:ascii="Amiri" w:hAnsi="Amiri" w:eastAsia="Amiri" w:cs="Amiri"/>
          <w:color w:val="111111"/>
          <w:sz w:val="28"/>
          <w:sz w:val="28"/>
          <w:szCs w:val="28"/>
          <w:rtl w:val="true"/>
          <w:lang w:bidi="ar-SA"/>
        </w:rPr>
        <w:t>و دعوى انصراف إطلاق الوصيّة في الكتاب و السنة إلى التبرّع، مشكلة أيضا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877959_3804643083"/>
      <w:bookmarkStart w:id="40" w:name="_Toc15"/>
      <w:bookmarkEnd w:id="39"/>
      <w:r>
        <w:rPr>
          <w:rtl w:val="true"/>
        </w:rPr>
        <w:t>[</w:t>
      </w:r>
      <w:r>
        <w:rPr>
          <w:rtl w:val="true"/>
        </w:rPr>
        <w:t>هل أن الوصية عقد</w:t>
      </w:r>
      <w:r>
        <w:rPr>
          <w:rtl w:val="true"/>
        </w:rPr>
        <w:t>]</w:t>
      </w:r>
      <w:bookmarkEnd w:id="40"/>
    </w:p>
    <w:p>
      <w:pPr>
        <w:pStyle w:val="BookText"/>
        <w:rPr/>
      </w:pPr>
      <w:r>
        <w:rPr>
          <w:rFonts w:ascii="Amiri" w:hAnsi="Amiri" w:eastAsia="Amiri" w:cs="Amiri"/>
          <w:color w:val="111111"/>
          <w:sz w:val="28"/>
          <w:sz w:val="28"/>
          <w:szCs w:val="28"/>
          <w:rtl w:val="true"/>
          <w:lang w:bidi="ar-SA"/>
        </w:rPr>
        <w:t>و كيف كان، فلا إشكال و لا خلاف في كون الوصيّة عقدا في الجملة بين الموصي و الموصى إليه، حيث يتعلّق الغرض بخصوص الموصى إليه، 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زيدا كذا، و بينه و بين الموصى له حيث يكون هناك موصى له، و قد تجتمع الجهتان و قد تفترقان، إنّما الإشكال في كونها عقدا على الإطلاق كما يظهر من جماعة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يقتضيه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قيام إجماع و لا غيره على كونها عقدا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من حيث معناها اللغوي و العرفي ليست عقدا، إلّا أنّه حيث ثبت من الدليل توقّف حصول متعلّقها على القبول، و عدم كفاية الإيجاب فيه، كالتمليك المعلوم من الشرع عدم حصول أثره بدون رضى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كالتولية المعلوم كونها كذلك، فلا بدّ من التزام كونها هناك عقدا، إلّا أن يكون دليل التوقّف على الرضى أعمّ من كونه ناقلا أو كاشفا، فلا يثبت بذلك كونها عقدا،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يقتضي كونه ناقلا فيثبت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متعلّقها ممّا لم يثبت توقّفه على رضى غير الموصي فليست </w:t>
      </w:r>
      <w:r>
        <w:rPr>
          <w:rStyle w:val="FootnoteAnchor"/>
          <w:rtl w:val="true"/>
        </w:rPr>
        <w:footnoteReference w:id="17"/>
      </w:r>
      <w:r>
        <w:rPr>
          <w:rFonts w:ascii="Amiri" w:hAnsi="Amiri" w:eastAsia="Amiri" w:cs="Amiri"/>
          <w:color w:val="111111"/>
          <w:sz w:val="28"/>
          <w:sz w:val="28"/>
          <w:szCs w:val="28"/>
          <w:rtl w:val="true"/>
          <w:lang w:bidi="ar-SA"/>
        </w:rPr>
        <w:t>هناك عقدا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هذا الاختلاف في الموارد اتحاد معنى الوصية في جميع الموارد؛ لكونه ناشئا عن اختلاف متعلّق الوصيّة لا نفسها، فهي نظير</w:t>
      </w:r>
      <w:bookmarkStart w:id="41" w:name="pg2498_30919"/>
    </w:p>
    <w:p>
      <w:pPr>
        <w:pStyle w:val="BookText"/>
        <w:rPr/>
      </w:pPr>
      <w:bookmarkEnd w:id="41"/>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 بذلك يتوقّف على وجود عموم يدلّ على نفاذ وصيّة الموصي بقول مطلق، و إلّا فالأصل فيما شكّ في توقّفه على الرضى الوقف، فيكون حينئذ عقدا، كما لو ثبت بالدليل توقّف حصول متعلّق الوصية على الرضى</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877961_3804643083"/>
      <w:bookmarkStart w:id="43" w:name="_Toc16"/>
      <w:bookmarkEnd w:id="42"/>
      <w:r>
        <w:rPr>
          <w:rtl w:val="true"/>
        </w:rPr>
        <w:t>[</w:t>
      </w:r>
      <w:r>
        <w:rPr>
          <w:rtl w:val="true"/>
        </w:rPr>
        <w:t>في الإيجاب</w:t>
      </w:r>
      <w:r>
        <w:rPr>
          <w:rtl w:val="true"/>
        </w:rPr>
        <w:t>]</w:t>
      </w:r>
      <w:bookmarkEnd w:id="43"/>
    </w:p>
    <w:p>
      <w:pPr>
        <w:pStyle w:val="Heading4"/>
        <w:numPr>
          <w:ilvl w:val="3"/>
          <w:numId w:val="1"/>
        </w:numPr>
        <w:rPr/>
      </w:pPr>
      <w:bookmarkStart w:id="44" w:name="__RefHeading___Toc3877963_3804643083"/>
      <w:bookmarkStart w:id="45" w:name="_Toc17"/>
      <w:bookmarkEnd w:id="44"/>
      <w:r>
        <w:rPr>
          <w:rtl w:val="true"/>
        </w:rPr>
        <w:t>[</w:t>
      </w:r>
      <w:r>
        <w:rPr>
          <w:rtl w:val="true"/>
        </w:rPr>
        <w:t>اعتبار اللفظ في الإيجاب</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أصالة كون القبول عند ثبوت الحاجة إليه ناقلا، يظهر أنّ الوصيّة بالمعنى الذي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 إلى إيجاب و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 الوصيّة، كما مرّ إجماله و سيجي‌ء تفصيله، و ظاهر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دلّ على ذلك القصد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إيجاب الوصيّة هو اللّفظ مع التمكّن منه كما هو المشهور، بل إجماعا كما في ظاهر الغنية </w:t>
      </w:r>
      <w:r>
        <w:rPr>
          <w:rStyle w:val="FootnoteAnchor"/>
          <w:rtl w:val="true"/>
        </w:rPr>
        <w:footnoteReference w:id="19"/>
      </w:r>
      <w:r>
        <w:rPr>
          <w:rFonts w:ascii="Amiri" w:hAnsi="Amiri" w:eastAsia="Amiri" w:cs="Amiri"/>
          <w:color w:val="111111"/>
          <w:sz w:val="28"/>
          <w:sz w:val="28"/>
          <w:szCs w:val="28"/>
          <w:rtl w:val="true"/>
          <w:lang w:bidi="ar-SA"/>
        </w:rPr>
        <w:t>، حيث ادّعى الإجماع على كونها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اعتبار اللّفظ</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877965_3804643083"/>
      <w:bookmarkStart w:id="47" w:name="_Toc18"/>
      <w:bookmarkEnd w:id="46"/>
      <w:r>
        <w:rPr>
          <w:rtl w:val="true"/>
        </w:rPr>
        <w:t>[</w:t>
      </w:r>
      <w:r>
        <w:rPr>
          <w:rtl w:val="true"/>
        </w:rPr>
        <w:t>عدم كفاية الإشارة و الكتابة في الإيجاب</w:t>
      </w:r>
      <w:r>
        <w:rPr>
          <w:rtl w:val="true"/>
        </w:rPr>
        <w:t>]</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يكفي الإشارة مع القدرة على النطق، و لا الكتابة، و لا يترتّب عليهما أثر، خلافا لبعض متأخّري المتأخّرين كسيّدي الرياض </w:t>
      </w:r>
      <w:r>
        <w:rPr>
          <w:rStyle w:val="FootnoteAnchor"/>
          <w:rtl w:val="true"/>
        </w:rPr>
        <w:footnoteReference w:id="20"/>
      </w:r>
      <w:r>
        <w:rPr>
          <w:rFonts w:ascii="IRNazanin" w:hAnsi="IRNazanin" w:eastAsia="IRNazanin"/>
          <w:color w:val="111111"/>
          <w:sz w:val="28"/>
          <w:sz w:val="28"/>
          <w:szCs w:val="28"/>
          <w:rtl w:val="true"/>
          <w:lang w:bidi="fa-IR"/>
        </w:rPr>
        <w:t xml:space="preserve">و المناهل </w:t>
      </w:r>
      <w:r>
        <w:rPr>
          <w:rStyle w:val="FootnoteAnchor"/>
          <w:rtl w:val="true"/>
        </w:rPr>
        <w:footnoteReference w:id="21"/>
      </w:r>
      <w:r>
        <w:rPr>
          <w:rFonts w:ascii="Amiri" w:hAnsi="Amiri" w:eastAsia="Amiri" w:cs="Amiri"/>
          <w:color w:val="111111"/>
          <w:sz w:val="28"/>
          <w:sz w:val="28"/>
          <w:szCs w:val="28"/>
          <w:rtl w:val="true"/>
          <w:lang w:bidi="ar-SA"/>
        </w:rPr>
        <w:t xml:space="preserve">، و احتمله في التذكرة </w:t>
      </w:r>
      <w:r>
        <w:rPr>
          <w:rStyle w:val="FootnoteAnchor"/>
          <w:rtl w:val="true"/>
        </w:rPr>
        <w:footnoteReference w:id="22"/>
      </w:r>
      <w:r>
        <w:rPr>
          <w:rFonts w:ascii="Amiri" w:hAnsi="Amiri" w:eastAsia="Amiri" w:cs="Amiri"/>
          <w:color w:val="111111"/>
          <w:sz w:val="28"/>
          <w:sz w:val="28"/>
          <w:szCs w:val="28"/>
          <w:rtl w:val="true"/>
          <w:lang w:bidi="ar-SA"/>
        </w:rPr>
        <w:t xml:space="preserve">، و ربّما ينسب إلى النافع </w:t>
      </w:r>
      <w:r>
        <w:rPr>
          <w:rStyle w:val="FootnoteAnchor"/>
          <w:rtl w:val="true"/>
        </w:rPr>
        <w:footnoteReference w:id="23"/>
      </w:r>
      <w:r>
        <w:rPr>
          <w:rFonts w:ascii="IRNazanin" w:hAnsi="IRNazanin" w:eastAsia="IRNazanin"/>
          <w:color w:val="111111"/>
          <w:sz w:val="28"/>
          <w:sz w:val="28"/>
          <w:szCs w:val="28"/>
          <w:rtl w:val="true"/>
          <w:lang w:bidi="fa-IR"/>
        </w:rPr>
        <w:t xml:space="preserve">للإطلاقات </w:t>
      </w:r>
      <w:r>
        <w:rPr>
          <w:rStyle w:val="FootnoteAnchor"/>
          <w:rtl w:val="true"/>
        </w:rPr>
        <w:footnoteReference w:id="24"/>
      </w:r>
      <w:r>
        <w:rPr>
          <w:rFonts w:ascii="Amiri" w:hAnsi="Amiri" w:eastAsia="Amiri" w:cs="Amiri"/>
          <w:color w:val="111111"/>
          <w:sz w:val="28"/>
          <w:sz w:val="28"/>
          <w:szCs w:val="28"/>
          <w:rtl w:val="true"/>
          <w:lang w:bidi="ar-SA"/>
        </w:rPr>
        <w:t>المؤيّدة بما دلّ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يبيت المرء إلّا و وصيّته تحت رأسه </w:t>
      </w:r>
      <w:r>
        <w:rPr>
          <w:rStyle w:val="FootnoteAnchor"/>
          <w:rtl w:val="true"/>
        </w:rPr>
        <w:footnoteReference w:id="25"/>
      </w:r>
      <w:r>
        <w:rPr>
          <w:rFonts w:ascii="Amiri" w:hAnsi="Amiri" w:eastAsia="Amiri" w:cs="Amiri"/>
          <w:color w:val="111111"/>
          <w:sz w:val="28"/>
          <w:sz w:val="28"/>
          <w:szCs w:val="28"/>
          <w:rtl w:val="true"/>
          <w:lang w:bidi="ar-SA"/>
        </w:rPr>
        <w:t xml:space="preserve">، و لا يخلو عن قوّة لو لا الشهرة العظيمة و ظهور عدم الخلاف، و ربّما قيل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تفيدان مؤدّى اللفظ، و أنّهما بمنزلة المعاطاة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في البيع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أوّل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إباحة التصرّف دون الملك، و كذلك في الهبة، و لا معنى للإباحة هنا، و لا خلاف في عدم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التزم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لكون الإيجاب الفعلي من قبيل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الثمرة هنا بينها و بين عقد الوصية </w:t>
      </w:r>
      <w:r>
        <w:rPr>
          <w:rStyle w:val="FootnoteAnchor"/>
          <w:rtl w:val="true"/>
        </w:rPr>
        <w:footnoteReference w:id="27"/>
      </w:r>
      <w:r>
        <w:rPr>
          <w:rFonts w:ascii="Amiri" w:hAnsi="Amiri" w:eastAsia="Amiri" w:cs="Amiri"/>
          <w:color w:val="111111"/>
          <w:sz w:val="28"/>
          <w:sz w:val="28"/>
          <w:szCs w:val="28"/>
          <w:rtl w:val="true"/>
          <w:lang w:bidi="ar-SA"/>
        </w:rPr>
        <w:t>، و هو أضعف من التزام الإباحة؛ إذ لا معنى حينئذٍ لحكمهم بافتقار الوصيّة إلى الإيجاب و القبول، و حمله على أنّ المفتقر إليهما عقدها لا مؤدّاها كما ترى؛ إذ لا 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حصول تأثيرها بغير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الالتزام بكون الوصيّة عقدا حتّى يفتقر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 الوصية عند المشهور من العقود التي لا يؤثّر غير اللفظ فيها أثرا؛ لعدم حصول التملّك به عندهم، و عدم معنى للإباحة هنا و عدم 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ذكروا كفاية الفعل في قسمين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المملّكة التي يعقل فيها الإباحة، كالبيع و القرض و الهبة، و ثمرة الفعل ثمرة المعاطاة في البيع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المفيدة للإذن، كالوكالة و الوديعة و العارية إذا أنشأها بالإشارة و الكتابة</w:t>
      </w:r>
      <w:r>
        <w:rPr>
          <w:rFonts w:eastAsia="Amiri" w:cs="Amiri" w:ascii="Amiri" w:hAnsi="Amiri"/>
          <w:color w:val="111111"/>
          <w:sz w:val="28"/>
          <w:szCs w:val="28"/>
          <w:rtl w:val="true"/>
          <w:lang w:bidi="ar-SA"/>
        </w:rPr>
        <w:t>.</w:t>
      </w:r>
      <w:bookmarkStart w:id="48" w:name="pg2498_30921"/>
    </w:p>
    <w:p>
      <w:pPr>
        <w:pStyle w:val="BookText"/>
        <w:rPr/>
      </w:pPr>
      <w:bookmarkEnd w:id="48"/>
      <w:r>
        <w:rPr>
          <w:rFonts w:ascii="Amiri" w:hAnsi="Amiri" w:eastAsia="Amiri" w:cs="Amiri"/>
          <w:color w:val="111111"/>
          <w:sz w:val="28"/>
          <w:sz w:val="28"/>
          <w:szCs w:val="28"/>
          <w:rtl w:val="true"/>
          <w:lang w:bidi="ar-SA"/>
        </w:rPr>
        <w:t xml:space="preserve">و الظاهر أنّهم توسّعوا في هذه العقود، فجوّزوا الفعل في إيجابها، لا </w:t>
      </w:r>
      <w:r>
        <w:rPr>
          <w:rStyle w:val="FootnoteAnchor"/>
          <w:rtl w:val="true"/>
        </w:rPr>
        <w:footnoteReference w:id="28"/>
      </w:r>
      <w:r>
        <w:rPr>
          <w:rFonts w:ascii="Amiri" w:hAnsi="Amiri" w:eastAsia="Amiri" w:cs="Amiri"/>
          <w:color w:val="111111"/>
          <w:sz w:val="28"/>
          <w:sz w:val="28"/>
          <w:szCs w:val="28"/>
          <w:rtl w:val="true"/>
          <w:lang w:bidi="ar-SA"/>
        </w:rPr>
        <w:t>أنّ الفعل فيها من قبيل المعاطاة في العقود، و الوصيّة خارجة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حكم المعاطاة لا يجري فيما يجري من العقود اللازمة و الجائزة إلّا مع القبض من الطرفين أو أحدهما، و هذا المعنى لا يجري في الوصية، كما لا يخفى</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877967_3804643083"/>
      <w:bookmarkStart w:id="50" w:name="_Toc19"/>
      <w:bookmarkEnd w:id="49"/>
      <w:r>
        <w:rPr>
          <w:rtl w:val="true"/>
        </w:rPr>
        <w:t>[</w:t>
      </w:r>
      <w:r>
        <w:rPr>
          <w:rtl w:val="true"/>
        </w:rPr>
        <w:t>عدم إلزام الورثة بالمكتوب و إن عملوا ببعضه</w:t>
      </w:r>
      <w:r>
        <w:rPr>
          <w:rtl w:val="true"/>
        </w:rPr>
        <w:t>]</w:t>
      </w:r>
      <w:bookmarkEnd w:id="50"/>
    </w:p>
    <w:p>
      <w:pPr>
        <w:pStyle w:val="BookText"/>
        <w:rPr/>
      </w:pPr>
      <w:r>
        <w:rPr>
          <w:rFonts w:ascii="Amiri" w:hAnsi="Amiri" w:eastAsia="Amiri" w:cs="Amiri"/>
          <w:color w:val="111111"/>
          <w:sz w:val="28"/>
          <w:sz w:val="28"/>
          <w:szCs w:val="28"/>
          <w:rtl w:val="true"/>
          <w:lang w:bidi="ar-SA"/>
        </w:rPr>
        <w:t>ثمّ إنّه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المشهور </w:t>
      </w:r>
      <w:r>
        <w:rPr>
          <w:rStyle w:val="FootnoteAnchor"/>
          <w:rtl w:val="true"/>
        </w:rPr>
        <w:footnoteReference w:id="29"/>
      </w:r>
      <w:r>
        <w:rPr>
          <w:rFonts w:ascii="Amiri" w:hAnsi="Amiri" w:eastAsia="Amiri" w:cs="Amiri"/>
          <w:color w:val="111111"/>
          <w:sz w:val="28"/>
          <w:sz w:val="28"/>
          <w:szCs w:val="28"/>
          <w:rtl w:val="true"/>
          <w:lang w:bidi="ar-SA"/>
        </w:rPr>
        <w:t>من عدم جواز الوصيّة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يعمل الورثة ببعضه، و بين أن لا يعملوا بشي‌ء منه، خلافا للمحكيّ عن نهاية الشيخ </w:t>
      </w:r>
      <w:r>
        <w:rPr>
          <w:rStyle w:val="FootnoteAnchor"/>
          <w:rtl w:val="true"/>
        </w:rPr>
        <w:footnoteReference w:id="30"/>
      </w:r>
      <w:r>
        <w:rPr>
          <w:rFonts w:ascii="Amiri" w:hAnsi="Amiri" w:eastAsia="Amiri" w:cs="Amiri"/>
          <w:color w:val="111111"/>
          <w:sz w:val="28"/>
          <w:sz w:val="28"/>
          <w:szCs w:val="28"/>
          <w:rtl w:val="true"/>
          <w:lang w:bidi="ar-SA"/>
        </w:rPr>
        <w:t xml:space="preserve">، فألزم الورثة بالمكتوب إذا عملوا ببعضه؛ لرواية قاصرة السند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3877969_3804643083"/>
      <w:bookmarkStart w:id="52" w:name="_Toc20"/>
      <w:bookmarkEnd w:id="51"/>
      <w:r>
        <w:rPr>
          <w:rtl w:val="true"/>
        </w:rPr>
        <w:t>[</w:t>
      </w:r>
      <w:r>
        <w:rPr>
          <w:rtl w:val="true"/>
        </w:rPr>
        <w:t>الألفاظ الدالة على الإيجاب في الوصية</w:t>
      </w:r>
      <w:r>
        <w:rPr>
          <w:rtl w:val="true"/>
        </w:rPr>
        <w:t>]</w:t>
      </w:r>
      <w:bookmarkEnd w:id="52"/>
    </w:p>
    <w:p>
      <w:pPr>
        <w:pStyle w:val="BookText"/>
        <w:rPr/>
      </w:pPr>
      <w:r>
        <w:rPr>
          <w:rFonts w:ascii="Amiri" w:hAnsi="Amiri" w:eastAsia="Amiri" w:cs="Amiri"/>
          <w:color w:val="111111"/>
          <w:sz w:val="28"/>
          <w:sz w:val="28"/>
          <w:szCs w:val="28"/>
          <w:rtl w:val="true"/>
          <w:lang w:bidi="ar-SA"/>
        </w:rPr>
        <w:t>ثمّ إنّ الألفاظ الدّالّة على الإيجاب كثيرة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بعد وفاتي، أو لفلان كذا بعد وفاتي، أو أوصيت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كلّ هذه </w:t>
      </w:r>
      <w:r>
        <w:rPr>
          <w:rStyle w:val="FootnoteAnchor"/>
          <w:rtl w:val="true"/>
        </w:rPr>
        <w:footnoteReference w:id="32"/>
      </w:r>
      <w:r>
        <w:rPr>
          <w:rFonts w:ascii="Amiri" w:hAnsi="Amiri" w:eastAsia="Amiri" w:cs="Amiri"/>
          <w:color w:val="111111"/>
          <w:sz w:val="28"/>
          <w:sz w:val="28"/>
          <w:szCs w:val="28"/>
          <w:rtl w:val="true"/>
          <w:lang w:bidi="ar-SA"/>
        </w:rPr>
        <w:t xml:space="preserve">صريحة في الإيجاب كما في التذكرة </w:t>
      </w:r>
      <w:r>
        <w:rPr>
          <w:rStyle w:val="FootnoteAnchor"/>
          <w:rtl w:val="true"/>
        </w:rPr>
        <w:footnoteReference w:id="33"/>
      </w:r>
      <w:r>
        <w:rPr>
          <w:rFonts w:ascii="Amiri" w:hAnsi="Amiri" w:eastAsia="Amiri" w:cs="Amiri"/>
          <w:color w:val="111111"/>
          <w:sz w:val="28"/>
          <w:sz w:val="28"/>
          <w:szCs w:val="28"/>
          <w:rtl w:val="true"/>
          <w:lang w:bidi="ar-SA"/>
        </w:rPr>
        <w:t>، و لا إشكال في الأخيرة، و كذا في الثانية؛ بناء على ما ذكره</w:t>
      </w:r>
      <w:bookmarkStart w:id="53" w:name="pg2498_30922"/>
    </w:p>
    <w:p>
      <w:pPr>
        <w:pStyle w:val="BookText"/>
        <w:rPr/>
      </w:pPr>
      <w:bookmarkEnd w:id="53"/>
      <w:r>
        <w:rPr>
          <w:rFonts w:ascii="Amiri" w:hAnsi="Amiri" w:eastAsia="Amiri" w:cs="Amiri"/>
          <w:color w:val="111111"/>
          <w:sz w:val="28"/>
          <w:sz w:val="28"/>
          <w:szCs w:val="28"/>
          <w:rtl w:val="true"/>
          <w:lang w:bidi="ar-SA"/>
        </w:rPr>
        <w:t xml:space="preserve">المصنّف من أنّ الوصيّة هي التمليك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إشكال في الأولى إذا جعلناها بمعنى العهد إلى غيره، إنّما الإشكال في الجمع بينهما في الصراحة، فإنّ الثانية غير صريحة في العهد، كما أنّ الاولى غير صريحة في التمليك، فكلّ منهما يدلّ بالالتزام العرفي على ما يدلّ الآخر عليه بالمطابقة، و لعلّ المراد بالصراحة ما يتّضح دلالته على التمليك و لو التزاما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877971_3804643083"/>
      <w:bookmarkStart w:id="55" w:name="_Toc21"/>
      <w:bookmarkEnd w:id="54"/>
      <w:r>
        <w:rPr>
          <w:rtl w:val="true"/>
        </w:rPr>
        <w:t>[</w:t>
      </w:r>
      <w:r>
        <w:rPr>
          <w:rtl w:val="true"/>
        </w:rPr>
        <w:t>في القبول</w:t>
      </w:r>
      <w:r>
        <w:rPr>
          <w:rtl w:val="true"/>
        </w:rPr>
        <w:t>]</w:t>
      </w:r>
      <w:bookmarkEnd w:id="55"/>
    </w:p>
    <w:p>
      <w:pPr>
        <w:pStyle w:val="Heading4"/>
        <w:numPr>
          <w:ilvl w:val="3"/>
          <w:numId w:val="1"/>
        </w:numPr>
        <w:rPr/>
      </w:pPr>
      <w:bookmarkStart w:id="56" w:name="__RefHeading___Toc3877973_3804643083"/>
      <w:bookmarkStart w:id="57" w:name="_Toc22"/>
      <w:bookmarkEnd w:id="56"/>
      <w:r>
        <w:rPr>
          <w:rtl w:val="true"/>
        </w:rPr>
        <w:t>[</w:t>
      </w:r>
      <w:r>
        <w:rPr>
          <w:rtl w:val="true"/>
        </w:rPr>
        <w:t>انتقال الملك بالوصية إلى الموصى له بموت الموصي و القبول</w:t>
      </w:r>
      <w:r>
        <w:rPr>
          <w:rtl w:val="true"/>
        </w:rPr>
        <w:t>]</w:t>
      </w:r>
      <w:bookmarkEnd w:id="57"/>
    </w:p>
    <w:p>
      <w:pPr>
        <w:pStyle w:val="Heading5"/>
        <w:numPr>
          <w:ilvl w:val="4"/>
          <w:numId w:val="1"/>
        </w:numPr>
        <w:rPr/>
      </w:pPr>
      <w:bookmarkStart w:id="58" w:name="__RefHeading___Toc3877975_3804643083"/>
      <w:bookmarkStart w:id="59" w:name="_Toc23"/>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بالوصيّة المنشأة بالإيجاب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الموصى له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بموت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علّق عليه التمليك، فلا يعقل تنجّزه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مجرّد الرضى، بإيجاب الوصيّة نظير القبول في الهبة، و لا يتضمّن إنشاء آخر كما في المعاوضات، و لذا جعل سبب الانتقال في ظاهر العبارة هو الإيجاب، و جعل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جزء العقد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للموت الذي هو شرط</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877977_3804643083"/>
      <w:bookmarkStart w:id="61" w:name="_Toc24"/>
      <w:bookmarkEnd w:id="60"/>
      <w:r>
        <w:rPr>
          <w:rtl w:val="true"/>
        </w:rPr>
        <w:t>[</w:t>
      </w:r>
      <w:r>
        <w:rPr>
          <w:rtl w:val="true"/>
        </w:rPr>
        <w:t>هل القبول شرط عند المحقق</w:t>
      </w:r>
      <w:r>
        <w:rPr>
          <w:rtl w:val="true"/>
        </w:rPr>
        <w:t>]</w:t>
      </w:r>
      <w:bookmarkEnd w:id="6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فظاهر العبارة كون القبول شرطا، فجعله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كصريح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القبول جزء السبب الناقل </w:t>
      </w:r>
      <w:r>
        <w:rPr>
          <w:rStyle w:val="FootnoteAnchor"/>
          <w:rtl w:val="true"/>
        </w:rPr>
        <w:footnoteReference w:id="36"/>
      </w:r>
      <w:r>
        <w:rPr>
          <w:rFonts w:ascii="Amiri" w:hAnsi="Amiri" w:eastAsia="Amiri" w:cs="Amiri"/>
          <w:color w:val="111111"/>
          <w:sz w:val="28"/>
          <w:sz w:val="28"/>
          <w:szCs w:val="28"/>
          <w:rtl w:val="true"/>
          <w:lang w:bidi="ar-SA"/>
        </w:rPr>
        <w:t>، في غير محلّه، إلّا أن يستظهر ذلك من جعل الوصيّة من العقود، و حينئذ فيكون كسائر ما صرّح فيه بكون الوصيّة عقدا، و هو و إن كان ظاهرا، بل صريحا فيما ذكر، إلّا أنّ تعبير من قال بكون القبول كاشفا بذلك يكشف عن كون المراد بالعقد ما يتوقّف على القبول، لا ما يتركّب منه و من الإيجاب</w:t>
      </w:r>
      <w:r>
        <w:rPr>
          <w:rFonts w:eastAsia="Amiri" w:cs="Amiri" w:ascii="Amiri" w:hAnsi="Amiri"/>
          <w:color w:val="111111"/>
          <w:sz w:val="28"/>
          <w:szCs w:val="28"/>
          <w:rtl w:val="true"/>
          <w:lang w:bidi="ar-SA"/>
        </w:rPr>
        <w:t>.</w:t>
      </w:r>
      <w:bookmarkStart w:id="62" w:name="pg2498_30923"/>
    </w:p>
    <w:p>
      <w:pPr>
        <w:pStyle w:val="Heading4"/>
        <w:numPr>
          <w:ilvl w:val="3"/>
          <w:numId w:val="1"/>
        </w:numPr>
        <w:rPr/>
      </w:pPr>
      <w:bookmarkStart w:id="63" w:name="__RefHeading___Toc3877979_3804643083"/>
      <w:bookmarkStart w:id="64" w:name="_Toc25"/>
      <w:bookmarkEnd w:id="62"/>
      <w:bookmarkEnd w:id="63"/>
      <w:r>
        <w:rPr>
          <w:rtl w:val="true"/>
        </w:rPr>
        <w:t>[</w:t>
      </w:r>
      <w:r>
        <w:rPr>
          <w:rtl w:val="true"/>
        </w:rPr>
        <w:t>الاحتمالات في القبول أربعة</w:t>
      </w:r>
      <w:r>
        <w:rPr>
          <w:rtl w:val="true"/>
        </w:rPr>
        <w:t>]</w:t>
      </w:r>
      <w:bookmarkEnd w:id="64"/>
    </w:p>
    <w:p>
      <w:pPr>
        <w:pStyle w:val="BookText"/>
        <w:rPr/>
      </w:pPr>
      <w:r>
        <w:rPr>
          <w:rFonts w:ascii="Amiri" w:hAnsi="Amiri" w:eastAsia="Amiri" w:cs="Amiri"/>
          <w:color w:val="111111"/>
          <w:sz w:val="28"/>
          <w:sz w:val="28"/>
          <w:szCs w:val="28"/>
          <w:rtl w:val="true"/>
          <w:lang w:bidi="ar-SA"/>
        </w:rPr>
        <w:t>و كيف كان، فالاحتمالات في القبول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شرطا، و لم يعلم القائل به، و إن ذكرنا </w:t>
      </w:r>
      <w:r>
        <w:rPr>
          <w:rStyle w:val="FootnoteAnchor"/>
          <w:rtl w:val="true"/>
        </w:rPr>
        <w:footnoteReference w:id="37"/>
      </w:r>
      <w:r>
        <w:rPr>
          <w:rFonts w:ascii="Amiri" w:hAnsi="Amiri" w:eastAsia="Amiri" w:cs="Amiri"/>
          <w:color w:val="111111"/>
          <w:sz w:val="28"/>
          <w:sz w:val="28"/>
          <w:szCs w:val="28"/>
          <w:rtl w:val="true"/>
          <w:lang w:bidi="ar-SA"/>
        </w:rPr>
        <w:t xml:space="preserve">أنّه ظاهر عبارة المصنّف قدّس سرّه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جزءا ناقلا، و هو المنسوب إلى المصنّف هنا </w:t>
      </w:r>
      <w:r>
        <w:rPr>
          <w:rStyle w:val="FootnoteAnchor"/>
          <w:rtl w:val="true"/>
        </w:rPr>
        <w:footnoteReference w:id="39"/>
      </w:r>
      <w:r>
        <w:rPr>
          <w:rFonts w:ascii="Amiri" w:hAnsi="Amiri" w:eastAsia="Amiri" w:cs="Amiri"/>
          <w:color w:val="111111"/>
          <w:sz w:val="28"/>
          <w:sz w:val="28"/>
          <w:szCs w:val="28"/>
          <w:rtl w:val="true"/>
          <w:lang w:bidi="ar-SA"/>
        </w:rPr>
        <w:t xml:space="preserve">و جماعة </w:t>
      </w:r>
      <w:r>
        <w:rPr>
          <w:rStyle w:val="FootnoteAnchor"/>
          <w:rtl w:val="true"/>
        </w:rPr>
        <w:footnoteReference w:id="40"/>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كاشفا، و هو المنسوب إلى الأكثر </w:t>
      </w:r>
      <w:r>
        <w:rPr>
          <w:rStyle w:val="FootnoteAnchor"/>
          <w:rtl w:val="true"/>
        </w:rPr>
        <w:footnoteReference w:id="41"/>
      </w:r>
      <w:r>
        <w:rPr>
          <w:rFonts w:ascii="Amiri" w:hAnsi="Amiri" w:eastAsia="Amiri" w:cs="Amiri"/>
          <w:color w:val="111111"/>
          <w:sz w:val="28"/>
          <w:sz w:val="28"/>
          <w:szCs w:val="28"/>
          <w:rtl w:val="true"/>
          <w:lang w:bidi="ar-SA"/>
        </w:rPr>
        <w:t xml:space="preserve">تارة، و إلى المشهور </w:t>
      </w:r>
      <w:r>
        <w:rPr>
          <w:rStyle w:val="FootnoteAnchor"/>
          <w:rtl w:val="true"/>
        </w:rPr>
        <w:footnoteReference w:id="42"/>
      </w:r>
      <w:r>
        <w:rPr>
          <w:rFonts w:ascii="Amiri" w:hAnsi="Amiri" w:eastAsia="Amiri" w:cs="Amiri"/>
          <w:color w:val="111111"/>
          <w:sz w:val="28"/>
          <w:sz w:val="28"/>
          <w:szCs w:val="28"/>
          <w:rtl w:val="true"/>
          <w:lang w:bidi="ar-SA"/>
        </w:rPr>
        <w:t xml:space="preserve">اخرى، لكنّه مخالف لظاهر إطلاق الأكثر، بل الكلّ </w:t>
      </w:r>
      <w:r>
        <w:rPr>
          <w:rStyle w:val="FootnoteAnchor"/>
          <w:rtl w:val="true"/>
        </w:rPr>
        <w:footnoteReference w:id="43"/>
      </w:r>
      <w:r>
        <w:rPr>
          <w:rFonts w:ascii="Amiri" w:hAnsi="Amiri" w:eastAsia="Amiri" w:cs="Amiri"/>
          <w:color w:val="111111"/>
          <w:sz w:val="28"/>
          <w:sz w:val="28"/>
          <w:szCs w:val="28"/>
          <w:rtl w:val="true"/>
          <w:lang w:bidi="ar-SA"/>
        </w:rPr>
        <w:t>لكونه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 اللزوم، فعليه يملك الموصى له ملكا متزلزلا، نظير العقد الجائز بالذات و بالخيار، و هو الذي قوّاه في موضع من المبسوط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تقديم الوصيّة على الإرث من غير تقييد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ضعّفه في موضع آخر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المطابق لأصالة عدم الانتقال هو الأوّل من هذه الثلاثة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المطابق لما يظهر من أدلّة نفوذ الوصيّة و حرمة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w:t>
      </w:r>
      <w:bookmarkStart w:id="65" w:name="pg2498_30924"/>
    </w:p>
    <w:p>
      <w:pPr>
        <w:pStyle w:val="BookText"/>
        <w:rPr/>
      </w:pPr>
      <w:bookmarkEnd w:id="65"/>
      <w:r>
        <w:rPr>
          <w:rFonts w:ascii="Amiri" w:hAnsi="Amiri" w:eastAsia="Amiri" w:cs="Amiri"/>
          <w:color w:val="111111"/>
          <w:sz w:val="28"/>
          <w:sz w:val="28"/>
          <w:szCs w:val="28"/>
          <w:rtl w:val="true"/>
          <w:lang w:bidi="ar-SA"/>
        </w:rPr>
        <w:t>الإيجاب علّة تامّة في الملك، إلّا أنّ الإجماع قام على كونه بعد ردّ الموصى له ملكا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الثالث، فالقول بالكشف مخالف للأصل و الإطلاقات، فإن تمّ ما ذكروا له من الدليل، و إلّا فيؤخذ بالثاني إن تمّت الإطلاقات، و إلّا فلا مناص عن القول الأوّل و هو المعتمد؛</w:t>
      </w:r>
    </w:p>
    <w:p>
      <w:pPr>
        <w:pStyle w:val="Heading4"/>
        <w:numPr>
          <w:ilvl w:val="3"/>
          <w:numId w:val="1"/>
        </w:numPr>
        <w:rPr/>
      </w:pPr>
      <w:bookmarkStart w:id="66" w:name="__RefHeading___Toc3877981_3804643083"/>
      <w:bookmarkStart w:id="67" w:name="_Toc26"/>
      <w:bookmarkEnd w:id="66"/>
      <w:r>
        <w:rPr>
          <w:rtl w:val="true"/>
        </w:rPr>
        <w:t>[</w:t>
      </w:r>
      <w:r>
        <w:rPr>
          <w:rtl w:val="true"/>
        </w:rPr>
        <w:t>حاصل ما اعتمدوه في الكشف أمور</w:t>
      </w:r>
      <w:r>
        <w:rPr>
          <w:rtl w:val="true"/>
        </w:rPr>
        <w:t>]</w:t>
      </w:r>
      <w:bookmarkEnd w:id="67"/>
    </w:p>
    <w:p>
      <w:pPr>
        <w:pStyle w:val="Heading5"/>
        <w:numPr>
          <w:ilvl w:val="4"/>
          <w:numId w:val="1"/>
        </w:numPr>
        <w:rPr/>
      </w:pPr>
      <w:bookmarkStart w:id="68" w:name="__RefHeading___Toc3877983_3804643083"/>
      <w:bookmarkStart w:id="69" w:name="_Toc27"/>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لأنّ حاصل ما اعتمدوه في الكشف أمور</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877985_3804643083"/>
      <w:bookmarkStart w:id="71" w:name="_Toc28"/>
      <w:bookmarkEnd w:id="70"/>
      <w:r>
        <w:rPr>
          <w:rtl w:val="true"/>
        </w:rPr>
        <w:t xml:space="preserve">الأوّل </w:t>
      </w:r>
      <w:r>
        <w:rPr>
          <w:rtl w:val="true"/>
        </w:rPr>
        <w:t>[</w:t>
      </w:r>
      <w:r>
        <w:rPr>
          <w:rtl w:val="true"/>
        </w:rPr>
        <w:t>وقوع القبول على الإيجاب</w:t>
      </w:r>
      <w:r>
        <w:rPr>
          <w:rtl w:val="true"/>
        </w:rPr>
        <w:t>]</w:t>
      </w:r>
      <w:bookmarkEnd w:id="71"/>
    </w:p>
    <w:p>
      <w:pPr>
        <w:pStyle w:val="BookText"/>
        <w:rPr/>
      </w:pPr>
      <w:r>
        <w:rPr>
          <w:rFonts w:ascii="Amiri" w:hAnsi="Amiri" w:eastAsia="Amiri" w:cs="Amiri"/>
          <w:color w:val="111111"/>
          <w:sz w:val="28"/>
          <w:sz w:val="28"/>
          <w:szCs w:val="28"/>
          <w:rtl w:val="true"/>
          <w:lang w:bidi="ar-SA"/>
        </w:rPr>
        <w:t>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الوحيد البهبهاني على ما حكى عنه سيّد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الإيجاب هو انتقال الملك عقيب الموت بلا فصل، و القبول إنّما وقع على هذا الإيجاب </w:t>
      </w:r>
      <w:r>
        <w:rPr>
          <w:rStyle w:val="FootnoteAnchor"/>
          <w:rtl w:val="true"/>
        </w:rPr>
        <w:footnoteReference w:id="46"/>
      </w:r>
      <w:r>
        <w:rPr>
          <w:rFonts w:ascii="Amiri" w:hAnsi="Amiri" w:eastAsia="Amiri" w:cs="Amiri"/>
          <w:color w:val="111111"/>
          <w:sz w:val="28"/>
          <w:sz w:val="28"/>
          <w:szCs w:val="28"/>
          <w:rtl w:val="true"/>
          <w:lang w:bidi="ar-SA"/>
        </w:rPr>
        <w:t>لا إيجاب آخر، و وقوعه على بعض الأزمنة المتأخّرة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السبب الشرعيّ الذي يترتّب عليه الملك، و لا يعقل انفصاله و انفكاكه عنه بتقدّم أو تأخّر، فإن ثبت أنّه الإيجاب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يتراءى من ظواهر إطلاق نفوذ الوصيّة و حرمة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آخر سيجي‌ء، و لا يحتاج معه إلى ما ذكر دليلا آخر من أنّ القبول متعلّق بمدلول الإيجاب الذي هو الملك عقيب الموت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يثبت ذلك كان مقتضى أدلّة وجوب الوفاء بالعقود ترتّب الأثر من حين صدق العقد و إن كان مدلول العقد سابقا على ذلك، و لذا لم يكن القبول في سائر العقود كاشفا عن الملك من حين الإيجاب، مع أنّه دالّ على الرضى بالإيجاب السابق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توهّم الفرق يحتمل كون التمليك في الوصية مؤقّتا بالموت،</w:t>
      </w:r>
      <w:bookmarkStart w:id="72" w:name="pg2498_30925"/>
    </w:p>
    <w:p>
      <w:pPr>
        <w:pStyle w:val="BookText"/>
        <w:rPr/>
      </w:pPr>
      <w:bookmarkEnd w:id="72"/>
      <w:r>
        <w:rPr>
          <w:rFonts w:ascii="Amiri" w:hAnsi="Amiri" w:eastAsia="Amiri" w:cs="Amiri"/>
          <w:color w:val="111111"/>
          <w:sz w:val="28"/>
          <w:sz w:val="28"/>
          <w:szCs w:val="28"/>
          <w:rtl w:val="true"/>
          <w:lang w:bidi="ar-SA"/>
        </w:rPr>
        <w:t>فمقتضى الرضى بالتمليك الموقّت حصول الملك في وقته المجعول، كما لو وقّته بزمان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عدم ثبوت استقلال الإيجاب بالأثر من دون الرضى، و دعوى استقلال الإيجاب بالتأثير لو تمّت رجعت إلى القول الثالث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فتخيّل الفرق في القبول بين هذا العقد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الإيجاب هنا معلّقا أو موقّتا، و في غيره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و قد ذكرنا في إجازة عقد الفضولي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الاستدلال على الكشف، بأنّ الإجازة هي الرضى بالعقد السابق المقتضي للتمليك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 ما ذكرنا هنا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877987_3804643083"/>
      <w:bookmarkStart w:id="74" w:name="_Toc29"/>
      <w:bookmarkEnd w:id="73"/>
      <w:r>
        <w:rPr>
          <w:rtl w:val="true"/>
        </w:rPr>
        <w:t>الثاني</w:t>
      </w:r>
      <w:r>
        <w:rPr>
          <w:rtl w:val="true"/>
        </w:rPr>
        <w:t xml:space="preserve">: </w:t>
      </w:r>
      <w:r>
        <w:rPr>
          <w:rtl w:val="true"/>
        </w:rPr>
        <w:t>ما استدلّ به غير واحد من ظواهر إطلاقات انتقال المال إلى الموصى له بمجرّد الموت من دون توقّف على أمر آخر،</w:t>
      </w:r>
      <w:bookmarkEnd w:id="7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غير واحد </w:t>
      </w:r>
      <w:r>
        <w:rPr>
          <w:rStyle w:val="FootnoteAnchor"/>
          <w:rtl w:val="true"/>
        </w:rPr>
        <w:footnoteReference w:id="49"/>
      </w:r>
      <w:r>
        <w:rPr>
          <w:rFonts w:ascii="IRNazanin" w:hAnsi="IRNazanin" w:eastAsia="IRNazanin"/>
          <w:color w:val="111111"/>
          <w:sz w:val="28"/>
          <w:sz w:val="28"/>
          <w:szCs w:val="28"/>
          <w:rtl w:val="true"/>
          <w:lang w:bidi="fa-IR"/>
        </w:rPr>
        <w:t>من ظواهر إطلاقات انتقال المال إلى الموصى له بمجرّد الموت من دون توقّف على أمر آخر،</w:t>
      </w:r>
    </w:p>
    <w:p>
      <w:pPr>
        <w:pStyle w:val="BookText"/>
        <w:rPr/>
      </w:pPr>
      <w:r>
        <w:rPr>
          <w:rFonts w:ascii="Amiri" w:hAnsi="Amiri" w:eastAsia="Amiri" w:cs="Amiri"/>
          <w:color w:val="111111"/>
          <w:sz w:val="28"/>
          <w:sz w:val="28"/>
          <w:szCs w:val="28"/>
          <w:rtl w:val="true"/>
          <w:lang w:bidi="ar-SA"/>
        </w:rPr>
        <w:t>و هي و إن لم تتضمن اشتراط القبول، إلّا أنّه خرج منها صورة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بناء هذا الاستدلال على الفراغ عن ضعف القول الثالث، و إلّا فالمتيقن خروجه منها صورة الردّ، لا مطلق عدم القبول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كون تلك الأدلّة مسوقة لبيان حكم الوصيّة بعد الفراغ عن إحراز ما يعتبر فيها من شرائط الموصي و الموصى له و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تلك الإطلاقات و أدلّة اعتبار القبول بتقييدها بها، هو القول بأضعف الوجهين في الكشف، و هو لزوم الوصيّة المتعقّبة بالقبول</w:t>
      </w:r>
    </w:p>
    <w:p>
      <w:pPr>
        <w:pStyle w:val="BookText"/>
        <w:rPr/>
      </w:pPr>
      <w:r>
        <w:rPr>
          <w:rFonts w:ascii="Amiri" w:hAnsi="Amiri" w:eastAsia="Amiri" w:cs="Amiri"/>
          <w:color w:val="111111"/>
          <w:sz w:val="28"/>
          <w:sz w:val="28"/>
          <w:szCs w:val="28"/>
          <w:rtl w:val="true"/>
          <w:lang w:bidi="ar-SA"/>
        </w:rPr>
        <w:t>المستلزم لترتيب أحكام تملّك الموصى له، إذا علم تحقّق هذا القيد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بالكشف الحكمي و النقل الحقيقي، فاللّازم تقييد لزومه بما بعد القبول، و دعوى قيام الدليل الخارجي على حكم الكشف بعد تحقّق هذا الجزء الأخير للعلّة التامّة، و المفروض انتفاؤه في المقام، فافهم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المطلب على وجه يظهر منه حال القبول في سائر العقود و في هذا العقد، و حال الإجازة في عقد </w:t>
      </w:r>
      <w:r>
        <w:rPr>
          <w:rStyle w:val="FootnoteAnchor"/>
          <w:rtl w:val="true"/>
        </w:rPr>
        <w:footnoteReference w:id="50"/>
      </w:r>
      <w:r>
        <w:rPr>
          <w:rFonts w:ascii="Amiri" w:hAnsi="Amiri" w:eastAsia="Amiri" w:cs="Amiri"/>
          <w:color w:val="111111"/>
          <w:sz w:val="28"/>
          <w:sz w:val="28"/>
          <w:szCs w:val="28"/>
          <w:rtl w:val="true"/>
          <w:lang w:bidi="ar-SA"/>
        </w:rPr>
        <w:t>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أَوْفُوا بِالْعُقُودِ </w:t>
      </w:r>
      <w:r>
        <w:rPr>
          <w:rStyle w:val="FootnoteAnchor"/>
          <w:rtl w:val="true"/>
        </w:rPr>
        <w:footnoteReference w:id="51"/>
      </w:r>
      <w:r>
        <w:rPr>
          <w:rFonts w:ascii="Amiri" w:hAnsi="Amiri" w:eastAsia="Amiri" w:cs="Amiri"/>
          <w:color w:val="111111"/>
          <w:sz w:val="28"/>
          <w:sz w:val="28"/>
          <w:szCs w:val="28"/>
          <w:rtl w:val="true"/>
          <w:lang w:bidi="ar-SA"/>
        </w:rPr>
        <w:t xml:space="preserve">بل وَ أَحَلَّ اللّٰهُ الْبَيْعَ </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نحوهما، ممّا لا يدلّ على اللّزوم أو يدلّ على عدمه، هو كون العقد علّة تامّة لتحقّق مدلوله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فيتوقّف تحقّق مدلوله شرعا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العقد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من الشارع بوجوب العمل بمدلوله، فإن انتفى الأوّل كما في الإيجاب المجرّد عن القبول، أو الثاني، كما إذا كان العقد الموجود غير محكوم بوجوب الوفاء، أو مطلق السببيّة بأن فرض تحقّق العقد قبل تشريع سببيّته، أو وجد من الفضولي، فلا بدّ أن ينظر بعد وجود القبول المحقّق للسبب في الأوّل، و بعد حكم الشارع المحقّق للسبب في الثاني من</w:t>
      </w:r>
    </w:p>
    <w:p>
      <w:pPr>
        <w:pStyle w:val="BookText"/>
        <w:rPr/>
      </w:pPr>
      <w:r>
        <w:rPr>
          <w:rFonts w:ascii="IRNazanin" w:hAnsi="IRNazanin" w:eastAsia="IRNazanin"/>
          <w:color w:val="111111"/>
          <w:sz w:val="28"/>
          <w:sz w:val="28"/>
          <w:szCs w:val="28"/>
          <w:rtl w:val="true"/>
          <w:lang w:bidi="fa-IR"/>
        </w:rPr>
        <w:t xml:space="preserve">النظر </w:t>
      </w:r>
      <w:r>
        <w:rPr>
          <w:rStyle w:val="FootnoteAnchor"/>
          <w:rtl w:val="true"/>
        </w:rPr>
        <w:footnoteReference w:id="54"/>
      </w:r>
      <w:r>
        <w:rPr>
          <w:rFonts w:ascii="Amiri" w:hAnsi="Amiri" w:eastAsia="Amiri" w:cs="Amiri"/>
          <w:color w:val="111111"/>
          <w:sz w:val="28"/>
          <w:sz w:val="28"/>
          <w:szCs w:val="28"/>
          <w:rtl w:val="true"/>
          <w:lang w:bidi="ar-SA"/>
        </w:rPr>
        <w:t>إلى مدلول ذلك العقد، فإن دلّ على إنشاء ملكيّة مقيّدة بزمان، و فرضنا صحّة ذلك التقييد في ذلك العقد، وجب العمل على طبق مدلوله حتّى لو كان ذلك الزمان متقدّما على زمان تحقّق العقديّة أو زمان الحكم بالسببيّة؛ لأنّ هذا مقتضى الوفاء بالعقد، فيترتّب الآثار من ذلك الزمان، و ليس هذا من الكشف،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الملكيّة المنشأة غير مقيّدة بزمان، بل كان الزمان زمان الإنشاء، كان ترتّب الآثار من زمان تحقق السبب و الحكم بسببيّته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القبول الراجع إلى الإيجاب السابق للتمليك المطلق، و الإجازة اللاحقة للعقد السابق المفيد للتمليك، لا يوجبان إلّا ترتّب الآثار من حينهما، لا من زمان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الوصيّة فلمّا كانت عقدا متضمّنا لتراضي الموصي و الموصى له على التملّك من حين الموت دون التملّك المطلق، كان الوفاء به بعد القبول عبارة عن ترتّب آثار ملك الموصى له من حين الموت مع كون الملك قبل القبول ملكا </w:t>
      </w:r>
      <w:r>
        <w:rPr>
          <w:rStyle w:val="FootnoteAnchor"/>
          <w:rtl w:val="true"/>
        </w:rPr>
        <w:footnoteReference w:id="55"/>
      </w:r>
      <w:r>
        <w:rPr>
          <w:rFonts w:ascii="Amiri" w:hAnsi="Amiri" w:eastAsia="Amiri" w:cs="Amiri"/>
          <w:color w:val="111111"/>
          <w:sz w:val="28"/>
          <w:sz w:val="28"/>
          <w:szCs w:val="28"/>
          <w:rtl w:val="true"/>
          <w:lang w:bidi="ar-SA"/>
        </w:rPr>
        <w:t>واقعيّا لغيره، و هذا معنى الكشف الحكمي الذي هو أقوى الوجهين في إجازة العقد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الاستدلال على الكشف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القبول المتراخي عن الموت راجعا إلى التملّك بمجرّد الموت و إن سلّم أنّه مؤدّى الإيجاب، و أنّ ظاهر القبول تعلّقه بنفس مؤدّى الإيجاب؛ لأنّ الملك بعد الموت قبل القبول كان لغير الموصى له في الواقع، و لا يعقل رضى الموصي بصيرورته ملكا في ذلك الوقت للموصى له،</w:t>
      </w:r>
      <w:bookmarkStart w:id="75" w:name="pg2498_30928"/>
    </w:p>
    <w:p>
      <w:pPr>
        <w:pStyle w:val="BookText"/>
        <w:rPr/>
      </w:pPr>
      <w:bookmarkEnd w:id="75"/>
      <w:r>
        <w:rPr>
          <w:rFonts w:ascii="IRNazanin" w:hAnsi="IRNazanin" w:eastAsia="IRNazanin"/>
          <w:color w:val="111111"/>
          <w:sz w:val="28"/>
          <w:sz w:val="28"/>
          <w:szCs w:val="28"/>
          <w:rtl w:val="true"/>
          <w:lang w:bidi="fa-IR"/>
        </w:rPr>
        <w:t>لاستحالته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نظير منفعة العين المستأجرة، و بضع المتمتّع بها فيما بين الإيجاب و القبول؛ فإنّها مقابلة بجزء من العوض في الإيجاب، مع وقوع قبول المعاوضة على ما عداها، لأنّها تبقى على ملك المؤجر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فالقدر الممكن تعلّق القبول به، هو ملك القابل من حين قبوله، و لذا كان حكم الشارع بعد الإجازة بترتّب أحكام الملك قبلها و بعد العقد، مع كون الملك في هذا الزمان للمالك أمرا تعبديّا يعبّر عنه بالكشف الحكميّ، و مثل هذا التعبّد غير موجود في العرف حتّى يتعلّق رضى القابل بتملّك ما كان ملكا لغيره، بمعنى ترتّب أحكام الملك عليه تعبّدا عرفيّا قد أمضاه الشارع بحكم أَوْفُوا بِالْعُقُودِ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3877989_3804643083"/>
      <w:bookmarkStart w:id="77" w:name="_Toc30"/>
      <w:bookmarkEnd w:id="76"/>
      <w:r>
        <w:rPr>
          <w:rtl w:val="true"/>
        </w:rPr>
        <w:t>الثالث</w:t>
      </w:r>
      <w:r>
        <w:rPr>
          <w:rtl w:val="true"/>
        </w:rPr>
        <w:t xml:space="preserve">: </w:t>
      </w:r>
      <w:r>
        <w:rPr>
          <w:rtl w:val="true"/>
        </w:rPr>
        <w:t>عموم ما دلّ على وجوب نفوذ الوصيّة و حرمة تبديل الوصيّة التي هي فعل الموصي و إيجابه،</w:t>
      </w:r>
      <w:bookmarkEnd w:id="77"/>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دلّ على وجوب نفوذ الوصيّة و حرمة تبديل الوصيّة </w:t>
      </w:r>
      <w:r>
        <w:rPr>
          <w:rStyle w:val="FootnoteAnchor"/>
          <w:rtl w:val="true"/>
        </w:rPr>
        <w:footnoteReference w:id="59"/>
      </w:r>
      <w:r>
        <w:rPr>
          <w:rFonts w:ascii="Amiri" w:hAnsi="Amiri" w:eastAsia="Amiri" w:cs="Amiri"/>
          <w:color w:val="111111"/>
          <w:sz w:val="28"/>
          <w:sz w:val="28"/>
          <w:szCs w:val="28"/>
          <w:rtl w:val="true"/>
          <w:lang w:bidi="ar-SA"/>
        </w:rPr>
        <w:t>التي هي فعل الموصي و إيجابه،</w:t>
      </w:r>
    </w:p>
    <w:p>
      <w:pPr>
        <w:pStyle w:val="BookText"/>
        <w:rPr/>
      </w:pPr>
      <w:r>
        <w:rPr>
          <w:rFonts w:ascii="Amiri" w:hAnsi="Amiri" w:eastAsia="Amiri" w:cs="Amiri"/>
          <w:color w:val="111111"/>
          <w:sz w:val="28"/>
          <w:sz w:val="28"/>
          <w:szCs w:val="28"/>
          <w:rtl w:val="true"/>
          <w:lang w:bidi="ar-SA"/>
        </w:rPr>
        <w:t>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يقبل الموصى له و لو بعد حين،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الاستدلال مبنيّ على الفراغ عن إبطال القول الأخير، و إلّا فمقتضى تلك العمومات وجوب الإنفاذ و حرمة التبديل، خرج منها ما إذا ردّ الموصى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دعوى أنّها مسوقة لبيان حكم الوصيّة بعد الفراغ عن إحراز ما يعتبر في صحّتها من شرائط الموصي، و الموصى به، و له</w:t>
      </w:r>
      <w:r>
        <w:rPr>
          <w:rFonts w:eastAsia="Amiri" w:cs="Amiri" w:ascii="Amiri" w:hAnsi="Amiri"/>
          <w:color w:val="111111"/>
          <w:sz w:val="28"/>
          <w:szCs w:val="28"/>
          <w:rtl w:val="true"/>
          <w:lang w:bidi="ar-SA"/>
        </w:rPr>
        <w:t>-:</w:t>
      </w:r>
      <w:bookmarkStart w:id="78" w:name="pg2498_30929"/>
    </w:p>
    <w:p>
      <w:pPr>
        <w:pStyle w:val="BookText"/>
        <w:rPr/>
      </w:pPr>
      <w:bookmarkEnd w:id="78"/>
      <w:r>
        <w:rPr>
          <w:rFonts w:ascii="Amiri" w:hAnsi="Amiri" w:eastAsia="Amiri" w:cs="Amiri"/>
          <w:color w:val="111111"/>
          <w:sz w:val="28"/>
          <w:sz w:val="28"/>
          <w:szCs w:val="28"/>
          <w:rtl w:val="true"/>
          <w:lang w:bidi="ar-SA"/>
        </w:rPr>
        <w:t>أنّ الدليل القائم على اعتبار القبول، إمّا الإجماع على كونه عقدا، و إمّا عدم النظير لدخول المال قهرا في ملك الغير بالتمليك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عن مدرك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ليس مفاده إلّا كون القبول معتبرا في الانتقال لا كاشفا، 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تمليك الموصى له قبل القبول</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877991_3804643083"/>
      <w:bookmarkStart w:id="80" w:name="_Toc31"/>
      <w:bookmarkEnd w:id="79"/>
      <w:r>
        <w:rPr>
          <w:rtl w:val="true"/>
        </w:rPr>
        <w:t>الرابع</w:t>
      </w:r>
      <w:r>
        <w:rPr>
          <w:rtl w:val="true"/>
        </w:rPr>
        <w:t xml:space="preserve">: </w:t>
      </w:r>
      <w:r>
        <w:rPr>
          <w:rtl w:val="true"/>
        </w:rPr>
        <w:t>أنّه لو لم ينقل من حين الموت</w:t>
      </w:r>
      <w:r>
        <w:rPr>
          <w:rtl w:val="true"/>
        </w:rPr>
        <w:t xml:space="preserve">- </w:t>
      </w:r>
      <w:r>
        <w:rPr>
          <w:rtl w:val="true"/>
        </w:rPr>
        <w:t>مع فرض القبول المتأخّر</w:t>
      </w:r>
      <w:r>
        <w:rPr>
          <w:rtl w:val="true"/>
        </w:rPr>
        <w:t xml:space="preserve">- </w:t>
      </w:r>
      <w:r>
        <w:rPr>
          <w:rtl w:val="true"/>
        </w:rPr>
        <w:t>إلى الموصى له، لكان</w:t>
      </w:r>
      <w:r>
        <w:rPr>
          <w:rtl w:val="true"/>
        </w:rPr>
        <w:t xml:space="preserve">: </w:t>
      </w:r>
      <w:r>
        <w:rPr>
          <w:rtl w:val="true"/>
        </w:rPr>
        <w:t>إمّا باقيا على ملك الميّت، و إمّا منتقلا إلى الوارث؛</w:t>
      </w:r>
      <w:bookmarkEnd w:id="80"/>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ينقل من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القبول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الموصى له،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باقيا على ملك الميّت، و إمّا منتقلا إلى الوارث؛</w:t>
      </w:r>
    </w:p>
    <w:p>
      <w:pPr>
        <w:pStyle w:val="BookText"/>
        <w:rPr/>
      </w:pPr>
      <w:r>
        <w:rPr>
          <w:rFonts w:ascii="Amiri" w:hAnsi="Amiri" w:eastAsia="Amiri" w:cs="Amiri"/>
          <w:color w:val="111111"/>
          <w:sz w:val="28"/>
          <w:sz w:val="28"/>
          <w:szCs w:val="28"/>
          <w:rtl w:val="true"/>
          <w:lang w:bidi="ar-SA"/>
        </w:rPr>
        <w:t>إذ كونه لغيرهما مفروغ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لأنّ الميّت لا مال له، إمّا عقلا؛ لأنّ الملك نسبته بين المال و الشخص الحيّ، و إمّا لأنّ ظاهر العرف و الشرع أنّ الميّت يترك ماله لغيره، فلو كان قابلا للملك لم يصدق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حكم مال الميّت بعد حاجة المال إلى وجود مالك حيّ، لا تجدي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منافاته لظهور أدلّة الإرث في تأخّره عن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الوصيّة تلقّي الملك من الموصي لا من الوارث، مع أنّ خروجه عن ملك الوارث من دون اختياره عديم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الإنصاف ضعف هذا الدليل في نظرنا؛ لإمكان التزام كونه في حكم مال الميّت، و يكفي في عدم امتناعه ذهاب جماعة </w:t>
      </w:r>
      <w:r>
        <w:rPr>
          <w:rStyle w:val="FootnoteAnchor"/>
          <w:rtl w:val="true"/>
        </w:rPr>
        <w:footnoteReference w:id="61"/>
      </w:r>
      <w:r>
        <w:rPr>
          <w:rFonts w:ascii="Amiri" w:hAnsi="Amiri" w:eastAsia="Amiri" w:cs="Amiri"/>
          <w:color w:val="111111"/>
          <w:sz w:val="28"/>
          <w:sz w:val="28"/>
          <w:szCs w:val="28"/>
          <w:rtl w:val="true"/>
          <w:lang w:bidi="ar-SA"/>
        </w:rPr>
        <w:t>إليه في حكم تركة الميت المديون، و التزام كونه في ملك الوارث مع خروجه عنه بالقبول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ثبوت الإرث بعد الوصيّة كثبوته بعد الدّين لا يراد به إلّا استقراره،</w:t>
      </w:r>
      <w:bookmarkStart w:id="81" w:name="pg2498_30930"/>
    </w:p>
    <w:p>
      <w:pPr>
        <w:pStyle w:val="BookText"/>
        <w:rPr/>
      </w:pPr>
      <w:bookmarkEnd w:id="81"/>
      <w:r>
        <w:rPr>
          <w:rFonts w:ascii="Amiri" w:hAnsi="Amiri" w:eastAsia="Amiri" w:cs="Amiri"/>
          <w:color w:val="111111"/>
          <w:sz w:val="28"/>
          <w:sz w:val="28"/>
          <w:szCs w:val="28"/>
          <w:rtl w:val="true"/>
          <w:lang w:bidi="ar-SA"/>
        </w:rPr>
        <w:t>و لذا لم يقل أحد بثبوت ما قابل الدين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الدليل في محل التأمّل، بل النظر، 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فإن تمّ الإطلاقات بعد تقييدها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الوصيّة المقبولة في أحد الأزمنة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فمقتضى الأصل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ينتقل بالموت منفردا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منجّزا و لا مراعى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جماعة منهم العلّامة في التحرير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3877993_3804643083"/>
      <w:bookmarkStart w:id="83" w:name="_Toc32"/>
      <w:bookmarkEnd w:id="82"/>
      <w:r>
        <w:rPr>
          <w:rtl w:val="true"/>
        </w:rPr>
        <w:t>[</w:t>
      </w:r>
      <w:r>
        <w:rPr>
          <w:rtl w:val="true"/>
        </w:rPr>
        <w:t>جواز القبول قبل الوفاة</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إيجاب الوصيّة لمّا كان إنشاء معلّقا على الموت، فيكون زمان تنجّز التملّك التقديري المنشأ ما بعد الموت، فعلى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 قبل الوفاة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الأكثر كما في المسالك </w:t>
      </w:r>
      <w:r>
        <w:rPr>
          <w:rStyle w:val="FootnoteAnchor"/>
          <w:rtl w:val="true"/>
        </w:rPr>
        <w:footnoteReference w:id="63"/>
      </w:r>
      <w:r>
        <w:rPr>
          <w:rFonts w:ascii="Amiri" w:hAnsi="Amiri" w:eastAsia="Amiri" w:cs="Amiri"/>
          <w:color w:val="111111"/>
          <w:sz w:val="28"/>
          <w:sz w:val="28"/>
          <w:szCs w:val="28"/>
          <w:rtl w:val="true"/>
          <w:lang w:bidi="ar-SA"/>
        </w:rPr>
        <w:t xml:space="preserve">، لحصول المطابقة بين الإيجاب و القبول، لرجوع القبول إلى الملك التقديريّ المنشأ بالإيجاب، و قيل بعدم الجواز </w:t>
      </w:r>
      <w:r>
        <w:rPr>
          <w:rStyle w:val="FootnoteAnchor"/>
          <w:rtl w:val="true"/>
        </w:rPr>
        <w:footnoteReference w:id="64"/>
      </w:r>
      <w:r>
        <w:rPr>
          <w:rFonts w:ascii="Amiri" w:hAnsi="Amiri" w:eastAsia="Amiri" w:cs="Amiri"/>
          <w:color w:val="111111"/>
          <w:sz w:val="28"/>
          <w:sz w:val="28"/>
          <w:szCs w:val="28"/>
          <w:rtl w:val="true"/>
          <w:lang w:bidi="ar-SA"/>
        </w:rPr>
        <w:t xml:space="preserve">، و ظاهر الروضة </w:t>
      </w:r>
      <w:r>
        <w:rPr>
          <w:rStyle w:val="FootnoteAnchor"/>
          <w:rtl w:val="true"/>
        </w:rPr>
        <w:footnoteReference w:id="65"/>
      </w:r>
      <w:r>
        <w:rPr>
          <w:rFonts w:ascii="Amiri" w:hAnsi="Amiri" w:eastAsia="Amiri" w:cs="Amiri"/>
          <w:color w:val="111111"/>
          <w:sz w:val="28"/>
          <w:sz w:val="28"/>
          <w:szCs w:val="28"/>
          <w:rtl w:val="true"/>
          <w:lang w:bidi="ar-SA"/>
        </w:rPr>
        <w:t>أنّه المشهور، لأنّ الإيجاب في الوصيّة ليس مجرّد إنشاء التمليك التعليقي الذي هو مدلول لفظ الموصي، و لذا لو ردّ الموصى له بعد هذا الإنشاء لم يؤثّر في بطلانه على ما هو حكم باقي العقود، بل هو هذا المنشأ بعد وجود المعلّق عليه، و لذا لو ردّ حينئذ بطل الإيجاب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عدم تأثير الرد في إنشاء الموصي بضميمة قاعدة أنّ الرد يؤثّر في إبطال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قول الموصي الذي مدلوله</w:t>
      </w:r>
    </w:p>
    <w:p>
      <w:pPr>
        <w:pStyle w:val="BookText"/>
        <w:rPr/>
      </w:pPr>
      <w:r>
        <w:rPr>
          <w:rFonts w:ascii="Amiri" w:hAnsi="Amiri" w:eastAsia="Amiri" w:cs="Amiri"/>
          <w:color w:val="111111"/>
          <w:sz w:val="28"/>
          <w:sz w:val="28"/>
          <w:szCs w:val="28"/>
          <w:rtl w:val="true"/>
          <w:lang w:bidi="ar-SA"/>
        </w:rPr>
        <w:t>الإنشاء التعليقي ليس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كون الإيجاب هو المعنى المنجّز بعد الموت دون القول الدالّ على الإنشاء التعليقي، ليس بأولى من التزام عدم تأثير الرد في هذا المقام في إبطال الإيجاب، بل لأنّ الأوّل مخالف لمقتضى قاعدة العقود من كون الإيجاب هو الإنشاء المدلول عليه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الإنشاء التعليقي دون المعنى الحاصل منه عند الموت، و هو التمليك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الأوّل ليس مخالفا لقاعدة العقود؛ لأنّ الأمر الحاصل بعد الموت هو نفس المنشأ بالقول الأوّل، إلّا أنّه يغاير مدلول اللّفظ بالاعتبار؛ فإنّ التملّك على تقدير الموت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بالإنشاء هو الّذي يتنجّز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أنّ قاعدة العقود تقتضي كون الإيجاب هو نفس مدلول اللفظ، و هو الأمر المنجّز في مرتبة نفسه أعني التمليك على تقدير لا نفس التمليك، و لذا ذكروا أنّ التّعليق في العقود ممنوع؛ إذ على ما ذكر لا تعليق في العقد رأسا، و يلزم تقدّم القبول على الإيجاب في العقود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إجازة الوارث مؤثّرة حال الحياة، فلا يجوز له الردّ بعد الموت </w:t>
      </w:r>
      <w:r>
        <w:rPr>
          <w:rStyle w:val="FootnoteAnchor"/>
          <w:rtl w:val="true"/>
        </w:rPr>
        <w:footnoteReference w:id="68"/>
      </w:r>
      <w:r>
        <w:rPr>
          <w:rFonts w:ascii="Amiri" w:hAnsi="Amiri" w:eastAsia="Amiri" w:cs="Amiri"/>
          <w:color w:val="111111"/>
          <w:sz w:val="28"/>
          <w:sz w:val="28"/>
          <w:szCs w:val="28"/>
          <w:rtl w:val="true"/>
          <w:lang w:bidi="ar-SA"/>
        </w:rPr>
        <w:t>إذ لو لا تمام الإيجاب حال الحياة لم ينفع إجازة الوارث حينئذ</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إطلاقات وجوب إنفاذ الوصيّة و حرمة تبديلها </w:t>
      </w:r>
      <w:r>
        <w:rPr>
          <w:rStyle w:val="FootnoteAnchor"/>
          <w:rtl w:val="true"/>
        </w:rPr>
        <w:footnoteReference w:id="69"/>
      </w:r>
      <w:r>
        <w:rPr>
          <w:rFonts w:ascii="Amiri" w:hAnsi="Amiri" w:eastAsia="Amiri" w:cs="Amiri"/>
          <w:color w:val="111111"/>
          <w:sz w:val="28"/>
          <w:sz w:val="28"/>
          <w:szCs w:val="28"/>
          <w:rtl w:val="true"/>
          <w:lang w:bidi="ar-SA"/>
        </w:rPr>
        <w:t xml:space="preserve">، الشامل لصورة قبولها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الوفاة آكد</w:t>
      </w:r>
      <w:r>
        <w:rPr>
          <w:rFonts w:eastAsia="Amiri" w:cs="Amiri" w:ascii="Amiri" w:hAnsi="Amiri"/>
          <w:color w:val="111111"/>
          <w:sz w:val="28"/>
          <w:szCs w:val="28"/>
          <w:rtl w:val="true"/>
          <w:lang w:bidi="ar-SA"/>
        </w:rPr>
        <w:t>)</w:t>
      </w:r>
      <w:bookmarkStart w:id="84" w:name="pg2498_30932"/>
    </w:p>
    <w:p>
      <w:pPr>
        <w:pStyle w:val="BookText"/>
        <w:rPr/>
      </w:pPr>
      <w:bookmarkEnd w:id="84"/>
      <w:r>
        <w:rPr>
          <w:rFonts w:ascii="Amiri" w:hAnsi="Amiri" w:eastAsia="Amiri" w:cs="Amiri"/>
          <w:color w:val="111111"/>
          <w:sz w:val="28"/>
          <w:sz w:val="28"/>
          <w:szCs w:val="28"/>
          <w:rtl w:val="true"/>
          <w:lang w:bidi="ar-SA"/>
        </w:rPr>
        <w:t>من حيث وقوعه بعد تنجّز التمليك المعلّق في الإنشاء</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877995_3804643083"/>
      <w:bookmarkStart w:id="86" w:name="_Toc33"/>
      <w:bookmarkEnd w:id="85"/>
      <w:r>
        <w:rPr>
          <w:rtl w:val="true"/>
        </w:rPr>
        <w:t>[</w:t>
      </w:r>
      <w:r>
        <w:rPr>
          <w:rtl w:val="true"/>
        </w:rPr>
        <w:t>لا حكم للرد في حياة الموصي</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تأخّر القبول عن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 في حياة الموصي جاز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حياة الموصي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حكم لذلك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877997_3804643083"/>
      <w:bookmarkStart w:id="88" w:name="_Toc34"/>
      <w:bookmarkEnd w:id="87"/>
      <w:r>
        <w:rPr>
          <w:rtl w:val="true"/>
        </w:rPr>
        <w:t>[</w:t>
      </w:r>
      <w:r>
        <w:rPr>
          <w:rtl w:val="true"/>
        </w:rPr>
        <w:t>بطلان الوصية لو رد بعد الموت قبل القبول</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القبول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إجماعا فلا ينفع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ردّ بعد القبض و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القبض لا يغني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 بعد الموت و القبول و قبل القبض،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 المبسوط </w:t>
      </w:r>
      <w:r>
        <w:rPr>
          <w:rStyle w:val="FootnoteAnchor"/>
          <w:rtl w:val="true"/>
        </w:rPr>
        <w:footnoteReference w:id="70"/>
      </w:r>
      <w:r>
        <w:rPr>
          <w:rFonts w:ascii="Amiri" w:hAnsi="Amiri" w:eastAsia="Amiri" w:cs="Amiri"/>
          <w:color w:val="111111"/>
          <w:sz w:val="28"/>
          <w:sz w:val="28"/>
          <w:szCs w:val="28"/>
          <w:rtl w:val="true"/>
          <w:lang w:bidi="ar-SA"/>
        </w:rPr>
        <w:t xml:space="preserve">، و المحكي عن الجامع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لاعتبار القبض في أصل الملك كما فهمه بعض </w:t>
      </w:r>
      <w:r>
        <w:rPr>
          <w:rStyle w:val="FootnoteAnchor"/>
          <w:rtl w:val="true"/>
        </w:rPr>
        <w:footnoteReference w:id="72"/>
      </w:r>
      <w:r>
        <w:rPr>
          <w:rFonts w:ascii="Amiri" w:hAnsi="Amiri" w:eastAsia="Amiri" w:cs="Amiri"/>
          <w:color w:val="111111"/>
          <w:sz w:val="28"/>
          <w:sz w:val="28"/>
          <w:szCs w:val="28"/>
          <w:rtl w:val="true"/>
          <w:lang w:bidi="ar-SA"/>
        </w:rPr>
        <w:t>من كلام الشيخ، أو في لزومه كما يظهر من صدر عبارة المبسوط و إن مثّل لها أخيرا بالقبض في الوقف الذي اختار فيه كغيره اشتراط القبض في صحّته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دليل على اعتباره في شي‌ء من الأمرين ليقيّد إطلاق أدلّة وجوب إنفاذ الوصيّة و حرمة تبديلها،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المعظم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قبل و قبض ثمّ ردّ لم تبطل،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ذكروا أنّ الوصيّة من العقود الجائزة، و مقتضاه جواز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العمومات</w:t>
      </w:r>
      <w:bookmarkStart w:id="89" w:name="pg2498_30933"/>
    </w:p>
    <w:p>
      <w:pPr>
        <w:pStyle w:val="BookText"/>
        <w:rPr/>
      </w:pPr>
      <w:bookmarkEnd w:id="89"/>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 بعضا و قبل بعضا، صحّ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الوصيّة و القبول في العقد بالنسبة إلى المقبول، و لذا لو تبعّض المبيع في البيع جاز للمشتري البقاء على ما أوقعه من العقد و الوفاء به و إن لم يجب؛ لأجل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يصدق العقد و الوفاء به مع تبعّض الصفقة، أو مع فوات وصف الصحّة، أو غيرها المشروط في العقد أو الملحوظ للمتعاقدين،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بالبطلان؛ إذ لا عقد و لا وفاء حينئذ، فيكشف ذلك عن عدم فوات أصل المطابقة بين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المطابقة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يتحد متعلّق الإيجاب و القبول حتّى في الصفات الغير المقوّمة لمورد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في غير الوصيّة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877999_3804643083"/>
      <w:bookmarkStart w:id="91" w:name="_Toc35"/>
      <w:bookmarkEnd w:id="90"/>
      <w:r>
        <w:rPr>
          <w:rtl w:val="true"/>
        </w:rPr>
        <w:t>[</w:t>
      </w:r>
      <w:r>
        <w:rPr>
          <w:rtl w:val="true"/>
        </w:rPr>
        <w:t>قيام الورثة مقام الموصي له لو مات قبل القبول</w:t>
      </w:r>
      <w:r>
        <w:rPr>
          <w:rtl w:val="true"/>
        </w:rPr>
        <w:t>]</w:t>
      </w:r>
      <w:bookmarkEnd w:id="91"/>
    </w:p>
    <w:p>
      <w:pPr>
        <w:pStyle w:val="Heading5"/>
        <w:numPr>
          <w:ilvl w:val="4"/>
          <w:numId w:val="1"/>
        </w:numPr>
        <w:rPr/>
      </w:pPr>
      <w:bookmarkStart w:id="92" w:name="__RefHeading___Toc3878001_3804643083"/>
      <w:bookmarkStart w:id="93" w:name="_Toc36"/>
      <w:bookmarkEnd w:id="92"/>
      <w:r>
        <w:rPr>
          <w:rtl w:val="true"/>
        </w:rPr>
        <w:t>اشارة</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Style w:val="FootnoteAnchor"/>
          <w:rtl w:val="true"/>
        </w:rPr>
        <w:footnoteReference w:id="74"/>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القبول، قام وارثه مقامه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سواء كان موته قبل موت الموصي أم بعده على المشهور بين القدماء و المتأخّرين،</w:t>
      </w:r>
    </w:p>
    <w:p>
      <w:pPr>
        <w:pStyle w:val="Heading5"/>
        <w:numPr>
          <w:ilvl w:val="4"/>
          <w:numId w:val="1"/>
        </w:numPr>
        <w:rPr/>
      </w:pPr>
      <w:bookmarkStart w:id="94" w:name="__RefHeading___Toc3878003_3804643083"/>
      <w:bookmarkStart w:id="95" w:name="_Toc37"/>
      <w:bookmarkEnd w:id="94"/>
      <w:r>
        <w:rPr>
          <w:rtl w:val="true"/>
        </w:rPr>
        <w:t>[</w:t>
      </w:r>
      <w:r>
        <w:rPr>
          <w:rtl w:val="true"/>
        </w:rPr>
        <w:t>و مستندهم وجوه</w:t>
      </w:r>
      <w:r>
        <w:rPr>
          <w:rtl w:val="true"/>
        </w:rPr>
        <w:t>]</w:t>
      </w:r>
      <w:bookmarkEnd w:id="95"/>
    </w:p>
    <w:p>
      <w:pPr>
        <w:pStyle w:val="Heading6"/>
        <w:numPr>
          <w:ilvl w:val="5"/>
          <w:numId w:val="1"/>
        </w:numPr>
        <w:rPr/>
      </w:pPr>
      <w:bookmarkStart w:id="96" w:name="__RefHeading___Toc3878005_3804643083"/>
      <w:bookmarkStart w:id="97" w:name="_Toc38"/>
      <w:bookmarkEnd w:id="96"/>
      <w:r>
        <w:rPr>
          <w:rtl w:val="true"/>
        </w:rPr>
        <w:t>:</w:t>
      </w:r>
      <w:r>
        <w:rPr>
          <w:rtl w:val="true"/>
        </w:rPr>
        <w:t>الأوّل</w:t>
      </w:r>
      <w:r>
        <w:rPr>
          <w:rtl w:val="true"/>
        </w:rPr>
        <w:t xml:space="preserve">: </w:t>
      </w:r>
      <w:r>
        <w:rPr>
          <w:rtl w:val="true"/>
        </w:rPr>
        <w:t>أنّ الموصى له، بوجود سبب الملك</w:t>
      </w:r>
      <w:r>
        <w:rPr>
          <w:rtl w:val="true"/>
        </w:rPr>
        <w:t xml:space="preserve">- </w:t>
      </w:r>
      <w:r>
        <w:rPr>
          <w:rtl w:val="true"/>
        </w:rPr>
        <w:t>و هو الإيجاب</w:t>
      </w:r>
      <w:r>
        <w:rPr>
          <w:rtl w:val="true"/>
        </w:rPr>
        <w:t xml:space="preserve">- </w:t>
      </w:r>
      <w:r>
        <w:rPr>
          <w:rtl w:val="true"/>
        </w:rPr>
        <w:t>صار قابلا لأن يتملّك،</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وجوه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77"/>
      </w:r>
      <w:r>
        <w:rPr>
          <w:rFonts w:ascii="Amiri" w:hAnsi="Amiri" w:eastAsia="Amiri" w:cs="Amiri"/>
          <w:color w:val="111111"/>
          <w:sz w:val="28"/>
          <w:sz w:val="28"/>
          <w:szCs w:val="28"/>
          <w:rtl w:val="true"/>
          <w:lang w:bidi="ar-SA"/>
        </w:rPr>
        <w:t>الموصى له، بوجود 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قابلا لأن يتملّك،</w:t>
      </w:r>
    </w:p>
    <w:p>
      <w:pPr>
        <w:pStyle w:val="BookText"/>
        <w:rPr/>
      </w:pPr>
      <w:r>
        <w:rPr>
          <w:rFonts w:ascii="Amiri" w:hAnsi="Amiri" w:eastAsia="Amiri" w:cs="Amiri"/>
          <w:color w:val="111111"/>
          <w:sz w:val="28"/>
          <w:sz w:val="28"/>
          <w:szCs w:val="28"/>
          <w:rtl w:val="true"/>
          <w:lang w:bidi="ar-SA"/>
        </w:rPr>
        <w:t>أي يوصى بالملك، و هذه القابليّة حقّ له فيورّث؛ لعموم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من حقّ فلوارثه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حقّ القبول حقّا؛ إذ ليس كلّ ما للإنسان أن يفعله يعدّ حقّا عرفا،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ممّا يترك حتّى يكون للوارث؛ إذ ربّ حقّ متقوّم بالشخص و لا يتعدّاه إلى غيره، و لعلّ حقّ القبول من هذا القبيل، بل الظاهر ذلك؛ بناء على أنّ الإيجاب تمليك الموصى له </w:t>
      </w:r>
      <w:r>
        <w:rPr>
          <w:rStyle w:val="FootnoteAnchor"/>
          <w:rtl w:val="true"/>
        </w:rPr>
        <w:footnoteReference w:id="80"/>
      </w:r>
      <w:r>
        <w:rPr>
          <w:rFonts w:ascii="Amiri" w:hAnsi="Amiri" w:eastAsia="Amiri" w:cs="Amiri"/>
          <w:color w:val="111111"/>
          <w:sz w:val="28"/>
          <w:sz w:val="28"/>
          <w:szCs w:val="28"/>
          <w:rtl w:val="true"/>
          <w:lang w:bidi="ar-SA"/>
        </w:rPr>
        <w:t>و القبول تملّك الوارث، فلا يتطابقان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الوارث إن كان بتمليك الموصى له، فالمفروض عدم تملّكه فكيف يملّك، و إن كان بتمليك الموصي فلم يحصل منه إيجاب يوجب 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ثبوت الحقّ حصول سبب الملك للمورّث، بحيث لا يتوقّف الملك إلّا على شرط يحصل من قبله و هو الرضى به، و به يحصل الفرق بينه و بين القبول في سائر العقود، فإنّه جزء السبب فيها، و هنا شرط التأثير من الإيجاب على تقدير الموت على ما يقتضيه عمومات الوصيّة، التي هي لغة و عرفا مجرّد الإيجاب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صدق الترك كونه حقّا محصّلا للمال، فإنّ الحقوق الماليّة كلّها كنفس الأموال يصدق عليها أنّ الميّت تركها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98" w:name="pg2498_30935"/>
    </w:p>
    <w:p>
      <w:pPr>
        <w:pStyle w:val="BookText"/>
        <w:rPr/>
      </w:pPr>
      <w:bookmarkEnd w:id="98"/>
      <w:r>
        <w:rPr>
          <w:rFonts w:ascii="Amiri" w:hAnsi="Amiri" w:eastAsia="Amiri" w:cs="Amiri"/>
          <w:color w:val="111111"/>
          <w:sz w:val="28"/>
          <w:sz w:val="28"/>
          <w:szCs w:val="28"/>
          <w:rtl w:val="true"/>
          <w:lang w:bidi="ar-SA"/>
        </w:rPr>
        <w:t>و أمّا استظهار تقوّم هذا الحقّ بالمورّث من حيث إنّ الإيجاب تمليك الموصى له فقبول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بتملّك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ذلك الإيجاب،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معنى الإرث قيام الوارث مقام الميّت في كونه محلّا لتملّك الأموال و استحقاق الحقوق، فكأنّه حصل سبب التملّك لنفس الوارث، و أنّ الإنشاء وقع له، فيقع القبول منطبقا على الإيجاب</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878007_3804643083"/>
      <w:bookmarkStart w:id="100" w:name="_Toc39"/>
      <w:bookmarkEnd w:id="99"/>
      <w:r>
        <w:rPr>
          <w:rtl w:val="true"/>
        </w:rPr>
        <w:t>الثاني</w:t>
      </w:r>
      <w:r>
        <w:rPr>
          <w:rtl w:val="true"/>
        </w:rPr>
        <w:t xml:space="preserve">: </w:t>
      </w:r>
      <w:r>
        <w:rPr>
          <w:rtl w:val="true"/>
        </w:rPr>
        <w:t>ما ذكره جمال الدّين في حاشية الروضة</w:t>
      </w:r>
      <w:r>
        <w:rPr>
          <w:rtl w:val="true"/>
        </w:rPr>
        <w:t xml:space="preserve">: </w:t>
      </w:r>
      <w:r>
        <w:rPr>
          <w:rtl w:val="true"/>
        </w:rPr>
        <w:t>من العمومات الدالّة على وجوب إنفاذ الوصيّة، خرج منه ما إذا لم يتعقّبها قبول من الموصى له و لا من الوارث،</w:t>
      </w:r>
      <w:bookmarkEnd w:id="10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جمال الدّين في حاشية الروضة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العمومات الدالّة على وجوب إنفاذ الوصيّة، خرج منه ما إذا لم يتعقّبها قبول من الموصى له و لا من الوارث،</w:t>
      </w:r>
    </w:p>
    <w:p>
      <w:pPr>
        <w:pStyle w:val="BookText"/>
        <w:rPr/>
      </w:pPr>
      <w:r>
        <w:rPr>
          <w:rFonts w:ascii="Amiri" w:hAnsi="Amiri" w:eastAsia="Amiri" w:cs="Amiri"/>
          <w:color w:val="111111"/>
          <w:sz w:val="28"/>
          <w:sz w:val="28"/>
          <w:szCs w:val="28"/>
          <w:rtl w:val="true"/>
          <w:lang w:bidi="ar-SA"/>
        </w:rPr>
        <w:t>و لا دليل على خروج صورة قبول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حسن لو قلنا بالكشف و أنّ الشرط تعقّب الرضى، و أنّ القبول و لو من الوارث يحصل بمضمون الوصيّة، و هو تملّك الموصى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النقل على ما استوجهه المستدلّ، فمع قبول الوارث لا يحصل النقل بالوصيّة التي هي تملّك الموصى له، فتملّك الوارث الوصيّة من الموصي</w:t>
      </w:r>
      <w:bookmarkStart w:id="101" w:name="pg2498_30936"/>
    </w:p>
    <w:p>
      <w:pPr>
        <w:pStyle w:val="BookText"/>
        <w:rPr/>
      </w:pPr>
      <w:bookmarkEnd w:id="101"/>
      <w:r>
        <w:rPr>
          <w:rFonts w:ascii="Amiri" w:hAnsi="Amiri" w:eastAsia="Amiri" w:cs="Amiri"/>
          <w:color w:val="111111"/>
          <w:sz w:val="28"/>
          <w:sz w:val="28"/>
          <w:szCs w:val="28"/>
          <w:rtl w:val="true"/>
          <w:lang w:bidi="ar-SA"/>
        </w:rPr>
        <w:t>يحتاج إلى دليل آخر غير أدلّة إنفاذ الوصيّة المقتضية لتملّك الموصى له أوّلا و بالذّات، فافهم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878009_3804643083"/>
      <w:bookmarkStart w:id="103" w:name="_Toc40"/>
      <w:bookmarkEnd w:id="102"/>
      <w:r>
        <w:rPr>
          <w:rtl w:val="true"/>
        </w:rPr>
        <w:t>الثالث</w:t>
      </w:r>
      <w:r>
        <w:rPr>
          <w:rtl w:val="true"/>
        </w:rPr>
        <w:t xml:space="preserve">: </w:t>
      </w:r>
      <w:r>
        <w:rPr>
          <w:rtl w:val="true"/>
        </w:rPr>
        <w:t>رواية محمّد بن قيس الثقة</w:t>
      </w:r>
      <w:r>
        <w:rPr>
          <w:rtl w:val="true"/>
        </w:rPr>
        <w:t xml:space="preserve">- </w:t>
      </w:r>
      <w:r>
        <w:rPr>
          <w:rtl w:val="true"/>
        </w:rPr>
        <w:t>بقرينة رواية عاصم بن حميد عنه،</w:t>
      </w:r>
      <w:bookmarkEnd w:id="103"/>
    </w:p>
    <w:p>
      <w:pPr>
        <w:pStyle w:val="BookText"/>
        <w:rPr/>
      </w:pPr>
      <w:r>
        <w:rPr>
          <w:rFonts w:ascii="Amiri" w:hAnsi="Amiri" w:eastAsia="Amiri" w:cs="Amiri"/>
          <w:color w:val="111111"/>
          <w:sz w:val="28"/>
          <w:sz w:val="28"/>
          <w:szCs w:val="28"/>
          <w:rtl w:val="true"/>
          <w:lang w:bidi="ar-SA"/>
        </w:rPr>
        <w:t>و روايته لقضايا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صلوات اللّٰه و سلامه عليه في رجل أوصى لآخر و الموصى له غائب، فتوفّي الذي أوصى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أوصى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كان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الموصى له قبل الموصي، فالوصيّة لوارث الّذي أوصى له، إلّا أن يرجع في وصيّته قبل موته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المثنّى،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اوصي له بوصيّة، فمات قبل أن يقبضها و لم يترك عقبا،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 وارثا أو مولى فادفعها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أعرف له وليّا؟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على أن تقدر له على وليّ، فإن لم تقدر له على وليّ و علم اللّٰه منك الجهد فتصدّق بها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بناء على عمومه لصورة الموت قبل القبول، و الأمر بطلب الوارث لأجل كون القبول حقّا للوارث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عمر </w:t>
      </w:r>
      <w:r>
        <w:rPr>
          <w:rStyle w:val="FootnoteAnchor"/>
          <w:rtl w:val="true"/>
        </w:rPr>
        <w:footnoteReference w:id="85"/>
      </w:r>
      <w:r>
        <w:rPr>
          <w:rFonts w:ascii="Amiri" w:hAnsi="Amiri" w:eastAsia="Amiri" w:cs="Amiri"/>
          <w:color w:val="111111"/>
          <w:sz w:val="28"/>
          <w:sz w:val="28"/>
          <w:szCs w:val="28"/>
          <w:rtl w:val="true"/>
          <w:lang w:bidi="ar-SA"/>
        </w:rPr>
        <w:t>الساباطي عن أبي جعفر</w:t>
      </w:r>
      <w:bookmarkStart w:id="104" w:name="pg2498_30937"/>
    </w:p>
    <w:p>
      <w:pPr>
        <w:pStyle w:val="BookText"/>
        <w:rPr/>
      </w:pPr>
      <w:bookmarkEnd w:id="104"/>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أوصى إليّ و أمرني أن اعطي عمّا له في كلّ سنة شيئا، فمات العمّ،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ورثته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يعارض بصحيحة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أوصى لرجل، فمات الموصى له قبل الموصي،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 نحوها صحيحة منصور بن حازم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ترجّحهما على الروايات السابقة من حيث السند؛ بناء على التأمّل في سند الرواية الاولى، و في انجبار ضعفه بالشهرة، و في دلالة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 أيضا ما تقدّم من دلالة العمومات، و كون القبول حقّا مغايرا للقبول في سائر العقود، فيقال ببطلان الوصيّة بموت الموصى له قبل القبول مطلقا</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878011_3804643083"/>
      <w:bookmarkStart w:id="106" w:name="_Toc41"/>
      <w:bookmarkEnd w:id="105"/>
      <w:r>
        <w:rPr>
          <w:rtl w:val="true"/>
        </w:rPr>
        <w:t>[</w:t>
      </w:r>
      <w:r>
        <w:rPr>
          <w:rtl w:val="true"/>
        </w:rPr>
        <w:t>التفصيل بين تعلق غرض الموصي بخصوص الموصى له و عدمه</w:t>
      </w:r>
      <w:r>
        <w:rPr>
          <w:rtl w:val="true"/>
        </w:rPr>
        <w:t>]</w:t>
      </w:r>
      <w:bookmarkEnd w:id="106"/>
    </w:p>
    <w:p>
      <w:pPr>
        <w:pStyle w:val="BookText"/>
        <w:rPr/>
      </w:pPr>
      <w:r>
        <w:rPr>
          <w:rFonts w:ascii="Amiri" w:hAnsi="Amiri" w:eastAsia="Amiri" w:cs="Amiri"/>
          <w:color w:val="111111"/>
          <w:sz w:val="28"/>
          <w:sz w:val="28"/>
          <w:szCs w:val="28"/>
          <w:rtl w:val="true"/>
          <w:lang w:bidi="ar-SA"/>
        </w:rPr>
        <w:t>و ربّما يفصّل بين ما إذا تعلّق غرض الموصي بخصوص الموصى له فيبطل، و بين ما إذا أطلق، فينتقل إلى الوارث بعد قبوله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و إن كانت متعلّقة دائما بخصوص الموصى له بحسب عبارة الوصيّة، إلّا أنّه قد يكون غرضه مباشرة تملّكه له، بحيث يكون عدم الرضى بتملّكه ابتداء مركوزا في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يعلم أنّه لو</w:t>
      </w:r>
      <w:bookmarkStart w:id="107" w:name="pg2498_30938"/>
    </w:p>
    <w:p>
      <w:pPr>
        <w:pStyle w:val="BookText"/>
        <w:rPr/>
      </w:pPr>
      <w:bookmarkEnd w:id="107"/>
      <w:r>
        <w:rPr>
          <w:rFonts w:ascii="Amiri" w:hAnsi="Amiri" w:eastAsia="Amiri" w:cs="Amiri"/>
          <w:color w:val="111111"/>
          <w:sz w:val="28"/>
          <w:sz w:val="28"/>
          <w:szCs w:val="28"/>
          <w:rtl w:val="true"/>
          <w:lang w:bidi="ar-SA"/>
        </w:rPr>
        <w:t>اطلع على موت الموصى له لرجع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بين كون </w:t>
      </w:r>
      <w:r>
        <w:rPr>
          <w:rStyle w:val="FootnoteAnchor"/>
          <w:rtl w:val="true"/>
        </w:rPr>
        <w:footnoteReference w:id="90"/>
      </w:r>
      <w:r>
        <w:rPr>
          <w:rFonts w:ascii="Amiri" w:hAnsi="Amiri" w:eastAsia="Amiri" w:cs="Amiri"/>
          <w:color w:val="111111"/>
          <w:sz w:val="28"/>
          <w:sz w:val="28"/>
          <w:szCs w:val="28"/>
          <w:rtl w:val="true"/>
          <w:lang w:bidi="ar-SA"/>
        </w:rPr>
        <w:t>غرضه دخوله في جملة أملاكه، يعامل معه معاملتها من دون تعلّق الغرض بوجه خاص من المعاملات، فعلى الأوّل يبطل؛ لقصر الوصيّة على جهة خاصة، بخلاف الثاني، فتدبّر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العبرة في صورة موت الموصى له قبل الموصي بورثة الموصى له حين موته مطلقا و إن قلنا بعدم صحّة القبول منهم في حياة الموصي؛ لأنّ الموروث منه تأهّل القبول و هو موجود حينئذ، نظير الشبكة المنصوبة للصيد، فإنّه لا عبرة بزمان وقوع الصيد فيها؟ أو يبنى ذلك على جواز القبول في حياة الموصي؛ إذ مع عدم جواز ذلك يمنع ثبوت حقّ لهم أو تأهّل، و إنّما يحدث هذا الحقّ بعد موت الموصي، نظير الوقف المنقطع الآخر الذي ينتقل بعد انقراض الموقوف عليه إلى ورثة الواقف حين الانقراض؟</w:t>
      </w:r>
    </w:p>
    <w:p>
      <w:pPr>
        <w:pStyle w:val="BookText"/>
        <w:rPr/>
      </w:pPr>
      <w:r>
        <w:rPr>
          <w:rFonts w:ascii="Amiri" w:hAnsi="Amiri" w:eastAsia="Amiri" w:cs="Amiri"/>
          <w:color w:val="111111"/>
          <w:sz w:val="28"/>
          <w:sz w:val="28"/>
          <w:szCs w:val="28"/>
          <w:rtl w:val="true"/>
          <w:lang w:bidi="ar-SA"/>
        </w:rPr>
        <w:t>أو العبرة بورثته حين موت الموصي؛ لأنّهم حينئذ يملكون إن ملّكوا، و دعوى كفاية مجرّد تحقّق سبب ذلك قبل هذا و إن لم يتحقّق شرطه ممنوعة؛ لمنع تأثير الإيجاب المعلّق و إحداثه حقّا في حياة الموصي؟</w:t>
      </w:r>
    </w:p>
    <w:p>
      <w:pPr>
        <w:pStyle w:val="BookText"/>
        <w:rPr/>
      </w:pPr>
      <w:r>
        <w:rPr>
          <w:rFonts w:ascii="Amiri" w:hAnsi="Amiri" w:eastAsia="Amiri" w:cs="Amiri"/>
          <w:color w:val="111111"/>
          <w:sz w:val="28"/>
          <w:sz w:val="28"/>
          <w:szCs w:val="28"/>
          <w:rtl w:val="true"/>
          <w:lang w:bidi="ar-SA"/>
        </w:rPr>
        <w:t>وجوه مترتّبة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هذه الصورة في أنّ الورثة يتلقّون الملك من الموصي، و إنّما يرثون من الموصى له حقّ القبول</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878013_3804643083"/>
      <w:bookmarkStart w:id="109" w:name="_Toc42"/>
      <w:bookmarkEnd w:id="108"/>
      <w:r>
        <w:rPr>
          <w:rtl w:val="true"/>
        </w:rPr>
        <w:t>[</w:t>
      </w:r>
      <w:r>
        <w:rPr>
          <w:rtl w:val="true"/>
        </w:rPr>
        <w:t>الحكم في صورة موت الموصى له بعد الموصي</w:t>
      </w:r>
      <w:r>
        <w:rPr>
          <w:rtl w:val="true"/>
        </w:rPr>
        <w:t>]</w:t>
      </w:r>
      <w:bookmarkEnd w:id="10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مات الموصى له بعد الموصي، فإن قلنا بأنّ القبول ناقل، فلا إشكال في حصول الملك لهم عند القبول لا قبله، و إن قلنا بأنّه كاشف،</w:t>
      </w:r>
    </w:p>
    <w:p>
      <w:pPr>
        <w:pStyle w:val="BookText"/>
        <w:rPr/>
      </w:pPr>
      <w:r>
        <w:rPr>
          <w:rFonts w:ascii="Amiri" w:hAnsi="Amiri" w:eastAsia="Amiri" w:cs="Amiri"/>
          <w:color w:val="111111"/>
          <w:sz w:val="28"/>
          <w:sz w:val="28"/>
          <w:szCs w:val="28"/>
          <w:rtl w:val="true"/>
          <w:lang w:bidi="ar-SA"/>
        </w:rPr>
        <w:t xml:space="preserve">فالّذي صرّح به الأكثر كالشيخ </w:t>
      </w:r>
      <w:r>
        <w:rPr>
          <w:rStyle w:val="FootnoteAnchor"/>
          <w:rtl w:val="true"/>
        </w:rPr>
        <w:footnoteReference w:id="92"/>
      </w:r>
      <w:r>
        <w:rPr>
          <w:rFonts w:ascii="Amiri" w:hAnsi="Amiri" w:eastAsia="Amiri" w:cs="Amiri"/>
          <w:color w:val="111111"/>
          <w:sz w:val="28"/>
          <w:sz w:val="28"/>
          <w:szCs w:val="28"/>
          <w:rtl w:val="true"/>
          <w:lang w:bidi="ar-SA"/>
        </w:rPr>
        <w:t xml:space="preserve">و العلّامة </w:t>
      </w:r>
      <w:r>
        <w:rPr>
          <w:rStyle w:val="FootnoteAnchor"/>
          <w:rtl w:val="true"/>
        </w:rPr>
        <w:footnoteReference w:id="93"/>
      </w:r>
      <w:r>
        <w:rPr>
          <w:rFonts w:ascii="Amiri" w:hAnsi="Amiri" w:eastAsia="Amiri" w:cs="Amiri"/>
          <w:color w:val="111111"/>
          <w:sz w:val="28"/>
          <w:sz w:val="28"/>
          <w:szCs w:val="28"/>
          <w:rtl w:val="true"/>
          <w:lang w:bidi="ar-SA"/>
        </w:rPr>
        <w:t xml:space="preserve">و الشهيدين </w:t>
      </w:r>
      <w:r>
        <w:rPr>
          <w:rStyle w:val="FootnoteAnchor"/>
          <w:rtl w:val="true"/>
        </w:rPr>
        <w:footnoteReference w:id="94"/>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95"/>
      </w:r>
      <w:r>
        <w:rPr>
          <w:rFonts w:ascii="Amiri" w:hAnsi="Amiri" w:eastAsia="Amiri" w:cs="Amiri"/>
          <w:color w:val="111111"/>
          <w:sz w:val="28"/>
          <w:sz w:val="28"/>
          <w:szCs w:val="28"/>
          <w:rtl w:val="true"/>
          <w:lang w:bidi="ar-SA"/>
        </w:rPr>
        <w:t>و غيرهم أنّه يحكم بدخوله في ملك الموصى له المفروض حياته عند موت الموصي، و هو الذي يقتضيه أدلّتهم الثلاثة المذكورة سابقا لهذا القول على اختلافها في الكشف الحقيقيّ و الحكميّ، كما لا يخفى على من راجعها بأدنى تأمّل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في المسالك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الوارث ابتداء </w:t>
      </w:r>
      <w:r>
        <w:rPr>
          <w:rStyle w:val="FootnoteAnchor"/>
          <w:rtl w:val="true"/>
        </w:rPr>
        <w:footnoteReference w:id="96"/>
      </w:r>
      <w:r>
        <w:rPr>
          <w:rFonts w:ascii="Amiri" w:hAnsi="Amiri" w:eastAsia="Amiri" w:cs="Amiri"/>
          <w:color w:val="111111"/>
          <w:sz w:val="28"/>
          <w:sz w:val="28"/>
          <w:szCs w:val="28"/>
          <w:rtl w:val="true"/>
          <w:lang w:bidi="ar-SA"/>
        </w:rPr>
        <w:t>، و حكاه جمال الدّين قدّس سرّه في حاشية الروضة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القيل، ثم ضعّفه </w:t>
      </w:r>
      <w:r>
        <w:rPr>
          <w:rStyle w:val="FootnoteAnchor"/>
          <w:rtl w:val="true"/>
        </w:rPr>
        <w:footnoteReference w:id="97"/>
      </w:r>
      <w:r>
        <w:rPr>
          <w:rFonts w:ascii="Amiri" w:hAnsi="Amiri" w:eastAsia="Amiri" w:cs="Amiri"/>
          <w:color w:val="111111"/>
          <w:sz w:val="28"/>
          <w:sz w:val="28"/>
          <w:szCs w:val="28"/>
          <w:rtl w:val="true"/>
          <w:lang w:bidi="ar-SA"/>
        </w:rPr>
        <w:t xml:space="preserve">، و استقربه سيّد مشايخنا في المناهل </w:t>
      </w:r>
      <w:r>
        <w:rPr>
          <w:rStyle w:val="FootnoteAnchor"/>
          <w:rtl w:val="true"/>
        </w:rPr>
        <w:footnoteReference w:id="98"/>
      </w:r>
      <w:r>
        <w:rPr>
          <w:rFonts w:ascii="Amiri" w:hAnsi="Amiri" w:eastAsia="Amiri" w:cs="Amiri"/>
          <w:color w:val="111111"/>
          <w:sz w:val="28"/>
          <w:sz w:val="28"/>
          <w:szCs w:val="28"/>
          <w:rtl w:val="true"/>
          <w:lang w:bidi="ar-SA"/>
        </w:rPr>
        <w:t xml:space="preserve">، و جزم به في الجواهر، بل أنكر قدّس سرّه دخوله في ملك الورثة بعد موت الموصى له قبل قبولهم </w:t>
      </w:r>
      <w:r>
        <w:rPr>
          <w:rStyle w:val="FootnoteAnchor"/>
          <w:rtl w:val="true"/>
        </w:rPr>
        <w:footnoteReference w:id="99"/>
      </w:r>
      <w:r>
        <w:rPr>
          <w:rFonts w:ascii="Amiri" w:hAnsi="Amiri" w:eastAsia="Amiri" w:cs="Amiri"/>
          <w:color w:val="111111"/>
          <w:sz w:val="28"/>
          <w:sz w:val="28"/>
          <w:szCs w:val="28"/>
          <w:rtl w:val="true"/>
          <w:lang w:bidi="ar-SA"/>
        </w:rPr>
        <w:t>، و لا أعلم لهذا القول وجها يعتدّ به، فتدبّر</w:t>
      </w:r>
      <w:r>
        <w:rPr>
          <w:rFonts w:eastAsia="Amiri" w:cs="Amiri" w:ascii="Amiri" w:hAnsi="Amiri"/>
          <w:color w:val="111111"/>
          <w:sz w:val="28"/>
          <w:szCs w:val="28"/>
          <w:rtl w:val="true"/>
          <w:lang w:bidi="ar-SA"/>
        </w:rPr>
        <w:t>.</w:t>
      </w:r>
      <w:bookmarkStart w:id="110" w:name="pg2498_30940"/>
    </w:p>
    <w:p>
      <w:pPr>
        <w:pStyle w:val="Heading3"/>
        <w:numPr>
          <w:ilvl w:val="2"/>
          <w:numId w:val="1"/>
        </w:numPr>
        <w:rPr/>
      </w:pPr>
      <w:bookmarkStart w:id="111" w:name="__RefHeading___Toc3878015_3804643083"/>
      <w:bookmarkStart w:id="112" w:name="_Toc43"/>
      <w:bookmarkEnd w:id="110"/>
      <w:bookmarkEnd w:id="111"/>
      <w:r>
        <w:rPr>
          <w:rtl w:val="true"/>
        </w:rPr>
        <w:t>[</w:t>
      </w:r>
      <w:r>
        <w:rPr>
          <w:rtl w:val="true"/>
        </w:rPr>
        <w:t>تفريع على القول بالنقل و الكشف</w:t>
      </w:r>
      <w:r>
        <w:rPr>
          <w:rtl w:val="true"/>
        </w:rPr>
        <w:t>]</w:t>
      </w:r>
      <w:bookmarkEnd w:id="112"/>
    </w:p>
    <w:p>
      <w:pPr>
        <w:pStyle w:val="Heading4"/>
        <w:numPr>
          <w:ilvl w:val="3"/>
          <w:numId w:val="1"/>
        </w:numPr>
        <w:rPr/>
      </w:pPr>
      <w:bookmarkStart w:id="113" w:name="__RefHeading___Toc3878017_3804643083"/>
      <w:bookmarkStart w:id="114" w:name="_Toc44"/>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فرع</w:t>
      </w:r>
    </w:p>
    <w:p>
      <w:pPr>
        <w:pStyle w:val="Heading4"/>
        <w:numPr>
          <w:ilvl w:val="3"/>
          <w:numId w:val="1"/>
        </w:numPr>
        <w:rPr/>
      </w:pPr>
      <w:bookmarkStart w:id="115" w:name="__RefHeading___Toc3878019_3804643083"/>
      <w:bookmarkStart w:id="116" w:name="_Toc45"/>
      <w:bookmarkEnd w:id="115"/>
      <w:r>
        <w:rPr>
          <w:rtl w:val="true"/>
        </w:rPr>
        <w:t>[</w:t>
      </w:r>
      <w:r>
        <w:rPr>
          <w:rtl w:val="true"/>
        </w:rPr>
        <w:t>انتقال المال إلى الوارث الموصى له من حين القبول على النقل</w:t>
      </w:r>
      <w:r>
        <w:rPr>
          <w:rtl w:val="true"/>
        </w:rPr>
        <w:t>]</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قدّس سرّه فرّع على ما اختاره في أصل مسألة القبول من كونه ناقلا لا كاشفا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بجارية و حملها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حامل منه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بعد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القبول، كان القبول للوارث، فإذا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المال إليه من حينه على مذهب المصنّف،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الوارث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ممّن يصحّ له تملّكه، و لا ينعتق على الموصى له؛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يملكه حال حياته لعدم قبوله،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وارثه القائم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أباه؛ لأنّه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موت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ممّن ينعتق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محارمه،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يقسّموا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 لعتقه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التركة، عدا حقّ القبول الذي لا يجوز</w:t>
      </w:r>
    </w:p>
    <w:p>
      <w:pPr>
        <w:pStyle w:val="BookText"/>
        <w:rPr/>
      </w:pPr>
      <w:r>
        <w:rPr>
          <w:rFonts w:ascii="Amiri" w:hAnsi="Amiri" w:eastAsia="Amiri" w:cs="Amiri"/>
          <w:color w:val="111111"/>
          <w:sz w:val="28"/>
          <w:sz w:val="28"/>
          <w:szCs w:val="28"/>
          <w:rtl w:val="true"/>
          <w:lang w:bidi="ar-SA"/>
        </w:rPr>
        <w:t>اشتراكه معهم فيه، و لذا لا يرث من امّه شيئا، فتنعتق عليه، فإنّه لو ورث منها لم يكن إلّا من جهة إرث حقّ القبول، و إلّا فليست هي من تركة أبيه؛ لأنّ أدلّة الإرث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فلوارثه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إنّما يختص بالحقوق الّتي يكون الوارث وارثا لا من جهة استحقاقها؛ إذ يستحيل تأخّر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العنوان الموجب لاستحقاق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استحقاقه، فإذا فرض دخوله في الأحرار الوارثين بسبب حقّ القبول امتنع إرثه لشي‌ء من هذا الحقّ، و أمّا اشتراء الرقيق من تركة أبيه ليعتق و يرث، فهو تعبّد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يندفع ما ربّما يتوهّم من أنّه لو ورث من التركة لورث من حقّ القبول، و المفروض أنّه لم يقبل، فلا ينعتق و لا يرث؛ لأنّ المعتبر قبول جميع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يعلّل عدم اعتبار قبوله بأنّ المعتبر هنا قبول من هو وارث من حال موت الموصى له، لا من تجدّد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تجدّد إرثه إذا فرض استحقاقه لجميع تركة الميّت كما هو مقتضى الحكم بمشاركته لغيره إذا ارتفع مانع إرثه قبل القسمة، فلا فرق بينه و بين الوارث حال الموت، و لذا لو فرض للميّت وصيّة اخرى قبلها الورثة حين الموت، صار هذا الولد مشاركا معهم في اعتبار قبوله، أو اختص القبول به إذا كان حاجبا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قبوله و إن فرض عدم تجدّد إرثه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القول بالنقل، و أمّا على الكشف فمقتضى ما عرفت من</w:t>
      </w:r>
    </w:p>
    <w:p>
      <w:pPr>
        <w:pStyle w:val="BookText"/>
        <w:rPr/>
      </w:pPr>
      <w:r>
        <w:rPr>
          <w:rFonts w:ascii="Amiri" w:hAnsi="Amiri" w:eastAsia="Amiri" w:cs="Amiri"/>
          <w:color w:val="111111"/>
          <w:sz w:val="28"/>
          <w:sz w:val="28"/>
          <w:szCs w:val="28"/>
          <w:rtl w:val="true"/>
          <w:lang w:bidi="ar-SA"/>
        </w:rPr>
        <w:t xml:space="preserve">صريح الأكثر، و مقتضى أدلّة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كشف قبول الورثة عن كون الجارية أمّ ولد للموصى له، و انعتاق ولده و إرثه من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حريّته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تركته عدا حقّ القبول و إن كان وارثا حين الموت و لم يتجدّد له عنوان الإرث، لما عرفت من أنّ استحقاق حقّ القبول إذا كان سببا للإرث امتنع أن يكون موروثا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لزوم تبعّض الإرث، بأن يرث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حقوق الميّت، و يرث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يندفع ما ذكره الشيخ في المبسوط في التفريع على الكشف من أنّه ينعتق الولد في المسألة المذكورة، لكن لا يرث شيئا من مال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الوصيّة يتوقّف على قبول جميع الورثة؛ إذ لو أراد بعض الورثة أن يقبل جميع ما اوصي لأبيه، لم يكن له، فلو جعلنا هذا الولد وارثا لم تصحّ الوصيّة به إلّا بقبوله، و القبول منه لا يصحّ قبل حريّته، فكان ذلك يؤدّي إلى إبطال حريّته و حريّة امّه و إبطال الوصيّة، فأسقطنا الإرث حتّى تصحّ الحرّيّة له و لها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جعله وارثا و بين توقّف صحّة الوصيّة على قبوله؛ لأنّه يرث عدا حقّ القبول، فإنّه يرثه غيره و لو كان أبعد؛ لكون الولد كالمعدوم بالنسبة إلى هذا الحقّ، فالمانع العقليّ لا يمنع إلّا إرث حقّ القبول،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عرفت أنّ المانع ليس</w:t>
      </w:r>
    </w:p>
    <w:p>
      <w:pPr>
        <w:pStyle w:val="BookText"/>
        <w:rPr/>
      </w:pPr>
      <w:r>
        <w:rPr>
          <w:rFonts w:ascii="Amiri" w:hAnsi="Amiri" w:eastAsia="Amiri" w:cs="Amiri"/>
          <w:color w:val="111111"/>
          <w:sz w:val="28"/>
          <w:sz w:val="28"/>
          <w:szCs w:val="28"/>
          <w:rtl w:val="true"/>
          <w:lang w:bidi="ar-SA"/>
        </w:rPr>
        <w:t>ما ذكر من المانع العقليّ، و هو لزوم عدم إرثه من إرثه، بل اختصاص أدلّة الإرث بغير الحقّ المحقّق لعنوان الوارثيّة و إن كان هذا أيضا مانعا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w:t>
      </w:r>
      <w:r>
        <w:rPr>
          <w:rStyle w:val="FootnoteAnchor"/>
          <w:rtl w:val="true"/>
        </w:rPr>
        <w:footnoteReference w:id="105"/>
      </w:r>
      <w:r>
        <w:rPr>
          <w:rFonts w:ascii="Amiri" w:hAnsi="Amiri" w:eastAsia="Amiri" w:cs="Amiri"/>
          <w:color w:val="111111"/>
          <w:sz w:val="28"/>
          <w:sz w:val="28"/>
          <w:szCs w:val="28"/>
          <w:rtl w:val="true"/>
          <w:lang w:bidi="ar-SA"/>
        </w:rPr>
        <w:t xml:space="preserve">و غيره </w:t>
      </w:r>
      <w:r>
        <w:rPr>
          <w:rStyle w:val="FootnoteAnchor"/>
          <w:rtl w:val="true"/>
        </w:rPr>
        <w:footnoteReference w:id="106"/>
      </w:r>
      <w:r>
        <w:rPr>
          <w:rFonts w:ascii="Amiri" w:hAnsi="Amiri" w:eastAsia="Amiri" w:cs="Amiri"/>
          <w:color w:val="111111"/>
          <w:sz w:val="28"/>
          <w:sz w:val="28"/>
          <w:szCs w:val="28"/>
          <w:rtl w:val="true"/>
          <w:lang w:bidi="ar-SA"/>
        </w:rPr>
        <w:t>قدّس اللّٰه أسرارهم أجابوا عمّا ذكره الشيخ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قبول من هو وارث لو لا القبول، و لا يستقيم دعوى هذا التقييد إلّا بما ذكرنا، و إلّا فما ذكروه من تنظيره بالإقرار ليس إلّا في مجرّد التقييد بكونه وارثا لو لا الإقرار، و إلّا فالتقييد في الإقرار من باب تقييد الحكم الظاهريّ، و هو ما يقتضيه الظاهر قبل الإقرار من كون المقرّ وارثا، أو مالكا، أو ذا يد، أو بري‌ء الذمّة، أو نحو ذلك؛ لعدم الدليل الاجتهادي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إخبار المقرّ عن وراثة الغير، أو استحقاقه، أو الاشتغال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اعتباره بحكم دليل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البيّنة الحاكمة على تلك الظواهر، فهذا التقييد من أدلّة تلك الظواهر، و ليس تقييد وراثة حقّ القبول لمن هو وارث لو لا القبول من هذا القبيل، بل هو تقييد واقعيّ، فلا بدّ له من إثبات أنّ مستند أدلّة وراثة الوارث مختصّة بغير هذا الحقّ، و لا طريق إلى إثباته إلّا ما ذكرنا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أن يكون نظر الشّيخ قدّس سرّه إلى أنّ هذا الحقّ و باقي التركة متساوية بالنسبة إلى الدخول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فلوارثه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فلا وجه لإثبات موضوع الوراثة لمن لا يرث حال القبول، فيجعل وارثا،</w:t>
      </w:r>
      <w:bookmarkStart w:id="117" w:name="pg2498_30944"/>
    </w:p>
    <w:p>
      <w:pPr>
        <w:pStyle w:val="BookText"/>
        <w:rPr/>
      </w:pPr>
      <w:bookmarkEnd w:id="117"/>
      <w:r>
        <w:rPr>
          <w:rFonts w:ascii="Amiri" w:hAnsi="Amiri" w:eastAsia="Amiri" w:cs="Amiri"/>
          <w:color w:val="111111"/>
          <w:sz w:val="28"/>
          <w:sz w:val="28"/>
          <w:szCs w:val="28"/>
          <w:rtl w:val="true"/>
          <w:lang w:bidi="ar-SA"/>
        </w:rPr>
        <w:t>فيثبت له المال بهذا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لبعض أفراد العامّ لا يثبت فرديّة شي‌ء لذلك العامّ ليثبت له حكمه، فلا معنى للتفكيك بين هذا الحقّ و غيره في مقام الحكم باستحقاق من هو وارث حين القبول، فمن يرث هذا الحقّ يرث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لا نجد استحالة عقليّة بأن يكون الوارث حين القبول يستحقّ شيئا يخرج به عن وراثة ما عدا هذا الحقّ، و المسألة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بعدم إرث الولد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بحرّية أمّه التي صارت بالقبول الكاشف أمّ ولد </w:t>
      </w:r>
      <w:r>
        <w:rPr>
          <w:rStyle w:val="FootnoteAnchor"/>
          <w:rtl w:val="true"/>
        </w:rPr>
        <w:footnoteReference w:id="110"/>
      </w:r>
      <w:r>
        <w:rPr>
          <w:rFonts w:ascii="Amiri" w:hAnsi="Amiri" w:eastAsia="Amiri" w:cs="Amiri"/>
          <w:color w:val="111111"/>
          <w:sz w:val="28"/>
          <w:sz w:val="28"/>
          <w:szCs w:val="28"/>
          <w:rtl w:val="true"/>
          <w:lang w:bidi="ar-SA"/>
        </w:rPr>
        <w:t xml:space="preserve">، و يشكل بأنّ الولد إذا لم يرث شيئا فمن أين تنعتق امّه بعد موت أبيه، و للشارح في المسالك </w:t>
      </w:r>
      <w:r>
        <w:rPr>
          <w:rStyle w:val="FootnoteAnchor"/>
          <w:rtl w:val="true"/>
        </w:rPr>
        <w:footnoteReference w:id="111"/>
      </w:r>
      <w:r>
        <w:rPr>
          <w:rFonts w:ascii="Amiri" w:hAnsi="Amiri" w:eastAsia="Amiri" w:cs="Amiri"/>
          <w:color w:val="111111"/>
          <w:sz w:val="28"/>
          <w:sz w:val="28"/>
          <w:szCs w:val="28"/>
          <w:rtl w:val="true"/>
          <w:lang w:bidi="ar-SA"/>
        </w:rPr>
        <w:t>في تحرير مسألة إرث هذا الولد كلام لا يخلو عن تأمّل</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878021_3804643083"/>
      <w:bookmarkStart w:id="119" w:name="_Toc46"/>
      <w:bookmarkEnd w:id="118"/>
      <w:r>
        <w:rPr>
          <w:rtl w:val="true"/>
        </w:rPr>
        <w:t>[</w:t>
      </w:r>
      <w:r>
        <w:rPr>
          <w:rtl w:val="true"/>
        </w:rPr>
        <w:t>حرمة الوصية بالمعصية و بطلانها</w:t>
      </w:r>
      <w:r>
        <w:rPr>
          <w:rtl w:val="true"/>
        </w:rPr>
        <w:t>]</w:t>
      </w:r>
      <w:bookmarkEnd w:id="119"/>
    </w:p>
    <w:p>
      <w:pPr>
        <w:pStyle w:val="BookText"/>
        <w:rPr/>
      </w:pPr>
      <w:r>
        <w:rPr>
          <w:rFonts w:ascii="Amiri" w:hAnsi="Amiri" w:eastAsia="Amiri" w:cs="Amiri"/>
          <w:color w:val="111111"/>
          <w:sz w:val="28"/>
          <w:sz w:val="28"/>
          <w:szCs w:val="28"/>
          <w:rtl w:val="true"/>
          <w:lang w:bidi="ar-SA"/>
        </w:rPr>
        <w:t xml:space="preserve">و لا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مسلما كان أو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شرع الإسلام؛ لأنّ أدلّة وجوب إنفاذ الوصيّة و حرمة تبديلها لا تزاحم أدلّة المعاصي، نظير أدلّة وجوب الإيفاء بالوعد و العهد و مرجوحيّة خلفهما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الأمر في بعض الموارد، من حيث احتمال كون الوصيّة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المعصية، كما إذا أوصى إلى أحد بمباشرة غسله أو الصلاة</w:t>
      </w:r>
    </w:p>
    <w:p>
      <w:pPr>
        <w:pStyle w:val="BookText"/>
        <w:rPr/>
      </w:pPr>
      <w:r>
        <w:rPr>
          <w:rFonts w:ascii="Amiri" w:hAnsi="Amiri" w:eastAsia="Amiri" w:cs="Amiri"/>
          <w:color w:val="111111"/>
          <w:sz w:val="28"/>
          <w:sz w:val="28"/>
          <w:szCs w:val="28"/>
          <w:rtl w:val="true"/>
          <w:lang w:bidi="ar-SA"/>
        </w:rPr>
        <w:t xml:space="preserve">عليه، فمنعه الوليّ، فإنّه يحتمل أن يكون أدلّة عدم مشروعيّة الغسل و الصلاة بدون إذن الوليّ مقيّدة بصورة عدم وصيّة الميّت؛ لأنّ ولاية الولي شرّعت لكونه أشدّ اهتماما بمصالح الميّت من غيره، فلا ينتفي لأجله ما أمر به الميّت، و لذا ذهب بعض </w:t>
      </w:r>
      <w:r>
        <w:rPr>
          <w:rStyle w:val="FootnoteAnchor"/>
          <w:rtl w:val="true"/>
        </w:rPr>
        <w:footnoteReference w:id="113"/>
      </w:r>
      <w:r>
        <w:rPr>
          <w:rFonts w:ascii="Amiri" w:hAnsi="Amiri" w:eastAsia="Amiri" w:cs="Amiri"/>
          <w:color w:val="111111"/>
          <w:sz w:val="28"/>
          <w:sz w:val="28"/>
          <w:szCs w:val="28"/>
          <w:rtl w:val="true"/>
          <w:lang w:bidi="ar-SA"/>
        </w:rPr>
        <w:t xml:space="preserve">إلى سقوط إذن الولي هنا، إلّا أنّ المحكيّ عن الأكثر خلافه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صحّة الوصيّة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كونها معصية و لو بعد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الأدلّة كون الصحّة تابعة لحرمة التبديل،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أمرني أن أضعه في يهودي لوضعته، إنّ اللّٰه عزّ و جلّ يقول 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عموم وجوب فعل كلّ ما أوصى، مستدلّا عليه بالآية، حيث </w:t>
      </w:r>
      <w:r>
        <w:rPr>
          <w:rStyle w:val="FootnoteAnchor"/>
          <w:rtl w:val="true"/>
        </w:rPr>
        <w:footnoteReference w:id="116"/>
      </w:r>
      <w:r>
        <w:rPr>
          <w:rFonts w:ascii="Amiri" w:hAnsi="Amiri" w:eastAsia="Amiri" w:cs="Amiri"/>
          <w:color w:val="111111"/>
          <w:sz w:val="28"/>
          <w:sz w:val="28"/>
          <w:szCs w:val="28"/>
          <w:rtl w:val="true"/>
          <w:lang w:bidi="ar-SA"/>
        </w:rPr>
        <w:t>إنّ الدليل لا بدّ أن يكون مساويا للمطلب أو شاملا له و لغيره، و حينئذ فتخرج الوصيّة بالمعصية، و تدلّ على أنّ الصحّة لا تجامع جواز التبديل، بل وجوبه الثابت؛ لفرض بقاء العصيان بعد الوصيّة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للكنائس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bookmarkStart w:id="120" w:name="pg2498_30946"/>
    </w:p>
    <w:p>
      <w:pPr>
        <w:pStyle w:val="BookText"/>
        <w:rPr/>
      </w:pPr>
      <w:bookmarkEnd w:id="120"/>
      <w:r>
        <w:rPr>
          <w:rFonts w:ascii="Amiri" w:hAnsi="Amiri" w:eastAsia="Amiri" w:cs="Amiri"/>
          <w:color w:val="111111"/>
          <w:sz w:val="28"/>
          <w:sz w:val="28"/>
          <w:szCs w:val="28"/>
          <w:rtl w:val="true"/>
          <w:lang w:bidi="ar-SA"/>
        </w:rPr>
        <w:t xml:space="preserve">هذين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كتابة ما يسمّى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عند اليهود و مسامحة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توراة أو إنجيلا، أو في مساعدة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ظلمه، أو على كونه ظالما كتقوية 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فيردّ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بتغيير الوصيّة و ردّها إلى المعروف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أطلق للموصى إليه أن يغيّر الوصيّة إذا لم تكن بالمعروف و كان فيها حيف، و يردّها إلى المعروف، لقوله تعالى فَمَنْ خٰافَ مِنْ مُوصٍ جَنَفاً أَوْ إِثْماً فَأَصْلَحَ بَيْنَهُمْ فَلٰا إِثْمَ عَلَيْهِ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سوقة،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 فَمَنْ بَدَّلَهُ بَعْدَ مٰا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الآية الّتي بعدها فَمَنْ خٰافَ مِنْ مُوصٍ جَنَفاً 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لا أنّ المراد بالتغيير صرف الوصيّة المذكورة إلى وجوه البرّ، كما عن النهاية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3878023_3804643083"/>
      <w:bookmarkStart w:id="122" w:name="_Toc47"/>
      <w:bookmarkEnd w:id="121"/>
      <w:r>
        <w:rPr>
          <w:rtl w:val="true"/>
        </w:rPr>
        <w:t>[</w:t>
      </w:r>
      <w:r>
        <w:rPr>
          <w:rtl w:val="true"/>
        </w:rPr>
        <w:t>الوصية مطلقا جائزة من طرف الموصي</w:t>
      </w:r>
      <w:r>
        <w:rPr>
          <w:rtl w:val="true"/>
        </w:rPr>
        <w:t>]</w:t>
      </w:r>
      <w:bookmarkEnd w:id="12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التمليكيّة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المختلف في كونها عقدا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من طرف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أحقّ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بل المتواترة في جواز ردّها و تغييرها و الرجوع عنها، و الزيادة فيها و النقيصة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 أو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w:t>
      </w:r>
      <w:r>
        <w:rPr>
          <w:rFonts w:eastAsia="Amiri" w:cs="Amiri" w:ascii="Amiri" w:hAnsi="Amiri"/>
          <w:color w:val="111111"/>
          <w:sz w:val="28"/>
          <w:szCs w:val="28"/>
          <w:rtl w:val="true"/>
          <w:lang w:bidi="ar-SA"/>
        </w:rPr>
        <w:t>.</w:t>
      </w:r>
      <w:bookmarkStart w:id="123" w:name="pg2498_30947"/>
    </w:p>
    <w:p>
      <w:pPr>
        <w:pStyle w:val="Heading4"/>
        <w:numPr>
          <w:ilvl w:val="3"/>
          <w:numId w:val="1"/>
        </w:numPr>
        <w:rPr/>
      </w:pPr>
      <w:bookmarkStart w:id="124" w:name="__RefHeading___Toc3878025_3804643083"/>
      <w:bookmarkStart w:id="125" w:name="_Toc48"/>
      <w:bookmarkEnd w:id="123"/>
      <w:bookmarkEnd w:id="124"/>
      <w:r>
        <w:rPr>
          <w:rtl w:val="true"/>
        </w:rPr>
        <w:t>[</w:t>
      </w:r>
      <w:r>
        <w:rPr>
          <w:rtl w:val="true"/>
        </w:rPr>
        <w:t>تحقق الرجوع باللفظ أو فعل المنافي</w:t>
      </w:r>
      <w:r>
        <w:rPr>
          <w:rtl w:val="true"/>
        </w:rPr>
        <w:t>]</w:t>
      </w:r>
      <w:bookmarkEnd w:id="125"/>
    </w:p>
    <w:p>
      <w:pPr>
        <w:pStyle w:val="Heading5"/>
        <w:numPr>
          <w:ilvl w:val="4"/>
          <w:numId w:val="1"/>
        </w:numPr>
        <w:rPr/>
      </w:pPr>
      <w:bookmarkStart w:id="126" w:name="__RefHeading___Toc3878027_3804643083"/>
      <w:bookmarkStart w:id="127" w:name="_Toc49"/>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يتحقّق الرجوع بالتصريح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بإنشائه، أو بقول يدلّ عليه و إن لم ينشئه،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Style w:val="FootnoteAnchor"/>
          <w:rtl w:val="true"/>
        </w:rPr>
        <w:footnoteReference w:id="122"/>
      </w:r>
      <w:r>
        <w:rPr>
          <w:rFonts w:ascii="Amiri" w:hAnsi="Amiri" w:eastAsia="Amiri" w:cs="Amiri"/>
          <w:color w:val="111111"/>
          <w:sz w:val="28"/>
          <w:sz w:val="28"/>
          <w:szCs w:val="28"/>
          <w:rtl w:val="true"/>
          <w:lang w:bidi="ar-SA"/>
        </w:rPr>
        <w:t>بفعل ما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فرض جواز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منافاته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أوصى ببيعه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أو وهبه و أقبضه، أو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متعلّق الوصيّة عقلا في الأوّل، و شرعا في ما عداه، حتّى الرهن؛ لأنّ حدوث حقّ المرتهن و تسلّطه على بيعه مبطل لاستحقاق الموصى له إيّاه بمجرّد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البيع أو الرهن فاسدا أو لم يقبض الموهوب أو المرهون، أو رجع عن الوصيّة، أو عرّضه لأحد هذه الأمور، فالمشهور على الظاهر كونه رجوعا، لأنّ إرادته مستلزمة لإرادة عدم الوصيّة الّتي هي ضدّه، فإنّ الشي‌ء لمّا توقّف على عدم ضدّه كانت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تكليفيّة كانت أو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مستلزمة لإرادة مقدّمته، و هي عدم الضدّ، فكأنّه صرّح بإرادة عدم الوصيّة، و ليس الفرق إلّا الإجمال و التفصيل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مرجع ما استدلّ به في التذكرة على ثبوت الرجوع بالإيصاء ببيع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نسبته إلى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وصيّته هذه تنافي الوصيّة الاولى </w:t>
      </w:r>
      <w:r>
        <w:rPr>
          <w:rStyle w:val="FootnoteAnchor"/>
          <w:rtl w:val="true"/>
        </w:rPr>
        <w:footnoteReference w:id="124"/>
      </w:r>
      <w:r>
        <w:rPr>
          <w:rFonts w:ascii="Amiri" w:hAnsi="Amiri" w:eastAsia="Amiri" w:cs="Amiri"/>
          <w:color w:val="111111"/>
          <w:sz w:val="28"/>
          <w:sz w:val="28"/>
          <w:szCs w:val="28"/>
          <w:rtl w:val="true"/>
          <w:lang w:bidi="ar-SA"/>
        </w:rPr>
        <w:t>، و هذا جار في نظائر الوصيّة من مقدّمات الأفعال المبطلة للوصيّة الاولى</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878029_3804643083"/>
      <w:bookmarkStart w:id="129" w:name="_Toc50"/>
      <w:bookmarkEnd w:id="128"/>
      <w:r>
        <w:rPr>
          <w:rtl w:val="true"/>
        </w:rPr>
        <w:t>[</w:t>
      </w:r>
      <w:r>
        <w:rPr>
          <w:rtl w:val="true"/>
        </w:rPr>
        <w:t>ارتكاب فعل المنافي غفلة</w:t>
      </w:r>
      <w:r>
        <w:rPr>
          <w:rtl w:val="true"/>
        </w:rPr>
        <w:t>]</w:t>
      </w:r>
      <w:bookmarkEnd w:id="1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عدم جريان ذلك في صورة الغفلة عن الإيصاء، بحيث يعلم</w:t>
      </w:r>
    </w:p>
    <w:p>
      <w:pPr>
        <w:pStyle w:val="BookText"/>
        <w:rPr/>
      </w:pPr>
      <w:r>
        <w:rPr>
          <w:rFonts w:ascii="Amiri" w:hAnsi="Amiri" w:eastAsia="Amiri" w:cs="Amiri"/>
          <w:color w:val="111111"/>
          <w:sz w:val="28"/>
          <w:sz w:val="28"/>
          <w:szCs w:val="28"/>
          <w:rtl w:val="true"/>
          <w:lang w:bidi="ar-SA"/>
        </w:rPr>
        <w:t>أنّه لو كان ملتفتا لم يقع منه ضد الوصيّة، مدفوعة بأنّ لا ملازمة بين الالتفات إلى الوصيّة، و ترك ذلك الفعل إلّا لفرض كون الغرض الداعي إلى الوصيّة غالبا على الغرض الداعي إلى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غلبة الغرض المغفول عنه لا يوجب عدم حدوث إرادة الفعل و كراهة الوصيّة، فإنّ الإنسان ربّما يريد الفعل غفلة عن مصالح ضدّه، إلّا أن يفرّق بين سبق الإرادة إلى الشّي‌ء ثمّ إرادة ضدّه غفلة عن الإرادة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حدوث إرادة الشّي‌ء غفلة عن مصلحة ضدّه، الّتي لو التفت إليها لأراد الضّد، بأنّ الإرادة السابقة مركوزة في ذهنه في الأوّل و إن أراد ضدّه غفلة، بخلاف الثّاني، إذ لم يحصل إرادة، و لا عبرة بالمصلحة الداعية إليها على تقدير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صرّح بعضهم بأنّه لو نوى الصوم ثمّ اعتقد فساده، فنوى الأكل لم يفسد الصوم و إن قلنا بأنّ نيّة الإفطار مفسدة </w:t>
      </w:r>
      <w:r>
        <w:rPr>
          <w:rStyle w:val="FootnoteAnchor"/>
          <w:rtl w:val="true"/>
        </w:rPr>
        <w:footnoteReference w:id="125"/>
      </w:r>
      <w:r>
        <w:rPr>
          <w:rFonts w:ascii="Amiri" w:hAnsi="Amiri" w:eastAsia="Amiri" w:cs="Amiri"/>
          <w:color w:val="111111"/>
          <w:sz w:val="28"/>
          <w:sz w:val="28"/>
          <w:szCs w:val="28"/>
          <w:rtl w:val="true"/>
          <w:lang w:bidi="ar-SA"/>
        </w:rPr>
        <w:t>، و كذا لو نوى قطع الصلاة لاعتقاد فسادها، فإنّ ذلك لا ينافي استمرار النيّة في الصوم و الصلاة، 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في صورة الغفلة عن الوصيّة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في التذكرة على كون الهبة قبل القبض رجوعا بظهور قصد صرف الوصيّة عن الموصى له، و على كون العرض على البيع و نحوه رجوعا بأنّه يدلّ على اختياره للرجوع بعرضه على البيع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هذا الاستدلال إلى أنّ ظاهر حال الموصي عدم الغفلة عن</w:t>
      </w:r>
      <w:bookmarkStart w:id="130" w:name="pg2498_30949"/>
    </w:p>
    <w:p>
      <w:pPr>
        <w:pStyle w:val="BookText"/>
        <w:rPr/>
      </w:pPr>
      <w:bookmarkEnd w:id="130"/>
      <w:r>
        <w:rPr>
          <w:rFonts w:ascii="Amiri" w:hAnsi="Amiri" w:eastAsia="Amiri" w:cs="Amiri"/>
          <w:color w:val="111111"/>
          <w:sz w:val="28"/>
          <w:sz w:val="28"/>
          <w:szCs w:val="28"/>
          <w:rtl w:val="true"/>
          <w:lang w:bidi="ar-SA"/>
        </w:rPr>
        <w:t>الوصيّة، فالتعريض لما ينافيها قصد للرجوع عنها، فلو علم غفلة الموصي فلا يحكم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عن الوصيّة فأنكرها، كان رجوعا على إشكال،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عقد، فلا يبطل بجحده كما في غيره من العقود، و من دلالته على أنّه لا يريد إيصاله إلى الموصى له،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رجوعا كما لو أنكر الوكالة </w:t>
      </w:r>
      <w:r>
        <w:rPr>
          <w:rStyle w:val="FootnoteAnchor"/>
          <w:rtl w:val="true"/>
        </w:rPr>
        <w:footnoteReference w:id="1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5"/>
        <w:numPr>
          <w:ilvl w:val="4"/>
          <w:numId w:val="1"/>
        </w:numPr>
        <w:rPr/>
      </w:pPr>
      <w:bookmarkStart w:id="131" w:name="__RefHeading___Toc3878031_3804643083"/>
      <w:bookmarkStart w:id="132" w:name="_Toc51"/>
      <w:bookmarkEnd w:id="131"/>
      <w:r>
        <w:rPr>
          <w:rtl w:val="true"/>
        </w:rPr>
        <w:t>[</w:t>
      </w:r>
      <w:r>
        <w:rPr>
          <w:rtl w:val="true"/>
        </w:rPr>
        <w:t>إخراج الموصى به عن مسماه رجوع</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الرجوع في الموصى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أخرجه عن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تعلّق الوصيّة عليه؛ لأنّ ظاهر الوصيّة تنجّز الموصى به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بطعام فطحنه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بدقيق فعجنه أو خبزه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التمليك في غير الوصيّة من العقود لا يدور مدار العنوان الموجود عند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التمليك فيها معلّق على الموت، فلا بدّ من تحقّق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تنجّزه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أوصى بزيت، فخلطه بما هو أجود منه، أو بطعام فمزجه بغيره حتى لا يتميز</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أوصى بخبز فدقّه فتيتا، لم يكن رجوعا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33" w:name="pg2498_309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3878033_3804643083"/>
      <w:bookmarkStart w:id="135" w:name="_Toc52"/>
      <w:bookmarkEnd w:id="133"/>
      <w:bookmarkEnd w:id="134"/>
      <w:r>
        <w:rPr>
          <w:rtl w:val="true"/>
        </w:rPr>
        <w:t>الفصل الثّاني في الموصي</w:t>
      </w:r>
      <w:bookmarkEnd w:id="135"/>
    </w:p>
    <w:p>
      <w:pPr>
        <w:pStyle w:val="BookText"/>
        <w:rPr/>
      </w:pPr>
      <w:r>
        <w:rPr>
          <w:rFonts w:ascii="Amiri" w:hAnsi="Amiri" w:eastAsia="Amiri" w:cs="Amiri"/>
          <w:color w:val="111111"/>
          <w:sz w:val="28"/>
          <w:sz w:val="28"/>
          <w:szCs w:val="28"/>
          <w:rtl w:val="true"/>
          <w:lang w:bidi="ar-SA"/>
        </w:rPr>
        <w:t xml:space="preserve">الفصل الثاني </w:t>
      </w:r>
      <w:r>
        <w:rPr>
          <w:rStyle w:val="FootnoteAnchor"/>
          <w:rtl w:val="true"/>
        </w:rPr>
        <w:footnoteReference w:id="130"/>
      </w:r>
      <w:r>
        <w:rPr>
          <w:rFonts w:ascii="Amiri" w:hAnsi="Amiri" w:eastAsia="Amiri" w:cs="Amiri"/>
          <w:color w:val="111111"/>
          <w:sz w:val="28"/>
          <w:sz w:val="28"/>
          <w:szCs w:val="28"/>
          <w:rtl w:val="true"/>
          <w:lang w:bidi="ar-SA"/>
        </w:rPr>
        <w:t>في الموصي و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المجنون، و لا الصبي ما لم يبلغ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بلغها فوصيته جائزة في وجوه المعروف، لأقاربه و غيرهم على الأشهر، إذا كان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 إن بلغ ثمان و الرواية به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جرح الموصي نفسه، بما فيه هلاكها، ثم أوصى، لم تقبل 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أوصى ثم قتل نفسه قبلت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تصح الوصيّة بالولاية على الأطفال، إلّا من الأب، أو الجد للأب</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ولاية للأمّ، و لا تصح منها الوصية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أوصت لهم بمال، و نصبت وصيا، صح تصرفه في ثلث تركتها، و في إخراج ما عليها من الحقوق، و لم تمض على الأولاد</w:t>
      </w:r>
      <w:r>
        <w:rPr>
          <w:rFonts w:eastAsia="Amiri" w:cs="Amiri" w:ascii="Amiri" w:hAnsi="Amiri"/>
          <w:color w:val="111111"/>
          <w:sz w:val="28"/>
          <w:szCs w:val="28"/>
          <w:rtl w:val="true"/>
          <w:lang w:bidi="ar-SA"/>
        </w:rPr>
        <w:t>).</w:t>
      </w:r>
      <w:bookmarkStart w:id="136" w:name="pg2498_30954"/>
    </w:p>
    <w:p>
      <w:pPr>
        <w:pStyle w:val="Heading2"/>
        <w:numPr>
          <w:ilvl w:val="1"/>
          <w:numId w:val="1"/>
        </w:numPr>
        <w:rPr/>
      </w:pPr>
      <w:bookmarkStart w:id="137" w:name="__RefHeading___Toc3878035_3804643083"/>
      <w:bookmarkStart w:id="138" w:name="_Toc53"/>
      <w:bookmarkEnd w:id="136"/>
      <w:bookmarkEnd w:id="137"/>
      <w:r>
        <w:rPr>
          <w:rtl w:val="true"/>
        </w:rPr>
        <w:t>الفصل الثّالث في الموصى به</w:t>
      </w:r>
      <w:bookmarkEnd w:id="13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878037_3804643083"/>
      <w:bookmarkStart w:id="140" w:name="_Toc54"/>
      <w:bookmarkEnd w:id="139"/>
      <w:r>
        <w:rPr>
          <w:rtl w:val="true"/>
        </w:rPr>
        <w:t>اشارة</w:t>
      </w:r>
      <w:bookmarkStart w:id="141" w:name="pg2498_30956"/>
      <w:bookmarkEnd w:id="140"/>
    </w:p>
    <w:p>
      <w:pPr>
        <w:pStyle w:val="Heading3"/>
        <w:numPr>
          <w:ilvl w:val="2"/>
          <w:numId w:val="1"/>
        </w:numPr>
        <w:rPr/>
      </w:pPr>
      <w:bookmarkStart w:id="142" w:name="__RefHeading___Toc3878039_3804643083"/>
      <w:bookmarkStart w:id="143" w:name="_Toc55"/>
      <w:bookmarkEnd w:id="141"/>
      <w:bookmarkEnd w:id="142"/>
      <w:r>
        <w:rPr>
          <w:rtl w:val="true"/>
        </w:rPr>
        <w:t>[</w:t>
      </w:r>
      <w:r>
        <w:rPr>
          <w:rtl w:val="true"/>
        </w:rPr>
        <w:t>في متعلق الوصية</w:t>
      </w:r>
      <w:r>
        <w:rPr>
          <w:rtl w:val="true"/>
        </w:rPr>
        <w:t>]</w:t>
      </w:r>
      <w:bookmarkEnd w:id="143"/>
    </w:p>
    <w:p>
      <w:pPr>
        <w:pStyle w:val="Heading4"/>
        <w:numPr>
          <w:ilvl w:val="3"/>
          <w:numId w:val="1"/>
        </w:numPr>
        <w:rPr/>
      </w:pPr>
      <w:bookmarkStart w:id="144" w:name="__RefHeading___Toc3878041_3804643083"/>
      <w:bookmarkStart w:id="145" w:name="_Toc56"/>
      <w:bookmarkEnd w:id="144"/>
      <w:r>
        <w:rPr>
          <w:rtl w:val="true"/>
        </w:rPr>
        <w:t>اشارة</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الموصى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أطراف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عرّفها في أوّل الباب</w:t>
      </w:r>
    </w:p>
    <w:p>
      <w:pPr>
        <w:pStyle w:val="Heading4"/>
        <w:numPr>
          <w:ilvl w:val="3"/>
          <w:numId w:val="1"/>
        </w:numPr>
        <w:rPr/>
      </w:pPr>
      <w:bookmarkStart w:id="146" w:name="__RefHeading___Toc3878043_3804643083"/>
      <w:bookmarkStart w:id="147" w:name="_Toc57"/>
      <w:bookmarkEnd w:id="146"/>
      <w:r>
        <w:rPr>
          <w:rtl w:val="true"/>
        </w:rPr>
        <w:t>[</w:t>
      </w:r>
      <w:r>
        <w:rPr>
          <w:rtl w:val="true"/>
        </w:rPr>
        <w:t>متعلق الوصية إما عين أو منفعة</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إمّا عين و إمّا منفعة، و يعتبر فيهما </w:t>
      </w:r>
      <w:r>
        <w:rPr>
          <w:rStyle w:val="FootnoteAnchor"/>
          <w:rtl w:val="true"/>
        </w:rPr>
        <w:footnoteReference w:id="133"/>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المملوكيّة؛ إذ لا يعقل التمليك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على انحصار الوصيّة في التمليك؛ لأنّ الوصيّة بتخصيص شخص ببعض ما يخصّ الموصي لا مانع منها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878045_3804643083"/>
      <w:bookmarkStart w:id="149" w:name="_Toc58"/>
      <w:bookmarkEnd w:id="148"/>
      <w:r>
        <w:rPr>
          <w:rtl w:val="true"/>
        </w:rPr>
        <w:t>[</w:t>
      </w:r>
      <w:r>
        <w:rPr>
          <w:rtl w:val="true"/>
        </w:rPr>
        <w:t>اعتبار الملك أو الاختصاص في المتعلق</w:t>
      </w:r>
      <w:r>
        <w:rPr>
          <w:rtl w:val="true"/>
        </w:rPr>
        <w:t>]</w:t>
      </w:r>
      <w:bookmarkEnd w:id="1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يراد بالتمليك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التخصيص و الاختصاص و إن انتفى الملك اصطلاحا،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التمليك، و أمّا تخصيصه بما يختصّ به من الخمر المتّخذ للتخليل فجائز، و كذا بالعذرة المتّخذة لتسميد الزرع</w:t>
      </w:r>
      <w:r>
        <w:rPr>
          <w:rFonts w:eastAsia="Amiri" w:cs="Amiri" w:ascii="Amiri" w:hAnsi="Amiri"/>
          <w:color w:val="111111"/>
          <w:sz w:val="28"/>
          <w:szCs w:val="28"/>
          <w:rtl w:val="true"/>
          <w:lang w:bidi="ar-SA"/>
        </w:rPr>
        <w:t>.</w:t>
      </w:r>
      <w:bookmarkStart w:id="150" w:name="pg2498_30957"/>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الخنزير،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كلب الهراش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ينتفع به،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اختصاص للموصي بها حتّى يخصّصها بالموصى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بل مباح له الانتفاع بها في المنافع الغير المعتدّ بها ما دامت في يده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878047_3804643083"/>
      <w:bookmarkStart w:id="152" w:name="_Toc59"/>
      <w:bookmarkEnd w:id="151"/>
      <w:r>
        <w:rPr>
          <w:rtl w:val="true"/>
        </w:rPr>
        <w:t>[</w:t>
      </w:r>
      <w:r>
        <w:rPr>
          <w:rtl w:val="true"/>
        </w:rPr>
        <w:t>اشتراط كون متعلق الوصية بمقدار الثلث</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و المنفعة المملوكتين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منهما بقدر الثلث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 النص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كان من قبيل الخمر المتخذ للتخليل، و الكلب المنتفع به مع عدم كونه مقوّما، فأقوى الوجوه فيها فرضه مقوّما و ملاحظته مع باقي المال، كما اختاره في الإيضاح </w:t>
      </w:r>
      <w:r>
        <w:rPr>
          <w:rStyle w:val="FootnoteAnchor"/>
          <w:rtl w:val="true"/>
        </w:rPr>
        <w:footnoteReference w:id="139"/>
      </w:r>
      <w:r>
        <w:rPr>
          <w:rFonts w:ascii="Amiri" w:hAnsi="Amiri" w:eastAsia="Amiri" w:cs="Amiri"/>
          <w:color w:val="111111"/>
          <w:sz w:val="28"/>
          <w:sz w:val="28"/>
          <w:szCs w:val="28"/>
          <w:rtl w:val="true"/>
          <w:lang w:bidi="ar-SA"/>
        </w:rPr>
        <w:t>، و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للموصى له و إن كثر و قلّ المال؛ لأنّ قليل المال خير منه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أرادا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ثلث الموصى به؛ لأنّه لمّا لم يمكن مقايسته إلى المال، فلا بدّ من ملاحظة الثلث بالنسبة إلى نفسه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878049_3804643083"/>
      <w:bookmarkStart w:id="154" w:name="_Toc60"/>
      <w:bookmarkEnd w:id="153"/>
      <w:r>
        <w:rPr>
          <w:rtl w:val="true"/>
        </w:rPr>
        <w:t>[</w:t>
      </w:r>
      <w:r>
        <w:rPr>
          <w:rtl w:val="true"/>
        </w:rPr>
        <w:t>بطلان الوصية فيما زاد عن الثلث</w:t>
      </w:r>
      <w:r>
        <w:rPr>
          <w:rtl w:val="true"/>
        </w:rPr>
        <w:t>]</w:t>
      </w:r>
      <w:bookmarkEnd w:id="154"/>
    </w:p>
    <w:p>
      <w:pPr>
        <w:pStyle w:val="Heading5"/>
        <w:numPr>
          <w:ilvl w:val="4"/>
          <w:numId w:val="1"/>
        </w:numPr>
        <w:rPr/>
      </w:pPr>
      <w:bookmarkStart w:id="155" w:name="__RefHeading___Toc3878051_3804643083"/>
      <w:bookmarkStart w:id="156" w:name="_Toc61"/>
      <w:bookmarkEnd w:id="155"/>
      <w:r>
        <w:rPr>
          <w:rtl w:val="true"/>
        </w:rPr>
        <w:t>اشارة</w:t>
      </w:r>
      <w:bookmarkEnd w:id="1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أوصى بالمال الزائد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الثلث دفعة أو بالتدريج،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الزائد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ظاهر</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المستفيضة،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تصدّق عليكم بثلث أموالكم في آخر أعماركم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فإنّ ظاهره نفي الزائد، و أنّ الثلث صدقة على الميّت من اللّٰه، و إلّا فالأصل أنّ ما ترك الميّت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في محكيّ الهداية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للميّت من ماله إلّا الثلث، فإذا أوصى بأكثر من الثلث ردّ إلى الثّلث</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للسؤال عمّا للميّت عند موته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فيوصي بماله كلّه في أبواب البرّ و بأكثر من الثلث، هل يجوز ذلك له؟</w:t>
      </w:r>
    </w:p>
    <w:p>
      <w:pPr>
        <w:pStyle w:val="BookText"/>
        <w:rPr/>
      </w:pPr>
      <w:r>
        <w:rPr>
          <w:rFonts w:ascii="Amiri" w:hAnsi="Amiri" w:eastAsia="Amiri" w:cs="Amiri"/>
          <w:color w:val="111111"/>
          <w:sz w:val="28"/>
          <w:sz w:val="28"/>
          <w:szCs w:val="28"/>
          <w:rtl w:val="true"/>
          <w:lang w:bidi="ar-SA"/>
        </w:rPr>
        <w:t>و كيف يصنع الوصيّ؟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وصيّته ما لم تتعدّ الثلث</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عند موته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فلانا و فلانا حتّى ذكر خمسة، فنظرت في ثلثه فلم يبلغ أثمان المماليك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الّذين أمر بعتقهم،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 بدأ بعتقهم فيقوّمون، و ينظر في ثلثه فيعتق منه أوّل شي‌ء ذكر، ثمّ الثّاني، ثمّ الثالث، ثمّ الرابع، ثمّ الخامس، فإن عجز الثلث كان ذلك في الّذي سمّي أخيرا؛ لأنّه أعتق بعد مبلغ الثلث ما لا يملك فلم يجز له ذلك</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57" w:name="pg2498_30959"/>
    </w:p>
    <w:p>
      <w:pPr>
        <w:pStyle w:val="BookText"/>
        <w:rPr/>
      </w:pPr>
      <w:bookmarkEnd w:id="157"/>
      <w:r>
        <w:rPr>
          <w:rFonts w:ascii="Amiri" w:hAnsi="Amiri" w:eastAsia="Amiri" w:cs="Amiri"/>
          <w:color w:val="111111"/>
          <w:sz w:val="28"/>
          <w:sz w:val="28"/>
          <w:szCs w:val="28"/>
          <w:rtl w:val="true"/>
          <w:lang w:bidi="ar-SA"/>
        </w:rPr>
        <w:t>و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البطلان في عبائر جماعة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الوصيّة بالزائد رأسا، إلّا أنّ النص </w:t>
      </w:r>
      <w:r>
        <w:rPr>
          <w:rStyle w:val="FootnoteAnchor"/>
          <w:rtl w:val="true"/>
        </w:rPr>
        <w:footnoteReference w:id="151"/>
      </w:r>
      <w:r>
        <w:rPr>
          <w:rFonts w:ascii="Amiri" w:hAnsi="Amiri" w:eastAsia="Amiri" w:cs="Amiri"/>
          <w:color w:val="111111"/>
          <w:sz w:val="28"/>
          <w:sz w:val="28"/>
          <w:szCs w:val="28"/>
          <w:rtl w:val="true"/>
          <w:lang w:bidi="ar-SA"/>
        </w:rPr>
        <w:t>و الإجماع دلّ على صحّتها مع إجازة الوارث</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3878053_3804643083"/>
      <w:bookmarkStart w:id="159" w:name="_Toc62"/>
      <w:bookmarkEnd w:id="158"/>
      <w:r>
        <w:rPr>
          <w:rtl w:val="true"/>
        </w:rPr>
        <w:t>[</w:t>
      </w:r>
      <w:r>
        <w:rPr>
          <w:rtl w:val="true"/>
        </w:rPr>
        <w:t>قول الصدوق بلزوم الوصية و إن تجاوزت الثلث</w:t>
      </w:r>
      <w:r>
        <w:rPr>
          <w:rtl w:val="true"/>
        </w:rPr>
        <w:t>]</w:t>
      </w:r>
      <w:bookmarkEnd w:id="159"/>
    </w:p>
    <w:p>
      <w:pPr>
        <w:pStyle w:val="BookText"/>
        <w:rPr/>
      </w:pPr>
      <w:r>
        <w:rPr>
          <w:rFonts w:ascii="Amiri" w:hAnsi="Amiri" w:eastAsia="Amiri" w:cs="Amiri"/>
          <w:color w:val="111111"/>
          <w:sz w:val="28"/>
          <w:sz w:val="28"/>
          <w:szCs w:val="28"/>
          <w:rtl w:val="true"/>
          <w:lang w:bidi="ar-SA"/>
        </w:rPr>
        <w:t>نعم، يحكى عن الصدوق ما استظهر منه لزوم الوصيّة في ما زاد على الثلث من غير توقّف على إجازة الورثة،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أوصى بالثلث فهي الغاية في الوصيّة، فإن أوصى بماله كلّه فهو أعلم بما 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الوصي إنفاذ الوصيّة بما أوصى </w:t>
      </w:r>
      <w:r>
        <w:rPr>
          <w:rStyle w:val="FootnoteAnchor"/>
          <w:rtl w:val="true"/>
        </w:rPr>
        <w:footnoteReference w:id="152"/>
      </w:r>
      <w:r>
        <w:rPr>
          <w:rFonts w:ascii="Amiri" w:hAnsi="Amiri" w:eastAsia="Amiri" w:cs="Amiri"/>
          <w:color w:val="111111"/>
          <w:sz w:val="28"/>
          <w:sz w:val="28"/>
          <w:szCs w:val="28"/>
          <w:rtl w:val="true"/>
          <w:lang w:bidi="ar-SA"/>
        </w:rPr>
        <w:t xml:space="preserve">انتهى، و بعينها العبارة المحكية عن الفقه الرضوي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فإن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 ظاهر تفريع الجواز على كونه أحقّ بماله إرادة اللزوم و عدم تسلّط الوارث، لكن القول به شاذّ، بل ربّما أوّل بما يرجع إلى المشهور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كانوا جماعة فأجاز بعضهم، نفذت الإجازة في قدر حصته من الزيادة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إجازة الوارث تعتبر بعد الوفاة، و هل تصح قبل الوفاة؟ فيه روايتان،</w:t>
      </w:r>
      <w:bookmarkStart w:id="160" w:name="pg2498_30960"/>
    </w:p>
    <w:p>
      <w:pPr>
        <w:pStyle w:val="BookText"/>
        <w:rPr/>
      </w:pPr>
      <w:bookmarkEnd w:id="160"/>
      <w:r>
        <w:rPr>
          <w:rFonts w:ascii="Amiri" w:hAnsi="Amiri" w:eastAsia="Amiri" w:cs="Amiri"/>
          <w:color w:val="111111"/>
          <w:sz w:val="28"/>
          <w:sz w:val="28"/>
          <w:szCs w:val="28"/>
          <w:rtl w:val="true"/>
          <w:lang w:bidi="ar-SA"/>
        </w:rPr>
        <w:t>أشهرهما أنّه يلزم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وقعت بعد الوفاة، كان ذلك إجازة لفعل الموصي، و ليس بابتداء هبة، فلا تفتقر صحتها إلى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العمل بما رسمه الموصي إذا لم يكن منافيا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الثلث وقت الوفاة، لا وقت الوصاية، فلو أوصى بشي‌ء و كان موسرا في حال الوصيّة ثم افتقر عند الوفاة، لم يكن بإيساره اعتبار و كذلك لو كان في حال الوصيّة فقيرا، ثم أيسر وقت الوفاة، كان الاعتبار بحال إيساره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ثم قتله قاتل أو جرحه، كانت وصيته ماضية من ثلث تركته و ديته و أرش جراحته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إلى إنسان بالمضاربة بتركته أو بعضها، على أن الربح بينه و بين ورثته نصفان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يشترط كونه قدر الثلث فأقلّ، و الأول مروي</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878055_3804643083"/>
      <w:bookmarkStart w:id="162" w:name="_Toc63"/>
      <w:bookmarkEnd w:id="161"/>
      <w:r>
        <w:rPr>
          <w:rtl w:val="true"/>
        </w:rPr>
        <w:t>[</w:t>
      </w:r>
      <w:r>
        <w:rPr>
          <w:rtl w:val="true"/>
        </w:rPr>
        <w:t>الوصية بالواجب و غيره هل تخرج من الأصل أو الثلث و بيان المراد من الإيصاء بالواجب</w:t>
      </w:r>
      <w:r>
        <w:rPr>
          <w:rtl w:val="true"/>
        </w:rPr>
        <w:t>]</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157"/>
      </w:r>
      <w:r>
        <w:rPr>
          <w:rFonts w:ascii="Amiri" w:hAnsi="Amiri" w:eastAsia="Amiri" w:cs="Amiri"/>
          <w:color w:val="111111"/>
          <w:sz w:val="28"/>
          <w:sz w:val="28"/>
          <w:szCs w:val="28"/>
          <w:rtl w:val="true"/>
          <w:lang w:bidi="ar-SA"/>
        </w:rPr>
        <w:t>أوصى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بما هو واجب الإتيان عن الميّت بعد موته؛ لأنّه الذي يخرج من المال، لا ما وجب عليه فعله حال الحياة، إذ لو أوصى بأداء ذلك الواجب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عنّي، أو أدّوا صلواتي، لم يكن من الأصل و لا من الثلث، بل وجب على الوصيّ فعله بنفسه أو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مالي فهو يخرج من المال، لكن أوصى بغير واجب؛ لأنّ الصلاة عن الميّت بماله غير واجب لو لا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تعميم الواجب الموصى به في عبارات الأصحاب و معاقد إجماعاتهم على تقديمه على غيره للواجب البدني خطأ جدّا، و أنّ المراد من قول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وجب فعله عليه حال حياته؛ لأنّ الموصى به فعله عنه بماله، و هو أمر غير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r>
        <w:rPr>
          <w:rStyle w:val="FootnoteAnchor"/>
          <w:rtl w:val="true"/>
        </w:rPr>
        <w:footnoteReference w:id="158"/>
      </w:r>
      <w:r>
        <w:rPr>
          <w:rFonts w:ascii="Amiri" w:hAnsi="Amiri" w:eastAsia="Amiri" w:cs="Amiri"/>
          <w:color w:val="111111"/>
          <w:sz w:val="28"/>
          <w:sz w:val="28"/>
          <w:szCs w:val="28"/>
          <w:rtl w:val="true"/>
          <w:lang w:bidi="ar-SA"/>
        </w:rPr>
        <w:t>وسع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قيّد الكلّ أو البعض بالثلث أو الأصل أو أطلق، و كذلك إن قصر الثلث و أجاز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قصر و لم يجز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أطلق و لم يقيّد الواجب بخصوصه أو مع غيره بالثلث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بدئ بالواجب من الأصل، و كان الباقي من الثلث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قيّده بخصوصه، أو مع تمام غيره، أو بعضها </w:t>
      </w:r>
      <w:r>
        <w:rPr>
          <w:rStyle w:val="FootnoteAnchor"/>
          <w:rtl w:val="true"/>
        </w:rPr>
        <w:footnoteReference w:id="160"/>
      </w:r>
      <w:r>
        <w:rPr>
          <w:rFonts w:ascii="Amiri" w:hAnsi="Amiri" w:eastAsia="Amiri" w:cs="Amiri"/>
          <w:color w:val="111111"/>
          <w:sz w:val="28"/>
          <w:sz w:val="28"/>
          <w:szCs w:val="28"/>
          <w:rtl w:val="true"/>
          <w:lang w:bidi="ar-SA"/>
        </w:rPr>
        <w:t>بالثلث، فمقتضى القاعدة تقسيط الثلث على ما قيّده به؛ لأنّ الكلّ مشترك في الوصيّة الّتي هي سبب الإخراج من الثلث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وفى حصّة الواجب به، و إلّا أكمل من الأصل كما يخرج كلّه منه لو لم يوص؛ لتعلّقه بأصل التركة قبل الإرث، و هذا أحد الوجهين المذكورين في المبسوط </w:t>
      </w:r>
      <w:r>
        <w:rPr>
          <w:rStyle w:val="FootnoteAnchor"/>
          <w:rtl w:val="true"/>
        </w:rPr>
        <w:footnoteReference w:id="161"/>
      </w:r>
      <w:r>
        <w:rPr>
          <w:rFonts w:ascii="Amiri" w:hAnsi="Amiri" w:eastAsia="Amiri" w:cs="Amiri"/>
          <w:color w:val="111111"/>
          <w:sz w:val="28"/>
          <w:sz w:val="28"/>
          <w:szCs w:val="28"/>
          <w:rtl w:val="true"/>
          <w:lang w:bidi="ar-SA"/>
        </w:rPr>
        <w:t>، فتصير المسألة حينئذ من المسائل الدوريّة؛ لأنّ معرفة الثلث موقوفة على معرفة ما يخرج من الأصل للتكميل، و هي موقوفة على معرفة</w:t>
      </w:r>
      <w:bookmarkStart w:id="163" w:name="pg2498_30962"/>
    </w:p>
    <w:p>
      <w:pPr>
        <w:pStyle w:val="BookText"/>
        <w:rPr/>
      </w:pPr>
      <w:bookmarkEnd w:id="163"/>
      <w:r>
        <w:rPr>
          <w:rFonts w:ascii="Amiri" w:hAnsi="Amiri" w:eastAsia="Amiri" w:cs="Amiri"/>
          <w:color w:val="111111"/>
          <w:sz w:val="28"/>
          <w:sz w:val="28"/>
          <w:szCs w:val="28"/>
          <w:rtl w:val="true"/>
          <w:lang w:bidi="ar-SA"/>
        </w:rPr>
        <w:t>الثلث، ليعلم ما يحتاج إليه سهم الحجّ من التكميل، و طريق استخراجه بالجبر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المال ثلاثمائة و اجرة الحجّ مائة، فينقص من المال شي‌ء فيصير ثلاثمائة إلّا شيئا، و ثلثه و هو مائة إلّا ثلث الشي‌ء يقسّم على الحجّ و العتق و الصدقة أثلاثا، فيصير للحج ثلث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 و ثلاثون و ثلث و تسع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أضفنا إليه الشي‌ء صار ثلاثة و ثلاثين و ثلثا و ثمانية أتساع الشي‌ء، فالشي‌ء الّذي ينقص قبل إخراج الثلث من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يصير ثلاثا و ثلاثين و ثلثا و ثمانية أتساعه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اجرة الحج المفروض أنّه خمسة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روايات أصحابنا تدلّ على أنّه يقدّم الواجب من الثلث، فإن بقي منه يصرف في الباقي </w:t>
      </w:r>
      <w:r>
        <w:rPr>
          <w:rStyle w:val="FootnoteAnchor"/>
          <w:rtl w:val="true"/>
        </w:rPr>
        <w:footnoteReference w:id="162"/>
      </w:r>
      <w:r>
        <w:rPr>
          <w:rFonts w:ascii="Amiri" w:hAnsi="Amiri" w:eastAsia="Amiri" w:cs="Amiri"/>
          <w:color w:val="111111"/>
          <w:sz w:val="28"/>
          <w:sz w:val="28"/>
          <w:szCs w:val="28"/>
          <w:rtl w:val="true"/>
          <w:lang w:bidi="ar-SA"/>
        </w:rPr>
        <w:t>، و عليه كلّ من تأخّر عنه؛ لقضيّة الامرأة الموصية بثلثها في الحج و العتق و الصدقة، المرويّة عن معاوية بن عمّار بطرق متعدّدة،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بالحجّ فإنّه فريضة من اللّٰه، و ما بقي فضعه في النوافل</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ردّا على من أفتى في القضيّة المذكورة بوجوب تقسيط المال على الكلّ و إن فاتت الفريضة؛ بناء على ما عن أبي حنيفة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كالتبرّع يخرج من الثّلث مع الوصية، و بدونها لا يخرج أصلا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3878057_3804643083"/>
      <w:bookmarkStart w:id="165" w:name="_Toc64"/>
      <w:bookmarkEnd w:id="164"/>
      <w:r>
        <w:rPr>
          <w:rtl w:val="true"/>
        </w:rPr>
        <w:t>[</w:t>
      </w:r>
      <w:r>
        <w:rPr>
          <w:rtl w:val="true"/>
        </w:rPr>
        <w:t>الواجب البدني و غيره عدا الواجب المالي يخرج من الثلث</w:t>
      </w:r>
      <w:r>
        <w:rPr>
          <w:rtl w:val="true"/>
        </w:rPr>
        <w:t>]</w:t>
      </w:r>
      <w:bookmarkEnd w:id="165"/>
    </w:p>
    <w:p>
      <w:pPr>
        <w:pStyle w:val="Heading5"/>
        <w:numPr>
          <w:ilvl w:val="4"/>
          <w:numId w:val="1"/>
        </w:numPr>
        <w:rPr/>
      </w:pPr>
      <w:bookmarkStart w:id="166" w:name="__RefHeading___Toc3878059_3804643083"/>
      <w:bookmarkStart w:id="167" w:name="_Toc65"/>
      <w:bookmarkEnd w:id="166"/>
      <w:r>
        <w:rPr>
          <w:rtl w:val="true"/>
        </w:rPr>
        <w:t>اشارة</w:t>
      </w:r>
      <w:bookmarkEnd w:id="16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بين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عدا الواجب الماليّ من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بدنيّ، و بين أن لا يكون، على المشهور من كون اجرة الواجب البدنيّ</w:t>
      </w:r>
      <w:bookmarkStart w:id="168" w:name="pg2498_30963"/>
    </w:p>
    <w:p>
      <w:pPr>
        <w:pStyle w:val="BookText"/>
        <w:rPr/>
      </w:pPr>
      <w:bookmarkEnd w:id="168"/>
      <w:r>
        <w:rPr>
          <w:rFonts w:ascii="Amiri" w:hAnsi="Amiri" w:eastAsia="Amiri" w:cs="Amiri"/>
          <w:color w:val="111111"/>
          <w:sz w:val="28"/>
          <w:sz w:val="28"/>
          <w:szCs w:val="28"/>
          <w:rtl w:val="true"/>
          <w:lang w:bidi="ar-SA"/>
        </w:rPr>
        <w:t>كالتبرّع من الثلث، بل صريح الكفاية أنّه مذهب الأصحاب، حيث قال بعد ذكر الوصيّة بالواجب المالي و البدني و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حصر الجميع في الثلث بدئ بالواجب الماليّ و إن زاد على الثلث عند الأصحاب </w:t>
      </w:r>
      <w:r>
        <w:rPr>
          <w:rStyle w:val="FootnoteAnchor"/>
          <w:rtl w:val="true"/>
        </w:rPr>
        <w:footnoteReference w:id="165"/>
      </w:r>
      <w:r>
        <w:rPr>
          <w:rFonts w:ascii="Amiri" w:hAnsi="Amiri" w:eastAsia="Amiri" w:cs="Amiri"/>
          <w:color w:val="111111"/>
          <w:sz w:val="28"/>
          <w:sz w:val="28"/>
          <w:szCs w:val="28"/>
          <w:rtl w:val="true"/>
          <w:lang w:bidi="ar-SA"/>
        </w:rPr>
        <w:t xml:space="preserve">، و هو لازم كل من قال بقول المشهور، كما صرّح به المحقّق الثّاني </w:t>
      </w:r>
      <w:r>
        <w:rPr>
          <w:rStyle w:val="FootnoteAnchor"/>
          <w:rtl w:val="true"/>
        </w:rPr>
        <w:footnoteReference w:id="166"/>
      </w:r>
      <w:r>
        <w:rPr>
          <w:rFonts w:ascii="IRNazanin" w:hAnsi="IRNazanin" w:eastAsia="IRNazanin"/>
          <w:color w:val="111111"/>
          <w:sz w:val="28"/>
          <w:sz w:val="28"/>
          <w:szCs w:val="28"/>
          <w:rtl w:val="true"/>
          <w:lang w:bidi="fa-IR"/>
        </w:rPr>
        <w:t>،</w:t>
      </w:r>
    </w:p>
    <w:p>
      <w:pPr>
        <w:pStyle w:val="Heading5"/>
        <w:numPr>
          <w:ilvl w:val="4"/>
          <w:numId w:val="1"/>
        </w:numPr>
        <w:rPr/>
      </w:pPr>
      <w:bookmarkStart w:id="169" w:name="__RefHeading___Toc3878061_3804643083"/>
      <w:bookmarkStart w:id="170" w:name="_Toc66"/>
      <w:bookmarkEnd w:id="169"/>
      <w:r>
        <w:rPr>
          <w:rtl w:val="true"/>
        </w:rPr>
        <w:t>[</w:t>
      </w:r>
      <w:r>
        <w:rPr>
          <w:rtl w:val="true"/>
        </w:rPr>
        <w:t>القول بتقديم الواجب البدني</w:t>
      </w:r>
      <w:r>
        <w:rPr>
          <w:rtl w:val="true"/>
        </w:rPr>
        <w:t>]</w:t>
      </w:r>
      <w:bookmarkEnd w:id="170"/>
    </w:p>
    <w:p>
      <w:pPr>
        <w:pStyle w:val="BookText"/>
        <w:rPr/>
      </w:pPr>
      <w:r>
        <w:rPr>
          <w:rFonts w:ascii="Amiri" w:hAnsi="Amiri" w:eastAsia="Amiri" w:cs="Amiri"/>
          <w:color w:val="111111"/>
          <w:sz w:val="28"/>
          <w:sz w:val="28"/>
          <w:szCs w:val="28"/>
          <w:rtl w:val="true"/>
          <w:lang w:bidi="ar-SA"/>
        </w:rPr>
        <w:t xml:space="preserve">إلّا أنّه صرّح في المسالك بتقديم الواجب البدني على المتبرّع بها </w:t>
      </w:r>
      <w:r>
        <w:rPr>
          <w:rStyle w:val="FootnoteAnchor"/>
          <w:rtl w:val="true"/>
        </w:rPr>
        <w:footnoteReference w:id="167"/>
      </w:r>
      <w:r>
        <w:rPr>
          <w:rFonts w:ascii="IRNazanin" w:hAnsi="IRNazanin" w:eastAsia="IRNazanin"/>
          <w:color w:val="111111"/>
          <w:sz w:val="28"/>
          <w:sz w:val="28"/>
          <w:szCs w:val="28"/>
          <w:rtl w:val="true"/>
          <w:lang w:bidi="fa-IR"/>
        </w:rPr>
        <w:t xml:space="preserve">، و تبعه بعض من تأخّر </w:t>
      </w:r>
      <w:r>
        <w:rPr>
          <w:rStyle w:val="FootnoteAnchor"/>
          <w:rtl w:val="true"/>
        </w:rPr>
        <w:footnoteReference w:id="168"/>
      </w:r>
      <w:r>
        <w:rPr>
          <w:rFonts w:ascii="Amiri" w:hAnsi="Amiri" w:eastAsia="Amiri" w:cs="Amiri"/>
          <w:color w:val="111111"/>
          <w:sz w:val="28"/>
          <w:sz w:val="28"/>
          <w:szCs w:val="28"/>
          <w:rtl w:val="true"/>
          <w:lang w:bidi="ar-SA"/>
        </w:rPr>
        <w:t>، بل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الخلاف فيه إلّا من صاحب الكفاية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هذه الدعوى من جهة إطلاقات معاقد الإجماع على حكمهم بتقديم الواجب على غيره عند التزاحم، بل صرّح بعضهم بالاستدلال بقول صاحب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أنّه لو أوصى بواجب كحجّ، أو زكاة، أو دين، إنّه يقدّم على المتبرّع بها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 لا يخفى أنّ مرادهم خصوص المالي، و إلّا لوجب أن ينسب إليهم القول بخروجه من الأصل عند الوصيّة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كلام المحقّق الثاني صريح في نفي الفرق عند القائل بكون الواجب البدنيّ من الثّلث بين سلامته من مزاحمة المتبرّع بها، و بين مزاحمته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إشكال في كون هذا القول خلاف المشهور، بل الظاهر تفرّد صاحب المسالك به، و إن كان عجيبا مع التفاته قدّس سرّه إلى كلام المحقّق</w:t>
      </w:r>
    </w:p>
    <w:p>
      <w:pPr>
        <w:pStyle w:val="BookText"/>
        <w:rPr/>
      </w:pPr>
      <w:r>
        <w:rPr>
          <w:rFonts w:ascii="Amiri" w:hAnsi="Amiri" w:eastAsia="Amiri" w:cs="Amiri"/>
          <w:color w:val="111111"/>
          <w:sz w:val="28"/>
          <w:sz w:val="28"/>
          <w:szCs w:val="28"/>
          <w:rtl w:val="true"/>
          <w:lang w:bidi="ar-SA"/>
        </w:rPr>
        <w:t>الثاني، كما هو عادته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عليه بأنّه أهمّ، و بالتعليل في الرواية السابقة </w:t>
      </w:r>
      <w:r>
        <w:rPr>
          <w:rStyle w:val="FootnoteAnchor"/>
          <w:rtl w:val="true"/>
        </w:rPr>
        <w:footnoteReference w:id="171"/>
      </w:r>
      <w:r>
        <w:rPr>
          <w:rFonts w:ascii="Amiri" w:hAnsi="Amiri" w:eastAsia="Amiri" w:cs="Amiri"/>
          <w:color w:val="111111"/>
          <w:sz w:val="28"/>
          <w:sz w:val="28"/>
          <w:szCs w:val="28"/>
          <w:rtl w:val="true"/>
          <w:lang w:bidi="ar-SA"/>
        </w:rPr>
        <w:t>بكون الحج فريضة، و أنّ ما بقي من الفريضة يجعل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التفصّي عن الأهميّة بأنّها اعتبار عقليّ لا يصلح لأن يرفع به اليد عمّا يقتضيه القاعدة الشرعيّة من كون نسبة الوصيّة الّتي هي السبب في الإخراج من الثلث إلى الواجب البدنيّ و غيره على السواء، إذ المفروض أنّه لا سبب لخروجه من المال سوى الوصيّة، بل لا وجه لمزاحمة غيره به عند تأخّر الوصيّة به عن الوصيّة لغيره؛ لأنّ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التعليل غير منطبق على مذهب الخاصّة، من كون الحجّ مخرجا من أصل المال إذ حينئذ لا تزاحم باقي الوصايا حتّى يقدّم، بل يخرج ما يخصّه من الثلث فيكمل مع نقصه من الأصل كما تقدّم، فتقديمه و إدخال النقص من أجله على المتبرّع بها موافق لمذهب العامّة من إخراج الواجب المالي كالحجّ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ابتناءه على مذهب العامّة إذا كان صحيحا تمّ المطلوب، و هو أنّه إذا اجتمع أمور كلّها تخرج من الثلث قدّم الواجب منها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الابتناء غلط أيضا كأصل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الإمام عليه السّلام إقناعا بما يوجب سكوتهم، و لذا سكتوا لمّا سمعوا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للظاهر، فإنّ ظاهر كلام الإمام عليه السلام كون ما يصدر منه مطابقا للواقع، فإذا حصل الإسكات بابتناء حكم صحيح على مبنى فاسد لهم، فلا داعي إلى جعل</w:t>
      </w:r>
      <w:bookmarkStart w:id="171" w:name="pg2498_30965"/>
    </w:p>
    <w:p>
      <w:pPr>
        <w:pStyle w:val="BookText"/>
        <w:rPr/>
      </w:pPr>
      <w:bookmarkEnd w:id="171"/>
      <w:r>
        <w:rPr>
          <w:rFonts w:ascii="Amiri" w:hAnsi="Amiri" w:eastAsia="Amiri" w:cs="Amiri"/>
          <w:color w:val="111111"/>
          <w:sz w:val="28"/>
          <w:sz w:val="28"/>
          <w:szCs w:val="28"/>
          <w:rtl w:val="true"/>
          <w:lang w:bidi="ar-SA"/>
        </w:rPr>
        <w:t>الابتناء أيضا فاسدا، ذكره مغالطة عليهم، فافهم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878063_3804643083"/>
      <w:bookmarkStart w:id="173" w:name="_Toc67"/>
      <w:bookmarkEnd w:id="172"/>
      <w:r>
        <w:rPr>
          <w:rtl w:val="true"/>
        </w:rPr>
        <w:t>[</w:t>
      </w:r>
      <w:r>
        <w:rPr>
          <w:rtl w:val="true"/>
        </w:rPr>
        <w:t>البدء بالأول فالأول مع عدم الواجب أو الواجب المالي</w:t>
      </w:r>
      <w:r>
        <w:rPr>
          <w:rtl w:val="true"/>
        </w:rPr>
        <w:t>]</w:t>
      </w:r>
      <w:bookmarkEnd w:id="173"/>
    </w:p>
    <w:p>
      <w:pPr>
        <w:pStyle w:val="Heading5"/>
        <w:numPr>
          <w:ilvl w:val="4"/>
          <w:numId w:val="1"/>
        </w:numPr>
        <w:rPr/>
      </w:pPr>
      <w:bookmarkStart w:id="174" w:name="__RefHeading___Toc3878065_3804643083"/>
      <w:bookmarkStart w:id="175" w:name="_Toc68"/>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الكلّ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أو غير واجب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الشارح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 بالأوّل فالأوّل حتّى يستوفي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استوفاه ألغيت الوصيّة؛ لأنّ المقدّم قد استحقّ من الثلث نصيبه استحقاقا شأنيّا يتنجّز بالموت، كما يكشف عنه تعليل الحكم في مسألة الوصايا المرتّبة بإعتاق عبيد بمضي الوصيّة فيهم حتّى يبلغ الثلث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أعتق بعد مبلغ الثلث ما لا يملك</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إذ ليس المراد بنفي الملك عنه بعد إيصائه بالثلث إلّا تعلّق حقّ الموصى له به و تملّكه ملكا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الوصيّة بعد تجاوز الثلث تقع لاغية من دون إجازة الورثة، فيندفع بذلك ما ربّما يتوهّم من أنّ السبب الناقص في جميع الوصايا و إن ترتّبت، إلّا أنّ الجزء الأخير من العلّة التامة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دفعة، فلا وجه لترجيح المقدّم، كما لو تقدّم أحد العقدين على مورد واحد على الآخر إلّا أنّ الجزء الأخير من قبول العقدين وقع في آن واحد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دفع التوهّم أنّ المتقدّم هو السبب التام للملكيّة عند الموت، كما أشار إليه، بل نصّ عليه في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بعد مبلغ الثلث ما لا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السبب الناقص للملكية المطلقة، و هو الموجود في مثال العقدين، فافهم</w:t>
      </w:r>
      <w:r>
        <w:rPr>
          <w:rFonts w:eastAsia="Amiri" w:cs="Amiri" w:ascii="Amiri" w:hAnsi="Amiri"/>
          <w:color w:val="111111"/>
          <w:sz w:val="28"/>
          <w:szCs w:val="28"/>
          <w:rtl w:val="true"/>
          <w:lang w:bidi="ar-SA"/>
        </w:rPr>
        <w:t>.</w:t>
      </w:r>
      <w:bookmarkStart w:id="176" w:name="pg2498_30966"/>
    </w:p>
    <w:p>
      <w:pPr>
        <w:pStyle w:val="Heading5"/>
        <w:numPr>
          <w:ilvl w:val="4"/>
          <w:numId w:val="1"/>
        </w:numPr>
        <w:rPr/>
      </w:pPr>
      <w:bookmarkStart w:id="177" w:name="__RefHeading___Toc3878067_3804643083"/>
      <w:bookmarkStart w:id="178" w:name="_Toc69"/>
      <w:bookmarkEnd w:id="176"/>
      <w:bookmarkEnd w:id="177"/>
      <w:r>
        <w:rPr>
          <w:rtl w:val="true"/>
        </w:rPr>
        <w:t>[</w:t>
      </w:r>
      <w:r>
        <w:rPr>
          <w:rtl w:val="true"/>
        </w:rPr>
        <w:t>بيان المراد من الأوّل</w:t>
      </w:r>
      <w:r>
        <w:rPr>
          <w:rtl w:val="true"/>
        </w:rPr>
        <w:t>]</w:t>
      </w:r>
      <w:bookmarkEnd w:id="178"/>
    </w:p>
    <w:p>
      <w:pPr>
        <w:pStyle w:val="BookText"/>
        <w:rPr/>
      </w:pPr>
      <w:r>
        <w:rPr>
          <w:rFonts w:ascii="Amiri" w:hAnsi="Amiri" w:eastAsia="Amiri" w:cs="Amiri"/>
          <w:color w:val="111111"/>
          <w:sz w:val="28"/>
          <w:sz w:val="28"/>
          <w:szCs w:val="28"/>
          <w:rtl w:val="true"/>
          <w:lang w:bidi="ar-SA"/>
        </w:rPr>
        <w:t>ثمّ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ذكرا بالوصيّة به، بحيث يكون الوصيّة به قبل الوصيّة بغيره، فمثل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لكلّ منهم 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يعتقون بعد موتي، ليس من الوصيّة المترتّبة، بل الحكم فيه توزيع النقص على الجميع، لأنّ الكلّ بمنزلة وصيّة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نحن فيه من قبيل تعدّد الأسباب التامّة على مسبّب واحد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جريان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طرحهما، مع أنّه يمكن دعوى أنّ الجمع بينهما بإعمال كلّ منهما في بعض المسبّب أولى من الطرح، نظير المعرّفات كالبيّنتين المتعارضتين في التقويم، و كالأدلّة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صدور وصيّة من الموصي بشي‌ء خاصّ لزيد، و قارنها وصيّة اخرى من وكيله بذلك الشي‌ء لشخص آخر، كان من باب تزاحم السببين، و جرى فيه الكلام في أنّ مقتضى القاعدة طرحهما أو التنصيف، و لعلّ الأوّل هو الأقوى</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878069_3804643083"/>
      <w:bookmarkStart w:id="180" w:name="_Toc70"/>
      <w:bookmarkEnd w:id="179"/>
      <w:r>
        <w:rPr>
          <w:rtl w:val="true"/>
        </w:rPr>
        <w:t>[</w:t>
      </w:r>
      <w:r>
        <w:rPr>
          <w:rtl w:val="true"/>
        </w:rPr>
        <w:t>الوصية بثلث من ماله و لآخر بربعه</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لشخص بثلث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لآخر بربع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لآخر بسدس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الورثة فلا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الورثة اعطي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لسلامته عن المزاحم،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بطلت الوصيّة لمن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أوصى للأوّل بجميع المال، و للآخر بثلثه، و للآخر بنصفه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فإنّ الظّاهر أنّه رجوع، فيعطى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إجازة الورثة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الثّاني الثلث، و الثالث النصف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منافاة بين إلغاء الوصية من جهة عدم إمضاء الورثة، و بين دلالتها على الرجوع عن الوصيّة الأولى</w:t>
      </w:r>
      <w:r>
        <w:rPr>
          <w:rFonts w:eastAsia="Amiri" w:cs="Amiri" w:ascii="Amiri" w:hAnsi="Amiri"/>
          <w:color w:val="111111"/>
          <w:sz w:val="28"/>
          <w:szCs w:val="28"/>
          <w:rtl w:val="true"/>
          <w:lang w:bidi="ar-SA"/>
        </w:rPr>
        <w:t>.</w:t>
      </w:r>
      <w:bookmarkStart w:id="181" w:name="pg2498_30967"/>
    </w:p>
    <w:p>
      <w:pPr>
        <w:pStyle w:val="Heading4"/>
        <w:numPr>
          <w:ilvl w:val="3"/>
          <w:numId w:val="1"/>
        </w:numPr>
        <w:rPr/>
      </w:pPr>
      <w:bookmarkStart w:id="182" w:name="__RefHeading___Toc3878071_3804643083"/>
      <w:bookmarkStart w:id="183" w:name="_Toc71"/>
      <w:bookmarkEnd w:id="181"/>
      <w:bookmarkEnd w:id="182"/>
      <w:r>
        <w:rPr>
          <w:rtl w:val="true"/>
        </w:rPr>
        <w:t>[</w:t>
      </w:r>
      <w:r>
        <w:rPr>
          <w:rtl w:val="true"/>
        </w:rPr>
        <w:t>الوصية بثلثه لواحد، و بثلثه لآخر</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بثلثه لواحد، و بثلثه لآخر، كان ذلك رجوعا عن الأوّل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w:t>
      </w:r>
      <w:r>
        <w:rPr>
          <w:rStyle w:val="FootnoteAnchor"/>
          <w:rtl w:val="true"/>
        </w:rPr>
        <w:footnoteReference w:id="176"/>
      </w:r>
      <w:r>
        <w:rPr>
          <w:rFonts w:ascii="IRNazanin" w:hAnsi="IRNazanin" w:eastAsia="IRNazanin"/>
          <w:color w:val="111111"/>
          <w:sz w:val="28"/>
          <w:sz w:val="28"/>
          <w:szCs w:val="28"/>
          <w:rtl w:val="true"/>
          <w:lang w:bidi="fa-IR"/>
        </w:rPr>
        <w:t>للتعارض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إضافة الثلث إلى نفسه في الوقتين و إطلاقه، عدم التنافي بينهما مع الإطلاق، و لذا لو أوصى بثلث من عين ماله ثمّ باع ثلثا منها، لم يكن البيع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بعض الكلام في ذلك إن شاء اللّٰه تعالى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3878073_3804643083"/>
      <w:bookmarkStart w:id="185" w:name="_Toc72"/>
      <w:bookmarkEnd w:id="184"/>
      <w:r>
        <w:rPr>
          <w:rtl w:val="true"/>
        </w:rPr>
        <w:t>[</w:t>
      </w:r>
      <w:r>
        <w:rPr>
          <w:rtl w:val="true"/>
        </w:rPr>
        <w:t>إخراج الأول بالقرعة مع الاشتباه</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لعموم أدلّة القرعة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اشتبه وجود أوّل بأن احتمل التقارن فظاهر جماعة </w:t>
      </w:r>
      <w:r>
        <w:rPr>
          <w:rStyle w:val="FootnoteAnchor"/>
          <w:rtl w:val="true"/>
        </w:rPr>
        <w:footnoteReference w:id="179"/>
      </w:r>
      <w:r>
        <w:rPr>
          <w:rFonts w:ascii="Amiri" w:hAnsi="Amiri" w:eastAsia="Amiri" w:cs="Amiri"/>
          <w:color w:val="111111"/>
          <w:sz w:val="28"/>
          <w:sz w:val="28"/>
          <w:szCs w:val="28"/>
          <w:rtl w:val="true"/>
          <w:lang w:bidi="ar-SA"/>
        </w:rPr>
        <w:t>القرعة أيضا، و قد يتوهّم العمل بالتقارن؛ لأصالة عدم وجود كلّ منهما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يثبت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وجود كلّ منهما عند وجود الآخر، إلّا أن يقال بتساقط هذين الأصلين؛ لعدم إمكان الجمع بينهما، و عدم العلم الإجمالي بتحقّق مقتضى أحدهما، فيرجع إلى الأصلين السابقين الغير المتعارضين، فافهم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878075_3804643083"/>
      <w:bookmarkStart w:id="187" w:name="_Toc73"/>
      <w:bookmarkEnd w:id="186"/>
      <w:r>
        <w:rPr>
          <w:rtl w:val="true"/>
        </w:rPr>
        <w:t>[</w:t>
      </w:r>
      <w:r>
        <w:rPr>
          <w:rtl w:val="true"/>
        </w:rPr>
        <w:t>الوصية بعتق مماليكه</w:t>
      </w:r>
      <w:r>
        <w:rPr>
          <w:rtl w:val="true"/>
        </w:rPr>
        <w:t>]</w:t>
      </w:r>
      <w:bookmarkEnd w:id="1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بعتق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في عرفنا بل اللّغة</w:t>
      </w:r>
    </w:p>
    <w:p>
      <w:pPr>
        <w:pStyle w:val="BookText"/>
        <w:rPr/>
      </w:pPr>
      <w:r>
        <w:rPr>
          <w:rFonts w:ascii="Amiri" w:hAnsi="Amiri" w:eastAsia="Amiri" w:cs="Amiri"/>
          <w:color w:val="111111"/>
          <w:sz w:val="28"/>
          <w:sz w:val="28"/>
          <w:szCs w:val="28"/>
          <w:rtl w:val="true"/>
          <w:lang w:bidi="ar-SA"/>
        </w:rPr>
        <w:t xml:space="preserve">الاختصاص بمن كان مملوكا له بتمامه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الإيصاء به على وجه يعرف،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قرينة تدلّ على دخول المملوك له كلّه 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ذلك من يملكه منفردا، و من يملك بعضه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نصيبه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السراية الموجبة لتقويمه على الميّت أو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الميّت؛ فلأنّه حين تملّكه للتركة لم يحصل منه إعتاق، و لو 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المريض إذا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عليه، و في زمان حصول الانعتاق ليس للميّت مال فينتفي اليسار المعتبر في السراية و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الورثة؛ فلأنّه لا وجه له إلّا تخيّل كون الوصيّة بعتق البعض المستلزم شرعا لانعتاق الكلّ بمنزلة إيجاد سبب إتلاف المال على الشركاء و إن حصل التلف بعد الموت، فإنّ ذلك سبب للتغريم من أصل المال، كما لو فعل ما أوجب الجناية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بأنّ كون الفعل الصادر سببا للإتلاف فرع استلزام إعتاق البعض للسراية كيف انعتق </w:t>
      </w:r>
      <w:r>
        <w:rPr>
          <w:rStyle w:val="FootnoteAnchor"/>
          <w:rtl w:val="true"/>
        </w:rPr>
        <w:footnoteReference w:id="182"/>
      </w:r>
      <w:r>
        <w:rPr>
          <w:rFonts w:ascii="Amiri" w:hAnsi="Amiri" w:eastAsia="Amiri" w:cs="Amiri"/>
          <w:color w:val="111111"/>
          <w:sz w:val="28"/>
          <w:sz w:val="28"/>
          <w:szCs w:val="28"/>
          <w:rtl w:val="true"/>
          <w:lang w:bidi="ar-SA"/>
        </w:rPr>
        <w:t xml:space="preserve">، و هو أوّل الدعوى؛ لما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شرط</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السراية ما كان المعتق حين الإعتاق موسرا، و هو مفقود في المقام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الإشكال في أنّ إعتاق بعض العبد أصالة، أو نيابة كما في الوكيل يوجب السراية، و الوصيّ نائب عن الميّت، و أدلّة السراية 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بين شمولها للوصي و الوكيل في ترتّب آثار الأفعال</w:t>
      </w:r>
    </w:p>
    <w:p>
      <w:pPr>
        <w:pStyle w:val="BookText"/>
        <w:rPr/>
      </w:pPr>
      <w:r>
        <w:rPr>
          <w:rFonts w:ascii="Amiri" w:hAnsi="Amiri" w:eastAsia="Amiri" w:cs="Amiri"/>
          <w:color w:val="111111"/>
          <w:sz w:val="28"/>
          <w:sz w:val="28"/>
          <w:szCs w:val="28"/>
          <w:rtl w:val="true"/>
          <w:lang w:bidi="ar-SA"/>
        </w:rPr>
        <w:t>الصادرة منهما بسبب الوكالة و الوصاية، ألا ترى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يشمل اتفاقا ما أعتق وصاية كما لو أعتق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اليسار المعتبر في السراية معتبر عند حصول السبب، بحيث لا يبقى بعد معه </w:t>
      </w:r>
      <w:r>
        <w:rPr>
          <w:rStyle w:val="FootnoteAnchor"/>
          <w:rtl w:val="true"/>
        </w:rPr>
        <w:footnoteReference w:id="186"/>
      </w:r>
      <w:r>
        <w:rPr>
          <w:rFonts w:ascii="Amiri" w:hAnsi="Amiri" w:eastAsia="Amiri" w:cs="Amiri"/>
          <w:color w:val="111111"/>
          <w:sz w:val="28"/>
          <w:sz w:val="28"/>
          <w:szCs w:val="28"/>
          <w:rtl w:val="true"/>
          <w:lang w:bidi="ar-SA"/>
        </w:rPr>
        <w:t>أمر اختياريّ لفاعل السبب يتوقّف الفعل عليه، إذ المفروض صدق الإعتاق على فعل الموصي المتعقّب لحصول مباشرة الصيغة من الموصي، و إلّا لم يكن للميّت ولاء، و اليسار موجود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اعتبار اليسار في زمان حدوث عنوان الإعتاق على ذلك الفعل المتحقّق سابقا من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بعد زمان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الإتلاف الحاصل بإنشاء الوصيّة مضمونا في الثلث، لم يكن وجه لكونه كالدين عليه ليخرج من الأصل، فالإيصاء بالشي‌ء كما أنّه يوجب إخراج مقدّماته من الثلث كذلك إخراج لوازمه الشرعيّة، بل كأنّه أوصى بعتق الكلّ، و إلّا لم يكن خروج حصّة الشريك في العتق المنجّز في مرض الموت من الثلث، بل كان كسائر إتلافاته من الأصل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نهايته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عليه حصّة شريكه إن احتمل ثلثه ذلك، و إلّا أعتق منهم ما يحتمله الثلث </w:t>
      </w:r>
      <w:r>
        <w:rPr>
          <w:rStyle w:val="FootnoteAnchor"/>
          <w:rtl w:val="true"/>
        </w:rPr>
        <w:footnoteReference w:id="189"/>
      </w:r>
      <w:r>
        <w:rPr>
          <w:rFonts w:ascii="IRNazanin" w:hAnsi="IRNazanin" w:eastAsia="IRNazanin"/>
          <w:color w:val="111111"/>
          <w:sz w:val="28"/>
          <w:sz w:val="28"/>
          <w:szCs w:val="28"/>
          <w:rtl w:val="true"/>
          <w:lang w:bidi="fa-IR"/>
        </w:rPr>
        <w:t>، و به</w:t>
      </w:r>
      <w:bookmarkStart w:id="188" w:name="pg2498_30970"/>
    </w:p>
    <w:p>
      <w:pPr>
        <w:pStyle w:val="BookText"/>
        <w:rPr/>
      </w:pPr>
      <w:bookmarkEnd w:id="188"/>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w:t>
      </w:r>
      <w:r>
        <w:rPr>
          <w:rStyle w:val="FootnoteAnchor"/>
          <w:rtl w:val="true"/>
        </w:rPr>
        <w:footnoteReference w:id="190"/>
      </w:r>
      <w:r>
        <w:rPr>
          <w:rFonts w:ascii="Amiri" w:hAnsi="Amiri" w:eastAsia="Amiri" w:cs="Amiri"/>
          <w:color w:val="111111"/>
          <w:sz w:val="28"/>
          <w:sz w:val="28"/>
          <w:szCs w:val="28"/>
          <w:rtl w:val="true"/>
          <w:lang w:bidi="ar-SA"/>
        </w:rPr>
        <w:t>المشايخ الثلاثة رضوان اللّٰه عليهم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تحضره الوفاة و له مماليك لخاصّة نفسه، و له مماليك في شركة رجل آخر، فيوصي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مماليكي أحرار، ما حال مماليكه الّذين في الشركة؟</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عليه إن كان ماله يحتمل فهم أحرار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عند المشهور بأحمد بن زياد، إلّا أنّه لا يقدح على طريقتنا في أخبار الآحاد، و حملها على العتق المنجّز في مرض الموت مناف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فهذا القول لا يخلو عن قوّة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878077_3804643083"/>
      <w:bookmarkStart w:id="190" w:name="_Toc74"/>
      <w:bookmarkEnd w:id="189"/>
      <w:r>
        <w:rPr>
          <w:rtl w:val="true"/>
        </w:rPr>
        <w:t>[</w:t>
      </w:r>
      <w:r>
        <w:rPr>
          <w:rtl w:val="true"/>
        </w:rPr>
        <w:t>إجازة الورثة للنصف مع اعتقاد قلته</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بشي‌ء واحد لاثنين، و هو يزيد عن الثلث، و لم يجز الورثة، كان لهما ما يحتمله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لكلّ واحد منهما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لو مساويا لشريكه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 بعطيّة الأوّل، و كان النقص على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أوصى بنصف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فأجاز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القلّة، ثمّ تبيّن كثرته، فالظاهر عدم النفوذ إلّا في معتقدهم؛ لأنّه المجاز حقيقة، إذ لا يتعلّق القصد غالبا بالرضى بالنصف من حيث إنّه مفهوم النصف في أيّ مصداق كان، فطيب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المنوط به حلّ الأموال 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w:t>
      </w:r>
    </w:p>
    <w:p>
      <w:pPr>
        <w:pStyle w:val="BookText"/>
        <w:rPr/>
      </w:pPr>
      <w:r>
        <w:rPr>
          <w:rFonts w:ascii="Amiri" w:hAnsi="Amiri" w:eastAsia="Amiri" w:cs="Amiri"/>
          <w:color w:val="111111"/>
          <w:sz w:val="28"/>
          <w:sz w:val="28"/>
          <w:szCs w:val="28"/>
          <w:rtl w:val="true"/>
          <w:lang w:bidi="ar-SA"/>
        </w:rPr>
        <w:t>في ما زاد عن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فلو جهل معتقدهم عند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ظنّنا أنّه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علمنا بظهور اللفظ في الرضى بمفهوم النصف بالغا ما بلغ، لم يسمع دعواهم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93"/>
      </w:r>
      <w:r>
        <w:rPr>
          <w:rFonts w:ascii="Amiri" w:hAnsi="Amiri" w:eastAsia="Amiri" w:cs="Amiri"/>
          <w:color w:val="111111"/>
          <w:sz w:val="28"/>
          <w:sz w:val="28"/>
          <w:szCs w:val="28"/>
          <w:rtl w:val="true"/>
          <w:lang w:bidi="ar-SA"/>
        </w:rPr>
        <w:t xml:space="preserve">قلنا بعدم ظهور في اللّفظ؛ لما عرفت من أنّ القصد لا يتعلّق غالبا بإجازة مفهوم النصف، بل يلاحظ في اعتقاده مقدار من المال و لو على سبيل التعميم للزائد كائنا ما كان، أو قلنا بالظهور و لذا يحمل عليه الإقرارات و العقود، فتأمّل، لكن قلنا إنّ هذه الدعوى حيث تتعذّر فيها إقامة البيّنة و أمكن صدق المدّعي في الواقع كثيرا، كان في عدم قبول قوله و الاكتفاء في سقوط دعواه بالحلف خصوصا إذا قلنا بأنّه على نفي العلم؛ لأنّه في فعل الغير ضرر عظيم منفي، كما يسمع قول المدعي في مثل ذلك؛ لأجل ذلك على ما يظهر من تلويحات النصوص و تصريحات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عليهم بذلك، و احلفوا على نفي الزائد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الأصل عدم علمهم بالزائد و زعمهم النقص، اعتمادا على أصالة عدم الزيادة، و عدم تعلّق الإجازة بالزائد على ما ظنّوه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هذه الأصول غير نافعة على فرض تسليم الظهور اللّفظي </w:t>
      </w:r>
      <w:r>
        <w:rPr>
          <w:rStyle w:val="FootnoteAnchor"/>
          <w:rtl w:val="true"/>
        </w:rPr>
        <w:footnoteReference w:id="195"/>
      </w:r>
      <w:r>
        <w:rPr>
          <w:rFonts w:ascii="Amiri" w:hAnsi="Amiri" w:eastAsia="Amiri" w:cs="Amiri"/>
          <w:color w:val="111111"/>
          <w:sz w:val="28"/>
          <w:sz w:val="28"/>
          <w:szCs w:val="28"/>
          <w:rtl w:val="true"/>
          <w:lang w:bidi="ar-SA"/>
        </w:rPr>
        <w:t xml:space="preserve">في مفهوم النصف كائنا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لذا قال المصنّف قدّس سرّه</w:t>
      </w:r>
      <w:bookmarkStart w:id="191" w:name="pg2498_30972"/>
    </w:p>
    <w:p>
      <w:pPr>
        <w:pStyle w:val="BookText"/>
        <w:rPr/>
      </w:pPr>
      <w:bookmarkEnd w:id="19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رجح 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القبول</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إمّا لمنع الظهور، أو لمسيس الحاجة إلى قبول دعوى خلافه للضرر، كما سمعت في دعوى كون الإقرار بالثمن لإقامة رسم القبالة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للموصى له نصف المظنون و ثلث باقي التركة الّذي لم يعلم به الورثة و لم يجيزوه، فلو كان المال الواقعي ثلاثمائة و المظنون مائة، اعطي خمسين نصف المائة، و ثلث المائتين ستين و سبعة إلّا ثلث، و المجموع مائة و سبعة عشر إلّا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المجموع و سدس المظنون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إليه يؤول ما في الروضة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يعطى الموصى له بعد حلف الورثة ثلث المجموع و ما ادّعوا ظنّه من الزائد </w:t>
      </w:r>
      <w:r>
        <w:rPr>
          <w:rStyle w:val="FootnoteAnchor"/>
          <w:rtl w:val="true"/>
        </w:rPr>
        <w:footnoteReference w:id="198"/>
      </w:r>
      <w:r>
        <w:rPr>
          <w:rFonts w:ascii="Amiri" w:hAnsi="Amiri" w:eastAsia="Amiri" w:cs="Amiri"/>
          <w:color w:val="111111"/>
          <w:sz w:val="28"/>
          <w:sz w:val="28"/>
          <w:szCs w:val="28"/>
          <w:rtl w:val="true"/>
          <w:lang w:bidi="ar-SA"/>
        </w:rPr>
        <w:t>، يعني يعطى مع ثلث المجموع ما ادّعوا ظنّه من الزائد على الثلث، و هو سبعة عشر إلّا ثلث، فإنّ هذا هو الزائد عن ثلث مال الميّت، أعني المائة، هذا كلّه في ما لو أوصى بالمشاع</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878079_3804643083"/>
      <w:bookmarkStart w:id="193" w:name="_Toc75"/>
      <w:bookmarkEnd w:id="192"/>
      <w:r>
        <w:rPr>
          <w:rtl w:val="true"/>
        </w:rPr>
        <w:t>[</w:t>
      </w:r>
      <w:r>
        <w:rPr>
          <w:rtl w:val="true"/>
        </w:rPr>
        <w:t>إجازة الورثة للوصية بالمعلوم لو ادعوا ظن القلة</w:t>
      </w:r>
      <w:r>
        <w:rPr>
          <w:rtl w:val="true"/>
        </w:rPr>
        <w:t>]</w:t>
      </w:r>
      <w:bookmarkEnd w:id="1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أوصى بعبد أو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فأجازوا ثمّ ادعوا أنّهم ظنّوا أنّه بقدر الثلث أو أزيد بشي‌ء يسير، لم يلتفت إلى دعواهم؛ لأنّ الإجازة هنا تضمّنت معلوما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مجهولا كالنصف و الثلث</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فتقييد الإجازة بكون الموصى به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أو أزيد منه بشي‌ء</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يسير من المال مخالف لظاهر</w:t>
      </w:r>
      <w:bookmarkStart w:id="194" w:name="pg2498_30973"/>
    </w:p>
    <w:p>
      <w:pPr>
        <w:pStyle w:val="BookText"/>
        <w:rPr/>
      </w:pPr>
      <w:bookmarkEnd w:id="194"/>
      <w:r>
        <w:rPr>
          <w:rFonts w:ascii="Amiri" w:hAnsi="Amiri" w:eastAsia="Amiri" w:cs="Amiri"/>
          <w:color w:val="111111"/>
          <w:sz w:val="28"/>
          <w:sz w:val="28"/>
          <w:szCs w:val="28"/>
          <w:rtl w:val="true"/>
          <w:lang w:bidi="ar-SA"/>
        </w:rPr>
        <w:t>اللفظ، بل لا يكاد يمكن إرادته، بأن يراد من اللفظ إجازة العبد من حيث إنّه بمقدار كذا من المال على أن يكون الحيثيّة تقييديّة، بخلاف إرادة مقدار محدود من نصف المال باعتبار أنّه مصداقه في هذا المقام، فلا يقدّم المجيز على الرضى بما فوقه، فإنّه غير مخالف للظاهر في خصوص مسألة الإجازة، و إن كان ظاهرا في غيره من مقامات الأقارير و النذور و العقود، كما يظهر من حكم العرف بأنّ الإجازة لا تتعلّق بمفهوم النصف إلّا بعد ملاحظة تخصيص في المال أو تعميم فيه، بأن يجيزه و لو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الإشكال في الحكم الثاني، و أمّا الحكم الأوّل فقد عرفت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عدم الفرق بين المشاع و المعيّن، لعلّها مخالفة لشهادة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الحكم الثاني في ما لو علم أنّ المجيز بنى على ظنّ قلّة قيمة العبد، لما عرفت من بعد كون ذلك حيثيّة تقييديّة، بل هو من قبيل الدّواعي الّتي لا يقدح تخلّفها في ثبوت الحكم؛ لعدم كونه من قبيل قيود الموضوع، كما لا يخفى</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878081_3804643083"/>
      <w:bookmarkStart w:id="196" w:name="_Toc76"/>
      <w:bookmarkEnd w:id="195"/>
      <w:r>
        <w:rPr>
          <w:rtl w:val="true"/>
        </w:rPr>
        <w:t>[</w:t>
      </w:r>
      <w:r>
        <w:rPr>
          <w:rtl w:val="true"/>
        </w:rPr>
        <w:t>الوصية بشي‌ء معين كان مقدار الثلث</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Style w:val="FootnoteAnchor"/>
          <w:rtl w:val="true"/>
        </w:rPr>
        <w:footnoteReference w:id="202"/>
      </w:r>
      <w:r>
        <w:rPr>
          <w:rFonts w:ascii="Amiri" w:hAnsi="Amiri" w:eastAsia="Amiri" w:cs="Amiri"/>
          <w:color w:val="111111"/>
          <w:sz w:val="28"/>
          <w:sz w:val="28"/>
          <w:szCs w:val="28"/>
          <w:rtl w:val="true"/>
          <w:lang w:bidi="ar-SA"/>
        </w:rPr>
        <w:t>أوصى بثلث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بحقيقة اللّفظ،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للموصى له من كلّ شي‌ء ثلثه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أوصى بشي‌ء معيّن و كان بقدر الثلث فقد ملكه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للميّت مقدار الثلث من ماله، لا خصوص الثلث المشاع</w:t>
      </w:r>
      <w:bookmarkStart w:id="197" w:name="pg2498_30974"/>
    </w:p>
    <w:p>
      <w:pPr>
        <w:pStyle w:val="BookText"/>
        <w:rPr/>
      </w:pPr>
      <w:bookmarkEnd w:id="197"/>
      <w:r>
        <w:rPr>
          <w:rFonts w:ascii="IRNazanin" w:hAnsi="IRNazanin" w:eastAsia="IRNazanin"/>
          <w:color w:val="111111"/>
          <w:sz w:val="28"/>
          <w:sz w:val="28"/>
          <w:szCs w:val="28"/>
          <w:rtl w:val="true"/>
          <w:lang w:bidi="fa-IR"/>
        </w:rPr>
        <w:t xml:space="preserve">بالإجماع نصّا </w:t>
      </w:r>
      <w:r>
        <w:rPr>
          <w:rStyle w:val="FootnoteAnchor"/>
          <w:rtl w:val="true"/>
        </w:rPr>
        <w:footnoteReference w:id="204"/>
      </w:r>
      <w:r>
        <w:rPr>
          <w:rFonts w:ascii="Amiri" w:hAnsi="Amiri" w:eastAsia="Amiri" w:cs="Amiri"/>
          <w:color w:val="111111"/>
          <w:sz w:val="28"/>
          <w:sz w:val="28"/>
          <w:szCs w:val="28"/>
          <w:rtl w:val="true"/>
          <w:lang w:bidi="ar-SA"/>
        </w:rPr>
        <w:t xml:space="preserve">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اعتراض فيه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حرمة التبديل </w:t>
      </w:r>
      <w:r>
        <w:rPr>
          <w:rStyle w:val="FootnoteAnchor"/>
          <w:rtl w:val="true"/>
        </w:rPr>
        <w:footnoteReference w:id="205"/>
      </w:r>
      <w:r>
        <w:rPr>
          <w:rFonts w:ascii="Amiri" w:hAnsi="Amiri" w:eastAsia="Amiri" w:cs="Amiri"/>
          <w:color w:val="111111"/>
          <w:sz w:val="28"/>
          <w:sz w:val="28"/>
          <w:szCs w:val="28"/>
          <w:rtl w:val="true"/>
          <w:lang w:bidi="ar-SA"/>
        </w:rPr>
        <w:t>، خرج ما لو أوصى بما يزيد على الثلث</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878083_3804643083"/>
      <w:bookmarkStart w:id="199" w:name="_Toc77"/>
      <w:bookmarkEnd w:id="198"/>
      <w:r>
        <w:rPr>
          <w:rtl w:val="true"/>
        </w:rPr>
        <w:t>[</w:t>
      </w:r>
      <w:r>
        <w:rPr>
          <w:rtl w:val="true"/>
        </w:rPr>
        <w:t>اعتبار كون ضعف الموصى به في يد الورثة في استقرار ملك الموصى له</w:t>
      </w:r>
      <w:r>
        <w:rPr>
          <w:rtl w:val="true"/>
        </w:rPr>
        <w:t>]</w:t>
      </w:r>
      <w:bookmarkEnd w:id="199"/>
    </w:p>
    <w:p>
      <w:pPr>
        <w:pStyle w:val="Heading5"/>
        <w:numPr>
          <w:ilvl w:val="4"/>
          <w:numId w:val="1"/>
        </w:numPr>
        <w:rPr/>
      </w:pPr>
      <w:bookmarkStart w:id="200" w:name="__RefHeading___Toc3878085_3804643083"/>
      <w:bookmarkStart w:id="201" w:name="_Toc78"/>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نعم، يعتبر في استقرار ملك الموصى له أن يكون ضعف الموصى به في يد الورثة بحيث يتسلّط كلّ على مقدار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مال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سلطنة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تملّك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العين ما يحتمله الثلث من المال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الباقي حتّى يحصل من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الغائب معرّض للتلف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منه الورثة أيضا؛ لكونه ملكا متزلزلا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منع الورثة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الموصى له عمّا يحتمل الثلث؛ لعدم تسلّط الوارث على ضعفه، و احتمال تلف باقي الموصى به المحجور على الورثة مع تلف المال الغائب، فيلزم الرجوع إلى الموصى له بثلثي ما أخذ، إلّا أن يفرّق بين قصور المال من حيث الملكيّة، و بين كونه تامّ الماليّة مجهول المالك، و يدّعى أنّ تلف الثلثين من الورثة على تقدير تلف المال لتعيّنه لهم، فهو مال متزلزل مردّد في الواقع بين كونه للموصى له و تلفه عليه، و كونه للورثة و تلفه عليهم، و عدم استلزام كون الشي‌ء لهم كون تلفه عليهم في المال الغائب إنّما هو من جهة كونه قاصرا من حيث الماليّة، فلا وجه لاحتسابه عليهم، و إلّا لزم الجنف المنهي عنه على الورثة و الضرر عليهم، و هذا المعنى مفقود في ثلثي الموصى به، فتأمّل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إطلاق الفتاوى عدم الفرق بين كون مال الغائب مع غيبته</w:t>
      </w:r>
      <w:bookmarkStart w:id="202" w:name="pg2498_30975"/>
    </w:p>
    <w:p>
      <w:pPr>
        <w:pStyle w:val="BookText"/>
        <w:rPr/>
      </w:pPr>
      <w:bookmarkEnd w:id="202"/>
      <w:r>
        <w:rPr>
          <w:rFonts w:ascii="Amiri" w:hAnsi="Amiri" w:eastAsia="Amiri" w:cs="Amiri"/>
          <w:color w:val="111111"/>
          <w:sz w:val="28"/>
          <w:sz w:val="28"/>
          <w:szCs w:val="28"/>
          <w:rtl w:val="true"/>
          <w:lang w:bidi="ar-SA"/>
        </w:rPr>
        <w:t>مقابلا في الماليّة لثلثي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يبذل في مقابله نقدا ضعف الموصى به لكونه 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 كلماتهم على غير هذه الصورة؛ لأنّ دليل الحكم لا يفي بالعموم،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بذل المال الحاضر في مقابل الغائب لا ينفي قصور المال عن الماليّة المطلقة، و لا يخرجه من كونه رأسا في معرض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عوضه و صار في اليد استقرّ ملك الموصى به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878087_3804643083"/>
      <w:bookmarkStart w:id="204" w:name="_Toc79"/>
      <w:bookmarkEnd w:id="203"/>
      <w:r>
        <w:rPr>
          <w:rtl w:val="true"/>
        </w:rPr>
        <w:t>[</w:t>
      </w:r>
      <w:r>
        <w:rPr>
          <w:rtl w:val="true"/>
        </w:rPr>
        <w:t>المراد من حضور ضعف الموصى به لدى الورثة</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يشكل الأمر في تعيين معنى حضور ضعف الموصى به من المال</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هل المراد قبضه بالمعنى الرافع للضمان في باب البيع؟ أو يكفي التسلّط على قبضه لعدم المانع، و إن توقّف على إعمال مقدّمات، أو مضيّ زمان يحتمل التلف في أثنائه؟ أو يكفي التسلّط عليه و التقلّب </w:t>
      </w:r>
      <w:r>
        <w:rPr>
          <w:rStyle w:val="FootnoteAnchor"/>
          <w:rtl w:val="true"/>
        </w:rPr>
        <w:footnoteReference w:id="207"/>
      </w:r>
      <w:r>
        <w:rPr>
          <w:rFonts w:ascii="Amiri" w:hAnsi="Amiri" w:eastAsia="Amiri" w:cs="Amiri"/>
          <w:color w:val="111111"/>
          <w:sz w:val="28"/>
          <w:sz w:val="28"/>
          <w:szCs w:val="28"/>
          <w:rtl w:val="true"/>
          <w:lang w:bidi="ar-SA"/>
        </w:rPr>
        <w:t>فيه على غيبته بمعاوضته و التوكيل في التصرّف فيه و إحضاره؟</w:t>
      </w:r>
    </w:p>
    <w:p>
      <w:pPr>
        <w:pStyle w:val="BookText"/>
        <w:rPr/>
      </w:pPr>
      <w:r>
        <w:rPr>
          <w:rFonts w:ascii="Amiri" w:hAnsi="Amiri" w:eastAsia="Amiri" w:cs="Amiri"/>
          <w:color w:val="111111"/>
          <w:sz w:val="28"/>
          <w:sz w:val="28"/>
          <w:szCs w:val="28"/>
          <w:rtl w:val="true"/>
          <w:lang w:bidi="ar-SA"/>
        </w:rPr>
        <w:t>و المعتبر في العوض المبذول عند معاوضته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مقابلا له من غير ملاحظة كونه غائبا في معرض التلف، و أمّا بذل ما يقابله مع هذه الملاحظة فهو الّذي ذكرنا أوّلا عدم الاكتفاء به، و أنّه لا يجعل الغائب مالا حاضرا و لو بمقدار ما يبذل بإزائه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يترتّب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الثابت في ذمّة الغريم الموسر مؤجّلا، المحتمل لإعساره أو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يحصل منه شي‌ء مع تمكّن الوارث من بيعه عليه نقدا، أو مصالحة </w:t>
      </w:r>
      <w:r>
        <w:rPr>
          <w:rStyle w:val="FootnoteAnchor"/>
          <w:rtl w:val="true"/>
        </w:rPr>
        <w:footnoteReference w:id="208"/>
      </w:r>
      <w:r>
        <w:rPr>
          <w:rFonts w:ascii="Amiri" w:hAnsi="Amiri" w:eastAsia="Amiri" w:cs="Amiri"/>
          <w:color w:val="111111"/>
          <w:sz w:val="28"/>
          <w:sz w:val="28"/>
          <w:szCs w:val="28"/>
          <w:rtl w:val="true"/>
          <w:lang w:bidi="ar-SA"/>
        </w:rPr>
        <w:t>مع غيره، و من استيفائه من غير الجنس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ببذل الغريم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حاضرا على الثاني دون الأوّل، و لا يبعد كونه المناط في المسألة، فلو كان مال الميّت في يد وكيل باذل للورثة، لكن الأخذ و التسليم متوقّف </w:t>
      </w:r>
      <w:r>
        <w:rPr>
          <w:rStyle w:val="FootnoteAnchor"/>
          <w:rtl w:val="true"/>
        </w:rPr>
        <w:footnoteReference w:id="209"/>
      </w:r>
      <w:r>
        <w:rPr>
          <w:rFonts w:ascii="Amiri" w:hAnsi="Amiri" w:eastAsia="Amiri" w:cs="Amiri"/>
          <w:color w:val="111111"/>
          <w:sz w:val="28"/>
          <w:sz w:val="28"/>
          <w:szCs w:val="28"/>
          <w:rtl w:val="true"/>
          <w:lang w:bidi="ar-SA"/>
        </w:rPr>
        <w:t>على مقدّمات و مضيّ زمان، كفى ذلك، و المسألة محلّ تأمّل في الجملة</w:t>
      </w:r>
      <w:r>
        <w:rPr>
          <w:rFonts w:eastAsia="Amiri" w:cs="Amiri" w:ascii="Amiri" w:hAnsi="Amiri"/>
          <w:color w:val="111111"/>
          <w:sz w:val="28"/>
          <w:szCs w:val="28"/>
          <w:rtl w:val="true"/>
          <w:lang w:bidi="ar-SA"/>
        </w:rPr>
        <w:t>.</w:t>
      </w:r>
      <w:bookmarkStart w:id="205" w:name="pg2498_30977"/>
    </w:p>
    <w:p>
      <w:pPr>
        <w:pStyle w:val="Heading4"/>
        <w:numPr>
          <w:ilvl w:val="3"/>
          <w:numId w:val="1"/>
        </w:numPr>
        <w:rPr/>
      </w:pPr>
      <w:bookmarkStart w:id="206" w:name="__RefHeading___Toc3878089_3804643083"/>
      <w:bookmarkStart w:id="207" w:name="_Toc80"/>
      <w:bookmarkEnd w:id="205"/>
      <w:bookmarkEnd w:id="206"/>
      <w:r>
        <w:rPr>
          <w:rtl w:val="true"/>
        </w:rPr>
        <w:t>[</w:t>
      </w:r>
      <w:r>
        <w:rPr>
          <w:rtl w:val="true"/>
        </w:rPr>
        <w:t>فرع</w:t>
      </w:r>
      <w:r>
        <w:rPr>
          <w:rtl w:val="true"/>
        </w:rPr>
        <w:t>]</w:t>
      </w:r>
      <w:bookmarkEnd w:id="207"/>
    </w:p>
    <w:p>
      <w:pPr>
        <w:pStyle w:val="Heading5"/>
        <w:numPr>
          <w:ilvl w:val="4"/>
          <w:numId w:val="1"/>
        </w:numPr>
        <w:rPr/>
      </w:pPr>
      <w:bookmarkStart w:id="208" w:name="__RefHeading___Toc3878091_3804643083"/>
      <w:bookmarkStart w:id="209" w:name="_Toc81"/>
      <w:bookmarkEnd w:id="208"/>
      <w:r>
        <w:rPr>
          <w:rtl w:val="true"/>
        </w:rPr>
        <w:t>[</w:t>
      </w:r>
      <w:r>
        <w:rPr>
          <w:rtl w:val="true"/>
        </w:rPr>
        <w:t>الوصية بثلث مال مع اعتقاد الموصي تملك الكل</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بثلث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معتقدا لتملّك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ثلثاه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الوصيّة إلى 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اعتقاد ملك الجميع موجبا لتقييد الموصى به بالوصف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ثلث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باعتقاده، حتّى ينحصر الوصيّة في ثلث الثلث، و ليست الوصيّة المذكورة وصيّة للورثة بثلثيه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المستحقّ عليها، بل استحقاق الورثة من حيث استحقاق ما يبقى بعد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المانع شيئا آخر، و هو أنّ الثلث اسم للكسر المشاع، فإذا أضيف إلى الملك،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الدار، فليس في مقابله إلّا الثلثان الآخران، و أمّا تعيّنه لمالك أو باعتبار خصوصيّة أخرى، فهو ملغى فيه، و هو مشاع من هذه الجهات، بمعنى اشتراكه مع الثلثين من هذه الجهات، و إلّا لخرج عن فرض الإشاعة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 ثلث المال لزيد، و ثلثه لعمرو، و ثلثه لبكر، فإذا أطلق ثلث المال، فالمراد ثلث مشاع في هذه الخصوصيّات، موزّعة على الكلّ بحسب</w:t>
      </w:r>
    </w:p>
    <w:p>
      <w:pPr>
        <w:pStyle w:val="BookText"/>
        <w:rPr/>
      </w:pPr>
      <w:r>
        <w:rPr>
          <w:rFonts w:ascii="Amiri" w:hAnsi="Amiri" w:eastAsia="Amiri" w:cs="Amiri"/>
          <w:color w:val="111111"/>
          <w:sz w:val="28"/>
          <w:sz w:val="28"/>
          <w:szCs w:val="28"/>
          <w:rtl w:val="true"/>
          <w:lang w:bidi="ar-SA"/>
        </w:rPr>
        <w:t>الإفراز، بحيث لو بيع فضولا ثلث مطلق من ذلك المال فأجاز الكلّ، خرج عن ملك كلّ واحد ثلثه، فأخذ ثلث الثمن، أو ادّعى أحد ثلث هذا الشي‌ء،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دعواك على أيّ واحد من هذه الأشخاص؟ أو أخبر البيّنة، أو صادق بأنّ ثلثه لفلان، لم يكن توزيعه على الكلّ لأجل عدم المرجّح، بل بحكم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هذه الأفراد كالنكرة؛ لأنّها مشاعة، و هذا مشاع في الأجزاء، و إلّا لم يصحّ بيعه كالنكرة 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فرد يطلق عليه الثلث فمعناه أنّه بمقدار ذلك الكسر المشاع، لا أنّه فرد منه كالنكرة، فالثلث المشاع من حيث إشاعته ليس نكرة و لا جنسا، فحينئذ الوصيّة بالثلث المشاع من العبد نظير بيع الثلث المشاع و هبته إذا فرضنا أنّه لا يستحقّ إلّا ثلثا، في أنّه لا يختص بحسب اللّفظ بثلثه؛ لأنّه مصداق له كما يتوهّم، بل المبيع و الموصى به و الموهوب مشاع في ما له في الواقع و ما ليس له، فيمضي في حصّته ممّا يخصّه عند التوزيع؛ لما عرفت من أنّ كلّ خصوصية يضاف إليه الثلث إذا أطلق الثلث يكون مشاعا في ذلك المضاف و في مقابله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لم يعلّل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تعرّض لمسألة ما لو باع مستحق النصف نصفا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بانصرافه إلى نصفه المختصّ بكون المبيع مطبقا على ما يستحقّه، عدا بعض المعاصرين </w:t>
      </w:r>
      <w:r>
        <w:rPr>
          <w:rStyle w:val="FootnoteAnchor"/>
          <w:rtl w:val="true"/>
        </w:rPr>
        <w:footnoteReference w:id="210"/>
      </w:r>
      <w:r>
        <w:rPr>
          <w:rFonts w:ascii="Amiri" w:hAnsi="Amiri" w:eastAsia="Amiri" w:cs="Amiri"/>
          <w:color w:val="111111"/>
          <w:sz w:val="28"/>
          <w:sz w:val="28"/>
          <w:szCs w:val="28"/>
          <w:rtl w:val="true"/>
          <w:lang w:bidi="ar-SA"/>
        </w:rPr>
        <w:t>، و إنّما ذكر بعضهم كجامع المقاصد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اللفظ الإشاعة في نصيبه و نصيب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القرينة قائمة في البيع على أنّ الإنسان لا يبيع غالبا مال</w:t>
      </w:r>
    </w:p>
    <w:p>
      <w:pPr>
        <w:pStyle w:val="BookText"/>
        <w:rPr/>
      </w:pPr>
      <w:r>
        <w:rPr>
          <w:rFonts w:ascii="Amiri" w:hAnsi="Amiri" w:eastAsia="Amiri" w:cs="Amiri"/>
          <w:color w:val="111111"/>
          <w:sz w:val="28"/>
          <w:sz w:val="28"/>
          <w:szCs w:val="28"/>
          <w:rtl w:val="true"/>
          <w:lang w:bidi="ar-SA"/>
        </w:rPr>
        <w:t xml:space="preserve">غيره، بخلاف الإقرار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عبارة فخر الدين في الإيضاح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أوهم غير ذلك، إلّا أنّ محصّله يرجع إلى ما ذكره في جامع المقاصد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لكنّك خبير بأنّ ما ذكرنا من المانع المقتضي لشياع الثلث الموصى به في ثلثه و ثلثي شريكه، إنّما هو إذا فرض علم الموصي باستحقاق الغير، حتّى يمكن إرجاع الموصى به إلى المشاع، و حينئذ فلا بدّ من دعوى انصراف إطلاق الثلث إلى ما يخصّ به دون الشائع في حصّته و حصّة غيره، كما في مسألة بيع مالك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يعلم بذلك، و اعتقد الموصي استحقاقه للجميع، فالموصى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الثلث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ما يبقى له بعد ظهور استحقاق الغير، إذ لم يكن لهذا الثلث المملوك للموصي خصوصيّة من حيث المالك يمتاز بها عن ثلثي الغير، حتّى يكون الثلث الموصى به مشاعا فيه و في الثلثين، فإنّ الموصى به ثلث مشاع في جميع العبد، و هذا الباقي أيضا ثلث مشاع في جميع العبد، و لم يكن الموصى به مشاعا في هذا الباقي و غيره، ليتغاير هذا الباقي من حيث الإشاعة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لو باع معتقدا استحقاق الكلّ نصفا مشاعا، ثمّ تبيّن استحقاق النصف للغير، فإنّه لا ينبغي أن يحتمل هنا كون المبيع ربعا منه و ربعا من شريكه، و لذا علّل الحكم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الثلث الباقي كلّه موصى</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213"/>
      </w:r>
      <w:r>
        <w:rPr>
          <w:rFonts w:ascii="Amiri" w:hAnsi="Amiri" w:eastAsia="Amiri" w:cs="Amiri"/>
          <w:color w:val="111111"/>
          <w:sz w:val="28"/>
          <w:sz w:val="28"/>
          <w:szCs w:val="28"/>
          <w:rtl w:val="true"/>
          <w:lang w:bidi="ar-SA"/>
        </w:rPr>
        <w:t>، 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يصدق على الباقي أنّه ثلث عبده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تعبير المصنّف قدّس سرّه عن الحكم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الظاهر في كون ذلك خلاف مقتضى اللّفظ، ثمّ العدول عن تعليل ذلك ببقاء مصداق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تحصيلا لإمكان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إرادة معنى يمكن معه العمل بالوصيّة، ربّما يشعر بكون مقتضى ظاهر اللفظ الإشاعة، إلّا أنّه ينبغي حمل الموصى به على ثلث من أثلاث العبد، نظير الفرد من الكلّي، و لا إشكال في وجوب دفع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حكاه في التذكرة عن بعض العامّة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قولين، أظهرهما أنّ له الثلث الباقي، لأنّ المقصود إرفاق الموصى له، فإذا أوصى بما احتمله الثلث أمكن رعاية غرضه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الموصي وصول ثلث من العبد إلى الموصى له، و هو معنى إرادة ثلث من أثلاث العبد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عن أبي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الثلث من الباقي، لأنّ الوصية بالثلث الشائع في الكلّ، فإذا خرج الثلثان بالاستحقاق للغير بقيت الوصيّة في الثلث من الباقي، و هو تسع الكلّ</w:t>
      </w:r>
      <w:r>
        <w:rPr>
          <w:rFonts w:eastAsia="Amiri" w:cs="Amiri" w:ascii="Amiri" w:hAnsi="Amiri"/>
          <w:color w:val="111111"/>
          <w:sz w:val="28"/>
          <w:szCs w:val="28"/>
          <w:rtl w:val="true"/>
          <w:lang w:bidi="ar-SA"/>
        </w:rPr>
        <w:t>.</w:t>
      </w:r>
      <w:bookmarkStart w:id="210" w:name="pg2498_30981"/>
    </w:p>
    <w:p>
      <w:pPr>
        <w:pStyle w:val="BookText"/>
        <w:rPr/>
      </w:pPr>
      <w:bookmarkEnd w:id="210"/>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 له الثلث من الباقي، و حمل الأوّل على ما إذا لم يتلفّظ بلفظ الثلث، كما لو أوصى بعشرة من ثلاثين شاة، أو على ما إذا أوصى بأحد أثلاث العبد المعيّن، أو على ما إذا أوصى بثلث معيّن من الدار فاستحقّ باقيها، أو على ما إذا اشترى ثلثها من زيد و ثلثيها من عمرو فأوصى بما اشتراه من زيد و خرج ما اشتراه من عمرو مستحقّا، فإنّ في هذه الصور يكون للموصى له تمام الثلث الباقي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Heading5"/>
        <w:numPr>
          <w:ilvl w:val="4"/>
          <w:numId w:val="1"/>
        </w:numPr>
        <w:rPr/>
      </w:pPr>
      <w:bookmarkStart w:id="211" w:name="__RefHeading___Toc3878093_3804643083"/>
      <w:bookmarkStart w:id="212" w:name="_Toc82"/>
      <w:bookmarkEnd w:id="211"/>
      <w:r>
        <w:rPr>
          <w:rtl w:val="true"/>
        </w:rPr>
        <w:t>[</w:t>
      </w:r>
      <w:r>
        <w:rPr>
          <w:rtl w:val="true"/>
        </w:rPr>
        <w:t>الوصية بما يصدق على المحلل و المحرم</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بما يقع اسمه على المحلّل و المحرّم، انصرف إلى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أوصى بعود من عيدانه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تعليله في جملة من الكتب بما ذكره المصنّف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تحصينا لقصد المسلم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شي‌ء، إن لم يرجع إلى دعوى غلبة إرادة هذا الفرد من لفظ الكلّي؛ لأنّ مجرّد تحصين المسلم عن قصد المحرّم لا يصير قرينة مبيّنة للّفظ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وجوب الحكم بأنّه لم يوص بالمحرّم، و التحصين يحصل بهذا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أوصى بمحلّل، فلا دليل عليه، كما لو تردّد كلام المسلم بين كونه قذفا للمخاطب، أو إقرارا له، أو تسليما عليه، فإنّ وجوب التحصين لا يوجب الحكم بكون الكلام إقرارا للمخاطب ليطالبه بالمقرّ به، أو تسليما فيجب عليه ردّ سلامه،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حمل أمر المسلم على الصحيح مرجعه إلى ظاهر حال المسلم، فهو من قبيل الأمارة الاجتهادية المعتبرة، الصالحة لبيان المجمل، لا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يعارض الظواهر اللفظيّة، فلو كان ظاهر اللفظ هو المحرّم لم يصرف عنه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بما يقع اسمه على المحلّل و المحرّم، و لم ينصّ على أحدهما بل أطلق، صرف إلى المحلّل، ميلا إلى صحيح الوصيّة؛ لأنّ الموصي يقصد حيازة الثواب، و الظاهر أنّه يقصد ما تصحّ الوصيّة به، و لأنّ الظاهر من حال المسلم صحّة تصرّفاته، فيحمل مطلقه عليها عملا بالظاهر، و عدولا عن غيره، و صونا لكلام العاقل عن اللّغو، و له عن التصرّف الفاسد و المنهي عنه شرعا </w:t>
      </w:r>
      <w:r>
        <w:rPr>
          <w:rStyle w:val="FootnoteAnchor"/>
          <w:rtl w:val="true"/>
        </w:rPr>
        <w:footnoteReference w:id="2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دلالة على أنّه إذا نصّ على المحرّم، بأن صرّح بعود اللهو مثلا، بطلت الوصيّة، و لا يصرف عن ظاهره إلى المحلّل من جهة فعل المسلم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الفرق بين الظهور الوضعي، و الظهور الانصرافي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المطلقات أو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غلبة الاستعمال، فيلغى هذا الظهور إذا وقع اللفظ في مقام لا يقتضي حال المسلم إرادة ذلك المعنى، بل يكون الغالب في هذه المقامات إرادة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استعمال هذا اللفظ في المحرّم معارضة بغلبة إرادة المحلّل في مقام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عودا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فرضنا أنّ لفظ العود ينصرف إلى عود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يشترى له عود لهو إن أمكن الانتفاع به منفعة مباحة و لو برضاضه، و بالجملة يشترى</w:t>
      </w:r>
    </w:p>
    <w:p>
      <w:pPr>
        <w:pStyle w:val="BookText"/>
        <w:rPr/>
      </w:pPr>
      <w:r>
        <w:rPr>
          <w:rFonts w:ascii="Amiri" w:hAnsi="Amiri" w:eastAsia="Amiri" w:cs="Amiri"/>
          <w:color w:val="111111"/>
          <w:sz w:val="28"/>
          <w:sz w:val="28"/>
          <w:szCs w:val="28"/>
          <w:rtl w:val="true"/>
          <w:lang w:bidi="ar-SA"/>
        </w:rPr>
        <w:t>له ما لو كان موجودا في ماله لنفذت الوصيّة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يفرض له منفعة مباحة مطلقا، احتمل صرفه إلى المجاز كعود البناء و القسيّ </w:t>
      </w:r>
      <w:r>
        <w:rPr>
          <w:rStyle w:val="FootnoteAnchor"/>
          <w:rtl w:val="true"/>
        </w:rPr>
        <w:footnoteReference w:id="220"/>
      </w:r>
      <w:r>
        <w:rPr>
          <w:rFonts w:ascii="IRNazanin" w:hAnsi="IRNazanin" w:eastAsia="IRNazanin"/>
          <w:color w:val="111111"/>
          <w:sz w:val="28"/>
          <w:sz w:val="28"/>
          <w:szCs w:val="28"/>
          <w:rtl w:val="true"/>
          <w:lang w:bidi="fa-IR"/>
        </w:rPr>
        <w:t xml:space="preserve">، و البطلان على بعد </w:t>
      </w:r>
      <w:r>
        <w:rPr>
          <w:rStyle w:val="FootnoteAnchor"/>
          <w:rtl w:val="true"/>
        </w:rPr>
        <w:footnoteReference w:id="2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عود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 عدم إمكان الانتفاع به و لا برضاضه </w:t>
      </w:r>
      <w:r>
        <w:rPr>
          <w:rStyle w:val="FootnoteAnchor"/>
          <w:rtl w:val="true"/>
        </w:rPr>
        <w:footnoteReference w:id="222"/>
      </w:r>
      <w:r>
        <w:rPr>
          <w:rFonts w:ascii="Amiri" w:hAnsi="Amiri" w:eastAsia="Amiri" w:cs="Amiri"/>
          <w:color w:val="111111"/>
          <w:sz w:val="28"/>
          <w:sz w:val="28"/>
          <w:szCs w:val="28"/>
          <w:rtl w:val="true"/>
          <w:lang w:bidi="ar-SA"/>
        </w:rPr>
        <w:t>منفعة محلّلة بطل الوصية إجماعا؛ لعدم إمكان العمل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بالعنوان الموصى به غير قابل للتمليك، و لذا يبطل بيعه، و بغير هذا العنوان غير موصى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كون الموصى به ملكا ممنوع، بل يكفي قابليته لصيرورته ملكا و لو بالتغيير و الكسر، كالخمر المتخذ للتخليل، و الجرو القابل للتعليم، بل هو ملك بالفعل من حيث مادّته، و لذا لو أحرق ضمن قيمة الرّضاض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بيعه بشرط الكسر ممنوع، مع ما علم من أوسعيّة دائرة الوصيّة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فالجواز مع قصد الرّضاض بالوصيّة قويّ، وفاقا لجماعة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إخراج هذا الفرد عن محلّ الكلام، بل الكلام فيما لو لم يقصد المحرّم</w:t>
      </w:r>
      <w:bookmarkStart w:id="213" w:name="pg2498_30984"/>
    </w:p>
    <w:p>
      <w:pPr>
        <w:pStyle w:val="BookText"/>
        <w:rPr/>
      </w:pPr>
      <w:bookmarkEnd w:id="213"/>
      <w:r>
        <w:rPr>
          <w:rFonts w:ascii="Amiri" w:hAnsi="Amiri" w:eastAsia="Amiri" w:cs="Amiri"/>
          <w:color w:val="111111"/>
          <w:sz w:val="28"/>
          <w:sz w:val="28"/>
          <w:szCs w:val="28"/>
          <w:rtl w:val="true"/>
          <w:lang w:bidi="ar-SA"/>
        </w:rPr>
        <w:t>و لا المحلّل؛ لإمكان العمل بالوصيّة حينئذ فيجب، بل يظهر من العلّامة أنّ الصحّة في هذه الصورة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المحرّمة إن لم يفرض لها منفعة محترمة بطلت الوصيّة إجماعا، كما لو أوصى بمال في إعانة ظالم على ظلمه، أو فاسق على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 لها منفعة محلّلة، أمّا مع بقاء عينها على صفاتها الموجودة حال الوصيّة، أو بعد زوال صفاتها، صحّت الوصيّة إجماعا؛ لعدم انحصار المنفعة في المحرّم، و الأصل حمل تصرّفات المسلم على الصحّة </w:t>
      </w:r>
      <w:r>
        <w:rPr>
          <w:rStyle w:val="FootnoteAnchor"/>
          <w:rtl w:val="true"/>
        </w:rPr>
        <w:footnoteReference w:id="2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يلوح من عبارته أنّ وجه الصحّة حمل الوصيّة على قصد الموصي المنفعة المحلّلة، كما لو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بعضهم هنا قول ثالث، و هو أنّه لو أمكن تغييره إلى المحلّل مع بقاء الاسم، صحّت الوصيّة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تزال عنه الصفة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يكن فيه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المنفعة </w:t>
      </w:r>
      <w:r>
        <w:rPr>
          <w:rStyle w:val="FootnoteAnchor"/>
          <w:rtl w:val="true"/>
        </w:rPr>
        <w:footnoteReference w:id="226"/>
      </w:r>
      <w:r>
        <w:rPr>
          <w:rFonts w:ascii="Amiri" w:hAnsi="Amiri" w:eastAsia="Amiri" w:cs="Amiri"/>
          <w:color w:val="111111"/>
          <w:sz w:val="28"/>
          <w:sz w:val="28"/>
          <w:szCs w:val="28"/>
          <w:rtl w:val="true"/>
          <w:lang w:bidi="ar-SA"/>
        </w:rPr>
        <w:t>المحرّمة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الانتفاع برضاضها بعد الكسر؛ لعدم إمكان العمل بالوصيّة، و المفروض أنّه لم يقصد الرّضاض، و إعطاؤه بعد الرض ليس عملا بالوصيّة، و لذا لو رضّه الموصي في حياته كان ذلك رجوعا إجماعا؛ لزوال الاسم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878095_3804643083"/>
      <w:bookmarkStart w:id="215" w:name="_Toc83"/>
      <w:bookmarkEnd w:id="214"/>
      <w:r>
        <w:rPr>
          <w:rtl w:val="true"/>
        </w:rPr>
        <w:t>[</w:t>
      </w:r>
      <w:r>
        <w:rPr>
          <w:rtl w:val="true"/>
        </w:rPr>
        <w:t>صحة الوصية بالكلاب المملوكة</w:t>
      </w:r>
      <w:r>
        <w:rPr>
          <w:rtl w:val="true"/>
        </w:rPr>
        <w:t>]</w:t>
      </w:r>
      <w:bookmarkEnd w:id="2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الوصيّة بالكلاب المملوكة ككلب الصّيد و الماشية و الحائط</w:t>
      </w:r>
    </w:p>
    <w:p>
      <w:pPr>
        <w:pStyle w:val="BookText"/>
        <w:rPr/>
      </w:pPr>
      <w:r>
        <w:rPr>
          <w:rFonts w:ascii="Amiri" w:hAnsi="Amiri" w:eastAsia="Amiri" w:cs="Amiri"/>
          <w:color w:val="111111"/>
          <w:sz w:val="28"/>
          <w:sz w:val="28"/>
          <w:szCs w:val="28"/>
          <w:rtl w:val="true"/>
          <w:lang w:bidi="ar-SA"/>
        </w:rPr>
        <w:t>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التذكرة </w:t>
      </w:r>
      <w:r>
        <w:rPr>
          <w:rStyle w:val="FootnoteAnchor"/>
          <w:rtl w:val="true"/>
        </w:rPr>
        <w:footnoteReference w:id="227"/>
      </w:r>
      <w:r>
        <w:rPr>
          <w:rFonts w:ascii="Amiri" w:hAnsi="Amiri" w:eastAsia="Amiri" w:cs="Amiri"/>
          <w:color w:val="111111"/>
          <w:sz w:val="28"/>
          <w:sz w:val="28"/>
          <w:szCs w:val="28"/>
          <w:rtl w:val="true"/>
          <w:lang w:bidi="ar-SA"/>
        </w:rPr>
        <w:t>، و الجرو القابل للتعليم و إن لم نقل بالملك، إذ يكفي في صحّة الوصيّة حقّ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الوصيّة بما يحلّ الانتفاع به من النجاسات كالكلب المعلّم، و الزيت النّجس؛ لاشتعاله تحت السّماء، و الزبل النجس؛ للاشتعال و التسميد به، و جلد الميتة إن سوّغنا الانتفاع به، و الخمر المحترمة؛ لثبوت الاختصاص فيها، و انتقالها من يد إلى يد بالإرث و غيره، و شحم الميتة؛ لتدهين السفن إن سوّغنا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أوصى بأحد هذه التي لا تملك، فإن لم يكن له سواه اعتبر ثلثه، و إن كان له مال سواه، فأقوى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يفرض له قيمة بحسب رغبات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وجوه أخر</w:t>
      </w:r>
      <w:r>
        <w:rPr>
          <w:rFonts w:eastAsia="Amiri" w:cs="Amiri" w:ascii="Amiri" w:hAnsi="Amiri"/>
          <w:color w:val="111111"/>
          <w:sz w:val="28"/>
          <w:szCs w:val="28"/>
          <w:rtl w:val="true"/>
          <w:lang w:bidi="ar-SA"/>
        </w:rPr>
        <w:t>.</w:t>
      </w:r>
      <w:bookmarkStart w:id="216" w:name="pg2498_30986"/>
    </w:p>
    <w:p>
      <w:pPr>
        <w:pStyle w:val="Heading3"/>
        <w:numPr>
          <w:ilvl w:val="2"/>
          <w:numId w:val="1"/>
        </w:numPr>
        <w:rPr/>
      </w:pPr>
      <w:bookmarkStart w:id="217" w:name="__RefHeading___Toc3878097_3804643083"/>
      <w:bookmarkStart w:id="218" w:name="_Toc84"/>
      <w:bookmarkEnd w:id="216"/>
      <w:bookmarkEnd w:id="217"/>
      <w:r>
        <w:rPr>
          <w:rtl w:val="true"/>
        </w:rPr>
        <w:t>[</w:t>
      </w:r>
      <w:r>
        <w:rPr>
          <w:rtl w:val="true"/>
        </w:rPr>
        <w:t>الطرف الثاني في الوصية المبهمة</w:t>
      </w:r>
      <w:r>
        <w:rPr>
          <w:rtl w:val="true"/>
        </w:rPr>
        <w:t>]</w:t>
      </w:r>
      <w:bookmarkEnd w:id="218"/>
    </w:p>
    <w:p>
      <w:pPr>
        <w:pStyle w:val="Heading4"/>
        <w:numPr>
          <w:ilvl w:val="3"/>
          <w:numId w:val="1"/>
        </w:numPr>
        <w:rPr/>
      </w:pPr>
      <w:bookmarkStart w:id="219" w:name="__RefHeading___Toc3878099_3804643083"/>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الطرف الثاني </w:t>
      </w:r>
      <w:r>
        <w:rPr>
          <w:rStyle w:val="FootnoteAnchor"/>
          <w:rtl w:val="true"/>
        </w:rPr>
        <w:footnoteReference w:id="229"/>
      </w:r>
      <w:r>
        <w:rPr>
          <w:rFonts w:ascii="Amiri" w:hAnsi="Amiri" w:eastAsia="Amiri" w:cs="Amiri"/>
          <w:color w:val="111111"/>
          <w:sz w:val="28"/>
          <w:sz w:val="28"/>
          <w:szCs w:val="28"/>
          <w:rtl w:val="true"/>
          <w:lang w:bidi="ar-SA"/>
        </w:rPr>
        <w:t>في الوصية المبهمة من أوصى بجزء من ماله، فيه روايتان، أشهرهما العشر، و في رواية سبع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بسهم، كان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بشي‌ء، كان سدسا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بوجوه، فنسي الوصي وجها، جعله في وجوه البرّ،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بسيف معين و هو في جفن، دخل الجفن و الحلية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أوصى بصندوق و فيه ثياب، أو سفينة و فيها متاع، أو جراب و فيه قماش، فإن الوعاء و ما فيه داخل في الوصية، و فيه قول آخر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بإخراج بعض ولده من تركته،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يلغو اللفظ؟</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تردد بين البطلان، و بين إجرائه مجرى من أوصى بجميع ماله لمن عدا الولد، فتمضى في الثلث، و يكون للمخرج نصيبه من الباقي، بموجب</w:t>
      </w:r>
      <w:bookmarkStart w:id="221" w:name="pg2498_30987"/>
    </w:p>
    <w:p>
      <w:pPr>
        <w:pStyle w:val="BookText"/>
        <w:rPr/>
      </w:pPr>
      <w:bookmarkEnd w:id="221"/>
      <w:r>
        <w:rPr>
          <w:rFonts w:ascii="Amiri" w:hAnsi="Amiri" w:eastAsia="Amiri" w:cs="Amiri"/>
          <w:color w:val="111111"/>
          <w:sz w:val="28"/>
          <w:sz w:val="28"/>
          <w:szCs w:val="28"/>
          <w:rtl w:val="true"/>
          <w:lang w:bidi="ar-SA"/>
        </w:rPr>
        <w:t>الفريضة، و الوجه الأوّل، و فيه رواية بوجه آخر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بلفظ مجمل لم يفسره الشرع، رجع في تفسيره إلى الوارث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حظا من مالي أو قسطا أو نصيبا أو قليلا أو يسيرا أو جليلا أو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كثيرا،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ثمانين درهما كما في النذر،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التفسير بالنذر اقتصارا على موضع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بما دون الثلث أفضل، حتى أنّها بالربع أفضل من الثلث، و بالخمس أفضل من الربع</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878101_3804643083"/>
      <w:bookmarkStart w:id="223" w:name="_Toc86"/>
      <w:bookmarkEnd w:id="222"/>
      <w:r>
        <w:rPr>
          <w:rtl w:val="true"/>
        </w:rPr>
        <w:t>[</w:t>
      </w:r>
      <w:r>
        <w:rPr>
          <w:rtl w:val="true"/>
        </w:rPr>
        <w:t>تفريع</w:t>
      </w:r>
      <w:r>
        <w:rPr>
          <w:rtl w:val="true"/>
        </w:rPr>
        <w:t>]</w:t>
      </w:r>
      <w:bookmarkEnd w:id="2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 إذا عين الموصى له شيئا، و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الموصي قصده من هذه الألفاظ، و أنكر الوارث، كان القول قول الوارث مع يمينه، إن ادعى عليه العلم و إلّا فلا يمين</w:t>
      </w:r>
      <w:r>
        <w:rPr>
          <w:rFonts w:eastAsia="Amiri" w:cs="Amiri" w:ascii="Amiri" w:hAnsi="Amiri"/>
          <w:color w:val="111111"/>
          <w:sz w:val="28"/>
          <w:szCs w:val="28"/>
          <w:rtl w:val="true"/>
          <w:lang w:bidi="ar-SA"/>
        </w:rPr>
        <w:t>.</w:t>
      </w:r>
      <w:bookmarkStart w:id="224" w:name="pg2498_30988"/>
    </w:p>
    <w:p>
      <w:pPr>
        <w:pStyle w:val="Heading3"/>
        <w:numPr>
          <w:ilvl w:val="2"/>
          <w:numId w:val="1"/>
        </w:numPr>
        <w:rPr/>
      </w:pPr>
      <w:bookmarkStart w:id="225" w:name="__RefHeading___Toc3878103_3804643083"/>
      <w:bookmarkStart w:id="226" w:name="_Toc87"/>
      <w:bookmarkEnd w:id="224"/>
      <w:bookmarkEnd w:id="225"/>
      <w:r>
        <w:rPr>
          <w:rtl w:val="true"/>
        </w:rPr>
        <w:t>[</w:t>
      </w:r>
      <w:r>
        <w:rPr>
          <w:rtl w:val="true"/>
        </w:rPr>
        <w:t>الطرف الثالث في أحكام الوصيّة</w:t>
      </w:r>
      <w:r>
        <w:rPr>
          <w:rtl w:val="true"/>
        </w:rPr>
        <w:t>]</w:t>
      </w:r>
      <w:bookmarkEnd w:id="226"/>
    </w:p>
    <w:p>
      <w:pPr>
        <w:pStyle w:val="Heading4"/>
        <w:numPr>
          <w:ilvl w:val="3"/>
          <w:numId w:val="1"/>
        </w:numPr>
        <w:rPr/>
      </w:pPr>
      <w:bookmarkStart w:id="227" w:name="__RefHeading___Toc3878105_3804643083"/>
      <w:bookmarkStart w:id="228" w:name="_Toc88"/>
      <w:bookmarkEnd w:id="227"/>
      <w:r>
        <w:rPr>
          <w:rtl w:val="true"/>
        </w:rPr>
        <w:t>اشارة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الطرف الثالث </w:t>
      </w:r>
      <w:r>
        <w:rPr>
          <w:rStyle w:val="FootnoteAnchor"/>
          <w:rtl w:val="true"/>
        </w:rPr>
        <w:footnoteReference w:id="231"/>
      </w:r>
      <w:r>
        <w:rPr>
          <w:rFonts w:ascii="Amiri" w:hAnsi="Amiri" w:eastAsia="Amiri" w:cs="Amiri"/>
          <w:color w:val="111111"/>
          <w:sz w:val="28"/>
          <w:sz w:val="28"/>
          <w:szCs w:val="28"/>
          <w:rtl w:val="true"/>
          <w:lang w:bidi="ar-SA"/>
        </w:rPr>
        <w:t>في أحكام الوصيّة إذا أوصى بوصية، ثم أوصى بأخرى مضادة للأولى، عمل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بحمل، فجاءت به لأقل من ستة أشهر، صحت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لعشرة أشهر من حين الوصية،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جاءت لمدة بين الستة و العشرة، و كانت خالية من مولى و زوج، حكم به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لها زوج أو مولى، لم يحكم به للموصى له، لاحتمال توهّم الحمل في حال الوصية و تجدده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 هذه ذكر فله درهمان، و إن كان أنثى فلها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ذكر و أنثى، كان لهما ثلاثة دراهم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في بطنها ذكر فكذا، و إن كان أنثى فكذا، فخرج ذكر و أنثى لم يكن لهما شي‌ء</w:t>
      </w:r>
      <w:r>
        <w:rPr>
          <w:rFonts w:eastAsia="Amiri" w:cs="Amiri" w:ascii="Amiri" w:hAnsi="Amiri"/>
          <w:color w:val="111111"/>
          <w:sz w:val="28"/>
          <w:szCs w:val="28"/>
          <w:rtl w:val="true"/>
          <w:lang w:bidi="ar-SA"/>
        </w:rPr>
        <w:t>.</w:t>
      </w:r>
      <w:bookmarkStart w:id="229" w:name="pg2498_30989"/>
    </w:p>
    <w:p>
      <w:pPr>
        <w:pStyle w:val="BookText"/>
        <w:rPr/>
      </w:pPr>
      <w:bookmarkEnd w:id="229"/>
      <w:r>
        <w:rPr>
          <w:rFonts w:ascii="Amiri" w:hAnsi="Amiri" w:eastAsia="Amiri" w:cs="Amiri"/>
          <w:color w:val="111111"/>
          <w:sz w:val="28"/>
          <w:sz w:val="28"/>
          <w:szCs w:val="28"/>
          <w:rtl w:val="true"/>
          <w:lang w:bidi="ar-SA"/>
        </w:rPr>
        <w:t>و تصح الوصية بالحمل و بما تحمله المملوكة 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تصح الوصية بسكنى الدار مدة مستقبلة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4"/>
        <w:numPr>
          <w:ilvl w:val="3"/>
          <w:numId w:val="1"/>
        </w:numPr>
        <w:rPr/>
      </w:pPr>
      <w:bookmarkStart w:id="230" w:name="__RefHeading___Toc3878107_3804643083"/>
      <w:bookmarkStart w:id="231" w:name="_Toc89"/>
      <w:bookmarkEnd w:id="230"/>
      <w:r>
        <w:rPr>
          <w:rtl w:val="true"/>
        </w:rPr>
        <w:t>[</w:t>
      </w:r>
      <w:r>
        <w:rPr>
          <w:rtl w:val="true"/>
        </w:rPr>
        <w:t>صحة الوصية بالمنفعة أو النماء مؤبدا أو مدة معينة</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بخدمة عبد، أو ثمرة بستان، أو سكنى دار، أو غير ذلك</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من فروع الأعيان، منافع كانت أو أعيانا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التأبيد، أو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من غير خلاف؛ لما تقدّم من صحّة الوصيّة بكلّ ما يقبل الانتقال إلى الغير من أموال الموصي أو ما يتعلّق بها، فيكفي في صحّة الوصيّة التسلّط على الموصى به عينا و بدلا، فلا يقدح عدم كون المنافع أموالا حقيقيّة، و لذا لا يؤجر المفلّس، و لا يحصل الاستطاعة من القدرة على إجارة الملك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مرجع هذه إلى الوصيّة باستيفاء هذا النماء من العين، فلو حصل بسبب هذا الاستحقاق نقص في العين بحسب القيمة احتسب من الثلث، و لو فرض صيرورتها بذلك غير مقوّمة احتسب تمام قيمتها من الثلث</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فيما لو فات على الوارث معظم الانتفاع، كالخدمة المؤبّدة مع صلوحه للانتفاع في بعض الجهات، كالعتق فإنّه بمنزلة الحيلولة الموجبة لتمام القيمة، و لذا قيل بتقويم المنفعة و العين كليهما على الموصى له </w:t>
      </w:r>
      <w:r>
        <w:rPr>
          <w:rStyle w:val="FootnoteAnchor"/>
          <w:rtl w:val="true"/>
        </w:rPr>
        <w:footnoteReference w:id="234"/>
      </w:r>
      <w:r>
        <w:rPr>
          <w:rFonts w:ascii="Amiri" w:hAnsi="Amiri" w:eastAsia="Amiri" w:cs="Amiri"/>
          <w:color w:val="111111"/>
          <w:sz w:val="28"/>
          <w:sz w:val="28"/>
          <w:szCs w:val="28"/>
          <w:rtl w:val="true"/>
          <w:lang w:bidi="ar-SA"/>
        </w:rPr>
        <w:t>، نظيره ما لو باع المريض بثمن مؤجّل، فإنّه نصّ في التذكرة على أنّ للورثة أن يفسخوا البيع في ثلثي المبيع و إن باعه المريض بأزيد من ثمن المثل؛ لأنّ</w:t>
      </w:r>
    </w:p>
    <w:p>
      <w:pPr>
        <w:pStyle w:val="BookText"/>
        <w:rPr/>
      </w:pPr>
      <w:r>
        <w:rPr>
          <w:rFonts w:ascii="Amiri" w:hAnsi="Amiri" w:eastAsia="Amiri" w:cs="Amiri"/>
          <w:color w:val="111111"/>
          <w:sz w:val="28"/>
          <w:sz w:val="28"/>
          <w:szCs w:val="28"/>
          <w:rtl w:val="true"/>
          <w:lang w:bidi="ar-SA"/>
        </w:rPr>
        <w:t xml:space="preserve">تفويت يدهم على الثمن كتفويت أصله عليهم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واردة في الوصيّة بإسكان شخص داره مدّة عمره، حيث صرّح فيها بتقويم الدار على الورثة من الثلث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تقويم المنفعة على الموصى له و عدم تقويم العين عليه و لا على الوارث </w:t>
      </w:r>
      <w:r>
        <w:rPr>
          <w:rStyle w:val="FootnoteAnchor"/>
          <w:rtl w:val="true"/>
        </w:rPr>
        <w:footnoteReference w:id="237"/>
      </w:r>
      <w:r>
        <w:rPr>
          <w:rFonts w:ascii="Amiri" w:hAnsi="Amiri" w:eastAsia="Amiri" w:cs="Amiri"/>
          <w:color w:val="111111"/>
          <w:sz w:val="28"/>
          <w:sz w:val="28"/>
          <w:szCs w:val="28"/>
          <w:rtl w:val="true"/>
          <w:lang w:bidi="ar-SA"/>
        </w:rPr>
        <w:t>، أمّا عليه؛ فلعدم انتقاله إليه و إن كان سببا لفوات يد الوارث عنها، و أمّا الوارث فلفوات يده و تحقق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له بخدمة عبد مؤبّدة،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العبد بدون سلب المنفعة منه مائة، و قيمته مسلوب المنفعة عشرة، فالعشرة محسوبة على الوارث على الأوّل، و على الموصى له مضافة إلى التسعين على القول الثاني، و غير محسوبة على أحد على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بمنفعة العين مدّة، ففيه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تقويم نفس المنفعة بأجرة المثل و إخراجها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الشافعيّة، و نسب في جامع المقاصد خلافه إلى الأصحاب </w:t>
      </w:r>
      <w:r>
        <w:rPr>
          <w:rStyle w:val="FootnoteAnchor"/>
          <w:rtl w:val="true"/>
        </w:rPr>
        <w:footnoteReference w:id="238"/>
      </w:r>
      <w:r>
        <w:rPr>
          <w:rFonts w:ascii="Amiri" w:hAnsi="Amiri" w:eastAsia="Amiri" w:cs="Amiri"/>
          <w:color w:val="111111"/>
          <w:sz w:val="28"/>
          <w:sz w:val="28"/>
          <w:szCs w:val="28"/>
          <w:rtl w:val="true"/>
          <w:lang w:bidi="ar-SA"/>
        </w:rPr>
        <w:t xml:space="preserve">، لكنّه يظهر من كلام الشيخ </w:t>
      </w:r>
      <w:r>
        <w:rPr>
          <w:rStyle w:val="FootnoteAnchor"/>
          <w:rtl w:val="true"/>
        </w:rPr>
        <w:footnoteReference w:id="239"/>
      </w:r>
      <w:r>
        <w:rPr>
          <w:rFonts w:ascii="Amiri" w:hAnsi="Amiri" w:eastAsia="Amiri" w:cs="Amiri"/>
          <w:color w:val="111111"/>
          <w:sz w:val="28"/>
          <w:sz w:val="28"/>
          <w:szCs w:val="28"/>
          <w:rtl w:val="true"/>
          <w:lang w:bidi="ar-SA"/>
        </w:rPr>
        <w:t>، بل ربّما يوهمه كلام من عبّر مثل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قوّمت المنفعة، فإن احتمله الثلث و إلّا أخرج ما يحتمله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 جماعة من العامة و الخاصّة بأنّ المنفعة ليست من التركة، و إنّما</w:t>
      </w:r>
    </w:p>
    <w:p>
      <w:pPr>
        <w:pStyle w:val="BookText"/>
        <w:rPr/>
      </w:pPr>
      <w:r>
        <w:rPr>
          <w:rFonts w:ascii="Amiri" w:hAnsi="Amiri" w:eastAsia="Amiri" w:cs="Amiri"/>
          <w:color w:val="111111"/>
          <w:sz w:val="28"/>
          <w:sz w:val="28"/>
          <w:szCs w:val="28"/>
          <w:rtl w:val="true"/>
          <w:lang w:bidi="ar-SA"/>
        </w:rPr>
        <w:t xml:space="preserve">المتروك عين ينتفع بها، و الوصيّة بالمنفعة تصرّف في تلك العين، فيحسب على الموصي ما ينقص من تلك العين، و هي صفة الانتفاع في المدّة المعيّنة، فيقوّم هذا الوصف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 من عبّر بعبارة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الإرشاد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المنفعة قائمة بالعين، فيراد بها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جمع المصنّف قدّس سرّه بهذه العبارة بين حكم المنفعة المؤبّدة و الموقّتة، مع أنّ تقويم المنفعة لا يستقيم في المؤبدة إلّا قائمة بالعين، بمعنى تقويم العين منتفعا بها و مسلوبة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كيفيّة إخراج التفاوت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الموصى له ثلث المنفعة الموصى بها، فله في المؤبّدة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يخلّف غير تلك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المنفعة المؤبّدة، و في الموقتة عشر سنين، ثلثها في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يعطى من منفعة العشر سنين مقدارا يكون التفاوت بين وجودها في العين و سلبها ثلث تفاوت وجود الكلّ و عدمه،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تفاوت وجود الانتفاع ثلاث سنين و عدمه ثلث تفاوت وجود الانتفاع الدائم أو عشر سنين، أعطيه، و لعلّ الأوّل أوضح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الحلّي في السرائر إعطاؤه من المنفعة بقيمة أجرة المثل ما يتحمّله الثلث، فيلاحظ ثلث الميّت، و يعطى من المنفعة مدّة يكون اجرة العين في تلك، ثلث </w:t>
      </w:r>
      <w:r>
        <w:rPr>
          <w:rStyle w:val="FootnoteAnchor"/>
          <w:rtl w:val="true"/>
        </w:rPr>
        <w:footnoteReference w:id="243"/>
      </w:r>
      <w:r>
        <w:rPr>
          <w:rFonts w:ascii="Amiri" w:hAnsi="Amiri" w:eastAsia="Amiri" w:cs="Amiri"/>
          <w:color w:val="111111"/>
          <w:sz w:val="28"/>
          <w:sz w:val="28"/>
          <w:szCs w:val="28"/>
          <w:rtl w:val="true"/>
          <w:lang w:bidi="ar-SA"/>
        </w:rPr>
        <w:t xml:space="preserve">التركة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232" w:name="pg2498_30992"/>
    </w:p>
    <w:p>
      <w:pPr>
        <w:pStyle w:val="BookText"/>
        <w:rPr/>
      </w:pPr>
      <w:bookmarkEnd w:id="232"/>
      <w:r>
        <w:rPr>
          <w:rFonts w:ascii="Amiri" w:hAnsi="Amiri" w:eastAsia="Amiri" w:cs="Amiri"/>
          <w:color w:val="111111"/>
          <w:sz w:val="28"/>
          <w:sz w:val="28"/>
          <w:szCs w:val="28"/>
          <w:rtl w:val="true"/>
          <w:lang w:bidi="ar-SA"/>
        </w:rPr>
        <w:t>و هو في محلّه؛ لأنّ الموصي إنّما يحسب عليه ما فات على الورثة، و هو قيمة التفاوت، لا ما يحصل من ذلك بعد صيرورته للموصى له، فإنّ الموصى له إنّما يصير مالكا للمنفعة المقوّمة بأجرة المثل بسبب سلطنته على العين في المدّة بمقتضى الوصيّة، لا لأنّ هذا المال المقوّم بأجرة المثل من التركة فات على الورثة فيحسب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المحسوب من الثلث فيه ما فات من التركة على الورثة، لا قيمة ما تملّكه الموصى له بسبب الوصيّة، فافهم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878109_3804643083"/>
      <w:bookmarkStart w:id="234" w:name="_Toc90"/>
      <w:bookmarkEnd w:id="233"/>
      <w:r>
        <w:rPr>
          <w:rtl w:val="true"/>
        </w:rPr>
        <w:t>[</w:t>
      </w:r>
      <w:r>
        <w:rPr>
          <w:rtl w:val="true"/>
        </w:rPr>
        <w:t>حكم الأعيان المعدومة حكم المنفعة</w:t>
      </w:r>
      <w:r>
        <w:rPr>
          <w:rtl w:val="true"/>
        </w:rPr>
        <w:t>]</w:t>
      </w:r>
      <w:bookmarkEnd w:id="234"/>
    </w:p>
    <w:p>
      <w:pPr>
        <w:pStyle w:val="BookText"/>
        <w:rPr/>
      </w:pPr>
      <w:r>
        <w:rPr>
          <w:rFonts w:ascii="Amiri" w:hAnsi="Amiri" w:eastAsia="Amiri" w:cs="Amiri"/>
          <w:color w:val="111111"/>
          <w:sz w:val="28"/>
          <w:sz w:val="28"/>
          <w:szCs w:val="28"/>
          <w:rtl w:val="true"/>
          <w:lang w:bidi="ar-SA"/>
        </w:rPr>
        <w:t xml:space="preserve">ثمّ إنّ حكم اللّبن و الثمرة من الأعيان المعدومة حكم المنفعة في الاحتمالات المتقدّمة، و ربّما توهم عبارة القواعد تقويم نفس اللبن خاصّة </w:t>
      </w:r>
      <w:r>
        <w:rPr>
          <w:rStyle w:val="FootnoteAnchor"/>
          <w:rtl w:val="true"/>
        </w:rPr>
        <w:footnoteReference w:id="245"/>
      </w:r>
      <w:r>
        <w:rPr>
          <w:rFonts w:ascii="Amiri" w:hAnsi="Amiri" w:eastAsia="Amiri" w:cs="Amiri"/>
          <w:color w:val="111111"/>
          <w:sz w:val="28"/>
          <w:sz w:val="28"/>
          <w:szCs w:val="28"/>
          <w:rtl w:val="true"/>
          <w:lang w:bidi="ar-SA"/>
        </w:rPr>
        <w:t xml:space="preserve">، لكن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تقويم العين هنا على الموصى له كما قيل ذلك في المنفعة؛ لبقاء العين منتفعا بها، و عدم خروجها عن الماليّة لأجل الوصيّة باللبن دائما، كما صرّح به في العبارة، و يتّضح اندفاع هذا التوهم بالتأمّل فيما يفهم من عبارة القواعد فضلا عمّا صرّح به، فافهم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878111_3804643083"/>
      <w:bookmarkStart w:id="236" w:name="_Toc91"/>
      <w:bookmarkEnd w:id="235"/>
      <w:r>
        <w:rPr>
          <w:rtl w:val="true"/>
        </w:rPr>
        <w:t>[</w:t>
      </w:r>
      <w:r>
        <w:rPr>
          <w:rtl w:val="true"/>
        </w:rPr>
        <w:t>حكم استمتاع الموصى له أو الوارث بالجارية الموصى بمنافعها</w:t>
      </w:r>
      <w:r>
        <w:rPr>
          <w:rtl w:val="true"/>
        </w:rPr>
        <w:t>]</w:t>
      </w:r>
      <w:bookmarkEnd w:id="236"/>
    </w:p>
    <w:p>
      <w:pPr>
        <w:pStyle w:val="BookText"/>
        <w:rPr/>
      </w:pPr>
      <w:r>
        <w:rPr>
          <w:rFonts w:ascii="Amiri" w:hAnsi="Amiri" w:eastAsia="Amiri" w:cs="Amiri"/>
          <w:color w:val="111111"/>
          <w:sz w:val="28"/>
          <w:sz w:val="28"/>
          <w:szCs w:val="28"/>
          <w:rtl w:val="true"/>
          <w:lang w:bidi="ar-SA"/>
        </w:rPr>
        <w:t>ثمّ إنّه لا يجوز للموصى له وطء الجارية الموصى له بمنافعها كالجارية المستأجرة؛ لأنّ الاستمتاع منفعة لا يبيحها إلّا ملك العين، أو العقد بقسميه، أو التحليل على وجه خاص، و لو جعلنا التحليل من ملك اليمين، فالمراد به تملّك الانتفاع الخاصّ، و هو الاستمتاع بوجه خاص، و لذا لا يصحّ بلفظ التمليك فضلا عن الإجارة و الإعارة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للوارث أيضا وطؤها، لتعلّق حقّ الغير به، و وطؤها تعريض</w:t>
      </w:r>
      <w:bookmarkStart w:id="237" w:name="pg2498_30993"/>
    </w:p>
    <w:p>
      <w:pPr>
        <w:pStyle w:val="BookText"/>
        <w:rPr/>
      </w:pPr>
      <w:bookmarkEnd w:id="237"/>
      <w:r>
        <w:rPr>
          <w:rFonts w:ascii="Amiri" w:hAnsi="Amiri" w:eastAsia="Amiri" w:cs="Amiri"/>
          <w:color w:val="111111"/>
          <w:sz w:val="28"/>
          <w:sz w:val="28"/>
          <w:szCs w:val="28"/>
          <w:rtl w:val="true"/>
          <w:lang w:bidi="ar-SA"/>
        </w:rPr>
        <w:t xml:space="preserve">للحمل المعرّض للتلف و العجز عن القيام بحقّ الموصى له، كذا قيل </w:t>
      </w:r>
      <w:r>
        <w:rPr>
          <w:rStyle w:val="FootnoteAnchor"/>
          <w:rtl w:val="true"/>
        </w:rPr>
        <w:footnoteReference w:id="246"/>
      </w:r>
      <w:r>
        <w:rPr>
          <w:rFonts w:ascii="Amiri" w:hAnsi="Amiri" w:eastAsia="Amiri" w:cs="Amiri"/>
          <w:color w:val="111111"/>
          <w:sz w:val="28"/>
          <w:sz w:val="28"/>
          <w:szCs w:val="28"/>
          <w:rtl w:val="true"/>
          <w:lang w:bidi="ar-SA"/>
        </w:rPr>
        <w:t>، و فيه نظر لو لم يكن 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عدا الوطء من النظر و اللمس، فالظاهر جوازها للوارث بخلاف الموصى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وطئت هذه الجارية، فإن كان الواطئ أجنبيّا، فلا إشكال في لزوم العقر </w:t>
      </w:r>
      <w:r>
        <w:rPr>
          <w:rStyle w:val="FootnoteAnchor"/>
          <w:rtl w:val="true"/>
        </w:rPr>
        <w:footnoteReference w:id="247"/>
      </w:r>
      <w:r>
        <w:rPr>
          <w:rFonts w:ascii="Amiri" w:hAnsi="Amiri" w:eastAsia="Amiri" w:cs="Amiri"/>
          <w:color w:val="111111"/>
          <w:sz w:val="28"/>
          <w:sz w:val="28"/>
          <w:szCs w:val="28"/>
          <w:rtl w:val="true"/>
          <w:lang w:bidi="ar-SA"/>
        </w:rPr>
        <w:t>، إنّما الكلام في مستحقّه، فإنّ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الوطء ليس حقّا للموصى له، فلا يملك بدله، فهو لمالك العين و إن لم يستحقّ منافعها فهو بمنزلة نفس الجارية لو كانت حرّة، فإنّ بدل وطئها لها، لا لمن يستحقّ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الموصى له و إن لم يستحقّ الاستمتاع بها، إلّا أنّ العقر ليس بدلا حقيقيّا عن الاستمتاع؛ لأنّ منفعة البضع لا يعامل معها معاملة الأموال، فليست مالا و لا حقّا ماليّا، و لذا لا يصالح عنه، و لا يسقط، و لا يستحقّ بعقد غير العقود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جعله الشارع من المال بإزاء الوطء ليس عوضا حقيقيّا عنه حتّى يستحيل دخوله في ملك من لم يستحقّ المعوّض، فهو بمنزلة منفعة جديدة حصلت للموصى بها، و كذا حكم الصداق لو زوّجاها، و ليس لأحدهما الاستقلال بتزويجها كالمرهونة</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878113_3804643083"/>
      <w:bookmarkStart w:id="239" w:name="_Toc92"/>
      <w:bookmarkEnd w:id="238"/>
      <w:r>
        <w:rPr>
          <w:rtl w:val="true"/>
        </w:rPr>
        <w:t>[</w:t>
      </w:r>
      <w:r>
        <w:rPr>
          <w:rtl w:val="true"/>
        </w:rPr>
        <w:t>ولد الجارية الموصى بمنافعها</w:t>
      </w:r>
      <w:r>
        <w:rPr>
          <w:rtl w:val="true"/>
        </w:rPr>
        <w:t>]</w:t>
      </w:r>
      <w:bookmarkEnd w:id="239"/>
    </w:p>
    <w:p>
      <w:pPr>
        <w:pStyle w:val="Heading5"/>
        <w:numPr>
          <w:ilvl w:val="4"/>
          <w:numId w:val="1"/>
        </w:numPr>
        <w:rPr/>
      </w:pPr>
      <w:bookmarkStart w:id="240" w:name="__RefHeading___Toc3878115_3804643083"/>
      <w:bookmarkStart w:id="241" w:name="_Toc93"/>
      <w:bookmarkEnd w:id="240"/>
      <w:r>
        <w:rPr>
          <w:rtl w:val="true"/>
        </w:rPr>
        <w:t>اشارة</w:t>
      </w:r>
      <w:bookmarkEnd w:id="2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أتت بولد من الوارث، فلا إشكال في حرّيته، و في استحقاق</w:t>
      </w:r>
      <w:bookmarkStart w:id="242" w:name="pg2498_30994"/>
    </w:p>
    <w:p>
      <w:pPr>
        <w:pStyle w:val="BookText"/>
        <w:rPr/>
      </w:pPr>
      <w:bookmarkEnd w:id="242"/>
      <w:r>
        <w:rPr>
          <w:rFonts w:ascii="Amiri" w:hAnsi="Amiri" w:eastAsia="Amiri" w:cs="Amiri"/>
          <w:color w:val="111111"/>
          <w:sz w:val="28"/>
          <w:sz w:val="28"/>
          <w:szCs w:val="28"/>
          <w:rtl w:val="true"/>
          <w:lang w:bidi="ar-SA"/>
        </w:rPr>
        <w:t>الموصى له قيمته و 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أتت بولد من الموصى له، فقد ذكروا أنّه أيضا حرّ؛ لأنّه ولد شبهة؛ لزعم الواطئ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الحرمة فالظاهر أنّه زنا و الولد رقّ، و في استحقاق الوارث القيمة عليه الوجهان، و كذا الوجهان في الولد من الأجنبيّ</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878117_3804643083"/>
      <w:bookmarkStart w:id="244" w:name="_Toc94"/>
      <w:bookmarkEnd w:id="243"/>
      <w:r>
        <w:rPr>
          <w:rtl w:val="true"/>
        </w:rPr>
        <w:t>و لو قتل هذا العبد عمدا بطل الوصيّة،</w:t>
      </w:r>
      <w:bookmarkEnd w:id="244"/>
    </w:p>
    <w:p>
      <w:pPr>
        <w:pStyle w:val="BookText"/>
        <w:rPr/>
      </w:pPr>
      <w:r>
        <w:rPr>
          <w:rFonts w:ascii="Amiri" w:hAnsi="Amiri" w:eastAsia="Amiri" w:cs="Amiri"/>
          <w:color w:val="111111"/>
          <w:sz w:val="28"/>
          <w:sz w:val="28"/>
          <w:szCs w:val="28"/>
          <w:rtl w:val="true"/>
          <w:lang w:bidi="ar-SA"/>
        </w:rPr>
        <w:t>و يستحقّ الوارث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خطأ احتمل استحقاق الوارث تمام الدية؛ لانتهاء مدّة الوصيّة بموت الموصى به، و يحتمل تقسيط الدية على الرقبة المسلوبة، و على التفاوت الحاصل بين ذي المنفعة و مسلوبها، و يحتمل أن يشترى بقيمته جارية تكون بدلا عن المقتول</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878119_3804643083"/>
      <w:bookmarkStart w:id="246" w:name="_Toc95"/>
      <w:bookmarkEnd w:id="245"/>
      <w:r>
        <w:rPr>
          <w:rtl w:val="true"/>
        </w:rPr>
        <w:t>و لو جني عليها،</w:t>
      </w:r>
      <w:bookmarkEnd w:id="246"/>
    </w:p>
    <w:p>
      <w:pPr>
        <w:pStyle w:val="BookText"/>
        <w:rPr/>
      </w:pPr>
      <w:r>
        <w:rPr>
          <w:rFonts w:ascii="Amiri" w:hAnsi="Amiri" w:eastAsia="Amiri" w:cs="Amiri"/>
          <w:color w:val="111111"/>
          <w:sz w:val="28"/>
          <w:sz w:val="28"/>
          <w:szCs w:val="28"/>
          <w:rtl w:val="true"/>
          <w:lang w:bidi="ar-SA"/>
        </w:rPr>
        <w:t xml:space="preserve">و لو جني عليها </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يؤثّر في نقص منفعتها فالظاهر أنّ الدية للوارث، و إلّا يقسّط على الرقبة و المنافع، و يحتمل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الموصى له بالخدمة و المنافع، العبد منافعه و خدمته و أسقطهما، كان للورثة الانتفاع به؛ لأنّ ما يوهب للعبد لسيده </w:t>
      </w:r>
      <w:r>
        <w:rPr>
          <w:rStyle w:val="FootnoteAnchor"/>
          <w:rtl w:val="true"/>
        </w:rPr>
        <w:footnoteReference w:id="2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247" w:name="__RefHeading___Toc3878121_3804643083"/>
      <w:bookmarkStart w:id="248" w:name="_Toc96"/>
      <w:bookmarkEnd w:id="247"/>
      <w:r>
        <w:rPr>
          <w:rtl w:val="true"/>
        </w:rPr>
        <w:t>[</w:t>
      </w:r>
      <w:r>
        <w:rPr>
          <w:rtl w:val="true"/>
        </w:rPr>
        <w:t>نفقة العبد الموصى بخدمته</w:t>
      </w:r>
      <w:r>
        <w:rPr>
          <w:rtl w:val="true"/>
        </w:rPr>
        <w:t>]</w:t>
      </w:r>
      <w:bookmarkEnd w:id="2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بخدمة عبد مدّة معيّنة فنفقته على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يعان على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تابعة للملك</w:t>
      </w:r>
      <w:r>
        <w:rPr>
          <w:rFonts w:eastAsia="Amiri" w:cs="Amiri" w:ascii="Amiri" w:hAnsi="Amiri"/>
          <w:color w:val="111111"/>
          <w:sz w:val="28"/>
          <w:szCs w:val="28"/>
          <w:rtl w:val="true"/>
          <w:lang w:bidi="ar-SA"/>
        </w:rPr>
        <w:t>).</w:t>
      </w:r>
      <w:bookmarkStart w:id="249" w:name="pg2498_30995"/>
    </w:p>
    <w:p>
      <w:pPr>
        <w:pStyle w:val="BookText"/>
        <w:rPr/>
      </w:pPr>
      <w:bookmarkEnd w:id="249"/>
      <w:r>
        <w:rPr>
          <w:rFonts w:ascii="Amiri" w:hAnsi="Amiri" w:eastAsia="Amiri" w:cs="Amiri"/>
          <w:color w:val="111111"/>
          <w:sz w:val="28"/>
          <w:sz w:val="28"/>
          <w:szCs w:val="28"/>
          <w:rtl w:val="true"/>
          <w:lang w:bidi="ar-SA"/>
        </w:rPr>
        <w:t>و منه يظهر وجه الحكم فيما لو أوصى بخدمته ما دام العمر، إلّا أنّه يحتمل هنا أن يكون عليهما بنسبة المنفعة و العين، و إلّا لزم الضرر، و يحتمل ضعيفا كونه على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للموصى له التصرّف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الأجير الخاصّ المملوك منافعه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للورثة التصرّف في الرّقبة ببيع و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الموصى بمنفعته مؤبّدا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منع البيع في المؤبّد؛ لأنّه بيع مسلوب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الانتفاع به في العتق، نعم، لو فرض عدم صلاحيّته للعتق أشكل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أو أعتق، فلا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حقّ الموصى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المبطل</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878123_3804643083"/>
      <w:bookmarkStart w:id="251" w:name="_Toc97"/>
      <w:bookmarkEnd w:id="250"/>
      <w:r>
        <w:rPr>
          <w:rtl w:val="true"/>
        </w:rPr>
        <w:t>[</w:t>
      </w:r>
      <w:r>
        <w:rPr>
          <w:rtl w:val="true"/>
        </w:rPr>
        <w:t>الوصية بقوس</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Style w:val="FootnoteAnchor"/>
          <w:rtl w:val="true"/>
        </w:rPr>
        <w:footnoteReference w:id="251"/>
      </w:r>
      <w:r>
        <w:rPr>
          <w:rFonts w:ascii="Amiri" w:hAnsi="Amiri" w:eastAsia="Amiri" w:cs="Amiri"/>
          <w:color w:val="111111"/>
          <w:sz w:val="28"/>
          <w:sz w:val="28"/>
          <w:szCs w:val="28"/>
          <w:rtl w:val="true"/>
          <w:lang w:bidi="ar-SA"/>
        </w:rPr>
        <w:t>أوصى له بقوس،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قيل قوس يكون سهامه صغارا تجمع في قصبته ثمّ يرمى بها فتفرّق بين الناس، فلا تمرّ بشي‌ء إلّا عقرته لشدّتها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قوس البندق و نحوه، فلا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عن تلك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مفاد القرينة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878125_3804643083"/>
      <w:bookmarkStart w:id="253" w:name="_Toc98"/>
      <w:bookmarkEnd w:id="252"/>
      <w:r>
        <w:rPr>
          <w:rtl w:val="true"/>
        </w:rPr>
        <w:t>[</w:t>
      </w:r>
      <w:r>
        <w:rPr>
          <w:rtl w:val="true"/>
        </w:rPr>
        <w:t>تعيين الفرد في الوصية بكلي متواطئ بيد الورثة</w:t>
      </w:r>
      <w:r>
        <w:rPr>
          <w:rtl w:val="true"/>
        </w:rPr>
        <w:t>]</w:t>
      </w:r>
      <w:bookmarkEnd w:id="2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لفظ وقع على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جامع وضع له مع كون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وقوعا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متواطئا لا مشكّكا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فللورثة الخيار في تعيين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أفراده؛ لأنّ أعيان أموال الميّت بأجمعها حقّ الوارث،</w:t>
      </w:r>
    </w:p>
    <w:p>
      <w:pPr>
        <w:pStyle w:val="BookText"/>
        <w:rPr/>
      </w:pPr>
      <w:r>
        <w:rPr>
          <w:rFonts w:ascii="Amiri" w:hAnsi="Amiri" w:eastAsia="Amiri" w:cs="Amiri"/>
          <w:color w:val="111111"/>
          <w:sz w:val="28"/>
          <w:sz w:val="28"/>
          <w:szCs w:val="28"/>
          <w:rtl w:val="true"/>
          <w:lang w:bidi="ar-SA"/>
        </w:rPr>
        <w:t>إلّا مصداق الوصيّة حتّى لا يلزم تبديلها، و حتّى يصدق كون الإرث بعد إيفاء الوصيّة، و هو يحصل بما يختاره الورثة، إذ لو كان للموصى له الامتناع من أخذ مختارهم، لكان له سلطنة أخرى على تعيين الموصى به غير التسلّط على أصله، و ما نحن فيه أشبه شي‌ء ببيع الكلّي من صبرة معيّنة، بل ببيع الكلّي في الذمّة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يختصّ بما إذا أمر الموصي بإعطاء الكلّي،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الامتثال يحصل بكلّ فرد، بل الكلام في استحقاق الموصى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للتّعيين، و إلّا فالحكم في المقام وضعيّ و إن عبّر عنه الموصي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نصّ الموصي على أنّ له ما اختار من الأفراد المملوكة، كان الخيار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وقوعه على الأشياء باعتبار جامع موضوع له، أمّا لو كان باعتبار وضع اللّفظ لكلّ من تلك الأشياء، فإن علم إرادة المسمّى من اللّفظ على طريق عموم الاشتراك فهو كالوضع للقدر المشترك، و إلّا فالحكم 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 المشهور في الحكم بتخيير الوارث، هو دعوى ظهور المشترك في كلام الموصي إذا لم ينصب قرينة في إرادة المسمّى، فإن تمّت و إلّا فالأقوى فيه القرعة، لتملّك الموصى له شيئا معيّنا في الواقع، فاختيار الوارث لا يؤثّر في موافقة الموصى به واقعا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كونه كالتكليف بالمشترك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أصالة البراءة و التخيير بين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فرع بأصل ممنوع مع وجود الفارق، كما لا يخفى، و أصالة عدم استحقاق غير ما يختاره الوارث لا يثمر في</w:t>
      </w:r>
      <w:bookmarkStart w:id="254" w:name="pg2498_30997"/>
    </w:p>
    <w:p>
      <w:pPr>
        <w:pStyle w:val="BookText"/>
        <w:rPr/>
      </w:pPr>
      <w:bookmarkEnd w:id="254"/>
      <w:r>
        <w:rPr>
          <w:rFonts w:ascii="Amiri" w:hAnsi="Amiri" w:eastAsia="Amiri" w:cs="Amiri"/>
          <w:color w:val="111111"/>
          <w:sz w:val="28"/>
          <w:sz w:val="28"/>
          <w:szCs w:val="28"/>
          <w:rtl w:val="true"/>
          <w:lang w:bidi="ar-SA"/>
        </w:rPr>
        <w:t>وجوب إنفاذ الوصيّة على وجهها، و إلّا لعورضت بأصالة عدم استحقاق ما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قال </w:t>
      </w:r>
      <w:r>
        <w:rPr>
          <w:rStyle w:val="FootnoteAnchor"/>
          <w:rtl w:val="true"/>
        </w:rPr>
        <w:footnoteReference w:id="252"/>
      </w:r>
      <w:r>
        <w:rPr>
          <w:rFonts w:ascii="Amiri" w:hAnsi="Amiri" w:eastAsia="Amiri" w:cs="Amiri"/>
          <w:color w:val="111111"/>
          <w:sz w:val="28"/>
          <w:sz w:val="28"/>
          <w:szCs w:val="28"/>
          <w:rtl w:val="true"/>
          <w:lang w:bidi="ar-SA"/>
        </w:rPr>
        <w:t xml:space="preserve">أعطوه قوسي، و لم يكن له إلّا </w:t>
      </w:r>
      <w:r>
        <w:rPr>
          <w:rStyle w:val="FootnoteAnchor"/>
          <w:rtl w:val="true"/>
        </w:rPr>
        <w:footnoteReference w:id="253"/>
      </w:r>
      <w:r>
        <w:rPr>
          <w:rFonts w:ascii="Amiri" w:hAnsi="Amiri" w:eastAsia="Amiri" w:cs="Amiri"/>
          <w:color w:val="111111"/>
          <w:sz w:val="28"/>
          <w:sz w:val="28"/>
          <w:szCs w:val="28"/>
          <w:rtl w:val="true"/>
          <w:lang w:bidi="ar-SA"/>
        </w:rPr>
        <w:t xml:space="preserve">قوس واحدة، انصرفت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إليها، من أيّ الأجناس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Style w:val="FootnoteAnchor"/>
          <w:rtl w:val="true"/>
        </w:rPr>
        <w:footnoteReference w:id="255"/>
      </w:r>
      <w:r>
        <w:rPr>
          <w:rFonts w:ascii="Amiri" w:hAnsi="Amiri" w:eastAsia="Amiri" w:cs="Amiri"/>
          <w:color w:val="111111"/>
          <w:sz w:val="28"/>
          <w:sz w:val="28"/>
          <w:szCs w:val="28"/>
          <w:rtl w:val="true"/>
          <w:lang w:bidi="ar-SA"/>
        </w:rPr>
        <w:t>متفرّع على شي‌ء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يتفرّع عليه ما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برأس من مماليكه، كان الخيار في التعيين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يتوهّم هنا ثبوت حقّ للمماليك،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أن يعطوا صغيرا أو كبيرا، صحيحا أو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أو أنثى أو خنثى</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878127_3804643083"/>
      <w:bookmarkStart w:id="256" w:name="_Toc99"/>
      <w:bookmarkEnd w:id="255"/>
      <w:r>
        <w:rPr>
          <w:rtl w:val="true"/>
        </w:rPr>
        <w:t>[</w:t>
      </w:r>
      <w:r>
        <w:rPr>
          <w:rtl w:val="true"/>
        </w:rPr>
        <w:t>حكم الوصية بالمماليك لو ماتوا أو قتلوا إلا واحدا</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يترتّب على الوصيّة بالكلّي تخيير الوارث، كذلك يترتّب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هلك مماليكه بعد الموت </w:t>
      </w:r>
      <w:r>
        <w:rPr>
          <w:rStyle w:val="FootnoteAnchor"/>
          <w:rtl w:val="true"/>
        </w:rPr>
        <w:footnoteReference w:id="256"/>
      </w:r>
      <w:r>
        <w:rPr>
          <w:rFonts w:ascii="Amiri" w:hAnsi="Amiri" w:eastAsia="Amiri" w:cs="Amiri"/>
          <w:color w:val="111111"/>
          <w:sz w:val="28"/>
          <w:sz w:val="28"/>
          <w:szCs w:val="28"/>
          <w:rtl w:val="true"/>
          <w:lang w:bidi="ar-SA"/>
        </w:rPr>
        <w:t>إلّا واحدا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العمل بالوصيّة فتجب،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الموت تدريجيا، لم يبعد كون موت الأخير في ملك الموصى له، فيجب عليه تجهيزه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واحد منهم بعد موت الموصي و قبول الموصى له فللوارث تعيينه فيه، حتّى يجب تجهيزه و أخذ قيمته إن قتل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257" w:name="pg2498_30998"/>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يوجب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بل ينتقل إلى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فللورثة </w:t>
      </w:r>
      <w:r>
        <w:rPr>
          <w:rStyle w:val="FootnoteAnchor"/>
          <w:rtl w:val="true"/>
        </w:rPr>
        <w:footnoteReference w:id="258"/>
      </w:r>
      <w:r>
        <w:rPr>
          <w:rFonts w:ascii="Amiri" w:hAnsi="Amiri" w:eastAsia="Amiri" w:cs="Amiri"/>
          <w:color w:val="111111"/>
          <w:sz w:val="28"/>
          <w:sz w:val="28"/>
          <w:szCs w:val="28"/>
          <w:rtl w:val="true"/>
          <w:lang w:bidi="ar-SA"/>
        </w:rPr>
        <w:t>أن يعيّنوا له من شاءوا، أو يدفعوا قيمته إن صارت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فيرجع إلى الجاني، و في المقتول أخيرا ما ذكر في الموت، و لو قتلوا في حياة الموصي فأظهر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الوصيّة، و احتمال تعلّقها بالقيمة ليس له وجه ظاهر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878129_3804643083"/>
      <w:bookmarkStart w:id="259" w:name="_Toc100"/>
      <w:bookmarkEnd w:id="258"/>
      <w:r>
        <w:rPr>
          <w:rtl w:val="true"/>
        </w:rPr>
        <w:t>[</w:t>
      </w:r>
      <w:r>
        <w:rPr>
          <w:rtl w:val="true"/>
        </w:rPr>
        <w:t>ثبوت الوصية مطلقا بشاهدين</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بشاهدين مسلمين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الأصل في كلّ حق إلّا ما خرج بالدليل، هذا مع تمكّن الموصي من إشهاد العدلين،</w:t>
      </w:r>
    </w:p>
    <w:p>
      <w:pPr>
        <w:pStyle w:val="Heading4"/>
        <w:numPr>
          <w:ilvl w:val="3"/>
          <w:numId w:val="1"/>
        </w:numPr>
        <w:rPr/>
      </w:pPr>
      <w:bookmarkStart w:id="260" w:name="__RefHeading___Toc3878131_3804643083"/>
      <w:bookmarkStart w:id="261" w:name="_Toc101"/>
      <w:bookmarkEnd w:id="260"/>
      <w:r>
        <w:rPr>
          <w:rtl w:val="true"/>
        </w:rPr>
        <w:t>[</w:t>
      </w:r>
      <w:r>
        <w:rPr>
          <w:rtl w:val="true"/>
        </w:rPr>
        <w:t>شهادة أهل الكتاب في الوصية بالمال خاصة عند عدم عدول المسلمين</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الضرورة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بمجرّد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إشهاد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الوصيّة و إن لم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خصوص أهل الكتاب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الكتاب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الاتّصاف بالعدالة، فيدلّ على اعتبارها في الآخرين</w:t>
      </w:r>
      <w:r>
        <w:rPr>
          <w:rFonts w:eastAsia="Amiri" w:cs="Amiri" w:ascii="Amiri" w:hAnsi="Amiri"/>
          <w:color w:val="111111"/>
          <w:sz w:val="28"/>
          <w:szCs w:val="28"/>
          <w:rtl w:val="true"/>
          <w:lang w:bidi="ar-SA"/>
        </w:rPr>
        <w:t>.</w:t>
      </w:r>
      <w:bookmarkStart w:id="262" w:name="pg2498_30999"/>
    </w:p>
    <w:p>
      <w:pPr>
        <w:pStyle w:val="BookText"/>
        <w:rPr/>
      </w:pPr>
      <w:bookmarkEnd w:id="262"/>
      <w:r>
        <w:rPr>
          <w:rFonts w:ascii="Amiri" w:hAnsi="Amiri" w:eastAsia="Amiri" w:cs="Amiri"/>
          <w:color w:val="111111"/>
          <w:sz w:val="28"/>
          <w:sz w:val="28"/>
          <w:szCs w:val="28"/>
          <w:rtl w:val="true"/>
          <w:lang w:bidi="ar-SA"/>
        </w:rPr>
        <w:t>و لو نوقش في كون العطف بعد الملاحظة، كفى في اعتبار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الانحصار في أهل الذمّة، إلّا أنّ الإطلاق في الآية ينصرف إلى الغالب في زمان صدور الآية، من عدم اختلاط المسلمين في صدر الإسلام إلّا بأهل الكتاب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الروايات إلحاق المجوس مشروطا بعدم التمكّن من الذّمي، معلّلا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لكنّ المشهور خلافه؛ لأنّ إطلاق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خصوص أهل الكتاب، و إن كان المجوس أهل ذمّة أيضا، و لو سلّم الإطلاق كان أيضا مخالفا للرواية المشترطة بعدم أهل الكتاب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3878133_3804643083"/>
      <w:bookmarkStart w:id="264" w:name="_Toc102"/>
      <w:bookmarkEnd w:id="263"/>
      <w:r>
        <w:rPr>
          <w:rtl w:val="true"/>
        </w:rPr>
        <w:t>[</w:t>
      </w:r>
      <w:r>
        <w:rPr>
          <w:rtl w:val="true"/>
        </w:rPr>
        <w:t>شهادة النساء في الوصية بالمال</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w:t>
      </w:r>
      <w:r>
        <w:rPr>
          <w:rStyle w:val="FootnoteAnchor"/>
          <w:rtl w:val="true"/>
        </w:rPr>
        <w:footnoteReference w:id="265"/>
      </w:r>
      <w:r>
        <w:rPr>
          <w:rFonts w:ascii="Amiri" w:hAnsi="Amiri" w:eastAsia="Amiri" w:cs="Amiri"/>
          <w:color w:val="111111"/>
          <w:sz w:val="28"/>
          <w:sz w:val="28"/>
          <w:szCs w:val="28"/>
          <w:rtl w:val="true"/>
          <w:lang w:bidi="ar-SA"/>
        </w:rPr>
        <w:t>في الوصية بالمال، شهادة واحد مع اليمين، أو شاهد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يقبل شهادة الواحدة في ربع ما شهدت به، و شهادة اثنتين في النصف، و ثلاث في ثلاثة الأرباع، و شهادة الأربع في الجميع</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878135_3804643083"/>
      <w:bookmarkStart w:id="266" w:name="_Toc103"/>
      <w:bookmarkEnd w:id="265"/>
      <w:r>
        <w:rPr>
          <w:rtl w:val="true"/>
        </w:rPr>
        <w:t>[</w:t>
      </w:r>
      <w:r>
        <w:rPr>
          <w:rtl w:val="true"/>
        </w:rPr>
        <w:t>عدم ثبوت الوصية بالولاية إلا بعدلين</w:t>
      </w:r>
      <w:r>
        <w:rPr>
          <w:rtl w:val="true"/>
        </w:rPr>
        <w:t>]</w:t>
      </w:r>
      <w:bookmarkEnd w:id="266"/>
    </w:p>
    <w:p>
      <w:pPr>
        <w:pStyle w:val="BookText"/>
        <w:rPr/>
      </w:pPr>
      <w:r>
        <w:rPr>
          <w:rFonts w:ascii="Amiri" w:hAnsi="Amiri" w:eastAsia="Amiri" w:cs="Amiri"/>
          <w:color w:val="111111"/>
          <w:sz w:val="28"/>
          <w:sz w:val="28"/>
          <w:szCs w:val="28"/>
          <w:rtl w:val="true"/>
          <w:lang w:bidi="ar-SA"/>
        </w:rPr>
        <w:t>و لا تثبت الوصية بالولاية إلّا بشاهدين، و لا تقبل شهادة النساء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تقبل شهادة شاهد مع اليمين؟ فيه تردد، أظهره المنع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أشهد إنسان عبدين له على حمل أمته، أنّه منه، ثم مات فأعتقا</w:t>
      </w:r>
      <w:bookmarkStart w:id="267" w:name="pg2498_31000"/>
    </w:p>
    <w:p>
      <w:pPr>
        <w:pStyle w:val="BookText"/>
        <w:rPr/>
      </w:pPr>
      <w:bookmarkEnd w:id="267"/>
      <w:r>
        <w:rPr>
          <w:rFonts w:ascii="Amiri" w:hAnsi="Amiri" w:eastAsia="Amiri" w:cs="Amiri"/>
          <w:color w:val="111111"/>
          <w:sz w:val="28"/>
          <w:sz w:val="28"/>
          <w:szCs w:val="28"/>
          <w:rtl w:val="true"/>
          <w:lang w:bidi="ar-SA"/>
        </w:rPr>
        <w:t>و شهدا بذلك، قبلت شهادتهما و لا يسترقهما المولود،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الوصي فيما هو وصي فيه، و لا ما يجرّ به نفعا أو يستفيد منه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وصيا في إخراج مال معيّن، فشهد للميت بما يخرج به ذلك المال من الثلث، لم يقبل</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878137_3804643083"/>
      <w:bookmarkStart w:id="269" w:name="_Toc104"/>
      <w:bookmarkEnd w:id="268"/>
      <w:r>
        <w:rPr>
          <w:rtl w:val="true"/>
        </w:rPr>
        <w:t>[</w:t>
      </w:r>
      <w:r>
        <w:rPr>
          <w:rtl w:val="true"/>
        </w:rPr>
        <w:t>مسائل أربع</w:t>
      </w:r>
      <w:r>
        <w:rPr>
          <w:rtl w:val="true"/>
        </w:rPr>
        <w:t>]</w:t>
      </w:r>
      <w:bookmarkEnd w:id="269"/>
    </w:p>
    <w:p>
      <w:pPr>
        <w:pStyle w:val="Heading5"/>
        <w:numPr>
          <w:ilvl w:val="4"/>
          <w:numId w:val="1"/>
        </w:numPr>
        <w:rPr/>
      </w:pPr>
      <w:bookmarkStart w:id="270" w:name="__RefHeading___Toc3878139_3804643083"/>
      <w:bookmarkStart w:id="271" w:name="_Toc105"/>
      <w:bookmarkEnd w:id="270"/>
      <w:r>
        <w:rPr>
          <w:rtl w:val="true"/>
        </w:rPr>
        <w:t>[</w:t>
      </w:r>
      <w:r>
        <w:rPr>
          <w:rtl w:val="true"/>
        </w:rPr>
        <w:t>الأولى</w:t>
      </w:r>
      <w:r>
        <w:rPr>
          <w:rtl w:val="true"/>
        </w:rPr>
        <w:t xml:space="preserve">: </w:t>
      </w:r>
      <w:r>
        <w:rPr>
          <w:rtl w:val="true"/>
        </w:rPr>
        <w:t>إذا أوصى بعتق عبيده و ليس له سواهم،</w:t>
      </w:r>
      <w:r>
        <w:rPr>
          <w:rtl w:val="true"/>
        </w:rPr>
        <w:t>]</w:t>
      </w:r>
      <w:bookmarkEnd w:id="271"/>
    </w:p>
    <w:p>
      <w:pPr>
        <w:pStyle w:val="BookText"/>
        <w:rPr/>
      </w:pPr>
      <w:r>
        <w:rPr>
          <w:rFonts w:ascii="Amiri" w:hAnsi="Amiri" w:eastAsia="Amiri" w:cs="Amiri"/>
          <w:color w:val="111111"/>
          <w:sz w:val="28"/>
          <w:sz w:val="28"/>
          <w:szCs w:val="28"/>
          <w:rtl w:val="true"/>
          <w:lang w:bidi="ar-SA"/>
        </w:rPr>
        <w:t>مسائل أربع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عبيده و ليس له سواهم، أعتق ثلثهم بالقرعة، و لو رتّبهم أعتق الأوّل فالأوّل حتى يستوفي الثلث، و تبطل الوصية فيمن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بعتق عدد مخصوص من عبيده، استخرج ذلك العدد بالقرعة،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للورثة أن يتخيّروا بقدر ذلك العدد و القرعة على الاستحباب، و هو حسن</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3878141_3804643083"/>
      <w:bookmarkStart w:id="273" w:name="_Toc106"/>
      <w:bookmarkEnd w:id="272"/>
      <w:r>
        <w:rPr>
          <w:rtl w:val="true"/>
        </w:rPr>
        <w:t>[</w:t>
      </w:r>
      <w:r>
        <w:rPr>
          <w:rtl w:val="true"/>
        </w:rPr>
        <w:t>الثانية</w:t>
      </w:r>
      <w:r>
        <w:rPr>
          <w:rtl w:val="true"/>
        </w:rPr>
        <w:t xml:space="preserve">: </w:t>
      </w:r>
      <w:r>
        <w:rPr>
          <w:rtl w:val="true"/>
        </w:rPr>
        <w:t>لو أعتق مملوكه عند الوفاة، منجّزا و ليس له سواه</w:t>
      </w:r>
      <w:r>
        <w:rPr>
          <w:rtl w:val="true"/>
        </w:rPr>
        <w:t>]</w:t>
      </w:r>
      <w:bookmarkEnd w:id="27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مملوكه عند الوفاة، منجّزا و ليس له سواه،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كلّه،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ثلثه، و يسعى للورثة في باقي قيمته، و هو أشهر، و لو أعتق ثلثه يسعى في باقية، و لو كان له مال غيره، أعتق الباقي من ثلث تركته</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878143_3804643083"/>
      <w:bookmarkStart w:id="275" w:name="_Toc107"/>
      <w:bookmarkEnd w:id="274"/>
      <w:r>
        <w:rPr>
          <w:rtl w:val="true"/>
        </w:rPr>
        <w:t>[</w:t>
      </w:r>
      <w:r>
        <w:rPr>
          <w:rtl w:val="true"/>
        </w:rPr>
        <w:t>الثالثة</w:t>
      </w:r>
      <w:r>
        <w:rPr>
          <w:rtl w:val="true"/>
        </w:rPr>
        <w:t xml:space="preserve">: </w:t>
      </w:r>
      <w:r>
        <w:rPr>
          <w:rtl w:val="true"/>
        </w:rPr>
        <w:t>لو أوصى بعتق رقبة مؤمنة وجب،</w:t>
      </w:r>
      <w:r>
        <w:rPr>
          <w:rtl w:val="true"/>
        </w:rPr>
        <w:t>]</w:t>
      </w:r>
      <w:bookmarkEnd w:id="27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رقبة مؤمنة وجب، فإن لم يجد، أعتق من لا يعرف 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ظنّها مؤمنة فأعتقها، ثم بانت بخلاف ذلك أجزأت عن الموصي</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878145_3804643083"/>
      <w:bookmarkStart w:id="277" w:name="_Toc108"/>
      <w:bookmarkEnd w:id="276"/>
      <w:r>
        <w:rPr>
          <w:rtl w:val="true"/>
        </w:rPr>
        <w:t>[</w:t>
      </w:r>
      <w:r>
        <w:rPr>
          <w:rtl w:val="true"/>
        </w:rPr>
        <w:t>الرابعة</w:t>
      </w:r>
      <w:r>
        <w:rPr>
          <w:rtl w:val="true"/>
        </w:rPr>
        <w:t xml:space="preserve">: </w:t>
      </w:r>
      <w:r>
        <w:rPr>
          <w:rtl w:val="true"/>
        </w:rPr>
        <w:t>لو أوصى بعتق رقبة بثمن معيّن، فلم يجد به لم يجب شراؤها،</w:t>
      </w:r>
      <w:r>
        <w:rPr>
          <w:rtl w:val="true"/>
        </w:rPr>
        <w:t>]</w:t>
      </w:r>
      <w:bookmarkEnd w:id="2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رقبة بثمن معيّن، فلم يجد به لم يجب شراؤها، و توقّع وجودها بما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وجدها بأقلّ، اشتراها و أعتقها و دفع إليها ما بقي</w:t>
      </w:r>
      <w:r>
        <w:rPr>
          <w:rFonts w:eastAsia="Amiri" w:cs="Amiri" w:ascii="Amiri" w:hAnsi="Amiri"/>
          <w:color w:val="111111"/>
          <w:sz w:val="28"/>
          <w:szCs w:val="28"/>
          <w:rtl w:val="true"/>
          <w:lang w:bidi="ar-SA"/>
        </w:rPr>
        <w:t>).</w:t>
      </w:r>
      <w:bookmarkStart w:id="278" w:name="pg2498_310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9" w:name="__RefHeading___Toc3878147_3804643083"/>
      <w:bookmarkStart w:id="280" w:name="_Toc109"/>
      <w:bookmarkEnd w:id="278"/>
      <w:bookmarkEnd w:id="279"/>
      <w:r>
        <w:rPr>
          <w:rtl w:val="true"/>
        </w:rPr>
        <w:t>الفصل الرّابع في الموصى له</w:t>
      </w:r>
      <w:bookmarkEnd w:id="280"/>
    </w:p>
    <w:p>
      <w:pPr>
        <w:pStyle w:val="BookText"/>
        <w:rPr/>
      </w:pPr>
      <w:r>
        <w:rPr>
          <w:rFonts w:ascii="IRNazanin" w:hAnsi="IRNazanin" w:eastAsia="IRNazanin"/>
          <w:color w:val="111111"/>
          <w:sz w:val="28"/>
          <w:sz w:val="28"/>
          <w:szCs w:val="28"/>
          <w:rtl w:val="true"/>
          <w:lang w:bidi="fa-IR"/>
        </w:rPr>
        <w:t xml:space="preserve">الفصل الرابع </w:t>
      </w:r>
      <w:r>
        <w:rPr>
          <w:rStyle w:val="FootnoteAnchor"/>
          <w:rtl w:val="true"/>
        </w:rPr>
        <w:footnoteReference w:id="266"/>
      </w:r>
      <w:r>
        <w:rPr>
          <w:rFonts w:ascii="Amiri" w:hAnsi="Amiri" w:eastAsia="Amiri" w:cs="Amiri"/>
          <w:color w:val="111111"/>
          <w:sz w:val="28"/>
          <w:sz w:val="28"/>
          <w:szCs w:val="28"/>
          <w:rtl w:val="true"/>
          <w:lang w:bidi="ar-SA"/>
        </w:rPr>
        <w:t>في الموصى له و يشترط فيه الوجود، فلو كان معدوما لم تصحّ الوصية له، كما لو أوصى لميّت، أو لمن ظن وجوده، فبان ميّتا عند الوصية، و كذا لو أوصى لما تحمله المرأة، أو لمن يوجد من أولاد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الوصية للأجنبي و الوارث، و تصح الوصية للذمّي، و لو كان أجنبيا،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 و منهم من خصّ الجواز بذوي الأرحام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الوصية للحربي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لمملوك الأجنبي، و لا لمدبّرة الأجنبي، و لا لأمّ ولده، و لا لمكاتبه المشروط أو الذي لم يؤدّ من مكاتبته شيئا و لو أجازه مولاه، و تصح لعبد الموصي و لمدبّره، و مكاتبه، و أمّ ولده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ما يوصي به لمملوكه، بعد خروجه من الثلث، فإن كان بقدر</w:t>
      </w:r>
    </w:p>
    <w:p>
      <w:pPr>
        <w:pStyle w:val="BookText"/>
        <w:rPr/>
      </w:pPr>
      <w:r>
        <w:rPr>
          <w:rFonts w:ascii="Amiri" w:hAnsi="Amiri" w:eastAsia="Amiri" w:cs="Amiri"/>
          <w:color w:val="111111"/>
          <w:sz w:val="28"/>
          <w:sz w:val="28"/>
          <w:szCs w:val="28"/>
          <w:rtl w:val="true"/>
          <w:lang w:bidi="ar-SA"/>
        </w:rPr>
        <w:t>قيمته أعتق، و كان الموصى به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قيمته أقلّ، اعطي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أكثر، سعى للورثة فيما بقي، ما لم تبلغ قيمته ضعف ما اوصي له به، فإن بلغت ذلك، بطلت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 يسعى في الباقي كيف كان،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بعتق مملوكه و عليه دين، فإن كانت قيمة العبد بقدر الدين مرّتين، أعتق المملوك و يسعى في خمسة أسداس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قيمته أقلّ، بطلت الوصية بعتقه، و الوجه أن الدين يقدّم على الوصية فيبدأ به، و يعتق منه الثلث ممّا فضل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نجّز عتقه عند موته، كان الأمر كما ذكرنا أولا، عملا برواية عبد الرحمن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لمكاتب غيره المطلق، و قد أدّى بعض مكاتبته، كان له من الوصية بقدر ما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الإنسان لأمّ ولده، صحت الوصية من الثلث، و هل تعتق من الوصية أو من نصيب ولدها؟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نصيب ولدها، و تكون لها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تعتق من الوصية، لأنّه لا ميراث إلّا بعد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الوصية يقتضي التسوية، فإذا أوصى لأولاده، و هم ذكور و إناث، فهم فيه سواء، و كذا لأخواله و خالاته، أو لأعمامه و عمّاته، و كذا لو أوصى لأخواله و أعمامه، كانوا سواء على الأصح، و فيه رواية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نص على التفضيل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لذوي قرابته، كان للمعروفين بنسبه، مصيرا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يتقرّب إليه، إلى آخر أب و أمّ له في الإسلام، و هو غير مستند إلى شاهد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لقومه،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لأهل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لأهل بيته دخل فيهم</w:t>
      </w:r>
    </w:p>
    <w:p>
      <w:pPr>
        <w:pStyle w:val="BookText"/>
        <w:rPr/>
      </w:pPr>
      <w:r>
        <w:rPr>
          <w:rFonts w:ascii="Amiri" w:hAnsi="Amiri" w:eastAsia="Amiri" w:cs="Amiri"/>
          <w:color w:val="111111"/>
          <w:sz w:val="28"/>
          <w:sz w:val="28"/>
          <w:szCs w:val="28"/>
          <w:rtl w:val="true"/>
          <w:lang w:bidi="ar-SA"/>
        </w:rPr>
        <w:t>الأولاد و الآباء و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لعشيرته، كان لأقرب الناس إليه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لجيرانه،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يلي داره إلى أربعين ذراعا من كل جانب، و فيه قول آخر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الوصية للحمل الموجود، و تستقرّ بانفصاله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وضعته ميتا بطلت الوصية، و لو وقع حيا ثم مات، كانت الوصية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المسلم للفقراء، كان لفقراء ملّته، و لو كان كافرا انصرف إلى فقراء نحلته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w:t>
      </w:r>
      <w:r>
        <w:rPr>
          <w:rStyle w:val="FootnoteAnchor"/>
          <w:rtl w:val="true"/>
        </w:rPr>
        <w:footnoteReference w:id="267"/>
      </w:r>
      <w:r>
        <w:rPr>
          <w:rFonts w:ascii="Amiri" w:hAnsi="Amiri" w:eastAsia="Amiri" w:cs="Amiri"/>
          <w:color w:val="111111"/>
          <w:sz w:val="28"/>
          <w:sz w:val="28"/>
          <w:szCs w:val="28"/>
          <w:rtl w:val="true"/>
          <w:lang w:bidi="ar-SA"/>
        </w:rPr>
        <w:t>أوصى لإنسان، فمات قبل الموصي،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الموصي بطلت الوصية، سواء رجع قبل موت الموصى له أو بعده، و إن لم يرجع، كانت الوصية لورثة الموصى له، و هو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يخلّف الموصى له أحدا، رجعت إلى ورثة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كذا و لم يبيّن الوجه، وجب صرفه إليه يصنع 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في سبيل اللّٰه، صرف إلى ما فيه أجر،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بالغزاة، و الأوّل أشبه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تستحبّ الوصية لذوي القرابة وارثا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للأقرب، نزّل على مراتب الإرث، و لا يعطى الأبعد مع وجود الأقرب</w:t>
      </w:r>
      <w:r>
        <w:rPr>
          <w:rFonts w:eastAsia="Amiri" w:cs="Amiri" w:ascii="Amiri" w:hAnsi="Amiri"/>
          <w:color w:val="111111"/>
          <w:sz w:val="28"/>
          <w:szCs w:val="28"/>
          <w:rtl w:val="true"/>
          <w:lang w:bidi="ar-SA"/>
        </w:rPr>
        <w:t>.</w:t>
      </w:r>
      <w:bookmarkStart w:id="281" w:name="pg2498_31008"/>
    </w:p>
    <w:p>
      <w:pPr>
        <w:pStyle w:val="Heading2"/>
        <w:numPr>
          <w:ilvl w:val="1"/>
          <w:numId w:val="1"/>
        </w:numPr>
        <w:rPr/>
      </w:pPr>
      <w:bookmarkStart w:id="282" w:name="__RefHeading___Toc3878149_3804643083"/>
      <w:bookmarkStart w:id="283" w:name="_Toc110"/>
      <w:bookmarkEnd w:id="281"/>
      <w:bookmarkEnd w:id="282"/>
      <w:r>
        <w:rPr>
          <w:rtl w:val="true"/>
        </w:rPr>
        <w:t>الفصل الخامس في الأوصياء</w:t>
      </w:r>
      <w:bookmarkEnd w:id="2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3878151_3804643083"/>
      <w:bookmarkStart w:id="285" w:name="_Toc111"/>
      <w:bookmarkEnd w:id="284"/>
      <w:r>
        <w:rPr>
          <w:rtl w:val="true"/>
        </w:rPr>
        <w:t>اشارة</w:t>
      </w:r>
      <w:bookmarkStart w:id="286" w:name="pg2498_31010"/>
      <w:bookmarkEnd w:id="285"/>
    </w:p>
    <w:p>
      <w:pPr>
        <w:pStyle w:val="Heading3"/>
        <w:numPr>
          <w:ilvl w:val="2"/>
          <w:numId w:val="1"/>
        </w:numPr>
        <w:rPr/>
      </w:pPr>
      <w:bookmarkStart w:id="287" w:name="__RefHeading___Toc3878153_3804643083"/>
      <w:bookmarkStart w:id="288" w:name="_Toc112"/>
      <w:bookmarkEnd w:id="286"/>
      <w:bookmarkEnd w:id="287"/>
      <w:r>
        <w:rPr>
          <w:rtl w:val="true"/>
        </w:rPr>
        <w:t>[</w:t>
      </w:r>
      <w:r>
        <w:rPr>
          <w:rtl w:val="true"/>
        </w:rPr>
        <w:t>اعتبار العقل و الإسلام و العدالة في الوصي</w:t>
      </w:r>
      <w:r>
        <w:rPr>
          <w:rtl w:val="true"/>
        </w:rPr>
        <w:t>]</w:t>
      </w:r>
      <w:bookmarkEnd w:id="288"/>
    </w:p>
    <w:p>
      <w:pPr>
        <w:pStyle w:val="BookText"/>
        <w:rPr/>
      </w:pPr>
      <w:r>
        <w:rPr>
          <w:rFonts w:ascii="Amiri" w:hAnsi="Amiri" w:eastAsia="Amiri" w:cs="Amiri"/>
          <w:color w:val="111111"/>
          <w:sz w:val="28"/>
          <w:sz w:val="28"/>
          <w:szCs w:val="28"/>
          <w:rtl w:val="true"/>
          <w:lang w:bidi="ar-SA"/>
        </w:rPr>
        <w:t xml:space="preserve">الفصل الخامس في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الوصي العقل و الإسلام، و هل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بل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على مال في زمان لا وليّ عليه يتوقّف على كون المسلّط عليه أمينا،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لا أمانة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المنصوصة في الآية </w:t>
      </w:r>
      <w:r>
        <w:rPr>
          <w:rStyle w:val="FootnoteAnchor"/>
          <w:rtl w:val="true"/>
        </w:rPr>
        <w:footnoteReference w:id="269"/>
      </w:r>
      <w:r>
        <w:rPr>
          <w:rFonts w:ascii="Amiri" w:hAnsi="Amiri" w:eastAsia="Amiri" w:cs="Amiri"/>
          <w:color w:val="111111"/>
          <w:sz w:val="28"/>
          <w:sz w:val="28"/>
          <w:szCs w:val="28"/>
          <w:rtl w:val="true"/>
          <w:lang w:bidi="ar-SA"/>
        </w:rPr>
        <w:t>، الموجبة للتثبّت، فإنّ ما أوجب عدم الاعتماد على خبره هو الموجب لعدم الاعتماد على جميع أموره، و هو التعرّض للندامة الحاصلة من الاعتماد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متعلّق الوصيّة إن كان مال الورثة الصغار أو الكبار، كان تولية</w:t>
      </w:r>
    </w:p>
    <w:p>
      <w:pPr>
        <w:pStyle w:val="BookText"/>
        <w:rPr/>
      </w:pPr>
      <w:r>
        <w:rPr>
          <w:rFonts w:ascii="Amiri" w:hAnsi="Amiri" w:eastAsia="Amiri" w:cs="Amiri"/>
          <w:color w:val="111111"/>
          <w:sz w:val="28"/>
          <w:sz w:val="28"/>
          <w:szCs w:val="28"/>
          <w:rtl w:val="true"/>
          <w:lang w:bidi="ar-SA"/>
        </w:rPr>
        <w:t>الفاسق عليه جنفا، و تعريض الورثة للتضرّر، و إن كان ثلث الموصي، فإن أوصى به لجهة عامّة كالفقراء، كانت الوصيّة تولية لغير الأمين على حقوق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الموصي إنّما جعله حقّا للغير على هذا الوجه الخاصّ، و هو أن يكون النّظر فيه لذلك الشخص، مدفوعة بمنع كون القيد مقوّما للوصيّة، و إلّا لزم على تقدير موت الوصيّ، أو عجزه، أو ظهور خيانته انتفاء الوصيّة، و ليس كذلك إجماعا، فتولية الفاسق على مال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آخر لم يمضه الشارع، لمخالفته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للميّت ما أوصى على ما أوصى به إن شاء اللّٰه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اختصاصه بالقيود المقوّمة للوصيّة الراجعة إلى أنحاء الوصيّة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في عدم الدلالة على جواز تولية الفاسق، فلا يشمل جعل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بعموم التعليل في آية التثبّت، و الظاهر حكومته عليه، و لذا لم يجز للحاكم أن يولّي الفاسق في الأمور الحسبيّة، و لم يجز للأب استئمان الفاسق على مال ولده الصغير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عموم التعليل مانع عن تولية الفاسق على أمر، إلّا الأمور الّتي لا يجب شرعا ملاحظة المصلحة أو عدم المفسدة فيها، كتوكيل الفاسق في ماله، و إيداعه إيّاه، فإنّ المقصود ليس استصلاح المال، و لذا جاز هبته</w:t>
      </w:r>
      <w:bookmarkStart w:id="289" w:name="pg2498_31012"/>
    </w:p>
    <w:p>
      <w:pPr>
        <w:pStyle w:val="BookText"/>
        <w:rPr/>
      </w:pPr>
      <w:bookmarkEnd w:id="289"/>
      <w:r>
        <w:rPr>
          <w:rFonts w:ascii="IRNazanin" w:hAnsi="IRNazanin" w:eastAsia="IRNazanin"/>
          <w:color w:val="111111"/>
          <w:sz w:val="28"/>
          <w:sz w:val="28"/>
          <w:szCs w:val="28"/>
          <w:rtl w:val="true"/>
          <w:lang w:bidi="fa-IR"/>
        </w:rPr>
        <w:t xml:space="preserve">للفاسق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إبقاء الوصيّة على ما أوصى و عدم تبدّلها يحصل بالتزام ضمّ أمين إلى الوصيّ المذكور؛ ليكون ناظرا عليه، كما يظهر من العلّامة في التحرير في مسألة الإيصاء إلى الخائن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878155_3804643083"/>
      <w:bookmarkStart w:id="291" w:name="_Toc113"/>
      <w:bookmarkEnd w:id="290"/>
      <w:r>
        <w:rPr>
          <w:rtl w:val="true"/>
        </w:rPr>
        <w:t>[</w:t>
      </w:r>
      <w:r>
        <w:rPr>
          <w:rtl w:val="true"/>
        </w:rPr>
        <w:t>رد القول بعدم اعتبار العدالة</w:t>
      </w:r>
      <w:r>
        <w:rPr>
          <w:rtl w:val="true"/>
        </w:rPr>
        <w:t>]</w:t>
      </w:r>
      <w:bookmarkEnd w:id="291"/>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يظهر ضعف الاستدلال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المسلم محلّ للأمانة كما في الوكالة و الاستيداع</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قد عرفت أنّ مبنى هذين الأمرين ليس على ملاحظة المصلحة، بل و لا عدم المفسدة، و لذا لا اختصاص لهما بالمسلم فضلا عن العادل، و تولية الغير على حقّ الغير يعتبر فيه ملاحظة عدم المفسدة لا أقلّ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أيضا ضعف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ولاية تابعة لاختيار الموصي فيتحقّق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ليس للموصي تعريض مال الوارث للتلف، و كذا تولية الفاسق على ما جعله للفقراء، التي يرجع إلى عدم تعلّق غرضه بوصوله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قد يثق بإيصاله إليهم، خروج عن المتنازع، إذ النزاع في الفاسق مع قطع النظر عن صفة زائدة توجب الظنّ بفعله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فيما لا حقّ للغير فيه، و إنّما الحقّ للميّت، مثل ما إذا جعله وصيّا في صرف ثلثه فيما يرجع إلى الميّت من النيابة في العبادات، فإنّه لا دليل في المقام على وجوب مراعاة المصلحة أو عدم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ان يدّعى أنّ المال المذكور يصير بالوصيّة محبوسا على المصرف المذكور، و لا تسلّط للميّت عليه، فيجب صرفه في المصرف المذكور، فلا يجوز أن يتولّى ذلك من لا وثوق بفعله، و تولية الميّت له يكون تولية على المال في زمان لا سلطنة له عليه، و أدلّة نفوذ وصيّته تدلّ على تسلّطه على ماله، فإذا جعل ماله محبوسا في مصرف كان هو كغيره في عدم جواز تفويض ذلك إلى من لا وثوق بفعله، و ذلك نظير الوقف، فإنّه و إن كان الواقف مسلّطا على وقفه بأيّ وجه كان، إلّا أنّه بعد فرض وقفه على وجه من الوجوه </w:t>
      </w:r>
      <w:r>
        <w:rPr>
          <w:rStyle w:val="FootnoteAnchor"/>
          <w:rtl w:val="true"/>
        </w:rPr>
        <w:footnoteReference w:id="275"/>
      </w:r>
      <w:r>
        <w:rPr>
          <w:rFonts w:ascii="Amiri" w:hAnsi="Amiri" w:eastAsia="Amiri" w:cs="Amiri"/>
          <w:color w:val="111111"/>
          <w:sz w:val="28"/>
          <w:sz w:val="28"/>
          <w:szCs w:val="28"/>
          <w:rtl w:val="true"/>
          <w:lang w:bidi="ar-SA"/>
        </w:rPr>
        <w:t>ليس له أن يولّي أمره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التولية ليست بعد الوقف و الوصيّة و إنّما هي في ضمنهما،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أنّ التولية ليست </w:t>
      </w:r>
      <w:r>
        <w:rPr>
          <w:rStyle w:val="FootnoteAnchor"/>
          <w:rtl w:val="true"/>
        </w:rPr>
        <w:footnoteReference w:id="276"/>
      </w:r>
      <w:r>
        <w:rPr>
          <w:rFonts w:ascii="Amiri" w:hAnsi="Amiri" w:eastAsia="Amiri" w:cs="Amiri"/>
          <w:color w:val="111111"/>
          <w:sz w:val="28"/>
          <w:sz w:val="28"/>
          <w:szCs w:val="28"/>
          <w:rtl w:val="true"/>
          <w:lang w:bidi="ar-SA"/>
        </w:rPr>
        <w:t xml:space="preserve">من القيود اللّاحقة لنفس الوقف و الوصيّة، و إنّما هي </w:t>
      </w:r>
      <w:r>
        <w:rPr>
          <w:rStyle w:val="FootnoteAnchor"/>
          <w:rtl w:val="true"/>
        </w:rPr>
        <w:footnoteReference w:id="277"/>
      </w:r>
      <w:r>
        <w:rPr>
          <w:rFonts w:ascii="Amiri" w:hAnsi="Amiri" w:eastAsia="Amiri" w:cs="Amiri"/>
          <w:color w:val="111111"/>
          <w:sz w:val="28"/>
          <w:sz w:val="28"/>
          <w:szCs w:val="28"/>
          <w:rtl w:val="true"/>
          <w:lang w:bidi="ar-SA"/>
        </w:rPr>
        <w:t>جعل مستقلّ في ضمنهما يشبه الشروط في ضمن العقود، بل أولى بالاستقلال، و لذا لا يبطل أصل الوقف و الوصيّة بتولية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يلغو التولية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المسألة لا تصفو عن الإشكال، فإنّ التولية في الوقف ترجع إلى التولية على مال الغير و هو الموقوف عليه، بخلاف ما نحن فيه،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مراعاة المصلحة، أو عدم المفسدة عليه فيما لا يرجع إلّا إلى نفسه من مصارف الثلث، محلّ نظر، فكان القول بالتفصيل في المسألة بين ما يتعلّق بحقّ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صيرورته حقّا بنفس الوصيّة كالوصيّة</w:t>
      </w:r>
      <w:bookmarkStart w:id="292" w:name="pg2498_31014"/>
    </w:p>
    <w:p>
      <w:pPr>
        <w:pStyle w:val="BookText"/>
        <w:rPr/>
      </w:pPr>
      <w:bookmarkEnd w:id="292"/>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العدالة، و بين ما لا يتعلّق بحقّ غير الميّت فلا يعتبر، لا يخلو عن قوّة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878157_3804643083"/>
      <w:bookmarkStart w:id="294" w:name="_Toc114"/>
      <w:bookmarkEnd w:id="293"/>
      <w:r>
        <w:rPr>
          <w:rtl w:val="true"/>
        </w:rPr>
        <w:t>[</w:t>
      </w:r>
      <w:r>
        <w:rPr>
          <w:rtl w:val="true"/>
        </w:rPr>
        <w:t>التفصيل بين ما يتعلق بحق الغير و بين غيره</w:t>
      </w:r>
      <w:r>
        <w:rPr>
          <w:rtl w:val="true"/>
        </w:rPr>
        <w:t>]</w:t>
      </w:r>
      <w:bookmarkEnd w:id="294"/>
    </w:p>
    <w:p>
      <w:pPr>
        <w:pStyle w:val="BookText"/>
        <w:rPr/>
      </w:pPr>
      <w:r>
        <w:rPr>
          <w:rFonts w:ascii="Amiri" w:hAnsi="Amiri" w:eastAsia="Amiri" w:cs="Amiri"/>
          <w:color w:val="111111"/>
          <w:sz w:val="28"/>
          <w:sz w:val="28"/>
          <w:szCs w:val="28"/>
          <w:rtl w:val="true"/>
          <w:lang w:bidi="ar-SA"/>
        </w:rPr>
        <w:t>و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يتعلّق بمال أصلا، كالوصيّة بمباشرة بعض الأمور المتعلّقة بتجهيزه، و نحو ذلك، و هذا التفصيل حكي عن المهذّب نسبته إلى بعض </w:t>
      </w:r>
      <w:r>
        <w:rPr>
          <w:rStyle w:val="FootnoteAnchor"/>
          <w:rtl w:val="true"/>
        </w:rPr>
        <w:footnoteReference w:id="278"/>
      </w:r>
      <w:r>
        <w:rPr>
          <w:rFonts w:ascii="Amiri" w:hAnsi="Amiri" w:eastAsia="Amiri" w:cs="Amiri"/>
          <w:color w:val="111111"/>
          <w:sz w:val="28"/>
          <w:sz w:val="28"/>
          <w:szCs w:val="28"/>
          <w:rtl w:val="true"/>
          <w:lang w:bidi="ar-SA"/>
        </w:rPr>
        <w:t>، لكنّه مبنيّ على تسليم اشتراط العدالة في متولّي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مبناه على وجوب مراعاة المصلحة فيما يصير بنفس الوقف و الوصيّة 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كان مشهورا، بل حكي عن بعض الاتّفاق عليه </w:t>
      </w:r>
      <w:r>
        <w:rPr>
          <w:rStyle w:val="FootnoteAnchor"/>
          <w:rtl w:val="true"/>
        </w:rPr>
        <w:footnoteReference w:id="279"/>
      </w:r>
      <w:r>
        <w:rPr>
          <w:rFonts w:ascii="Amiri" w:hAnsi="Amiri" w:eastAsia="Amiri" w:cs="Amiri"/>
          <w:color w:val="111111"/>
          <w:sz w:val="28"/>
          <w:sz w:val="28"/>
          <w:szCs w:val="28"/>
          <w:rtl w:val="true"/>
          <w:lang w:bidi="ar-SA"/>
        </w:rPr>
        <w:t>، لكن ما ذكرنا في وجهه من عدم الفرق بين تولية نفس الواقف و الموصي في ضمن الوقف و الوصيّة، و بين تولية غيره من الحاكم، أو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مراعاة المصلحة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وجوب مراعاة المصلحة فيما صار بالوقف أو الوصيّة حقّا للغير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إيقاع الوقف و الوصيّة على وجه لا يهمل فيهما حقّ الموقوف عليه و الموصى له، فلا دليل عليه، و لذا اتفقوا على الظاهر المصرّح به على جواز جعل النظر في الوقف لنفسه و إن كان فاسقا، بل صرّح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جعل النظر إلى الأرشد عمل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كان الأرشد فاسقا، فالأقرب عدم ضمّ عدل إليه </w:t>
      </w:r>
      <w:r>
        <w:rPr>
          <w:rStyle w:val="FootnoteAnchor"/>
          <w:rtl w:val="true"/>
        </w:rPr>
        <w:footnoteReference w:id="281"/>
      </w:r>
      <w:r>
        <w:rPr>
          <w:rFonts w:ascii="Amiri" w:hAnsi="Amiri" w:eastAsia="Amiri" w:cs="Amiri"/>
          <w:color w:val="111111"/>
          <w:sz w:val="28"/>
          <w:sz w:val="28"/>
          <w:szCs w:val="28"/>
          <w:rtl w:val="true"/>
          <w:lang w:bidi="ar-SA"/>
        </w:rPr>
        <w:t>، بل صرّح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التولية لغيره بظنّ العدالة اشترطت،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w:t>
      </w:r>
    </w:p>
    <w:p>
      <w:pPr>
        <w:pStyle w:val="BookText"/>
        <w:rPr/>
      </w:pPr>
      <w:r>
        <w:rPr>
          <w:rFonts w:ascii="IRNazanin" w:hAnsi="IRNazanin" w:eastAsia="IRNazanin"/>
          <w:color w:val="111111"/>
          <w:sz w:val="28"/>
          <w:sz w:val="28"/>
          <w:szCs w:val="28"/>
          <w:rtl w:val="true"/>
          <w:lang w:bidi="fa-IR"/>
        </w:rPr>
        <w:t xml:space="preserve">فسقه و شرطها له فالأقرب اتباع شرطه </w:t>
      </w:r>
      <w:r>
        <w:rPr>
          <w:rStyle w:val="FootnoteAnchor"/>
          <w:rtl w:val="true"/>
        </w:rPr>
        <w:footnoteReference w:id="2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فاشتراط العدالة فيما لا يتعلّق بحقّ الورثة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على تقدير اعتبارها ليست على حدّ سائر الشروط شرطا واقعيّا في وصاية الوصي، و إن لم يعلم به الموصي، بل هي شرط علمي لصحّة الإيصاء، فلو أوصى إلى من لا يعلم عدالته لم يصحّ الإيصاء و إن كان عدلا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أوصى إلى من ظاهره العدالة و كان فاسقا في نفس الأمر، صحّت وصايته و نفذ عمله على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ليس ضامنا كالأجنبيّ، فلو تبيّن فسقه حين العمل، و لكن ثبت مطابقة عمله للوصيّة بشهادة عدلين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إلى فاسق جازما بأنّه يقوم بما أوصى به، واثقا بكون تصرّفاته على طبق المصلحة صحّ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فاشتراطها هنا نظير اشتراطها في الاستنابة للعبادات اللازمة، فالشرط في الحقيقة هو وثوق الموصي شرعا بسبب العدالة، أو حقيقة من جهة القطع بعدم المخالفة، و كون اشتراطها على هذا الوجه هو الذي يقتضي استدلالهم بأنّ الوصيّة إلى الفاسق ركون إليه في أفعاله منهيّ عنه بالآية </w:t>
      </w:r>
      <w:r>
        <w:rPr>
          <w:rStyle w:val="FootnoteAnchor"/>
          <w:rtl w:val="true"/>
        </w:rPr>
        <w:footnoteReference w:id="284"/>
      </w:r>
      <w:r>
        <w:rPr>
          <w:rFonts w:ascii="Amiri" w:hAnsi="Amiri" w:eastAsia="Amiri" w:cs="Amiri"/>
          <w:color w:val="111111"/>
          <w:sz w:val="28"/>
          <w:sz w:val="28"/>
          <w:szCs w:val="28"/>
          <w:rtl w:val="true"/>
          <w:lang w:bidi="ar-SA"/>
        </w:rPr>
        <w:t>، و أنّها أمانة، و الفاسق غير مؤتمن؛ لوجوب التبيّن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بما ذكرناه جماعة كجامع المقاصد </w:t>
      </w:r>
      <w:r>
        <w:rPr>
          <w:rStyle w:val="FootnoteAnchor"/>
          <w:rtl w:val="true"/>
        </w:rPr>
        <w:footnoteReference w:id="285"/>
      </w:r>
      <w:r>
        <w:rPr>
          <w:rFonts w:ascii="Amiri" w:hAnsi="Amiri" w:eastAsia="Amiri" w:cs="Amiri"/>
          <w:color w:val="111111"/>
          <w:sz w:val="28"/>
          <w:sz w:val="28"/>
          <w:szCs w:val="28"/>
          <w:rtl w:val="true"/>
          <w:lang w:bidi="ar-SA"/>
        </w:rPr>
        <w:t xml:space="preserve">، و صاحب المسالك </w:t>
      </w:r>
      <w:r>
        <w:rPr>
          <w:rStyle w:val="FootnoteAnchor"/>
          <w:rtl w:val="true"/>
        </w:rPr>
        <w:footnoteReference w:id="286"/>
      </w:r>
      <w:r>
        <w:rPr>
          <w:rFonts w:ascii="Amiri" w:hAnsi="Amiri" w:eastAsia="Amiri" w:cs="Amiri"/>
          <w:color w:val="111111"/>
          <w:sz w:val="28"/>
          <w:sz w:val="28"/>
          <w:szCs w:val="28"/>
          <w:rtl w:val="true"/>
          <w:lang w:bidi="ar-SA"/>
        </w:rPr>
        <w:t xml:space="preserve">، و غير واحد ممّن تأخّر عنهما </w:t>
      </w:r>
      <w:r>
        <w:rPr>
          <w:rStyle w:val="FootnoteAnchor"/>
          <w:rtl w:val="true"/>
        </w:rPr>
        <w:footnoteReference w:id="287"/>
      </w:r>
      <w:r>
        <w:rPr>
          <w:rFonts w:ascii="Amiri" w:hAnsi="Amiri" w:eastAsia="Amiri" w:cs="Amiri"/>
          <w:color w:val="111111"/>
          <w:sz w:val="28"/>
          <w:sz w:val="28"/>
          <w:szCs w:val="28"/>
          <w:rtl w:val="true"/>
          <w:lang w:bidi="ar-SA"/>
        </w:rPr>
        <w:t xml:space="preserve">، و نسب إلى التذكرة و لم أجده فيها </w:t>
      </w:r>
      <w:r>
        <w:rPr>
          <w:rStyle w:val="FootnoteAnchor"/>
          <w:rtl w:val="true"/>
        </w:rPr>
        <w:footnoteReference w:id="288"/>
      </w:r>
      <w:r>
        <w:rPr>
          <w:rFonts w:ascii="Amiri" w:hAnsi="Amiri" w:eastAsia="Amiri" w:cs="Amiri"/>
          <w:color w:val="111111"/>
          <w:sz w:val="28"/>
          <w:sz w:val="28"/>
          <w:szCs w:val="28"/>
          <w:rtl w:val="true"/>
          <w:lang w:bidi="ar-SA"/>
        </w:rPr>
        <w:t>، نعم، يظهر من بعض كلماته في التحرير،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إلى الخائن فالأقرب بطلان الوصيّة، و كان كمن لا وصيّ له، و لو قيل بجوازه و ضمّ أمين إليه إن أمكن الحفظ، و إلّا فلا، كان وجها </w:t>
      </w:r>
      <w:r>
        <w:rPr>
          <w:rStyle w:val="FootnoteAnchor"/>
          <w:rtl w:val="true"/>
        </w:rPr>
        <w:footnoteReference w:id="2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ظاهره أنّه لو طابق عمله الواقع و لو تبيّن ذلك فيما بعد، أو علم من أوّل الأمر عدم خيانته،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اشتراط العدالة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بالوصيّة إلى المرأة إذا كانت عاقلة مأمونة </w:t>
      </w:r>
      <w:r>
        <w:rPr>
          <w:rStyle w:val="FootnoteAnchor"/>
          <w:rtl w:val="true"/>
        </w:rPr>
        <w:footnoteReference w:id="2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فاستغنى عن ذكر العدالة بما هو المقصود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ما ذكرنا متّفق عليه بينهم على ما يظهر من استدلالاتهم، و استغراب بعض المعاصرين </w:t>
      </w:r>
      <w:r>
        <w:rPr>
          <w:rStyle w:val="FootnoteAnchor"/>
          <w:rtl w:val="true"/>
        </w:rPr>
        <w:footnoteReference w:id="291"/>
      </w:r>
      <w:r>
        <w:rPr>
          <w:rFonts w:ascii="Amiri" w:hAnsi="Amiri" w:eastAsia="Amiri" w:cs="Amiri"/>
          <w:color w:val="111111"/>
          <w:sz w:val="28"/>
          <w:sz w:val="28"/>
          <w:szCs w:val="28"/>
          <w:rtl w:val="true"/>
          <w:lang w:bidi="ar-SA"/>
        </w:rPr>
        <w:t xml:space="preserve">ذلك من صاحب الرياض </w:t>
      </w:r>
      <w:r>
        <w:rPr>
          <w:rStyle w:val="FootnoteAnchor"/>
          <w:rtl w:val="true"/>
        </w:rPr>
        <w:footnoteReference w:id="292"/>
      </w:r>
      <w:r>
        <w:rPr>
          <w:rFonts w:ascii="Amiri" w:hAnsi="Amiri" w:eastAsia="Amiri" w:cs="Amiri"/>
          <w:color w:val="111111"/>
          <w:sz w:val="28"/>
          <w:sz w:val="28"/>
          <w:szCs w:val="28"/>
          <w:rtl w:val="true"/>
          <w:lang w:bidi="ar-SA"/>
        </w:rPr>
        <w:t>بمنافاته لظاهر كلّ من ذكر هذا الشرط في سياق سائر الشروط، كالعقل و نحوه، الظاهر في</w:t>
      </w:r>
      <w:bookmarkStart w:id="295" w:name="pg2498_31017"/>
    </w:p>
    <w:p>
      <w:pPr>
        <w:pStyle w:val="BookText"/>
        <w:rPr/>
      </w:pPr>
      <w:bookmarkEnd w:id="295"/>
      <w:r>
        <w:rPr>
          <w:rFonts w:ascii="Amiri" w:hAnsi="Amiri" w:eastAsia="Amiri" w:cs="Amiri"/>
          <w:color w:val="111111"/>
          <w:sz w:val="28"/>
          <w:sz w:val="28"/>
          <w:szCs w:val="28"/>
          <w:rtl w:val="true"/>
          <w:lang w:bidi="ar-SA"/>
        </w:rPr>
        <w:t>انعدام المشروط بانعدام الشرط، استغراب لما اتفقوا عليه ظاهرا، لشهادة كلماتهم التي يستفاد منها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إنّما اعتبرت طريقا شرعيّا إلى الواقع، فإذا أحرز الواقع لم يقدح انتفاؤها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878159_3804643083"/>
      <w:bookmarkStart w:id="297" w:name="_Toc115"/>
      <w:bookmarkEnd w:id="296"/>
      <w:r>
        <w:rPr>
          <w:rtl w:val="true"/>
        </w:rPr>
        <w:t>[</w:t>
      </w:r>
      <w:r>
        <w:rPr>
          <w:rtl w:val="true"/>
        </w:rPr>
        <w:t>عدم كفاية وثوق الموصي مع اعتقاد الغير فسق الوصي</w:t>
      </w:r>
      <w:r>
        <w:rPr>
          <w:rtl w:val="true"/>
        </w:rPr>
        <w:t>]</w:t>
      </w:r>
      <w:bookmarkEnd w:id="297"/>
    </w:p>
    <w:p>
      <w:pPr>
        <w:pStyle w:val="BookText"/>
        <w:rPr/>
      </w:pPr>
      <w:r>
        <w:rPr>
          <w:rFonts w:ascii="Amiri" w:hAnsi="Amiri" w:eastAsia="Amiri" w:cs="Amiri"/>
          <w:color w:val="111111"/>
          <w:sz w:val="28"/>
          <w:sz w:val="28"/>
          <w:szCs w:val="28"/>
          <w:rtl w:val="true"/>
          <w:lang w:bidi="ar-SA"/>
        </w:rPr>
        <w:t xml:space="preserve">ثمّ إنّ الوثوق المذكور شرط لتحقّق ولاية الوصيّ، فكما أنّه لو أوصى إلى فاسق كان لغوا غير مؤثّر، فلو أوصى إلى من يعتقد عدالته، فاعتقده الغير فاسقا، لم يكن له ترتيب أحكام الوصيّ عليه؛ لأنّ تصرّفاته غير مأمونة، و فساد وصايته في الواقع، و لا يكفي وثوق الموصي فقط، فإنّه إنّما اعتبر </w:t>
      </w:r>
      <w:r>
        <w:rPr>
          <w:rStyle w:val="FootnoteAnchor"/>
          <w:rtl w:val="true"/>
        </w:rPr>
        <w:footnoteReference w:id="293"/>
      </w:r>
      <w:r>
        <w:rPr>
          <w:rFonts w:ascii="Amiri" w:hAnsi="Amiri" w:eastAsia="Amiri" w:cs="Amiri"/>
          <w:color w:val="111111"/>
          <w:sz w:val="28"/>
          <w:sz w:val="28"/>
          <w:szCs w:val="28"/>
          <w:rtl w:val="true"/>
          <w:lang w:bidi="ar-SA"/>
        </w:rPr>
        <w:t>ليوثق بتصرّفاته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مجهول الحال عند الغير أمكن الحكم بجواز المعاملة معه؛ لأصالة صحّة وصايته، و نظير ذلك قيّم الحاكم الذي نصبه باعتقاد العدالة مع فسقه واقعا</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878161_3804643083"/>
      <w:bookmarkStart w:id="299" w:name="_Toc116"/>
      <w:bookmarkEnd w:id="298"/>
      <w:r>
        <w:rPr>
          <w:rtl w:val="true"/>
        </w:rPr>
        <w:t>[</w:t>
      </w:r>
      <w:r>
        <w:rPr>
          <w:rtl w:val="true"/>
        </w:rPr>
        <w:t>عدم كفاية عدم ظهور الفسق</w:t>
      </w:r>
      <w:r>
        <w:rPr>
          <w:rtl w:val="true"/>
        </w:rPr>
        <w:t>]</w:t>
      </w:r>
      <w:bookmarkEnd w:id="299"/>
    </w:p>
    <w:p>
      <w:pPr>
        <w:pStyle w:val="Heading4"/>
        <w:numPr>
          <w:ilvl w:val="3"/>
          <w:numId w:val="1"/>
        </w:numPr>
        <w:rPr/>
      </w:pPr>
      <w:bookmarkStart w:id="300" w:name="__RefHeading___Toc3878163_3804643083"/>
      <w:bookmarkStart w:id="301" w:name="_Toc117"/>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ثمّ إنّ مقتضى اشتراط العدالة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عدم ظهور الفسق، خصوصا بعد ملاحظة تعليل المنع في الفاسق بوجوب التبيّن في خبره الثابت في مجهول الحال، للإجماع على لحوق المجهول بالفاسق في عدم الاعتناء بأفعاله، و لأنّ ظاهر أدلّة اعتبار العدالة في موارد اعتبارها هو اعتبار وجود ما يوجب الوثوق بفعل الشخص و قوله، و عدم الاعتناء بالفاسق ليس لفسقه، بل لعدم الأمن، و عدم الرادع الموجب للوثوق به، و إلّا فالفسق بنفسه ليس أمارة للخيانة و مخالفة الحقّ، و هذا المعنى لا يتفاوت فيه الفاسق و المجهول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فتحقّق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المحرز لملكة العدالة شرط ينتفي</w:t>
      </w:r>
      <w:bookmarkStart w:id="302" w:name="pg2498_31018"/>
    </w:p>
    <w:p>
      <w:pPr>
        <w:pStyle w:val="BookText"/>
        <w:rPr/>
      </w:pPr>
      <w:bookmarkEnd w:id="302"/>
      <w:r>
        <w:rPr>
          <w:rFonts w:ascii="Amiri" w:hAnsi="Amiri" w:eastAsia="Amiri" w:cs="Amiri"/>
          <w:color w:val="111111"/>
          <w:sz w:val="28"/>
          <w:sz w:val="28"/>
          <w:szCs w:val="28"/>
          <w:rtl w:val="true"/>
          <w:lang w:bidi="ar-SA"/>
        </w:rPr>
        <w:t>المشروط بانتفائه المتحقّق في المجهول الحال، و لا يحتاج فيه إلى نفي الملكة بأصالة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غيرها من الشروط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هو الوثوق الشرعي المتحقّق بالملكة، و هو معلوم الانتفاء في المجهول، لا أنّ نفس الملكة شرط، و الأصل عدمها عند الشك، و لذا لم يكن طرح خبر مجهول </w:t>
      </w:r>
      <w:r>
        <w:rPr>
          <w:rStyle w:val="FootnoteAnchor"/>
          <w:rtl w:val="true"/>
        </w:rPr>
        <w:footnoteReference w:id="294"/>
      </w:r>
      <w:r>
        <w:rPr>
          <w:rFonts w:ascii="Amiri" w:hAnsi="Amiri" w:eastAsia="Amiri" w:cs="Amiri"/>
          <w:color w:val="111111"/>
          <w:sz w:val="28"/>
          <w:sz w:val="28"/>
          <w:szCs w:val="28"/>
          <w:rtl w:val="true"/>
          <w:lang w:bidi="ar-SA"/>
        </w:rPr>
        <w:t>الحال متوقّفا على أصالة عدم الملكة، و ليس الفسق مانعا هنا، بل و لا في المقامات التي اعتبر فيها العدالة، لأجل الوثوق</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878165_3804643083"/>
      <w:bookmarkStart w:id="304" w:name="_Toc118"/>
      <w:bookmarkEnd w:id="303"/>
      <w:r>
        <w:rPr>
          <w:rtl w:val="true"/>
        </w:rPr>
        <w:t>[</w:t>
      </w:r>
      <w:r>
        <w:rPr>
          <w:rtl w:val="true"/>
        </w:rPr>
        <w:t>القول بكفاية عدم ظهور الفسق و مناقشته</w:t>
      </w:r>
      <w:r>
        <w:rPr>
          <w:rtl w:val="true"/>
        </w:rPr>
        <w:t>]</w:t>
      </w:r>
      <w:bookmarkEnd w:id="304"/>
    </w:p>
    <w:p>
      <w:pPr>
        <w:pStyle w:val="BookText"/>
        <w:rPr/>
      </w:pPr>
      <w:r>
        <w:rPr>
          <w:rFonts w:ascii="IRNazanin" w:hAnsi="IRNazanin" w:eastAsia="IRNazanin"/>
          <w:color w:val="111111"/>
          <w:sz w:val="28"/>
          <w:sz w:val="28"/>
          <w:szCs w:val="28"/>
          <w:rtl w:val="true"/>
          <w:lang w:bidi="fa-IR"/>
        </w:rPr>
        <w:t xml:space="preserve">نعم، إلّا على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يجعل الإسلام و عدم ظهور الفسق دليلا على العدالة، و الكلام بعد الإغماض عن هذا القول و الفراغ عن بطلانه، بل القائل بهذا القول لا ينكر اشتراط العدالة و لا يوجب الفسق مانعا، إلّا أنّه يدّعي أصالة العدالة في المسلم المجهول الحال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نظيره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محلّا للخلاف و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حكى صاحب المسالك هنا القول بكفاية عدم ظهور الفسق</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استدلال المشترطين للعدالة، بأنّ الفاسق ليس أهلا للاستئمان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عدم أهلية الفاسق للاستئمان في قبول الخبر، اشتراط العدالة هنا؛ لوجود الواسطة بينهما، و هو المستور و المجهول الحال، فإنّه لا يصحّ رميه بالفسق، بل يعزّر واصفه به، فلا يدخل في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ريب في اشتراط عدم ظهور فسقه، أمّا اشتراط ظهور عدالته ففيه بحث</w:t>
      </w:r>
      <w:r>
        <w:rPr>
          <w:rFonts w:eastAsia="Amiri" w:cs="Amiri" w:ascii="Amiri" w:hAnsi="Amiri"/>
          <w:color w:val="111111"/>
          <w:sz w:val="28"/>
          <w:szCs w:val="28"/>
          <w:rtl w:val="true"/>
          <w:lang w:bidi="ar-SA"/>
        </w:rPr>
        <w:t>.</w:t>
      </w:r>
      <w:bookmarkStart w:id="305" w:name="pg2498_31019"/>
    </w:p>
    <w:p>
      <w:pPr>
        <w:pStyle w:val="BookText"/>
        <w:rPr/>
      </w:pPr>
      <w:bookmarkEnd w:id="30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احتجّ به على اعتبار ظهور العدالة، بأنّ الفسق لمّا كان مانعا فلا بدّ من العلم بانتفائه، و ذلك هو اشتراط العدالة، فواضح المنع؛ لأنّ المانع لا يشترط العلم بعدمه في التأثير، بل عدم العلم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كما هو الشأن في كلّ مانع </w:t>
      </w:r>
      <w:r>
        <w:rPr>
          <w:rStyle w:val="FootnoteAnchor"/>
          <w:rtl w:val="true"/>
        </w:rPr>
        <w:footnoteReference w:id="299"/>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الذي دلّ على اشتراط عدم ظهور الفسق غير عدم كون الفاسق محلّا للاستئمان، و ما الّذي دلّ على عدم استئمان الفاسق غير ما دلّ على وجوب التبيّن في خبره، الذي هو بعينه جار في المجهول، و لذا لم يقل أحد بهذا التفصيل في غير هذا المقام ممّا اشترط فيه العدالة، و الظاهر أنّ القول به في المقام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أخيرا من حكاية الاحتجاج و المنع، فالتحقيق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و غيره من أجزاء العلّة سواء في وجوب العلم بعدمه، إلّا أنّ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 إن كانا وجوديّين، كان الأصل عند الشك فيهما العدم، فينتفي المشروط و يثبت الممنوع؛ لأنّ الأصل بمنزلة العلم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لذا لو فرض الشرط عدميّا و المانع عدميّا، كان الأصل عند الشك فيهما العدم، فيثبت المشروط و ينتفي الممنوع، عكس الأوّل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878167_3804643083"/>
      <w:bookmarkStart w:id="307" w:name="_Toc119"/>
      <w:bookmarkEnd w:id="306"/>
      <w:r>
        <w:rPr>
          <w:rtl w:val="true"/>
        </w:rPr>
        <w:t>[</w:t>
      </w:r>
      <w:r>
        <w:rPr>
          <w:rtl w:val="true"/>
        </w:rPr>
        <w:t>الوصي العدل إذا فسق بعد موت الموصي</w:t>
      </w:r>
      <w:r>
        <w:rPr>
          <w:rtl w:val="true"/>
        </w:rPr>
        <w:t>]</w:t>
      </w:r>
      <w:bookmarkEnd w:id="3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عدم اشتراط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إلى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 بعد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يرفع الاعتماد عليه إن كان الداعي</w:t>
      </w:r>
    </w:p>
    <w:p>
      <w:pPr>
        <w:pStyle w:val="BookText"/>
        <w:rPr/>
      </w:pPr>
      <w:r>
        <w:rPr>
          <w:rFonts w:ascii="Amiri" w:hAnsi="Amiri" w:eastAsia="Amiri" w:cs="Amiri"/>
          <w:color w:val="111111"/>
          <w:sz w:val="28"/>
          <w:sz w:val="28"/>
          <w:szCs w:val="28"/>
          <w:rtl w:val="true"/>
          <w:lang w:bidi="ar-SA"/>
        </w:rPr>
        <w:t xml:space="preserve">الاعتماد عليه و الاطمئنان بفعله، أو مطلقا إن كان الداعي وصف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القول ببطلان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الداعي بمنزلة مناط الحكم و الوصف العنواني، فكأنّه رضي به ما دام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البطلان؛ لمنع كون مرجع الداعي إلى الوصف العنواني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بعدم البطلان ما لو علم كون الداعي غير العدالة، أو كان الفسق بما لا يرفع الوثاقة الداعية إلى الوصيّة إليه، أو جهل الحال، فإنّ في هذه الصور لا يعرف وجه للحكم بزوال وصايته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ادّعي الإجماع في المسألة على وجه يشمل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الأقوى ما اختاره الحلّي قدّس سرّه </w:t>
      </w:r>
      <w:r>
        <w:rPr>
          <w:rStyle w:val="FootnoteAnchor"/>
          <w:rtl w:val="true"/>
        </w:rPr>
        <w:footnoteReference w:id="301"/>
      </w:r>
      <w:r>
        <w:rPr>
          <w:rFonts w:ascii="Amiri" w:hAnsi="Amiri" w:eastAsia="Amiri" w:cs="Amiri"/>
          <w:color w:val="111111"/>
          <w:sz w:val="28"/>
          <w:sz w:val="28"/>
          <w:szCs w:val="28"/>
          <w:rtl w:val="true"/>
          <w:lang w:bidi="ar-SA"/>
        </w:rPr>
        <w:t xml:space="preserve">من بقاء الوصاية تمسّكا بالاستصحاب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Style w:val="FootnoteAnchor"/>
          <w:rtl w:val="true"/>
        </w:rPr>
        <w:footnoteReference w:id="303"/>
      </w:r>
      <w:r>
        <w:rPr>
          <w:rFonts w:ascii="Amiri" w:hAnsi="Amiri" w:eastAsia="Amiri" w:cs="Amiri"/>
          <w:color w:val="111111"/>
          <w:sz w:val="28"/>
          <w:sz w:val="28"/>
          <w:szCs w:val="28"/>
          <w:rtl w:val="true"/>
          <w:lang w:bidi="ar-SA"/>
        </w:rPr>
        <w:t>الوثوق ربما كان باعتبار صلاحه، فلم يتحقق عند زواله، فحينئذ يعزله الحاكم و يستنيب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الوصية إلى المملوك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الوصية إلى الصبي منفردا، و تصح منضما إلى البالغ، لكن لا يتصرّف إلّا بعد بلوغه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إلى اثنين أحدهما صغير، تصرّف الكبير منفردا حتى يبلغ الصغير، و عند بلوغه لا يجوز للبالغ 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الصغير أو بلغ فاسد العقل، كان للعاقل الانفراد بالوصية و لم يداخله الحاكم؛ لأن للميت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البالغ ثم بلغ الصبي لم يكن له نقض شي‌ء مما أبرمه، إلّا أن يكون مخالفا لمقتضى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الوصية إلى الكافر، و 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يوصي إليه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الوصية إلى المرأة، إذا جمعت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إلى اثنين، فإن أطلق أو شرط اجتماعهما لم يجز لأحدهما أن ينفرد عن صاحبه بشي‌ء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تشاحّا لم يمض ما ينفرد به كل واحد منهما عن صاحبه، إلّا ما لا بدّ منه، مثل كسوة اليتيم و مأكوله و للحاكم جبرهما على الاجتماع، فإن تعاسرا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الاستبدال بهما، و لو أرادا قسمة المال بينهما لم يجز، و لو مرض أحدهما أو عجز ضمّ إليه الحاكم من يقوّيه، أما لو مات أو فسق لم يضمّ الحاكم إلى الآخر، و جاز له الانفراد، لأنّه لا ولاية للحاكم مع وجود الوصي،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لهما الاجتماع و الانفراد كان تصرف كل واحد منهما ماضيا و لو انفرد، و يجوز أن يقتسما المال و يتصرف كل واحد منهما فيما يصيبه، كما يجوز انفراده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للموصى إليه أن يرد الوصية، ما دام الموصي حيا، بشرط أن يبلغه الرد، و لو مات قبل الرد أو بعده و لم يبلغه لم يكن للرد أثر، و كانت الوصية لازمة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من الوصي عجز ضمّ إليه مساعد، و إن ظهر منه خيانة وجب على الحاكم عزله و يقيم مقامه أمينا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الوصي أمين لا يضمن ما يتلف، إلّا عن مخالفته لشرط الوصية أو تفريط</w:t>
      </w:r>
      <w:r>
        <w:rPr>
          <w:rFonts w:eastAsia="Amiri" w:cs="Amiri" w:ascii="Amiri" w:hAnsi="Amiri"/>
          <w:color w:val="111111"/>
          <w:sz w:val="28"/>
          <w:szCs w:val="28"/>
          <w:rtl w:val="true"/>
          <w:lang w:bidi="ar-SA"/>
        </w:rPr>
        <w:t>.</w:t>
      </w:r>
      <w:bookmarkStart w:id="308" w:name="pg2498_31022"/>
    </w:p>
    <w:p>
      <w:pPr>
        <w:pStyle w:val="BookText"/>
        <w:rPr/>
      </w:pPr>
      <w:bookmarkEnd w:id="308"/>
      <w:r>
        <w:rPr>
          <w:rFonts w:ascii="Amiri" w:hAnsi="Amiri" w:eastAsia="Amiri" w:cs="Amiri"/>
          <w:color w:val="111111"/>
          <w:sz w:val="28"/>
          <w:sz w:val="28"/>
          <w:szCs w:val="28"/>
          <w:rtl w:val="true"/>
          <w:lang w:bidi="ar-SA"/>
        </w:rPr>
        <w:t>و لو كان للوصي دين على الميت جاز أن يستوفي ممّا في يده من غير إذن حاكم إذا لم يكن له 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 و في شرائه لنفسه من نفسه تردد، أشبهه الجواز إذا أخذ بالقيمة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أذن الموصي للوصيّ أن يوصي جاز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يأذن له، لكن لم يمنعه، فهل له أن يوصي؟ فيه خلاف، أظهره المنع، و يكون النظر بعده إلى الحاكم، و كذا لو مات إنسان و لا وصي له، كان للحاكم النظر في تركته، و لو لم يكن هناك حاكم جاز أن يتولّاه من المؤمنين من يوثق به، و 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بالنظر في مال ولده إلى أجنبي و له أب لم يصح، و كانت الولاية إلى جد اليتيم دون الوصي،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قدر الثلث ممّا ترك، و في أداء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بالنظر في شي‌ء معين اختصت ولايته به، و لا يجوز له التصرف في غيره، و جرى مجرى الوكيل في الاقتصار على ما يوكل فيه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878169_3804643083"/>
      <w:bookmarkStart w:id="310" w:name="_Toc120"/>
      <w:bookmarkEnd w:id="309"/>
      <w:r>
        <w:rPr>
          <w:rtl w:val="true"/>
        </w:rPr>
        <w:t>[</w:t>
      </w:r>
      <w:r>
        <w:rPr>
          <w:rtl w:val="true"/>
        </w:rPr>
        <w:t>مسائل ثلاث</w:t>
      </w:r>
      <w:r>
        <w:rPr>
          <w:rtl w:val="true"/>
        </w:rPr>
        <w:t>]</w:t>
      </w:r>
      <w:bookmarkEnd w:id="310"/>
    </w:p>
    <w:p>
      <w:pPr>
        <w:pStyle w:val="Heading4"/>
        <w:numPr>
          <w:ilvl w:val="3"/>
          <w:numId w:val="1"/>
        </w:numPr>
        <w:rPr/>
      </w:pPr>
      <w:bookmarkStart w:id="311" w:name="__RefHeading___Toc3878171_3804643083"/>
      <w:bookmarkStart w:id="312" w:name="_Toc121"/>
      <w:bookmarkEnd w:id="311"/>
      <w:r>
        <w:rPr>
          <w:rtl w:val="true"/>
        </w:rPr>
        <w:t>[</w:t>
      </w:r>
      <w:r>
        <w:rPr>
          <w:rtl w:val="true"/>
        </w:rPr>
        <w:t>الاولى</w:t>
      </w:r>
      <w:r>
        <w:rPr>
          <w:rtl w:val="true"/>
        </w:rPr>
        <w:t xml:space="preserve">: </w:t>
      </w:r>
      <w:r>
        <w:rPr>
          <w:rtl w:val="true"/>
        </w:rPr>
        <w:t>الصفات المراعاة في الوصي تعتبر حال الوصية</w:t>
      </w:r>
      <w:r>
        <w:rPr>
          <w:rtl w:val="true"/>
        </w:rPr>
        <w:t>]</w:t>
      </w:r>
      <w:bookmarkEnd w:id="312"/>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المراعاة في الوصي تعتبر حال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أوصي إلى صبي فبلغ ثم مات الوصي صحت الوصية، و كذا الكلام في الحرية و العقل، و الأوّل أشبه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878173_3804643083"/>
      <w:bookmarkStart w:id="314" w:name="_Toc122"/>
      <w:bookmarkEnd w:id="313"/>
      <w:r>
        <w:rPr>
          <w:rtl w:val="true"/>
        </w:rPr>
        <w:t>[</w:t>
      </w:r>
      <w:r>
        <w:rPr>
          <w:rtl w:val="true"/>
        </w:rPr>
        <w:t>الثانية</w:t>
      </w:r>
      <w:r>
        <w:rPr>
          <w:rtl w:val="true"/>
        </w:rPr>
        <w:t xml:space="preserve">: </w:t>
      </w:r>
      <w:r>
        <w:rPr>
          <w:rtl w:val="true"/>
        </w:rPr>
        <w:t>تصح الوصية على كل من للموصى عليه ولاية شرعية</w:t>
      </w:r>
      <w:r>
        <w:rPr>
          <w:rtl w:val="true"/>
        </w:rPr>
        <w:t>]</w:t>
      </w:r>
      <w:bookmarkEnd w:id="3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على كل من للموصى عليه ولاية شرعية، كالولد و إن نزلوا، بشرط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على أولاده الكبار و العقلاء، أو على أبيه أو على أقاربه لم تمض الوصية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بالنظر في المال الذي تركه لهم لم يصح له التصرف لا في ثلثه، و لا في إخراج الحقوق عن الموصي</w:t>
      </w:r>
      <w:bookmarkStart w:id="315" w:name="pg2498_31023"/>
    </w:p>
    <w:p>
      <w:pPr>
        <w:pStyle w:val="BookText"/>
        <w:rPr/>
      </w:pPr>
      <w:bookmarkEnd w:id="315"/>
      <w:r>
        <w:rPr>
          <w:rFonts w:ascii="Amiri" w:hAnsi="Amiri" w:eastAsia="Amiri" w:cs="Amiri"/>
          <w:color w:val="111111"/>
          <w:sz w:val="28"/>
          <w:sz w:val="28"/>
          <w:szCs w:val="28"/>
          <w:rtl w:val="true"/>
          <w:lang w:bidi="ar-SA"/>
        </w:rPr>
        <w:t>كالديون و الصدقات</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878175_3804643083"/>
      <w:bookmarkStart w:id="317" w:name="_Toc123"/>
      <w:bookmarkEnd w:id="316"/>
      <w:r>
        <w:rPr>
          <w:rtl w:val="true"/>
        </w:rPr>
        <w:t>[</w:t>
      </w:r>
      <w:r>
        <w:rPr>
          <w:rtl w:val="true"/>
        </w:rPr>
        <w:t>الثالثة</w:t>
      </w:r>
      <w:r>
        <w:rPr>
          <w:rtl w:val="true"/>
        </w:rPr>
        <w:t xml:space="preserve">: </w:t>
      </w:r>
      <w:r>
        <w:rPr>
          <w:rtl w:val="true"/>
        </w:rPr>
        <w:t>يجوز لمن يتولّى أموال اليتيم أن يأخذ أجرة المثل عن نظره في ماله</w:t>
      </w:r>
      <w:r>
        <w:rPr>
          <w:rtl w:val="true"/>
        </w:rPr>
        <w:t>]</w:t>
      </w:r>
      <w:bookmarkEnd w:id="3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يتولّى أموال اليتيم أن يأخذ أجرة المثل عن نظره في ماله،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قدر كفايته،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 و الأوّل أظهر</w:t>
      </w:r>
      <w:r>
        <w:rPr>
          <w:rFonts w:eastAsia="Amiri" w:cs="Amiri" w:ascii="Amiri" w:hAnsi="Amiri"/>
          <w:color w:val="111111"/>
          <w:sz w:val="28"/>
          <w:szCs w:val="28"/>
          <w:rtl w:val="true"/>
          <w:lang w:bidi="ar-SA"/>
        </w:rPr>
        <w:t>).</w:t>
      </w:r>
      <w:bookmarkStart w:id="318" w:name="pg2498_31024"/>
    </w:p>
    <w:p>
      <w:pPr>
        <w:pStyle w:val="Heading2"/>
        <w:numPr>
          <w:ilvl w:val="1"/>
          <w:numId w:val="1"/>
        </w:numPr>
        <w:rPr/>
      </w:pPr>
      <w:bookmarkStart w:id="319" w:name="__RefHeading___Toc3878177_3804643083"/>
      <w:bookmarkStart w:id="320" w:name="_Toc124"/>
      <w:bookmarkEnd w:id="318"/>
      <w:bookmarkEnd w:id="319"/>
      <w:r>
        <w:rPr>
          <w:rtl w:val="true"/>
        </w:rPr>
        <w:t>الفصل السادس</w:t>
      </w:r>
      <w:r>
        <w:rPr>
          <w:rtl w:val="true"/>
        </w:rPr>
        <w:t xml:space="preserve">: </w:t>
      </w:r>
      <w:r>
        <w:rPr>
          <w:rtl w:val="true"/>
        </w:rPr>
        <w:t>في اللّواحق</w:t>
      </w:r>
      <w:bookmarkEnd w:id="3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878179_3804643083"/>
      <w:bookmarkStart w:id="322" w:name="_Toc125"/>
      <w:bookmarkEnd w:id="321"/>
      <w:r>
        <w:rPr>
          <w:rtl w:val="true"/>
        </w:rPr>
        <w:t>اشارة</w:t>
      </w:r>
      <w:bookmarkStart w:id="323" w:name="pg2498_31026"/>
      <w:bookmarkEnd w:id="322"/>
    </w:p>
    <w:p>
      <w:pPr>
        <w:pStyle w:val="BookText"/>
        <w:rPr/>
      </w:pPr>
      <w:bookmarkEnd w:id="323"/>
      <w:r>
        <w:rPr>
          <w:rFonts w:ascii="Amiri" w:hAnsi="Amiri" w:eastAsia="Amiri" w:cs="Amiri"/>
          <w:color w:val="111111"/>
          <w:sz w:val="28"/>
          <w:sz w:val="28"/>
          <w:szCs w:val="28"/>
          <w:rtl w:val="true"/>
          <w:lang w:bidi="ar-SA"/>
        </w:rPr>
        <w:t>الفصل السادس في اللواحق و فيه قسمان</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878181_3804643083"/>
      <w:bookmarkStart w:id="325" w:name="_Toc126"/>
      <w:bookmarkEnd w:id="324"/>
      <w:r>
        <w:rPr>
          <w:rtl w:val="true"/>
        </w:rPr>
        <w:t>[</w:t>
      </w:r>
      <w:r>
        <w:rPr>
          <w:rtl w:val="true"/>
        </w:rPr>
        <w:t>القسم الأوّل</w:t>
      </w:r>
      <w:r>
        <w:rPr>
          <w:rtl w:val="true"/>
        </w:rPr>
        <w:t>]</w:t>
      </w:r>
      <w:bookmarkEnd w:id="325"/>
    </w:p>
    <w:p>
      <w:pPr>
        <w:pStyle w:val="Heading4"/>
        <w:numPr>
          <w:ilvl w:val="3"/>
          <w:numId w:val="1"/>
        </w:numPr>
        <w:rPr/>
      </w:pPr>
      <w:bookmarkStart w:id="326" w:name="__RefHeading___Toc3878183_3804643083"/>
      <w:bookmarkStart w:id="327" w:name="_Toc127"/>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القسم الأوّل و فيه مسائل</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878185_3804643083"/>
      <w:bookmarkStart w:id="329" w:name="_Toc128"/>
      <w:bookmarkEnd w:id="328"/>
      <w:r>
        <w:rPr>
          <w:rtl w:val="true"/>
        </w:rPr>
        <w:t>[</w:t>
      </w:r>
      <w:r>
        <w:rPr>
          <w:rtl w:val="true"/>
        </w:rPr>
        <w:t>الأولى</w:t>
      </w:r>
      <w:r>
        <w:rPr>
          <w:rtl w:val="true"/>
        </w:rPr>
        <w:t xml:space="preserve">: </w:t>
      </w:r>
      <w:r>
        <w:rPr>
          <w:rtl w:val="true"/>
        </w:rPr>
        <w:t>إذا أوصى لأجنبي بمثل نصيب ابنه، و ليس له إلّا واحد</w:t>
      </w:r>
      <w:r>
        <w:rPr>
          <w:rtl w:val="true"/>
        </w:rPr>
        <w:t>]</w:t>
      </w:r>
      <w:bookmarkEnd w:id="32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لأجنبي بمثل نصيب ابنه، و ليس له إلّا واحد، فقد شرك بينهما في تركته، فللموصى له النصف، فإن لم يجز الوارث فله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ابنان، كانت الوصية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ثلاثة، كان له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يضاف إلى الوارث، و يجعل كأحدهم إن كانوا متساوين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اختلفت سهامهم جعل مثل أضعفهم سهما، إلّا أن يقول مثل أعظمهم، فيعمل بمقتضى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بنتي، فعندنا يكون له النصف إذا لم يكن وارث سواها، و يردّ إلى الثلث إذا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بنتان كان له الثلث، لأن المال عندنا للبنتين دون العصبة، فيكون الموصى له كثالثة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ثلاث أخوات من أمّ، و إخوة ثلاثة من أب، فأوصى لأجنبي بمثل نصيب أحد ورثته كان كواحدة من الأخوات، فيكون له سهم من عشرة،</w:t>
      </w:r>
      <w:bookmarkStart w:id="330" w:name="pg2498_31027"/>
    </w:p>
    <w:p>
      <w:pPr>
        <w:pStyle w:val="BookText"/>
        <w:rPr/>
      </w:pPr>
      <w:bookmarkEnd w:id="330"/>
      <w:r>
        <w:rPr>
          <w:rFonts w:ascii="Amiri" w:hAnsi="Amiri" w:eastAsia="Amiri" w:cs="Amiri"/>
          <w:color w:val="111111"/>
          <w:sz w:val="28"/>
          <w:sz w:val="28"/>
          <w:szCs w:val="28"/>
          <w:rtl w:val="true"/>
          <w:lang w:bidi="ar-SA"/>
        </w:rPr>
        <w:t>و للأخوات ثلاثة، و للإخوة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زوجة و بنت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بنتي، فأجاز الورثة كان له سبعة أسهم، و للبنت مثلها، و للزوجة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سهم واحد من خمسة عشر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أربع زوجات و بنت، فأوصى بمثل نصيب إحداهنّ كانت الفريضة من اثنين و ثلاثين، فيكون للزوجات الثمن أربعة بينهنّ بالسوية، و له سهم كواحدة، و يبقى سبعة و عشرون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و ثلاثين كان أشبه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878187_3804643083"/>
      <w:bookmarkStart w:id="332" w:name="_Toc129"/>
      <w:bookmarkEnd w:id="331"/>
      <w:r>
        <w:rPr>
          <w:rtl w:val="true"/>
        </w:rPr>
        <w:t>[</w:t>
      </w:r>
      <w:r>
        <w:rPr>
          <w:rtl w:val="true"/>
        </w:rPr>
        <w:t>الثانية</w:t>
      </w:r>
      <w:r>
        <w:rPr>
          <w:rtl w:val="true"/>
        </w:rPr>
        <w:t xml:space="preserve">: </w:t>
      </w:r>
      <w:r>
        <w:rPr>
          <w:rtl w:val="true"/>
        </w:rPr>
        <w:t>لو أوصى لأجنبي بنصيب ولده</w:t>
      </w:r>
      <w:r>
        <w:rPr>
          <w:rtl w:val="true"/>
        </w:rPr>
        <w:t>]</w:t>
      </w:r>
      <w:bookmarkEnd w:id="33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لأجنبي بنصيب ولده،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 لأنّها وصية بمستحقه،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فيكون كما لو أوصى بمثل نصيبه،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ابن قاتل، فأوصى بمثل نصيبه،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الوصية،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 لأنّه لا نصيب له، و هو أشبه</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878189_3804643083"/>
      <w:bookmarkStart w:id="334" w:name="_Toc130"/>
      <w:bookmarkEnd w:id="333"/>
      <w:r>
        <w:rPr>
          <w:rtl w:val="true"/>
        </w:rPr>
        <w:t>[</w:t>
      </w:r>
      <w:r>
        <w:rPr>
          <w:rtl w:val="true"/>
        </w:rPr>
        <w:t>الثالثة</w:t>
      </w:r>
      <w:r>
        <w:rPr>
          <w:rtl w:val="true"/>
        </w:rPr>
        <w:t xml:space="preserve">: </w:t>
      </w:r>
      <w:r>
        <w:rPr>
          <w:rtl w:val="true"/>
        </w:rPr>
        <w:t>إذا أوصى بضعف نصيب ولده، كان له مثلاه</w:t>
      </w:r>
      <w:r>
        <w:rPr>
          <w:rtl w:val="true"/>
        </w:rPr>
        <w:t>]</w:t>
      </w:r>
      <w:bookmarkEnd w:id="33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بضعف نصيب ولده، كان له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ضعفاه كان له أربعة،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هو أشبه أخذا بالمتيقّن،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ضعف نصيبه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878191_3804643083"/>
      <w:bookmarkStart w:id="336" w:name="_Toc131"/>
      <w:bookmarkEnd w:id="335"/>
      <w:r>
        <w:rPr>
          <w:rtl w:val="true"/>
        </w:rPr>
        <w:t>[</w:t>
      </w:r>
      <w:r>
        <w:rPr>
          <w:rtl w:val="true"/>
        </w:rPr>
        <w:t>الرابعة</w:t>
      </w:r>
      <w:r>
        <w:rPr>
          <w:rtl w:val="true"/>
        </w:rPr>
        <w:t xml:space="preserve">: </w:t>
      </w:r>
      <w:r>
        <w:rPr>
          <w:rtl w:val="true"/>
        </w:rPr>
        <w:t>إذا أوصى بثلثه للفقراء و له أموال متفرقة</w:t>
      </w:r>
      <w:r>
        <w:rPr>
          <w:rtl w:val="true"/>
        </w:rPr>
        <w:t>]</w:t>
      </w:r>
      <w:bookmarkEnd w:id="33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بثلثه للفقراء و له أموال متفرقة جاز صرف كل ما في بلد إلى فقرائه، و لو صرف الجميع في فقراء بلد الموصي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إلى الموجودين في البلد، فلا يجب تتبّع من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أن يعطى ثلاثة فصاعدا؟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الأشبه، عملا بمقتضى اللفظ،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رقابا، وجب أن يعتق ثلاثة فما زاد، إلّا أن يقصر ثلث مال الموصي</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878193_3804643083"/>
      <w:bookmarkStart w:id="338" w:name="_Toc132"/>
      <w:bookmarkEnd w:id="337"/>
      <w:r>
        <w:rPr>
          <w:rtl w:val="true"/>
        </w:rPr>
        <w:t>[</w:t>
      </w:r>
      <w:r>
        <w:rPr>
          <w:rtl w:val="true"/>
        </w:rPr>
        <w:t>الخامسة</w:t>
      </w:r>
      <w:r>
        <w:rPr>
          <w:rtl w:val="true"/>
        </w:rPr>
        <w:t xml:space="preserve">: </w:t>
      </w:r>
      <w:r>
        <w:rPr>
          <w:rtl w:val="true"/>
        </w:rPr>
        <w:t>إذا أوصى لإنسان بعبد معين، و لآخر بتمام الثلث، ثم حدث في العبد عيب قبل تسليمه إلى الموصى له</w:t>
      </w:r>
      <w:r>
        <w:rPr>
          <w:rtl w:val="true"/>
        </w:rPr>
        <w:t>]</w:t>
      </w:r>
      <w:bookmarkEnd w:id="3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لإنسان بعبد معين، و لآخر بتمام الثلث، ثم حدث في العبد عيب قبل تسليمه إلى الموصى له كان للموصى له الآخر تكملة</w:t>
      </w:r>
      <w:bookmarkStart w:id="339" w:name="pg2498_31028"/>
    </w:p>
    <w:p>
      <w:pPr>
        <w:pStyle w:val="BookText"/>
        <w:rPr/>
      </w:pPr>
      <w:bookmarkEnd w:id="339"/>
      <w:r>
        <w:rPr>
          <w:rFonts w:ascii="Amiri" w:hAnsi="Amiri" w:eastAsia="Amiri" w:cs="Amiri"/>
          <w:color w:val="111111"/>
          <w:sz w:val="28"/>
          <w:sz w:val="28"/>
          <w:szCs w:val="28"/>
          <w:rtl w:val="true"/>
          <w:lang w:bidi="ar-SA"/>
        </w:rPr>
        <w:t>الثلث، بعد وضع قيمة العبد صحيحا، لأنّه قصد عطية التكملة و العبد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مات العبد قبل موت الموصي بطلت الوصية، و اعطي الآخر ما زاد عن قيمة العبد الصحيح، و لو كانت قيمة العبد بقدر الثلث، بطلت الوصية للآخر</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878195_3804643083"/>
      <w:bookmarkStart w:id="341" w:name="_Toc133"/>
      <w:bookmarkEnd w:id="340"/>
      <w:r>
        <w:rPr>
          <w:rtl w:val="true"/>
        </w:rPr>
        <w:t>[</w:t>
      </w:r>
      <w:r>
        <w:rPr>
          <w:rtl w:val="true"/>
        </w:rPr>
        <w:t>السادسة</w:t>
      </w:r>
      <w:r>
        <w:rPr>
          <w:rtl w:val="true"/>
        </w:rPr>
        <w:t xml:space="preserve">: </w:t>
      </w:r>
      <w:r>
        <w:rPr>
          <w:rtl w:val="true"/>
        </w:rPr>
        <w:t>إذا أوصى له بأبيه، فقبل الوصية و هو مريض، عتق عليه من أصل المال</w:t>
      </w:r>
      <w:r>
        <w:rPr>
          <w:rtl w:val="true"/>
        </w:rPr>
        <w:t>]</w:t>
      </w:r>
      <w:bookmarkEnd w:id="34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له بأبيه، فقبل الوصية و هو مريض، عتق عليه من أصل المال إجماعا منّا؛ لأنّه إنما يعتبر من الثلث ما يخرجه عن ملكه، و هنا لم يخرجه، بل بالقبول ملكه، و انعتق عليه تبعا لملكه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878197_3804643083"/>
      <w:bookmarkStart w:id="343" w:name="_Toc134"/>
      <w:bookmarkEnd w:id="342"/>
      <w:r>
        <w:rPr>
          <w:rtl w:val="true"/>
        </w:rPr>
        <w:t>[</w:t>
      </w:r>
      <w:r>
        <w:rPr>
          <w:rtl w:val="true"/>
        </w:rPr>
        <w:t>السابعة</w:t>
      </w:r>
      <w:r>
        <w:rPr>
          <w:rtl w:val="true"/>
        </w:rPr>
        <w:t xml:space="preserve">: </w:t>
      </w:r>
      <w:r>
        <w:rPr>
          <w:rtl w:val="true"/>
        </w:rPr>
        <w:t>إذا أوصى له بدار، فانهدمت و صارت براحا، ثم مات الموصي، بطلت الوصية</w:t>
      </w:r>
      <w:r>
        <w:rPr>
          <w:rtl w:val="true"/>
        </w:rPr>
        <w:t>]</w:t>
      </w:r>
      <w:bookmarkEnd w:id="343"/>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له بدار، فانهدمت و صارت براحا، ثم مات الموصي، بطلت الوصية؛ لأنّها خرجت عن اسم الدار، و فيه تردد</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878199_3804643083"/>
      <w:bookmarkStart w:id="345" w:name="_Toc135"/>
      <w:bookmarkEnd w:id="344"/>
      <w:r>
        <w:rPr>
          <w:rtl w:val="true"/>
        </w:rPr>
        <w:t>[</w:t>
      </w:r>
      <w:r>
        <w:rPr>
          <w:rtl w:val="true"/>
        </w:rPr>
        <w:t>الثامنة</w:t>
      </w:r>
      <w:r>
        <w:rPr>
          <w:rtl w:val="true"/>
        </w:rPr>
        <w:t xml:space="preserve">: </w:t>
      </w:r>
      <w:r>
        <w:rPr>
          <w:rtl w:val="true"/>
        </w:rPr>
        <w:t>إذا قال</w:t>
      </w:r>
      <w:r>
        <w:rPr>
          <w:rtl w:val="true"/>
        </w:rPr>
        <w:t xml:space="preserve">: </w:t>
      </w:r>
      <w:r>
        <w:rPr>
          <w:rtl w:val="true"/>
        </w:rPr>
        <w:t>أعطوا زيدا و الفقراء كذا، كان لزيد النصف من الوصية</w:t>
      </w:r>
      <w:r>
        <w:rPr>
          <w:rtl w:val="true"/>
        </w:rPr>
        <w:t>]</w:t>
      </w:r>
      <w:bookmarkEnd w:id="3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 الفقراء كذا، كان لزيد النصف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الأوّل أشبه</w:t>
      </w:r>
      <w:r>
        <w:rPr>
          <w:rFonts w:eastAsia="Amiri" w:cs="Amiri" w:ascii="Amiri" w:hAnsi="Amiri"/>
          <w:color w:val="111111"/>
          <w:sz w:val="28"/>
          <w:szCs w:val="28"/>
          <w:rtl w:val="true"/>
          <w:lang w:bidi="ar-SA"/>
        </w:rPr>
        <w:t>.</w:t>
      </w:r>
      <w:bookmarkStart w:id="346" w:name="pg2498_31029"/>
    </w:p>
    <w:p>
      <w:pPr>
        <w:pStyle w:val="Heading3"/>
        <w:numPr>
          <w:ilvl w:val="2"/>
          <w:numId w:val="1"/>
        </w:numPr>
        <w:rPr/>
      </w:pPr>
      <w:bookmarkStart w:id="347" w:name="__RefHeading___Toc3878201_3804643083"/>
      <w:bookmarkStart w:id="348" w:name="_Toc136"/>
      <w:bookmarkEnd w:id="346"/>
      <w:bookmarkEnd w:id="347"/>
      <w:r>
        <w:rPr>
          <w:rtl w:val="true"/>
        </w:rPr>
        <w:t>[</w:t>
      </w:r>
      <w:r>
        <w:rPr>
          <w:rtl w:val="true"/>
        </w:rPr>
        <w:t>القسم الثاني في تصرفات المريض</w:t>
      </w:r>
      <w:r>
        <w:rPr>
          <w:rtl w:val="true"/>
        </w:rPr>
        <w:t>]</w:t>
      </w:r>
      <w:bookmarkEnd w:id="348"/>
    </w:p>
    <w:p>
      <w:pPr>
        <w:pStyle w:val="Heading4"/>
        <w:numPr>
          <w:ilvl w:val="3"/>
          <w:numId w:val="1"/>
        </w:numPr>
        <w:rPr/>
      </w:pPr>
      <w:bookmarkStart w:id="349" w:name="__RefHeading___Toc3878203_3804643083"/>
      <w:bookmarkStart w:id="350" w:name="_Toc137"/>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القسم الثاني في تصرفات المريض </w:t>
      </w:r>
      <w:r>
        <w:rPr>
          <w:rStyle w:val="FootnoteAnchor"/>
          <w:rtl w:val="true"/>
        </w:rPr>
        <w:footnoteReference w:id="304"/>
      </w:r>
    </w:p>
    <w:p>
      <w:pPr>
        <w:pStyle w:val="Heading4"/>
        <w:numPr>
          <w:ilvl w:val="3"/>
          <w:numId w:val="1"/>
        </w:numPr>
        <w:rPr/>
      </w:pPr>
      <w:bookmarkStart w:id="351" w:name="__RefHeading___Toc3878205_3804643083"/>
      <w:bookmarkStart w:id="352" w:name="_Toc138"/>
      <w:bookmarkEnd w:id="351"/>
      <w:r>
        <w:rPr>
          <w:rtl w:val="true"/>
        </w:rPr>
        <w:t>[</w:t>
      </w:r>
      <w:r>
        <w:rPr>
          <w:rtl w:val="true"/>
        </w:rPr>
        <w:t>و هي نوعان</w:t>
      </w:r>
      <w:r>
        <w:rPr>
          <w:rtl w:val="true"/>
        </w:rPr>
        <w:t>]</w:t>
      </w:r>
      <w:bookmarkEnd w:id="352"/>
    </w:p>
    <w:p>
      <w:pPr>
        <w:pStyle w:val="Heading5"/>
        <w:numPr>
          <w:ilvl w:val="4"/>
          <w:numId w:val="1"/>
        </w:numPr>
        <w:rPr/>
      </w:pPr>
      <w:bookmarkStart w:id="353" w:name="__RefHeading___Toc3878207_3804643083"/>
      <w:bookmarkStart w:id="354" w:name="_Toc139"/>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 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مؤجّلة، و منجّزة</w:t>
      </w:r>
    </w:p>
    <w:p>
      <w:pPr>
        <w:pStyle w:val="Heading5"/>
        <w:numPr>
          <w:ilvl w:val="4"/>
          <w:numId w:val="1"/>
        </w:numPr>
        <w:rPr/>
      </w:pPr>
      <w:bookmarkStart w:id="355" w:name="__RefHeading___Toc3878209_3804643083"/>
      <w:bookmarkStart w:id="356" w:name="_Toc140"/>
      <w:bookmarkEnd w:id="355"/>
      <w:r>
        <w:rPr>
          <w:rtl w:val="true"/>
        </w:rPr>
        <w:t>[</w:t>
      </w:r>
      <w:r>
        <w:rPr>
          <w:rtl w:val="true"/>
        </w:rPr>
        <w:t>فالمؤجّلة</w:t>
      </w:r>
      <w:r>
        <w:rPr>
          <w:rtl w:val="true"/>
        </w:rPr>
        <w:t>]</w:t>
      </w:r>
      <w:bookmarkEnd w:id="356"/>
    </w:p>
    <w:p>
      <w:pPr>
        <w:pStyle w:val="BookText"/>
        <w:rPr/>
      </w:pPr>
      <w:r>
        <w:rPr>
          <w:rFonts w:ascii="Amiri" w:hAnsi="Amiri" w:eastAsia="Amiri" w:cs="Amiri"/>
          <w:color w:val="111111"/>
          <w:sz w:val="28"/>
          <w:sz w:val="28"/>
          <w:szCs w:val="28"/>
          <w:rtl w:val="true"/>
          <w:lang w:bidi="ar-SA"/>
        </w:rPr>
        <w:t>فالمؤجّلة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الوصية إجماعا و قد سلفت، و كذا تصرفات الصحيح إذا قرنت بما بعد الموت</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3878211_3804643083"/>
      <w:bookmarkStart w:id="358" w:name="_Toc141"/>
      <w:bookmarkEnd w:id="357"/>
      <w:r>
        <w:rPr>
          <w:rtl w:val="true"/>
        </w:rPr>
        <w:t>[</w:t>
      </w:r>
      <w:r>
        <w:rPr>
          <w:rtl w:val="true"/>
        </w:rPr>
        <w:t>و المنجّزة</w:t>
      </w:r>
      <w:r>
        <w:rPr>
          <w:rtl w:val="true"/>
        </w:rPr>
        <w:t>]</w:t>
      </w:r>
      <w:bookmarkEnd w:id="358"/>
    </w:p>
    <w:p>
      <w:pPr>
        <w:pStyle w:val="BookText"/>
        <w:rPr/>
      </w:pPr>
      <w:r>
        <w:rPr>
          <w:rFonts w:ascii="Amiri" w:hAnsi="Amiri" w:eastAsia="Amiri" w:cs="Amiri"/>
          <w:color w:val="111111"/>
          <w:sz w:val="28"/>
          <w:sz w:val="28"/>
          <w:szCs w:val="28"/>
          <w:rtl w:val="true"/>
          <w:lang w:bidi="ar-SA"/>
        </w:rPr>
        <w:t>و المنجّزة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منجزات المريض إذا كانت تبرّعا، كالمحاباة في المعاوضات، و الهبة و العتق و الوقف،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أصل المال،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و اتفق القائلان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بري‌ء لزمت من جهته و جهة الوارث أيضا، و الخلاف فيما لو مات في ذلك المرض، و لا بدّ من الإشارة إلى المرض الذي معه يتحقق وقوف التصرّف على الثلث،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مرض لا يؤمن معه من الموت غالبا فهو مخوف، كحمّى الدّق، و السل، و قذف الدم و الأورام السودائية و الدموية،</w:t>
      </w:r>
      <w:bookmarkStart w:id="359" w:name="pg2498_31030"/>
    </w:p>
    <w:p>
      <w:pPr>
        <w:pStyle w:val="BookText"/>
        <w:rPr/>
      </w:pPr>
      <w:bookmarkEnd w:id="359"/>
      <w:r>
        <w:rPr>
          <w:rFonts w:ascii="Amiri" w:hAnsi="Amiri" w:eastAsia="Amiri" w:cs="Amiri"/>
          <w:color w:val="111111"/>
          <w:sz w:val="28"/>
          <w:sz w:val="28"/>
          <w:szCs w:val="28"/>
          <w:rtl w:val="true"/>
          <w:lang w:bidi="ar-SA"/>
        </w:rPr>
        <w:t>و الإسهال المنتن، و الذي يمازجه دهنية، أو براز أسود يغلي على الأرض، و 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الأمراض التي الغالب فيها السلامة فحكمها حكم الصحة، كحمّى يوم، و كالصداع عن مادة أو غير مادة، و الدمل، و الرمد، و السلاق، و كذا ما يحتمل الأمرين كحمى العفن و الزحير و الأورام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الحكم بالمرض الذي يتفق به الموت، سواء كان مخوفا في العادة أو لم يكن، لكان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وقت المراماة في الحرب و الطلق للمرأة و تزاحم الأمواج في البحر، فلا أرى الحكم يتعلّق بهما، لتجرّدها عن إطلاق اسم المرض</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878213_3804643083"/>
      <w:bookmarkStart w:id="361" w:name="_Toc142"/>
      <w:bookmarkEnd w:id="360"/>
      <w:r>
        <w:rPr>
          <w:rtl w:val="true"/>
        </w:rPr>
        <w:t>[</w:t>
      </w:r>
      <w:r>
        <w:rPr>
          <w:rtl w:val="true"/>
        </w:rPr>
        <w:t>و هاهنا مسائل</w:t>
      </w:r>
      <w:r>
        <w:rPr>
          <w:rtl w:val="true"/>
        </w:rPr>
        <w:t>]</w:t>
      </w:r>
      <w:bookmarkEnd w:id="361"/>
    </w:p>
    <w:p>
      <w:pPr>
        <w:pStyle w:val="Heading5"/>
        <w:numPr>
          <w:ilvl w:val="4"/>
          <w:numId w:val="1"/>
        </w:numPr>
        <w:rPr/>
      </w:pPr>
      <w:bookmarkStart w:id="362" w:name="__RefHeading___Toc3878215_3804643083"/>
      <w:bookmarkStart w:id="363" w:name="_Toc143"/>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 هاهنا مسائل</w:t>
      </w:r>
      <w:r>
        <w:rPr>
          <w:rFonts w:eastAsia="IRNazanin" w:cs="IRNazanin"/>
          <w:color w:val="111111"/>
          <w:sz w:val="28"/>
          <w:szCs w:val="28"/>
          <w:rtl w:val="true"/>
          <w:lang w:bidi="fa-IR"/>
        </w:rPr>
        <w:t>:</w:t>
      </w:r>
    </w:p>
    <w:p>
      <w:pPr>
        <w:pStyle w:val="Heading5"/>
        <w:numPr>
          <w:ilvl w:val="4"/>
          <w:numId w:val="1"/>
        </w:numPr>
        <w:rPr/>
      </w:pPr>
      <w:bookmarkStart w:id="364" w:name="__RefHeading___Toc3878217_3804643083"/>
      <w:bookmarkStart w:id="365" w:name="_Toc144"/>
      <w:bookmarkEnd w:id="364"/>
      <w:r>
        <w:rPr>
          <w:rtl w:val="true"/>
        </w:rPr>
        <w:t>[</w:t>
      </w:r>
      <w:r>
        <w:rPr>
          <w:rtl w:val="true"/>
        </w:rPr>
        <w:t>الأولى</w:t>
      </w:r>
      <w:r>
        <w:rPr>
          <w:rtl w:val="true"/>
        </w:rPr>
        <w:t xml:space="preserve">: </w:t>
      </w:r>
      <w:r>
        <w:rPr>
          <w:rtl w:val="true"/>
        </w:rPr>
        <w:t>إذا وهب و حابى</w:t>
      </w:r>
      <w:r>
        <w:rPr>
          <w:rtl w:val="true"/>
        </w:rPr>
        <w:t>]</w:t>
      </w:r>
      <w:bookmarkEnd w:id="36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و حابى، فإن وسعهما الثلث فلا كلام، و إن قصر بدئ بالأوّل فالأوّل حتى يستوفى الثلث، و كان النقص على الأخير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878219_3804643083"/>
      <w:bookmarkStart w:id="367" w:name="_Toc145"/>
      <w:bookmarkEnd w:id="366"/>
      <w:r>
        <w:rPr>
          <w:rtl w:val="true"/>
        </w:rPr>
        <w:t>[</w:t>
      </w:r>
      <w:r>
        <w:rPr>
          <w:rtl w:val="true"/>
        </w:rPr>
        <w:t>الثانية</w:t>
      </w:r>
      <w:r>
        <w:rPr>
          <w:rtl w:val="true"/>
        </w:rPr>
        <w:t xml:space="preserve">: </w:t>
      </w:r>
      <w:r>
        <w:rPr>
          <w:rtl w:val="true"/>
        </w:rPr>
        <w:t>إذا جمع بين عطية منجّزة و مؤخّرة قدّمت المنجزّة</w:t>
      </w:r>
      <w:r>
        <w:rPr>
          <w:rtl w:val="true"/>
        </w:rPr>
        <w:t>]</w:t>
      </w:r>
      <w:bookmarkEnd w:id="36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بين عطية منجّزة و مؤخّرة قدّمت المنجزّة، فإن اتسع الثلث للباقي، و إلّا صح فيما يحتمله الثلث، و بطل فيما قصر عنه</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878221_3804643083"/>
      <w:bookmarkStart w:id="369" w:name="_Toc146"/>
      <w:bookmarkEnd w:id="368"/>
      <w:r>
        <w:rPr>
          <w:rtl w:val="true"/>
        </w:rPr>
        <w:t>[</w:t>
      </w:r>
      <w:r>
        <w:rPr>
          <w:rtl w:val="true"/>
        </w:rPr>
        <w:t>الثالثة</w:t>
      </w:r>
      <w:r>
        <w:rPr>
          <w:rtl w:val="true"/>
        </w:rPr>
        <w:t xml:space="preserve">: </w:t>
      </w:r>
      <w:r>
        <w:rPr>
          <w:rtl w:val="true"/>
        </w:rPr>
        <w:t>إذا باع كرّا من طعام قيمته ستة دنانير و ليس له سواه</w:t>
      </w:r>
      <w:r>
        <w:rPr>
          <w:rtl w:val="true"/>
        </w:rPr>
        <w:t>]</w:t>
      </w:r>
      <w:bookmarkEnd w:id="36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كرّا من طعام قيمته ستة دنانير و ليس له سواه، بكرّ ردي‌ء قيمته ثلاثة دنانير، فالمحاباة هنا بنصف تركته، فيمضي في قدر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رددنا السدس على الورثة لكان 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على الورثة ثلث كرهم، و يردّ على المشتري ثلث كره، فيبقى مع الورثة ثلثا كر، قيمتهما ديناران، و مع المشتري ثلثا كر قيمتهما أربعة، فيفضل معه ديناران و هي قدر الثلث من ستة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878223_3804643083"/>
      <w:bookmarkStart w:id="371" w:name="_Toc147"/>
      <w:bookmarkEnd w:id="370"/>
      <w:r>
        <w:rPr>
          <w:rtl w:val="true"/>
        </w:rPr>
        <w:t>[</w:t>
      </w:r>
      <w:r>
        <w:rPr>
          <w:rtl w:val="true"/>
        </w:rPr>
        <w:t>الرابعة</w:t>
      </w:r>
      <w:r>
        <w:rPr>
          <w:rtl w:val="true"/>
        </w:rPr>
        <w:t xml:space="preserve">: </w:t>
      </w:r>
      <w:r>
        <w:rPr>
          <w:rtl w:val="true"/>
        </w:rPr>
        <w:t>لو باع عبدا قيمته مائتان بمائة و بري‌ء لزم العقد</w:t>
      </w:r>
      <w:r>
        <w:rPr>
          <w:rtl w:val="true"/>
        </w:rPr>
        <w:t>.]</w:t>
      </w:r>
      <w:bookmarkEnd w:id="3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عبدا قيمته مائتان بمائة و بري‌ء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bookmarkStart w:id="372" w:name="pg2498_31031"/>
    </w:p>
    <w:p>
      <w:pPr>
        <w:pStyle w:val="BookText"/>
        <w:rPr/>
      </w:pPr>
      <w:bookmarkEnd w:id="372"/>
      <w:r>
        <w:rPr>
          <w:rFonts w:ascii="Amiri" w:hAnsi="Amiri" w:eastAsia="Amiri" w:cs="Amiri"/>
          <w:color w:val="111111"/>
          <w:sz w:val="28"/>
          <w:sz w:val="28"/>
          <w:szCs w:val="28"/>
          <w:rtl w:val="true"/>
          <w:lang w:bidi="ar-SA"/>
        </w:rPr>
        <w:t>و لم يجز الورثة صح البيع في النصف في مقابلة ما دفع، و هي ثلاثة أسهم من ستة، و في السدسين بالمحاباة، و هي سهمان، هما الثلث من ستة، فيكون ذلك خمسة أسداس العبد، و بطل في الزائد و هو سدس، فيرجع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بالخيار إن شاء فسخ؛ لتبعّض الصفقة، و إن شاء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 العوض عن السدس، كان الورثة بالخيار، بين الامتناع و الإجابة؛ لأنّ حقهم منحصر في العين</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878225_3804643083"/>
      <w:bookmarkStart w:id="374" w:name="_Toc148"/>
      <w:bookmarkEnd w:id="373"/>
      <w:r>
        <w:rPr>
          <w:rtl w:val="true"/>
        </w:rPr>
        <w:t>[</w:t>
      </w:r>
      <w:r>
        <w:rPr>
          <w:rtl w:val="true"/>
        </w:rPr>
        <w:t>الخامسة</w:t>
      </w:r>
      <w:r>
        <w:rPr>
          <w:rtl w:val="true"/>
        </w:rPr>
        <w:t xml:space="preserve">: </w:t>
      </w:r>
      <w:r>
        <w:rPr>
          <w:rtl w:val="true"/>
        </w:rPr>
        <w:t>إذا أعتقها في مرض الموت و تزوّج و دخل بها صح العقد و العتق</w:t>
      </w:r>
      <w:r>
        <w:rPr>
          <w:rtl w:val="true"/>
        </w:rPr>
        <w:t>]</w:t>
      </w:r>
      <w:bookmarkEnd w:id="37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أعتقها في مرض الموت و تزوّج و دخل بها صح العقد و العتق، و ورثته إن أخرجت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تخرج فعلى ما مر من الخلاف في المنجزات</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878227_3804643083"/>
      <w:bookmarkStart w:id="376" w:name="_Toc149"/>
      <w:bookmarkEnd w:id="375"/>
      <w:r>
        <w:rPr>
          <w:rtl w:val="true"/>
        </w:rPr>
        <w:t>[</w:t>
      </w:r>
      <w:r>
        <w:rPr>
          <w:rtl w:val="true"/>
        </w:rPr>
        <w:t>السادسة</w:t>
      </w:r>
      <w:r>
        <w:rPr>
          <w:rtl w:val="true"/>
        </w:rPr>
        <w:t xml:space="preserve">: </w:t>
      </w:r>
      <w:r>
        <w:rPr>
          <w:rtl w:val="true"/>
        </w:rPr>
        <w:t>لو أعتق أمته و قيمتها ثلث تركته، ثم أصدقها الثلث الآخر، و دخل ثم مات</w:t>
      </w:r>
      <w:r>
        <w:rPr>
          <w:rtl w:val="true"/>
        </w:rPr>
        <w:t>]</w:t>
      </w:r>
      <w:bookmarkEnd w:id="37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أمته و قيمتها ثلث تركته، ثم أصدقها الثلث الآخر، و دخل ثم مات، فالنكاح صحيح و بطل المسمّى؛ لأنّه زائد على الثلث و ترثه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ثبوت مهر المثل تردد، و على القول الآخر يصح الجميع</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جعفر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الوسائل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 و الميزان حق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الوصية، الحديث الأوّل، مع اختلاف في بعض الكلمات و الآية من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الأصحاب في توقف الإيجاب على اللفظ مع القدرة عليه على قولين،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يتوقف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يتوقف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الأوّل عندي أقوى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حكاه عنه في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الباب الأوّل من أبواب أحكام الوصايا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أحكام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قدس سره في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مكاتبة إبراهيم بن محمّد الهمداني لأبي الحسن عليه السّلام، 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ذكرنا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السيد العاملي في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و الشرائع و التحرير و الإرشاد و التبصرة و التلخيص و المختلف و الروض و جامع المقاصد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مختار الأكثر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بنصّها موجودة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 إلى الوحيد البهبهاني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 الملك، و الصحيح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لعل هذا مشعر بتأخر تأليف هذا الكتاب عن تأليف كتاب المكاسب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ملكا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سهو من القلم بقرينة ما قبله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فقد نقل هذا القول عن المحقق و الشهيد و فخر المحققين رحمهم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قبول الوصية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حقه فلورثته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 الوارث إن كان من الموصى له فهو غير مالك، و إن كان من الموصي فلم يوجب إلّا ملك الموصى له، لا وارثه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دفع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يكفي في ثبوت الحقّ للمورّث تحقّق سبب الملك للمورّث بحيث لا يتوقّف حصول المسبّب إلّا على شرط هي رضى من له الحقّ، و به يفرّق بينه و بين القبول في سائر العقود الذي هو جزء السبب فيها، و القبول هنا شرط و السبب المؤثّر هو مجرّد الإيجاب، لأنّه الظاهر من عمومات نفاذ الوصيّة التي هي لغة و عرفا مجرّد الإيجاب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الحقوق المالية المحصّلة للمال كنفس الأموال يصدق عليها أنّ الميّت تركها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متحدة مع ما قبلها و الظاهر أن سبب إعادة الشيخ قدّس سرّه الكتابة هو تشويش العبارة بسبب إصابة الماء لها، كما يظهر من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السطور الأربعة متحدة في المفاد مع سابقتها فلعلها زائدة أو تبديل لفظ بلفظ آخر، فتدبّر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الأوّل، مع اختلاف يسير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في التعبير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المتوفرة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5488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الأولى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عدلا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حقه فلورثته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حقه فلورثته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قول الشيخ قدّس سرّه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وردت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شطب عليها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الجنيد رحمه اللّٰه، كما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قال في 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 له التقدم إلّا بإذن الوليّ، و به قطع العلّامة في المختلف و أسنده إلى الأصحاب و احتجّ عليه بآية اولي الأرحام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 اختلاف في بعض الكلمات،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الأوّل، و الآيتان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بفعل،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يفعل، و ما أثبتناه من الشرائع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الشرائع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مشطوب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لم نقف على شرح المؤلّف قدّس سرّه 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شرح هذا الفصل في النسخة الأصلية، و قد أشار مرتب الأوراق إلى ذلك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إنّما أوردنا هذا الفصل من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تتميما للفائدة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الكلب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ثلث التركة فما دون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بما زاد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في الزائد خاصة إلّا أن يجيز الوارث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الصدوق الأول، و حكى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الأوّل، مع اختلاف يسير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من أطلق البطلان، بل قيدوا البطلان بصورة عدم إجازة 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يظهر ذلك من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الصدوق الأوّل، و حكى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بياض بمقدار صفحتين و نصف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الشرائع، و لم نقف على شرح للمؤلّف 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إلخ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مزاحمته مع الدين إلّا أنّ بعض أهل هذا القول ادّعى الإجماع على تقديم الواجبات البدنية على المالية، و عدم مزاحمتها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هذه العبارة تتعلق بآخر رسالة منجزات المريض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نحن فيه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 الصفحة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أوصى بواجب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يبدأ بالأوّل فالأوّل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أبواب أحكام الوصايا، الحديث الأوّل، مع اختلاف يسير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 إلى الثاني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مع عدم الاشتباه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الكفاية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اشتبه الترتيب و عدمه فظاهرهم إطلاق التقديم بالقرعة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الجواهر في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يرجع إليها أيضا لو اشتبه الحال في وجود الأوّل و عدمه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يدخل البعض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انعتق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تحمّله ذلك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مضافا إلى ما رواه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هذا الشرط قوله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عليهم بما ظنّوه و احلفوا على الزائد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لم يعدم ظهور للّفظ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القبول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الشرائع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قد شطب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التقليب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مصالحة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أصحّهما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الشرائع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تحصينا لقصد المسلم عن المحرّم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قوس، و هو ما يرمى به السهم، انظر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الفتات مما رُضّ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شرح من المؤلّف قدّس سرّه لهذا الطرف، و أخذناه من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شرائع الإسلام المطبوع في حاشية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انظر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شرح من المؤلّف قدّس سرّه لأوائل هذا الطرف أيضا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الشرائع، و لم نقف على شرح من المؤلّف قدّس سرّه 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المنافع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السكنى، الحديث الأوّل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خرجت من الثلث، و إلّا كانت للموصى له ما يحتمله الثلث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بذلك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استدل المحقّق الثاني في 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على ذلك بالدليل المذكور في المتن تقريبا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المرأة إذا وطئت على شبهة، 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لم نر وجها لتأنيث الضمير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الجاني، و الصحيح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قال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قوس له إلّا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الشرائع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الفرع غير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 واحد منهم أو قتل بعد موت الموصي و قبول الموصى له فللوارث التعيين فيه حتى يجب التجهيز على الموصى له و يكون القيمة له إذا قبل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للورثة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عبارتين قد شطب عليهما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 ذميّين من أهل الكتاب مرضيّين عند أصحابهما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الفصل، من الشرائع، و لم نقف على شرح له من المؤلف قدّس سرّه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شرح المؤلّف قدّس سرّه لهذا الفصل بأكمله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لكنّه موجود في المطبوع ضمن سلسلة الينابيع الفقهية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شرطه أن يكون حرّا مسلما بالغا عاقلا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يٰا أَيُّهَا الَّذِينَ آمَنُوا إِنْ جٰاءَكُمْ فٰاسِقٌ بِنَبَإٍ فَتَبَيَّنُوا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أبواب أحكام الوصايا، الحديث الأوّل،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أوصى إن شاء اللّٰه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عبارة مشطوب عليها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المهذّب ما يدلّ على هذا التفصيل أو نسبته إلى بعض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وَ لٰا تَرْكَنُوا إِلَى الَّذِينَ ظَلَمُوا فَتَمَسَّكُمُ النّٰارُ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فإن المسألة عارية من النص، و الاحتياط فيه مطلوب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اشتراطه العدالة في الوصيّ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مشطوب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التالية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قائم مقام العلم و الشرط إن كان وجوديّا أيضا كان الأصل عند الشك عدمه أيضا فينتفي المشروط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هذا الكتاب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و ما وجدنا من أوراق الوصية بعد هذه إلّا مسألة منجّزات المريض، و لذا ألحقناه به هنا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كتاب الوصايا أخذناه من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لم نقف على شرح المؤلّف قدّس سرّه له فيما بأيدينا من النسخ</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 الشيخ الأعظم قدّس سرّه رسالة مستقلّة في منجزات المريض و قد حققناها ضمن مؤلفاته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25488</Words>
  <Characters>103964</Characters>
  <CharactersWithSpaces>128577</CharactersWithSpaces>
  <Paragraphs>1330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2026-08-17T08:33:11Z</dcterms:created>
  <dc:creator>ghaemiyeh.com</dc:creator>
  <dc:description/>
  <dc:language>en-US</dc:language>
  <cp:lastModifiedBy/>
  <dcterms:modified xsi:type="dcterms:W3CDTF">2026-08-17T12:03:15Z</dcterms:modified>
  <cp:revision>1</cp:revision>
  <dc:subject/>
  <dc:title>رساله فی الوصایا</dc:title>
</cp:coreProperties>
</file>

<file path=docProps/custom.xml><?xml version="1.0" encoding="utf-8"?>
<Properties xmlns="http://schemas.openxmlformats.org/officeDocument/2006/custom-properties" xmlns:vt="http://schemas.openxmlformats.org/officeDocument/2006/docPropsVTypes"/>
</file>