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Child Custody in Islamic Jurisprudence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283371_3804643083">
            <w:r>
              <w:rPr>
                <w:webHidden/>
                <w:rStyle w:val="IndexLink"/>
              </w:rPr>
              <w:t>BOOK ID</w:t>
              <w:tab/>
              <w:t>4</w:t>
            </w:r>
          </w:hyperlink>
        </w:p>
        <w:p>
          <w:pPr>
            <w:pStyle w:val="Contents2"/>
            <w:tabs>
              <w:tab w:val="clear" w:pos="8743"/>
              <w:tab w:val="right" w:pos="9026" w:leader="dot"/>
            </w:tabs>
            <w:bidi w:val="0"/>
            <w:rPr/>
          </w:pPr>
          <w:hyperlink w:anchor="__RefHeading___Toc3283373_3804643083">
            <w:r>
              <w:rPr>
                <w:webHidden/>
                <w:rStyle w:val="IndexLink"/>
              </w:rPr>
              <w:t>point</w:t>
              <w:tab/>
              <w:t>4</w:t>
            </w:r>
          </w:hyperlink>
        </w:p>
        <w:p>
          <w:pPr>
            <w:pStyle w:val="Contents2"/>
            <w:tabs>
              <w:tab w:val="clear" w:pos="8743"/>
              <w:tab w:val="right" w:pos="9026" w:leader="dot"/>
            </w:tabs>
            <w:bidi w:val="0"/>
            <w:rPr/>
          </w:pPr>
          <w:hyperlink w:anchor="__RefHeading___Toc3283375_3804643083">
            <w:r>
              <w:rPr>
                <w:webHidden/>
                <w:rStyle w:val="IndexLink"/>
              </w:rPr>
              <w:t>Publisher’s Note</w:t>
              <w:tab/>
              <w:t>5</w:t>
            </w:r>
          </w:hyperlink>
        </w:p>
        <w:p>
          <w:pPr>
            <w:pStyle w:val="Contents2"/>
            <w:tabs>
              <w:tab w:val="clear" w:pos="8743"/>
              <w:tab w:val="right" w:pos="9026" w:leader="dot"/>
            </w:tabs>
            <w:bidi w:val="0"/>
            <w:rPr/>
          </w:pPr>
          <w:hyperlink w:anchor="__RefHeading___Toc3283377_3804643083">
            <w:r>
              <w:rPr>
                <w:webHidden/>
                <w:rStyle w:val="IndexLink"/>
              </w:rPr>
              <w:t>Prologue</w:t>
              <w:tab/>
              <w:t>8</w:t>
            </w:r>
          </w:hyperlink>
        </w:p>
        <w:p>
          <w:pPr>
            <w:pStyle w:val="Contents3"/>
            <w:tabs>
              <w:tab w:val="clear" w:pos="8459"/>
              <w:tab w:val="right" w:pos="9026" w:leader="dot"/>
            </w:tabs>
            <w:bidi w:val="0"/>
            <w:rPr/>
          </w:pPr>
          <w:hyperlink w:anchor="__RefHeading___Toc3283379_3804643083">
            <w:r>
              <w:rPr>
                <w:webHidden/>
                <w:rStyle w:val="IndexLink"/>
              </w:rPr>
              <w:t>point</w:t>
              <w:tab/>
              <w:t>8</w:t>
            </w:r>
          </w:hyperlink>
        </w:p>
        <w:p>
          <w:pPr>
            <w:pStyle w:val="Contents3"/>
            <w:tabs>
              <w:tab w:val="clear" w:pos="8459"/>
              <w:tab w:val="right" w:pos="9026" w:leader="dot"/>
            </w:tabs>
            <w:bidi w:val="0"/>
            <w:rPr/>
          </w:pPr>
          <w:hyperlink w:anchor="__RefHeading___Toc3283381_3804643083">
            <w:r>
              <w:rPr>
                <w:webHidden/>
                <w:rStyle w:val="IndexLink"/>
              </w:rPr>
              <w:t>Research Methodology</w:t>
              <w:tab/>
              <w:t>9</w:t>
            </w:r>
          </w:hyperlink>
        </w:p>
        <w:p>
          <w:pPr>
            <w:pStyle w:val="Contents4"/>
            <w:tabs>
              <w:tab w:val="clear" w:pos="8176"/>
              <w:tab w:val="right" w:pos="9026" w:leader="dot"/>
            </w:tabs>
            <w:bidi w:val="0"/>
            <w:rPr/>
          </w:pPr>
          <w:hyperlink w:anchor="__RefHeading___Toc3283383_3804643083">
            <w:r>
              <w:rPr>
                <w:webHidden/>
                <w:rStyle w:val="IndexLink"/>
              </w:rPr>
              <w:t>point</w:t>
              <w:tab/>
              <w:t>9</w:t>
            </w:r>
          </w:hyperlink>
        </w:p>
        <w:p>
          <w:pPr>
            <w:pStyle w:val="Contents4"/>
            <w:tabs>
              <w:tab w:val="clear" w:pos="8176"/>
              <w:tab w:val="right" w:pos="9026" w:leader="dot"/>
            </w:tabs>
            <w:bidi w:val="0"/>
            <w:rPr/>
          </w:pPr>
          <w:hyperlink w:anchor="__RefHeading___Toc3283385_3804643083">
            <w:r>
              <w:rPr>
                <w:webHidden/>
                <w:rStyle w:val="IndexLink"/>
              </w:rPr>
              <w:t>Studying Legal Texts</w:t>
              <w:tab/>
              <w:t>9</w:t>
            </w:r>
          </w:hyperlink>
        </w:p>
        <w:p>
          <w:pPr>
            <w:pStyle w:val="Contents4"/>
            <w:tabs>
              <w:tab w:val="clear" w:pos="8176"/>
              <w:tab w:val="right" w:pos="9026" w:leader="dot"/>
            </w:tabs>
            <w:bidi w:val="0"/>
            <w:rPr/>
          </w:pPr>
          <w:hyperlink w:anchor="__RefHeading___Toc3283387_3804643083">
            <w:r>
              <w:rPr>
                <w:webHidden/>
                <w:rStyle w:val="IndexLink"/>
              </w:rPr>
              <w:t>Studying the Exegetic Texts</w:t>
              <w:tab/>
              <w:t>10</w:t>
            </w:r>
          </w:hyperlink>
        </w:p>
        <w:p>
          <w:pPr>
            <w:pStyle w:val="Contents4"/>
            <w:tabs>
              <w:tab w:val="clear" w:pos="8176"/>
              <w:tab w:val="right" w:pos="9026" w:leader="dot"/>
            </w:tabs>
            <w:bidi w:val="0"/>
            <w:rPr/>
          </w:pPr>
          <w:hyperlink w:anchor="__RefHeading___Toc3283389_3804643083">
            <w:r>
              <w:rPr>
                <w:webHidden/>
                <w:rStyle w:val="IndexLink"/>
              </w:rPr>
              <w:t>Study of the Narrative Texts</w:t>
              <w:tab/>
              <w:t>10</w:t>
            </w:r>
          </w:hyperlink>
        </w:p>
        <w:p>
          <w:pPr>
            <w:pStyle w:val="Contents3"/>
            <w:tabs>
              <w:tab w:val="clear" w:pos="8459"/>
              <w:tab w:val="right" w:pos="9026" w:leader="dot"/>
            </w:tabs>
            <w:bidi w:val="0"/>
            <w:rPr/>
          </w:pPr>
          <w:hyperlink w:anchor="__RefHeading___Toc3283391_3804643083">
            <w:r>
              <w:rPr>
                <w:webHidden/>
                <w:rStyle w:val="IndexLink"/>
              </w:rPr>
              <w:t>Compilation Methodology</w:t>
              <w:tab/>
              <w:t>11</w:t>
            </w:r>
          </w:hyperlink>
        </w:p>
        <w:p>
          <w:pPr>
            <w:pStyle w:val="Contents4"/>
            <w:tabs>
              <w:tab w:val="clear" w:pos="8176"/>
              <w:tab w:val="right" w:pos="9026" w:leader="dot"/>
            </w:tabs>
            <w:bidi w:val="0"/>
            <w:rPr/>
          </w:pPr>
          <w:hyperlink w:anchor="__RefHeading___Toc3283393_3804643083">
            <w:r>
              <w:rPr>
                <w:webHidden/>
                <w:rStyle w:val="IndexLink"/>
              </w:rPr>
              <w:t>point</w:t>
              <w:tab/>
              <w:t>11</w:t>
            </w:r>
          </w:hyperlink>
        </w:p>
        <w:p>
          <w:pPr>
            <w:pStyle w:val="Contents4"/>
            <w:tabs>
              <w:tab w:val="clear" w:pos="8176"/>
              <w:tab w:val="right" w:pos="9026" w:leader="dot"/>
            </w:tabs>
            <w:bidi w:val="0"/>
            <w:rPr/>
          </w:pPr>
          <w:hyperlink w:anchor="__RefHeading___Toc3283395_3804643083">
            <w:r>
              <w:rPr>
                <w:webHidden/>
                <w:rStyle w:val="IndexLink"/>
              </w:rPr>
              <w:t>Stating the Jurist's Opinions</w:t>
              <w:tab/>
              <w:t>11</w:t>
            </w:r>
          </w:hyperlink>
        </w:p>
        <w:p>
          <w:pPr>
            <w:pStyle w:val="Contents4"/>
            <w:tabs>
              <w:tab w:val="clear" w:pos="8176"/>
              <w:tab w:val="right" w:pos="9026" w:leader="dot"/>
            </w:tabs>
            <w:bidi w:val="0"/>
            <w:rPr/>
          </w:pPr>
          <w:hyperlink w:anchor="__RefHeading___Toc3283397_3804643083">
            <w:r>
              <w:rPr>
                <w:webHidden/>
                <w:rStyle w:val="IndexLink"/>
              </w:rPr>
              <w:t>Selecting</w:t>
              <w:tab/>
              <w:t>11</w:t>
            </w:r>
          </w:hyperlink>
        </w:p>
        <w:p>
          <w:pPr>
            <w:pStyle w:val="Contents3"/>
            <w:tabs>
              <w:tab w:val="clear" w:pos="8459"/>
              <w:tab w:val="right" w:pos="9026" w:leader="dot"/>
            </w:tabs>
            <w:bidi w:val="0"/>
            <w:rPr/>
          </w:pPr>
          <w:hyperlink w:anchor="__RefHeading___Toc3283399_3804643083">
            <w:r>
              <w:rPr>
                <w:webHidden/>
                <w:rStyle w:val="IndexLink"/>
              </w:rPr>
              <w:t>Content</w:t>
              <w:tab/>
              <w:t>12</w:t>
            </w:r>
          </w:hyperlink>
        </w:p>
        <w:p>
          <w:pPr>
            <w:pStyle w:val="Contents3"/>
            <w:tabs>
              <w:tab w:val="clear" w:pos="8459"/>
              <w:tab w:val="right" w:pos="9026" w:leader="dot"/>
            </w:tabs>
            <w:bidi w:val="0"/>
            <w:rPr/>
          </w:pPr>
          <w:hyperlink w:anchor="__RefHeading___Toc3283401_3804643083">
            <w:r>
              <w:rPr>
                <w:webHidden/>
                <w:rStyle w:val="IndexLink"/>
              </w:rPr>
              <w:t>Studying Legal Problems of Breastfeeding Children (Ridhaʿ)</w:t>
              <w:tab/>
              <w:t>12</w:t>
            </w:r>
          </w:hyperlink>
        </w:p>
        <w:p>
          <w:pPr>
            <w:pStyle w:val="Contents3"/>
            <w:tabs>
              <w:tab w:val="clear" w:pos="8459"/>
              <w:tab w:val="right" w:pos="9026" w:leader="dot"/>
            </w:tabs>
            <w:bidi w:val="0"/>
            <w:rPr/>
          </w:pPr>
          <w:hyperlink w:anchor="__RefHeading___Toc3283403_3804643083">
            <w:r>
              <w:rPr>
                <w:webHidden/>
                <w:rStyle w:val="IndexLink"/>
              </w:rPr>
              <w:t>Studying Legal Problems of Custody of Children (Hidhanat)</w:t>
              <w:tab/>
              <w:t>12</w:t>
            </w:r>
          </w:hyperlink>
        </w:p>
        <w:p>
          <w:pPr>
            <w:pStyle w:val="Contents3"/>
            <w:tabs>
              <w:tab w:val="clear" w:pos="8459"/>
              <w:tab w:val="right" w:pos="9026" w:leader="dot"/>
            </w:tabs>
            <w:bidi w:val="0"/>
            <w:rPr/>
          </w:pPr>
          <w:hyperlink w:anchor="__RefHeading___Toc3283405_3804643083">
            <w:r>
              <w:rPr>
                <w:webHidden/>
                <w:rStyle w:val="IndexLink"/>
              </w:rPr>
              <w:t>Studying Legal Problems of Foundling Children (Laqit)</w:t>
              <w:tab/>
              <w:t>12</w:t>
            </w:r>
          </w:hyperlink>
        </w:p>
        <w:p>
          <w:pPr>
            <w:pStyle w:val="Contents3"/>
            <w:tabs>
              <w:tab w:val="clear" w:pos="8459"/>
              <w:tab w:val="right" w:pos="9026" w:leader="dot"/>
            </w:tabs>
            <w:bidi w:val="0"/>
            <w:rPr/>
          </w:pPr>
          <w:hyperlink w:anchor="__RefHeading___Toc3283407_3804643083">
            <w:r>
              <w:rPr>
                <w:webHidden/>
                <w:rStyle w:val="IndexLink"/>
              </w:rPr>
              <w:t>Conclusions</w:t>
              <w:tab/>
              <w:t>12</w:t>
            </w:r>
          </w:hyperlink>
        </w:p>
        <w:p>
          <w:pPr>
            <w:pStyle w:val="Contents4"/>
            <w:tabs>
              <w:tab w:val="clear" w:pos="8176"/>
              <w:tab w:val="right" w:pos="9026" w:leader="dot"/>
            </w:tabs>
            <w:bidi w:val="0"/>
            <w:rPr/>
          </w:pPr>
          <w:hyperlink w:anchor="__RefHeading___Toc3283409_3804643083">
            <w:r>
              <w:rPr>
                <w:webHidden/>
                <w:rStyle w:val="IndexLink"/>
              </w:rPr>
              <w:t>point</w:t>
              <w:tab/>
              <w:t>12</w:t>
            </w:r>
          </w:hyperlink>
        </w:p>
        <w:p>
          <w:pPr>
            <w:pStyle w:val="Contents4"/>
            <w:tabs>
              <w:tab w:val="clear" w:pos="8176"/>
              <w:tab w:val="right" w:pos="9026" w:leader="dot"/>
            </w:tabs>
            <w:bidi w:val="0"/>
            <w:rPr/>
          </w:pPr>
          <w:hyperlink w:anchor="__RefHeading___Toc3283411_3804643083">
            <w:r>
              <w:rPr>
                <w:webHidden/>
                <w:rStyle w:val="IndexLink"/>
              </w:rPr>
              <w:t>Breastfeeding and Suckling (Ridhaʿ)</w:t>
              <w:tab/>
              <w:t>12</w:t>
            </w:r>
          </w:hyperlink>
        </w:p>
        <w:p>
          <w:pPr>
            <w:pStyle w:val="Contents4"/>
            <w:tabs>
              <w:tab w:val="clear" w:pos="8176"/>
              <w:tab w:val="right" w:pos="9026" w:leader="dot"/>
            </w:tabs>
            <w:bidi w:val="0"/>
            <w:rPr/>
          </w:pPr>
          <w:hyperlink w:anchor="__RefHeading___Toc3283413_3804643083">
            <w:r>
              <w:rPr>
                <w:webHidden/>
                <w:rStyle w:val="IndexLink"/>
              </w:rPr>
              <w:t>Child Custody</w:t>
              <w:tab/>
              <w:t>14</w:t>
            </w:r>
          </w:hyperlink>
        </w:p>
        <w:p>
          <w:pPr>
            <w:pStyle w:val="Contents4"/>
            <w:tabs>
              <w:tab w:val="clear" w:pos="8176"/>
              <w:tab w:val="right" w:pos="9026" w:leader="dot"/>
            </w:tabs>
            <w:bidi w:val="0"/>
            <w:rPr/>
          </w:pPr>
          <w:hyperlink w:anchor="__RefHeading___Toc3283415_3804643083">
            <w:r>
              <w:rPr>
                <w:webHidden/>
                <w:rStyle w:val="IndexLink"/>
              </w:rPr>
              <w:t>Custody of the Abandoned Children</w:t>
              <w:tab/>
              <w:t>17</w:t>
            </w:r>
          </w:hyperlink>
        </w:p>
        <w:p>
          <w:pPr>
            <w:pStyle w:val="Contents2"/>
            <w:tabs>
              <w:tab w:val="clear" w:pos="8743"/>
              <w:tab w:val="right" w:pos="9026" w:leader="dot"/>
            </w:tabs>
            <w:bidi w:val="0"/>
            <w:rPr/>
          </w:pPr>
          <w:hyperlink w:anchor="__RefHeading___Toc3283417_3804643083">
            <w:r>
              <w:rPr>
                <w:webHidden/>
                <w:rStyle w:val="IndexLink"/>
              </w:rPr>
              <w:t>Part One: A Study on the Legal Issues of Breastfeeding (Ridhaʿ)</w:t>
              <w:tab/>
              <w:t>20</w:t>
            </w:r>
          </w:hyperlink>
        </w:p>
        <w:p>
          <w:pPr>
            <w:pStyle w:val="Contents3"/>
            <w:tabs>
              <w:tab w:val="clear" w:pos="8459"/>
              <w:tab w:val="right" w:pos="9026" w:leader="dot"/>
            </w:tabs>
            <w:bidi w:val="0"/>
            <w:rPr/>
          </w:pPr>
          <w:hyperlink w:anchor="__RefHeading___Toc3283419_3804643083">
            <w:r>
              <w:rPr>
                <w:webHidden/>
                <w:rStyle w:val="IndexLink"/>
              </w:rPr>
              <w:t>Legal Standing of Mother's Milk in Islamic Texts</w:t>
              <w:tab/>
              <w:t>20</w:t>
            </w:r>
          </w:hyperlink>
        </w:p>
        <w:p>
          <w:pPr>
            <w:pStyle w:val="Contents4"/>
            <w:tabs>
              <w:tab w:val="clear" w:pos="8176"/>
              <w:tab w:val="right" w:pos="9026" w:leader="dot"/>
            </w:tabs>
            <w:bidi w:val="0"/>
            <w:rPr/>
          </w:pPr>
          <w:hyperlink w:anchor="__RefHeading___Toc3283421_3804643083">
            <w:r>
              <w:rPr>
                <w:webHidden/>
                <w:rStyle w:val="IndexLink"/>
              </w:rPr>
              <w:t>point</w:t>
              <w:tab/>
              <w:t>20</w:t>
            </w:r>
          </w:hyperlink>
        </w:p>
        <w:p>
          <w:pPr>
            <w:pStyle w:val="Contents4"/>
            <w:tabs>
              <w:tab w:val="clear" w:pos="8176"/>
              <w:tab w:val="right" w:pos="9026" w:leader="dot"/>
            </w:tabs>
            <w:bidi w:val="0"/>
            <w:rPr/>
          </w:pPr>
          <w:hyperlink w:anchor="__RefHeading___Toc3283423_3804643083">
            <w:r>
              <w:rPr>
                <w:webHidden/>
                <w:rStyle w:val="IndexLink"/>
              </w:rPr>
              <w:t>Constituents of Mother's Milk</w:t>
              <w:tab/>
              <w:t>21</w:t>
            </w:r>
          </w:hyperlink>
        </w:p>
        <w:p>
          <w:pPr>
            <w:pStyle w:val="Contents5"/>
            <w:tabs>
              <w:tab w:val="clear" w:pos="7892"/>
              <w:tab w:val="right" w:pos="9026" w:leader="dot"/>
            </w:tabs>
            <w:bidi w:val="0"/>
            <w:rPr/>
          </w:pPr>
          <w:hyperlink w:anchor="__RefHeading___Toc3283425_3804643083">
            <w:r>
              <w:rPr>
                <w:webHidden/>
                <w:rStyle w:val="IndexLink"/>
              </w:rPr>
              <w:t>point</w:t>
              <w:tab/>
              <w:t>21</w:t>
            </w:r>
          </w:hyperlink>
        </w:p>
        <w:p>
          <w:pPr>
            <w:pStyle w:val="Contents5"/>
            <w:tabs>
              <w:tab w:val="clear" w:pos="7892"/>
              <w:tab w:val="right" w:pos="9026" w:leader="dot"/>
            </w:tabs>
            <w:bidi w:val="0"/>
            <w:rPr/>
          </w:pPr>
          <w:hyperlink w:anchor="__RefHeading___Toc3283427_3804643083">
            <w:r>
              <w:rPr>
                <w:webHidden/>
                <w:rStyle w:val="IndexLink"/>
              </w:rPr>
              <w:t>1. Protein Substances</w:t>
              <w:tab/>
              <w:t>21</w:t>
            </w:r>
          </w:hyperlink>
        </w:p>
        <w:p>
          <w:pPr>
            <w:pStyle w:val="Contents5"/>
            <w:tabs>
              <w:tab w:val="clear" w:pos="7892"/>
              <w:tab w:val="right" w:pos="9026" w:leader="dot"/>
            </w:tabs>
            <w:bidi w:val="0"/>
            <w:rPr/>
          </w:pPr>
          <w:hyperlink w:anchor="__RefHeading___Toc3283429_3804643083">
            <w:r>
              <w:rPr>
                <w:webHidden/>
                <w:rStyle w:val="IndexLink"/>
              </w:rPr>
              <w:t>2. Fatty Substances</w:t>
              <w:tab/>
              <w:t>21</w:t>
            </w:r>
          </w:hyperlink>
        </w:p>
        <w:p>
          <w:pPr>
            <w:pStyle w:val="Contents5"/>
            <w:tabs>
              <w:tab w:val="clear" w:pos="7892"/>
              <w:tab w:val="right" w:pos="9026" w:leader="dot"/>
            </w:tabs>
            <w:bidi w:val="0"/>
            <w:rPr/>
          </w:pPr>
          <w:hyperlink w:anchor="__RefHeading___Toc3283431_3804643083">
            <w:r>
              <w:rPr>
                <w:webHidden/>
                <w:rStyle w:val="IndexLink"/>
              </w:rPr>
              <w:t>3. Sugary Substances (Hydrocarbons)</w:t>
              <w:tab/>
              <w:t>22</w:t>
            </w:r>
          </w:hyperlink>
        </w:p>
        <w:p>
          <w:pPr>
            <w:pStyle w:val="Contents5"/>
            <w:tabs>
              <w:tab w:val="clear" w:pos="7892"/>
              <w:tab w:val="right" w:pos="9026" w:leader="dot"/>
            </w:tabs>
            <w:bidi w:val="0"/>
            <w:rPr/>
          </w:pPr>
          <w:hyperlink w:anchor="__RefHeading___Toc3283433_3804643083">
            <w:r>
              <w:rPr>
                <w:webHidden/>
                <w:rStyle w:val="IndexLink"/>
              </w:rPr>
              <w:t>4. Water</w:t>
              <w:tab/>
              <w:t>22</w:t>
            </w:r>
          </w:hyperlink>
        </w:p>
        <w:p>
          <w:pPr>
            <w:pStyle w:val="Contents5"/>
            <w:tabs>
              <w:tab w:val="clear" w:pos="7892"/>
              <w:tab w:val="right" w:pos="9026" w:leader="dot"/>
            </w:tabs>
            <w:bidi w:val="0"/>
            <w:rPr/>
          </w:pPr>
          <w:hyperlink w:anchor="__RefHeading___Toc3283435_3804643083">
            <w:r>
              <w:rPr>
                <w:webHidden/>
                <w:rStyle w:val="IndexLink"/>
              </w:rPr>
              <w:t>5. Vitamins</w:t>
              <w:tab/>
              <w:t>22</w:t>
            </w:r>
          </w:hyperlink>
        </w:p>
        <w:p>
          <w:pPr>
            <w:pStyle w:val="Contents5"/>
            <w:tabs>
              <w:tab w:val="clear" w:pos="7892"/>
              <w:tab w:val="right" w:pos="9026" w:leader="dot"/>
            </w:tabs>
            <w:bidi w:val="0"/>
            <w:rPr/>
          </w:pPr>
          <w:hyperlink w:anchor="__RefHeading___Toc3283437_3804643083">
            <w:r>
              <w:rPr>
                <w:webHidden/>
                <w:rStyle w:val="IndexLink"/>
              </w:rPr>
              <w:t>6. Salts and Minerals</w:t>
              <w:tab/>
              <w:t>23</w:t>
            </w:r>
          </w:hyperlink>
        </w:p>
        <w:p>
          <w:pPr>
            <w:pStyle w:val="Contents4"/>
            <w:tabs>
              <w:tab w:val="clear" w:pos="8176"/>
              <w:tab w:val="right" w:pos="9026" w:leader="dot"/>
            </w:tabs>
            <w:bidi w:val="0"/>
            <w:rPr/>
          </w:pPr>
          <w:hyperlink w:anchor="__RefHeading___Toc3283439_3804643083">
            <w:r>
              <w:rPr>
                <w:webHidden/>
                <w:rStyle w:val="IndexLink"/>
              </w:rPr>
              <w:t>The Value of Mother's Milk in Religious Texts</w:t>
              <w:tab/>
              <w:t>23</w:t>
            </w:r>
          </w:hyperlink>
        </w:p>
        <w:p>
          <w:pPr>
            <w:pStyle w:val="Contents4"/>
            <w:tabs>
              <w:tab w:val="clear" w:pos="8176"/>
              <w:tab w:val="right" w:pos="9026" w:leader="dot"/>
            </w:tabs>
            <w:bidi w:val="0"/>
            <w:rPr/>
          </w:pPr>
          <w:hyperlink w:anchor="__RefHeading___Toc3283441_3804643083">
            <w:r>
              <w:rPr>
                <w:webHidden/>
                <w:rStyle w:val="IndexLink"/>
              </w:rPr>
              <w:t>The First Milk (Colostrum)</w:t>
              <w:tab/>
              <w:t>24</w:t>
            </w:r>
          </w:hyperlink>
        </w:p>
        <w:p>
          <w:pPr>
            <w:pStyle w:val="Contents4"/>
            <w:tabs>
              <w:tab w:val="clear" w:pos="8176"/>
              <w:tab w:val="right" w:pos="9026" w:leader="dot"/>
            </w:tabs>
            <w:bidi w:val="0"/>
            <w:rPr/>
          </w:pPr>
          <w:hyperlink w:anchor="__RefHeading___Toc3283443_3804643083">
            <w:r>
              <w:rPr>
                <w:webHidden/>
                <w:rStyle w:val="IndexLink"/>
              </w:rPr>
              <w:t>How to Breastfeed the Baby</w:t>
              <w:tab/>
              <w:t>25</w:t>
            </w:r>
          </w:hyperlink>
        </w:p>
        <w:p>
          <w:pPr>
            <w:pStyle w:val="Contents4"/>
            <w:tabs>
              <w:tab w:val="clear" w:pos="8176"/>
              <w:tab w:val="right" w:pos="9026" w:leader="dot"/>
            </w:tabs>
            <w:bidi w:val="0"/>
            <w:rPr/>
          </w:pPr>
          <w:hyperlink w:anchor="__RefHeading___Toc3283445_3804643083">
            <w:r>
              <w:rPr>
                <w:webHidden/>
                <w:rStyle w:val="IndexLink"/>
              </w:rPr>
              <w:t>Breastfeeding Time</w:t>
              <w:tab/>
              <w:t>26</w:t>
            </w:r>
          </w:hyperlink>
        </w:p>
        <w:p>
          <w:pPr>
            <w:pStyle w:val="Contents2"/>
            <w:tabs>
              <w:tab w:val="clear" w:pos="8743"/>
              <w:tab w:val="right" w:pos="9026" w:leader="dot"/>
            </w:tabs>
            <w:bidi w:val="0"/>
            <w:rPr/>
          </w:pPr>
          <w:hyperlink w:anchor="__RefHeading___Toc3283447_3804643083">
            <w:r>
              <w:rPr>
                <w:webHidden/>
                <w:rStyle w:val="IndexLink"/>
              </w:rPr>
              <w:t>Bibliography</w:t>
              <w:tab/>
              <w:t>137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30_16497"/>
      <w:bookmarkStart w:id="1" w:name="pg2430_16497"/>
      <w:bookmarkEnd w:id="1"/>
    </w:p>
    <w:p>
      <w:pPr>
        <w:pStyle w:val="Heading2"/>
        <w:numPr>
          <w:ilvl w:val="1"/>
          <w:numId w:val="1"/>
        </w:numPr>
        <w:bidi w:val="0"/>
        <w:jc w:val="left"/>
        <w:rPr/>
      </w:pPr>
      <w:bookmarkStart w:id="2" w:name="pg2430_16497"/>
      <w:bookmarkStart w:id="3" w:name="__RefHeading___Toc3283371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Saeid Nazari Tavakkoli</w:t>
      </w:r>
    </w:p>
    <w:p>
      <w:pPr>
        <w:pStyle w:val="BookText"/>
        <w:bidi w:val="0"/>
        <w:jc w:val="both"/>
        <w:rPr/>
      </w:pPr>
      <w:r>
        <w:rPr>
          <w:rFonts w:eastAsia="Times New Roman" w:cs="Times New Roman" w:ascii="Times New Roman" w:hAnsi="Times New Roman"/>
          <w:color w:val="111111"/>
          <w:sz w:val="28"/>
          <w:szCs w:val="28"/>
          <w:lang w:val="en-US"/>
        </w:rPr>
        <w:t>Translator(s): Ahmad Rezwani</w:t>
      </w:r>
    </w:p>
    <w:p>
      <w:pPr>
        <w:pStyle w:val="BookText"/>
        <w:bidi w:val="0"/>
        <w:jc w:val="both"/>
        <w:rPr/>
      </w:pPr>
      <w:r>
        <w:rPr>
          <w:rFonts w:eastAsia="Times New Roman" w:cs="Times New Roman" w:ascii="Times New Roman" w:hAnsi="Times New Roman"/>
          <w:color w:val="111111"/>
          <w:sz w:val="28"/>
          <w:szCs w:val="28"/>
          <w:lang w:val="en-US"/>
        </w:rPr>
        <w:t>Compiler(s): Ahmad Namaee</w:t>
      </w:r>
    </w:p>
    <w:p>
      <w:pPr>
        <w:pStyle w:val="BookText"/>
        <w:bidi w:val="0"/>
        <w:jc w:val="both"/>
        <w:rPr/>
      </w:pPr>
      <w:r>
        <w:rPr>
          <w:rFonts w:eastAsia="Times New Roman" w:cs="Times New Roman" w:ascii="Times New Roman" w:hAnsi="Times New Roman"/>
          <w:color w:val="111111"/>
          <w:sz w:val="28"/>
          <w:szCs w:val="28"/>
          <w:lang w:val="en-US"/>
        </w:rPr>
        <w:t>Publisher(s): Mashhad: Islamic Research Foundation, 2011= 1390.</w:t>
      </w:r>
    </w:p>
    <w:p>
      <w:pPr>
        <w:pStyle w:val="BookText"/>
        <w:bidi w:val="0"/>
        <w:jc w:val="both"/>
        <w:rPr/>
      </w:pPr>
      <w:r>
        <w:rPr>
          <w:rFonts w:eastAsia="Times New Roman" w:cs="Times New Roman" w:ascii="Times New Roman" w:hAnsi="Times New Roman"/>
          <w:color w:val="111111"/>
          <w:sz w:val="28"/>
          <w:szCs w:val="28"/>
          <w:lang w:val="en-US"/>
        </w:rPr>
        <w:t>Category: Family Islamic Laws</w:t>
      </w:r>
    </w:p>
    <w:p>
      <w:pPr>
        <w:pStyle w:val="BookText"/>
        <w:bidi w:val="0"/>
        <w:jc w:val="both"/>
        <w:rPr/>
      </w:pPr>
      <w:r>
        <w:rPr>
          <w:rFonts w:eastAsia="Times New Roman" w:cs="Times New Roman" w:ascii="Times New Roman" w:hAnsi="Times New Roman"/>
          <w:color w:val="111111"/>
          <w:sz w:val="28"/>
          <w:szCs w:val="28"/>
          <w:lang w:val="en-US"/>
        </w:rPr>
        <w:t>Topic Tags: Children Upbringing of Children Child custody Miscellaneous information: Written by: Saeid Nazari Tavakkoli</w:t>
      </w:r>
    </w:p>
    <w:p>
      <w:pPr>
        <w:pStyle w:val="BookText"/>
        <w:bidi w:val="0"/>
        <w:jc w:val="both"/>
        <w:rPr/>
      </w:pPr>
      <w:r>
        <w:rPr>
          <w:rFonts w:eastAsia="Times New Roman" w:cs="Times New Roman" w:ascii="Times New Roman" w:hAnsi="Times New Roman"/>
          <w:color w:val="111111"/>
          <w:sz w:val="28"/>
          <w:szCs w:val="28"/>
          <w:lang w:val="en-US"/>
        </w:rPr>
        <w:t>Translated by: Ahmad Rezwani</w:t>
      </w:r>
    </w:p>
    <w:p>
      <w:pPr>
        <w:pStyle w:val="BookText"/>
        <w:bidi w:val="0"/>
        <w:jc w:val="both"/>
        <w:rPr/>
      </w:pPr>
      <w:r>
        <w:rPr>
          <w:rFonts w:eastAsia="Times New Roman" w:cs="Times New Roman" w:ascii="Times New Roman" w:hAnsi="Times New Roman"/>
          <w:color w:val="111111"/>
          <w:sz w:val="28"/>
          <w:szCs w:val="28"/>
          <w:lang w:val="en-US"/>
        </w:rPr>
        <w:t>Edited by: Ahmad Namaee</w:t>
      </w:r>
    </w:p>
    <w:p>
      <w:pPr>
        <w:pStyle w:val="BookText"/>
        <w:bidi w:val="0"/>
        <w:jc w:val="both"/>
        <w:rPr/>
      </w:pPr>
      <w:r>
        <w:rPr>
          <w:rFonts w:eastAsia="Times New Roman" w:cs="Times New Roman" w:ascii="Times New Roman" w:hAnsi="Times New Roman"/>
          <w:color w:val="111111"/>
          <w:sz w:val="28"/>
          <w:szCs w:val="28"/>
          <w:lang w:val="en-US"/>
        </w:rPr>
        <w:t>ISBN: 978-964-971-401-1</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۶۰۴۹۵۲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۳۶</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۲۱۲۸۷۸۱</w:t>
      </w:r>
    </w:p>
    <w:p>
      <w:pPr>
        <w:pStyle w:val="BookText"/>
        <w:bidi w:val="0"/>
        <w:jc w:val="both"/>
        <w:rPr/>
      </w:pPr>
      <w:r>
        <w:rPr>
          <w:rFonts w:eastAsia="Times New Roman" w:cs="Times New Roman" w:ascii="Times New Roman" w:hAnsi="Times New Roman"/>
          <w:color w:val="111111"/>
          <w:sz w:val="28"/>
          <w:szCs w:val="28"/>
          <w:lang w:val="en-US"/>
        </w:rPr>
        <w:t>Circulation: 1000</w:t>
      </w:r>
    </w:p>
    <w:p>
      <w:pPr>
        <w:pStyle w:val="BookText"/>
        <w:bidi w:val="0"/>
        <w:jc w:val="both"/>
        <w:rPr/>
      </w:pPr>
      <w:r>
        <w:rPr>
          <w:rFonts w:eastAsia="Times New Roman" w:cs="Times New Roman" w:ascii="Times New Roman" w:hAnsi="Times New Roman"/>
          <w:color w:val="111111"/>
          <w:sz w:val="28"/>
          <w:szCs w:val="28"/>
          <w:lang w:val="en-US"/>
        </w:rPr>
        <w:t>First Edition: 2011</w:t>
      </w:r>
    </w:p>
    <w:p>
      <w:pPr>
        <w:pStyle w:val="BookText"/>
        <w:bidi w:val="0"/>
        <w:jc w:val="both"/>
        <w:rPr/>
      </w:pPr>
      <w:r>
        <w:rPr>
          <w:rFonts w:eastAsia="Times New Roman" w:cs="Times New Roman" w:ascii="Times New Roman" w:hAnsi="Times New Roman"/>
          <w:color w:val="111111"/>
          <w:sz w:val="28"/>
          <w:szCs w:val="28"/>
          <w:lang w:val="en-US"/>
        </w:rPr>
        <w:t>Price: 29000 Rls</w:t>
      </w:r>
    </w:p>
    <w:p>
      <w:pPr>
        <w:pStyle w:val="BookText"/>
        <w:bidi w:val="0"/>
        <w:jc w:val="both"/>
        <w:rPr/>
      </w:pPr>
      <w:r>
        <w:rPr>
          <w:rFonts w:eastAsia="Times New Roman" w:cs="Times New Roman" w:ascii="Times New Roman" w:hAnsi="Times New Roman"/>
          <w:color w:val="111111"/>
          <w:sz w:val="28"/>
          <w:szCs w:val="28"/>
          <w:lang w:val="en-US"/>
        </w:rPr>
        <w:t>Printed by: The A.Q.R. Printing and Publishing institute P.O. Box</w:t>
      </w:r>
    </w:p>
    <w:p>
      <w:pPr>
        <w:pStyle w:val="BookText"/>
        <w:bidi w:val="0"/>
        <w:jc w:val="both"/>
        <w:rPr/>
      </w:pPr>
      <w:r>
        <w:rPr>
          <w:rFonts w:eastAsia="Times New Roman" w:cs="Times New Roman" w:ascii="Times New Roman" w:hAnsi="Times New Roman"/>
          <w:color w:val="111111"/>
          <w:sz w:val="28"/>
          <w:szCs w:val="28"/>
          <w:lang w:val="en-US"/>
        </w:rPr>
        <w:t>www.islamic-rf.ir</w:t>
      </w:r>
    </w:p>
    <w:p>
      <w:pPr>
        <w:pStyle w:val="BookText"/>
        <w:bidi w:val="0"/>
        <w:jc w:val="both"/>
        <w:rPr/>
      </w:pPr>
      <w:r>
        <w:rPr>
          <w:rFonts w:eastAsia="Times New Roman" w:cs="Times New Roman" w:ascii="Times New Roman" w:hAnsi="Times New Roman"/>
          <w:color w:val="111111"/>
          <w:sz w:val="28"/>
          <w:szCs w:val="28"/>
          <w:lang w:val="en-US"/>
        </w:rPr>
        <w:t>Featured Category: Muslim Practices</w:t>
      </w:r>
    </w:p>
    <w:p>
      <w:pPr>
        <w:pStyle w:val="BookText"/>
        <w:bidi w:val="0"/>
        <w:jc w:val="both"/>
        <w:rPr/>
      </w:pPr>
      <w:r>
        <w:rPr>
          <w:rFonts w:eastAsia="Times New Roman" w:cs="Times New Roman" w:ascii="Times New Roman" w:hAnsi="Times New Roman"/>
          <w:color w:val="111111"/>
          <w:sz w:val="28"/>
          <w:szCs w:val="28"/>
          <w:lang w:val="en-US"/>
        </w:rPr>
        <w:t>Person Tags: Saeid Nazari Tavakkoli</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توکلی، سعید،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Nazari Tavakkoli, Saeed</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کودکان در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Child custody in the Islamic jurisprudence/ Saeed Nazari Tavakkoli; translated by Ahmad Rezwani.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Mashhad: Islamic Research Foundation, 2011= 1390.</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احمد، </w:t>
      </w:r>
      <w:r>
        <w:rPr>
          <w:rFonts w:ascii="IRNazanin" w:hAnsi="IRNazanin" w:eastAsia="IRNazanin"/>
          <w:color w:val="111111"/>
          <w:sz w:val="28"/>
          <w:sz w:val="28"/>
          <w:szCs w:val="28"/>
          <w:lang w:bidi="fa-IR"/>
        </w:rPr>
        <w:t>۱۳۳۲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Rezwaniç Ahmad</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۶۰۴۹۵۲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۳۶</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۲۱۲۸۷۸۱</w:t>
      </w:r>
    </w:p>
    <w:p>
      <w:pPr>
        <w:pStyle w:val="Heading2"/>
        <w:numPr>
          <w:ilvl w:val="1"/>
          <w:numId w:val="1"/>
        </w:numPr>
        <w:bidi w:val="0"/>
        <w:jc w:val="left"/>
        <w:rPr/>
      </w:pPr>
      <w:bookmarkStart w:id="5" w:name="__RefHeading___Toc3283373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 this informative book written and compiled by Saeid Nazari Tavakkoli, we learn the many different laws on the rights of the mother, the father, the child, and their related topics such as breastfeeding, weaning, child custody in case of divorce, responsibilities of the parents, rules regarding abandoned children, and a great many other laws related to these very important topics according to Islamic Shia jurisprudence. Laws discussed in this book are based on the Quran, and Hadith of the Prophet (saws) and holy Ahlu-Bayt (as). Various fundamental opinions of other Islamic schools of thought are also mentioned herein and discussed.</w:t>
      </w:r>
    </w:p>
    <w:p>
      <w:pPr>
        <w:pStyle w:val="Heading2"/>
        <w:numPr>
          <w:ilvl w:val="1"/>
          <w:numId w:val="1"/>
        </w:numPr>
        <w:bidi w:val="0"/>
        <w:jc w:val="left"/>
        <w:rPr/>
      </w:pPr>
      <w:bookmarkStart w:id="7" w:name="__RefHeading___Toc3283375_3804643083"/>
      <w:bookmarkStart w:id="8" w:name="_Toc3"/>
      <w:bookmarkEnd w:id="7"/>
      <w:r>
        <w:rPr/>
        <w:t>Publisher’s Note</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religion of Islam, which was presented to mankind by God through the last of the divine Prophets, Hadhrat Muhammad (S.A.W.), is a collection of tenets, ethics, and rulings. Encompassing the Muslims’ practical duties, divine rulings are so comprehensive that they cover all individual and social aspects of their life. As being devised by the Exalted Allah, who is fully aware of all the things useful and harmful to mankind, these rulings are so</w:t>
      </w:r>
    </w:p>
    <w:p>
      <w:pPr>
        <w:pStyle w:val="BookText"/>
        <w:bidi w:val="0"/>
        <w:rPr/>
      </w:pPr>
      <w:r>
        <w:rPr>
          <w:rFonts w:eastAsia="Times New Roman" w:cs="Times New Roman" w:ascii="Times New Roman" w:hAnsi="Times New Roman"/>
          <w:color w:val="111111"/>
          <w:sz w:val="28"/>
          <w:szCs w:val="28"/>
          <w:lang w:val="en-US"/>
        </w:rPr>
        <w:t>consolidated that despite centuries passed they are still capable of responding to the human needs.</w:t>
      </w:r>
    </w:p>
    <w:p>
      <w:pPr>
        <w:pStyle w:val="BookText"/>
        <w:bidi w:val="0"/>
        <w:jc w:val="both"/>
        <w:rPr/>
      </w:pPr>
      <w:r>
        <w:rPr>
          <w:rFonts w:eastAsia="Times New Roman" w:cs="Times New Roman" w:ascii="Times New Roman" w:hAnsi="Times New Roman"/>
          <w:color w:val="111111"/>
          <w:sz w:val="28"/>
          <w:szCs w:val="28"/>
          <w:lang w:val="en-US"/>
        </w:rPr>
        <w:t>Among these divine rulings are those concerning children. As the most principal source of rulings for the Muslims, the Holy Qur’an has in various verses dealt with the children’s issues and spoken about their rights as well as the parents’ duties towards them, in detail. Furthermore, religious leaders, i.e., the Holy Prophet of Islam (S.A.W.), and the Infallible Imams (A.S.) have more extensively addressed these issues and examined them from various perspectives.</w:t>
      </w:r>
    </w:p>
    <w:p>
      <w:pPr>
        <w:pStyle w:val="BookText"/>
        <w:bidi w:val="0"/>
        <w:jc w:val="both"/>
        <w:rPr/>
      </w:pPr>
      <w:r>
        <w:rPr>
          <w:rFonts w:eastAsia="Times New Roman" w:cs="Times New Roman" w:ascii="Times New Roman" w:hAnsi="Times New Roman"/>
          <w:color w:val="111111"/>
          <w:sz w:val="28"/>
          <w:szCs w:val="28"/>
          <w:lang w:val="en-US"/>
        </w:rPr>
        <w:t>What is inferred from the collection of religious teachings is the justice-oriented approach of Islam towards the child’s rights from the infancy up to the age of maturity. Accordingly, on one hand, the mother is obliged to breastfeed her child at least for 21 months; and the father, on the other hand is committed to provide for the material needs of the mother and the child in this period in the best way possible. This approach continues after the suckling period, too; the parents cooperate with one another to take care of their child and provide for their various needs so long as they grow old enough to be able to stand on their own.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Justice-orientedness and attending to the child’s rights is carried on even through the period when parents are separated. Islam, on one hand, officially recognizes the mother’s right to take care of her child and, on the other, emphasizes the father’s right to his guardianship over his child. However, the child’s right</w:t>
      </w:r>
    </w:p>
    <w:p>
      <w:pPr>
        <w:pStyle w:val="BookText"/>
        <w:bidi w:val="0"/>
        <w:rPr/>
      </w:pPr>
      <w:r>
        <w:rPr>
          <w:rFonts w:eastAsia="Times New Roman" w:cs="Times New Roman" w:ascii="Times New Roman" w:hAnsi="Times New Roman"/>
          <w:color w:val="111111"/>
          <w:sz w:val="28"/>
          <w:szCs w:val="28"/>
          <w:lang w:val="en-US"/>
        </w:rPr>
        <w:t>to enjoy the paternal and maternal affection and kindness is not ignored as well.</w:t>
      </w:r>
    </w:p>
    <w:p>
      <w:pPr>
        <w:pStyle w:val="BookText"/>
        <w:bidi w:val="0"/>
        <w:jc w:val="both"/>
        <w:rPr/>
      </w:pPr>
      <w:r>
        <w:rPr>
          <w:rFonts w:eastAsia="Times New Roman" w:cs="Times New Roman" w:ascii="Times New Roman" w:hAnsi="Times New Roman"/>
          <w:color w:val="111111"/>
          <w:sz w:val="28"/>
          <w:szCs w:val="28"/>
          <w:lang w:val="en-US"/>
        </w:rPr>
        <w:t>Child Custody in the Islamic Jurisprudence, written originally in Persian by the distinguished researcher Saeid Nazari Tavakkoli and published by The Islamic Research Foundation of Astan Quds Razavi in cooperation with The Center for Studying and Compiling University Books in Humanities (SAMT) in 2006, is considered as the first independent book concerning children’s rights and custody, an issue discussed with a Qur’anic approach on the basis of jurisprudential, exegetical, and hadith fundamentals of various Islamic sects.</w:t>
      </w:r>
    </w:p>
    <w:p>
      <w:pPr>
        <w:pStyle w:val="BookText"/>
        <w:bidi w:val="0"/>
        <w:jc w:val="both"/>
        <w:rPr/>
      </w:pPr>
      <w:r>
        <w:rPr>
          <w:rFonts w:eastAsia="Times New Roman" w:cs="Times New Roman" w:ascii="Times New Roman" w:hAnsi="Times New Roman"/>
          <w:color w:val="111111"/>
          <w:sz w:val="28"/>
          <w:szCs w:val="28"/>
          <w:lang w:val="en-US"/>
        </w:rPr>
        <w:t>Holding a PhD in philosophy and besides being familiar with Islamic jurisprudence, philosophy, and mysticism, the writer has for years been dealing with jurisprudential issues and is at present among those making research on bioethics and medical jurisprudence.</w:t>
      </w:r>
    </w:p>
    <w:p>
      <w:pPr>
        <w:pStyle w:val="BookText"/>
        <w:bidi w:val="0"/>
        <w:jc w:val="both"/>
        <w:rPr/>
      </w:pPr>
      <w:r>
        <w:rPr>
          <w:rFonts w:eastAsia="Times New Roman" w:cs="Times New Roman" w:ascii="Times New Roman" w:hAnsi="Times New Roman"/>
          <w:color w:val="111111"/>
          <w:sz w:val="28"/>
          <w:szCs w:val="28"/>
          <w:lang w:val="en-US"/>
        </w:rPr>
        <w:t>The author’s works published by The Islamic Research Foundation of Astan Quds Razavi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Al-Tarqi‘ wa Zar‘ al-A‘dha’ fi Fiqh al-Islami (Arabic) [Organ Transplantation in Islamic Jurisprudence] (1380/2001)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Payvand A‘dha’ dar Fiqh-i Islami (Persian) [Organ Transplantation in Islamic Jurisprudence] (1381/2002)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Hidhanat-i Kudakan dar Fiqh-i Islami (Persian) [Child Custody in Islamic Jurisprudence] (1386/2007)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Hadithi Wilayat, Nigarishi Naw dar Ma‘na Shinasi (Persian) [Hadith of Guardianship, a New Approach to Semantics] (1387/2008)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Guzargah-ha dar Fiqh-i Islami (Persian) [Passageways in Islamic Jurisprudence] (1388/2009)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Hayvanat, Qavanin Himayati wa Hudud- Bahravari dar Islam (Persian) [Animals; Protective Rules and Exploitation Limits in Islam] (Islamic Research Foundation &amp; SAMT Publication – 1388/2009)</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Nazariyya Padayish-i Jahan dar Hikmat-i Yamani wa Hikmat-i Muti‘aliya (Persian) [Origins of the Universe</w:t>
      </w:r>
      <w:bookmarkStart w:id="9" w:name="pg2430_16503"/>
    </w:p>
    <w:p>
      <w:pPr>
        <w:pStyle w:val="BookText"/>
        <w:bidi w:val="0"/>
        <w:rPr/>
      </w:pPr>
      <w:bookmarkEnd w:id="9"/>
      <w:r>
        <w:rPr>
          <w:rFonts w:eastAsia="Times New Roman" w:cs="Times New Roman" w:ascii="Times New Roman" w:hAnsi="Times New Roman"/>
          <w:color w:val="111111"/>
          <w:sz w:val="28"/>
          <w:szCs w:val="28"/>
          <w:lang w:val="en-US"/>
        </w:rPr>
        <w:t>in Transcendent Philosophy and the Yamani Wisdom] (1389/2010)</w:t>
      </w:r>
    </w:p>
    <w:p>
      <w:pPr>
        <w:pStyle w:val="BookText"/>
        <w:bidi w:val="0"/>
        <w:jc w:val="both"/>
        <w:rPr/>
      </w:pPr>
      <w:r>
        <w:rPr>
          <w:rFonts w:eastAsia="Times New Roman" w:cs="Times New Roman" w:ascii="Times New Roman" w:hAnsi="Times New Roman"/>
          <w:color w:val="111111"/>
          <w:sz w:val="28"/>
          <w:szCs w:val="28"/>
          <w:lang w:val="en-US"/>
        </w:rPr>
        <w:t>The IRF hopes that the English publication of Child Custody in the Islamic Jurisprudence is an effective step towards introducing the high capacity of Islamic jurisprudence in solving children’s problems.</w:t>
      </w:r>
    </w:p>
    <w:p>
      <w:pPr>
        <w:pStyle w:val="BookText"/>
        <w:bidi w:val="0"/>
        <w:jc w:val="both"/>
        <w:rPr/>
      </w:pPr>
      <w:r>
        <w:rPr>
          <w:rFonts w:eastAsia="Times New Roman" w:cs="Times New Roman" w:ascii="Times New Roman" w:hAnsi="Times New Roman"/>
          <w:color w:val="111111"/>
          <w:sz w:val="28"/>
          <w:szCs w:val="28"/>
          <w:lang w:val="en-US"/>
        </w:rPr>
        <w:t>Islamic Research Foundation of Astan Quds Razavi</w:t>
      </w:r>
    </w:p>
    <w:p>
      <w:pPr>
        <w:pStyle w:val="Heading2"/>
        <w:numPr>
          <w:ilvl w:val="1"/>
          <w:numId w:val="1"/>
        </w:numPr>
        <w:bidi w:val="0"/>
        <w:jc w:val="left"/>
        <w:rPr/>
      </w:pPr>
      <w:bookmarkStart w:id="10" w:name="__RefHeading___Toc3283377_3804643083"/>
      <w:bookmarkStart w:id="11" w:name="_Toc4"/>
      <w:bookmarkEnd w:id="10"/>
      <w:r>
        <w:rPr/>
        <w:t>Prologue</w:t>
      </w:r>
      <w:bookmarkEnd w:id="11"/>
    </w:p>
    <w:p>
      <w:pPr>
        <w:pStyle w:val="Heading3"/>
        <w:numPr>
          <w:ilvl w:val="2"/>
          <w:numId w:val="1"/>
        </w:numPr>
        <w:bidi w:val="0"/>
        <w:jc w:val="left"/>
        <w:rPr/>
      </w:pPr>
      <w:bookmarkStart w:id="12" w:name="__RefHeading___Toc3283379_3804643083"/>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Among the social units, family is the smallest and at the same time, the most important unit that comes into being through creating a marriage bond between a man and a woman.</w:t>
      </w:r>
    </w:p>
    <w:p>
      <w:pPr>
        <w:pStyle w:val="BookText"/>
        <w:bidi w:val="0"/>
        <w:jc w:val="both"/>
        <w:rPr/>
      </w:pPr>
      <w:r>
        <w:rPr>
          <w:rFonts w:eastAsia="Times New Roman" w:cs="Times New Roman" w:ascii="Times New Roman" w:hAnsi="Times New Roman"/>
          <w:color w:val="111111"/>
          <w:sz w:val="28"/>
          <w:szCs w:val="28"/>
          <w:lang w:val="en-US"/>
        </w:rPr>
        <w:t>Although marriage has various functions, from among them reproduction, which is motivated by perpetuation of generations, enjoys a distinguished place.</w:t>
      </w:r>
    </w:p>
    <w:p>
      <w:pPr>
        <w:pStyle w:val="BookText"/>
        <w:bidi w:val="0"/>
        <w:jc w:val="both"/>
        <w:rPr/>
      </w:pPr>
      <w:r>
        <w:rPr>
          <w:rFonts w:eastAsia="Times New Roman" w:cs="Times New Roman" w:ascii="Times New Roman" w:hAnsi="Times New Roman"/>
          <w:color w:val="111111"/>
          <w:sz w:val="28"/>
          <w:szCs w:val="28"/>
          <w:lang w:val="en-US"/>
        </w:rPr>
        <w:t>In order for such a function to be realized, three essential components, i.e. father, mother, and child, are required to form an entity. The type of relationship they have, the way they interact, and their reciprocal duties have been open to discussion in legal systems of both civilized and uncivilized societies and are still seriously pursued.</w:t>
      </w:r>
    </w:p>
    <w:p>
      <w:pPr>
        <w:pStyle w:val="BookText"/>
        <w:bidi w:val="0"/>
        <w:jc w:val="both"/>
        <w:rPr/>
      </w:pPr>
      <w:r>
        <w:rPr>
          <w:rFonts w:eastAsia="Times New Roman" w:cs="Times New Roman" w:ascii="Times New Roman" w:hAnsi="Times New Roman"/>
          <w:color w:val="111111"/>
          <w:sz w:val="28"/>
          <w:szCs w:val="28"/>
          <w:lang w:val="en-US"/>
        </w:rPr>
        <w:t>Islamic legal system, like other legal systems, has not been exempted from this issue. Given its integrity and thoroughness, the true religion of Islam has studied this issue from different perspectives.</w:t>
      </w:r>
    </w:p>
    <w:p>
      <w:pPr>
        <w:pStyle w:val="BookText"/>
        <w:bidi w:val="0"/>
        <w:jc w:val="both"/>
        <w:rPr/>
      </w:pPr>
      <w:r>
        <w:rPr>
          <w:rFonts w:eastAsia="Times New Roman" w:cs="Times New Roman" w:ascii="Times New Roman" w:hAnsi="Times New Roman"/>
          <w:color w:val="111111"/>
          <w:sz w:val="28"/>
          <w:szCs w:val="28"/>
          <w:lang w:val="en-US"/>
        </w:rPr>
        <w:t>Apart from many verses (ayas) focusing on matrimonial issues (marriage) and separation of couples from each other (divorce), the Holy Qur’an has discussed such issues as pregnancy, breastfeeding, and their related problems in four different verses.</w:t>
      </w:r>
    </w:p>
    <w:p>
      <w:pPr>
        <w:pStyle w:val="BookText"/>
        <w:bidi w:val="0"/>
        <w:jc w:val="both"/>
        <w:rPr/>
      </w:pPr>
      <w:r>
        <w:rPr>
          <w:rFonts w:eastAsia="Times New Roman" w:cs="Times New Roman" w:ascii="Times New Roman" w:hAnsi="Times New Roman"/>
          <w:color w:val="111111"/>
          <w:sz w:val="28"/>
          <w:szCs w:val="28"/>
          <w:lang w:val="en-US"/>
        </w:rPr>
        <w:t>In hadith collections, too, there are many traditions related to us from the Ahl al-Bayt (A.S.) dealing with the children's rights.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great Shiʿa jurisprudents have on various occasions addressed the issues concerning mothers and</w:t>
      </w:r>
      <w:bookmarkStart w:id="14" w:name="pg2430_16505"/>
    </w:p>
    <w:p>
      <w:pPr>
        <w:pStyle w:val="BookText"/>
        <w:bidi w:val="0"/>
        <w:rPr/>
      </w:pPr>
      <w:bookmarkEnd w:id="14"/>
      <w:r>
        <w:rPr>
          <w:rFonts w:eastAsia="Times New Roman" w:cs="Times New Roman" w:ascii="Times New Roman" w:hAnsi="Times New Roman"/>
          <w:color w:val="111111"/>
          <w:sz w:val="28"/>
          <w:szCs w:val="28"/>
          <w:lang w:val="en-US"/>
        </w:rPr>
        <w:t>children; however, they have started up an independent chapter to this end. Researchers may study the legal views on breastfeeding and custody of children within the following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Kitab al-Nikah, the issues concerning two discourses of suckling (ridhaʿ) and guardians of marriage contract (awliya’ al-ʿaqd),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Kitab al-Talaq, concerning pregnant woman's waiting period (ʿidda) after divorce),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Kitab al-Luqata, concerning human foundling (luqata),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Kitab al-Hudud, concerning implementation of legal punishment (hadd) upon pregnant and suckling women as well as implementation of legal punishment for apostacy upon an underage person,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Kitab al-Makasib, concerning [receiving] wages for obligatory tasks,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Kitab al-ʿItq and Kitab al-Bayʿ, concerning separation of a child from its mother,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Kitab al-Taharat, concerning dependency (tabaʿiyya).</w:t>
      </w:r>
    </w:p>
    <w:p>
      <w:pPr>
        <w:pStyle w:val="BookText"/>
        <w:bidi w:val="0"/>
        <w:jc w:val="both"/>
        <w:rPr/>
      </w:pPr>
      <w:r>
        <w:rPr>
          <w:rFonts w:eastAsia="Times New Roman" w:cs="Times New Roman" w:ascii="Times New Roman" w:hAnsi="Times New Roman"/>
          <w:color w:val="111111"/>
          <w:sz w:val="28"/>
          <w:szCs w:val="28"/>
          <w:lang w:val="en-US"/>
        </w:rPr>
        <w:t>In any case, for further information of the respected reader on the details of the research performed concerning the problems of children's rights in Islamic jurisprudence, the following explanations need to be made.</w:t>
      </w:r>
    </w:p>
    <w:p>
      <w:pPr>
        <w:pStyle w:val="Heading3"/>
        <w:numPr>
          <w:ilvl w:val="2"/>
          <w:numId w:val="1"/>
        </w:numPr>
        <w:bidi w:val="0"/>
        <w:jc w:val="left"/>
        <w:rPr/>
      </w:pPr>
      <w:bookmarkStart w:id="15" w:name="__RefHeading___Toc3283381_3804643083"/>
      <w:bookmarkStart w:id="16" w:name="_Toc6"/>
      <w:bookmarkEnd w:id="15"/>
      <w:r>
        <w:rPr/>
        <w:t>Research Methodology</w:t>
      </w:r>
      <w:bookmarkEnd w:id="16"/>
    </w:p>
    <w:p>
      <w:pPr>
        <w:pStyle w:val="Heading4"/>
        <w:numPr>
          <w:ilvl w:val="3"/>
          <w:numId w:val="1"/>
        </w:numPr>
        <w:bidi w:val="0"/>
        <w:jc w:val="left"/>
        <w:rPr/>
      </w:pPr>
      <w:bookmarkStart w:id="17" w:name="__RefHeading___Toc3283383_3804643083"/>
      <w:bookmarkStart w:id="18" w:name="_Toc7"/>
      <w:bookmarkEnd w:id="17"/>
      <w:r>
        <w:rPr/>
        <w:t>point</w:t>
      </w:r>
      <w:bookmarkEnd w:id="18"/>
    </w:p>
    <w:p>
      <w:pPr>
        <w:pStyle w:val="BookText"/>
        <w:bidi w:val="0"/>
        <w:jc w:val="both"/>
        <w:rPr/>
      </w:pPr>
      <w:r>
        <w:rPr>
          <w:rFonts w:eastAsia="Times New Roman" w:cs="Times New Roman" w:ascii="Times New Roman" w:hAnsi="Times New Roman"/>
          <w:color w:val="111111"/>
          <w:sz w:val="28"/>
          <w:szCs w:val="28"/>
          <w:lang w:val="en-US"/>
        </w:rPr>
        <w:t>Since I wished to make perfect and comprehensive information available to the reader, I spent a whole year with much perseverance undertaking the following steps respectively:</w:t>
      </w:r>
    </w:p>
    <w:p>
      <w:pPr>
        <w:pStyle w:val="Heading4"/>
        <w:numPr>
          <w:ilvl w:val="3"/>
          <w:numId w:val="1"/>
        </w:numPr>
        <w:bidi w:val="0"/>
        <w:jc w:val="left"/>
        <w:rPr/>
      </w:pPr>
      <w:bookmarkStart w:id="19" w:name="__RefHeading___Toc3283385_3804643083"/>
      <w:bookmarkStart w:id="20" w:name="_Toc8"/>
      <w:bookmarkEnd w:id="19"/>
      <w:r>
        <w:rPr/>
        <w:t>Studying Legal Texts</w:t>
      </w:r>
      <w:bookmarkEnd w:id="20"/>
    </w:p>
    <w:p>
      <w:pPr>
        <w:pStyle w:val="BookText"/>
        <w:bidi w:val="0"/>
        <w:jc w:val="both"/>
        <w:rPr/>
      </w:pPr>
      <w:r>
        <w:rPr>
          <w:rFonts w:eastAsia="Times New Roman" w:cs="Times New Roman" w:ascii="Times New Roman" w:hAnsi="Times New Roman"/>
          <w:color w:val="111111"/>
          <w:sz w:val="28"/>
          <w:szCs w:val="28"/>
          <w:lang w:val="en-US"/>
        </w:rPr>
        <w:t>To this end, I consulted most of the Shiʿi legal texts extant from 1st/7th century up to the present, in which the issues about children were implicitly or independently discussed and their subjects have been topically catalogued and classified.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core of discussion in the present book is the status of children's rights in Islamic jurisprudence with a focus on the Shiʿa school, the detailed study of the legal opinions of other Islamic schools was</w:t>
      </w:r>
      <w:bookmarkStart w:id="21" w:name="pg2430_16507"/>
    </w:p>
    <w:p>
      <w:pPr>
        <w:pStyle w:val="BookText"/>
        <w:bidi w:val="0"/>
        <w:rPr/>
      </w:pPr>
      <w:bookmarkEnd w:id="21"/>
      <w:r>
        <w:rPr>
          <w:rFonts w:eastAsia="Times New Roman" w:cs="Times New Roman" w:ascii="Times New Roman" w:hAnsi="Times New Roman"/>
          <w:color w:val="111111"/>
          <w:sz w:val="28"/>
          <w:szCs w:val="28"/>
          <w:lang w:val="en-US"/>
        </w:rPr>
        <w:t>ruled out; however, in order to avoid ruining the inclusiveness of the research, the views of the Sunni jurists have been briefly and selectively extracted from the main legal texts of each of the Sunni schools and occasionally from the texts of the latter periods and put to discussion within the related discourses.</w:t>
      </w:r>
    </w:p>
    <w:p>
      <w:pPr>
        <w:pStyle w:val="Heading4"/>
        <w:numPr>
          <w:ilvl w:val="3"/>
          <w:numId w:val="1"/>
        </w:numPr>
        <w:bidi w:val="0"/>
        <w:jc w:val="left"/>
        <w:rPr/>
      </w:pPr>
      <w:bookmarkStart w:id="22" w:name="__RefHeading___Toc3283387_3804643083"/>
      <w:bookmarkStart w:id="23" w:name="_Toc9"/>
      <w:bookmarkEnd w:id="22"/>
      <w:r>
        <w:rPr/>
        <w:t>Studying the Exegetic Texts</w:t>
      </w:r>
      <w:bookmarkEnd w:id="23"/>
    </w:p>
    <w:p>
      <w:pPr>
        <w:pStyle w:val="BookText"/>
        <w:bidi w:val="0"/>
        <w:jc w:val="both"/>
        <w:rPr/>
      </w:pPr>
      <w:r>
        <w:rPr>
          <w:rFonts w:eastAsia="Times New Roman" w:cs="Times New Roman" w:ascii="Times New Roman" w:hAnsi="Times New Roman"/>
          <w:color w:val="111111"/>
          <w:sz w:val="28"/>
          <w:szCs w:val="28"/>
          <w:lang w:val="en-US"/>
        </w:rPr>
        <w:t>Of all the verses of the Qur’an, in only four verses such topics as pregnancy, breastfeeding and the related issues have been brought up and talked about.</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In order to attain a correct understanding of the meaning of these verses and thereby obtain appropriate legal rulings from them, it is essential to become acquainted with the viewpoints of the interpreters and whatever presented in their exegetical texts concerning them. Therefore, I devlved into almost all the Shiʿi exegetical texts regardless of the language – either Persian or Arabic – and the major Sunni exegetical sources irrespective of their religious approach.</w:t>
      </w:r>
    </w:p>
    <w:p>
      <w:pPr>
        <w:pStyle w:val="BookText"/>
        <w:bidi w:val="0"/>
        <w:jc w:val="both"/>
        <w:rPr/>
      </w:pPr>
      <w:r>
        <w:rPr>
          <w:rFonts w:eastAsia="Times New Roman" w:cs="Times New Roman" w:ascii="Times New Roman" w:hAnsi="Times New Roman"/>
          <w:color w:val="111111"/>
          <w:sz w:val="28"/>
          <w:szCs w:val="28"/>
          <w:lang w:val="en-US"/>
        </w:rPr>
        <w:t>It goes without saying that the probabilities existing in exegetical books are too diverse and numerous to be trusted, particularly when most of them – without having any historical or narrative foundation – are the products of their devisers' thinking. Thus, it was not deemed sufficient to merely quote the probabilities set forth; rather, it was undertaken to critically review and assess them as well, and only one out of all the existing probabilities was selected according to the reasons and evidences explained in the book.</w:t>
      </w:r>
    </w:p>
    <w:p>
      <w:pPr>
        <w:pStyle w:val="Heading4"/>
        <w:numPr>
          <w:ilvl w:val="3"/>
          <w:numId w:val="1"/>
        </w:numPr>
        <w:bidi w:val="0"/>
        <w:jc w:val="left"/>
        <w:rPr/>
      </w:pPr>
      <w:bookmarkStart w:id="24" w:name="__RefHeading___Toc3283389_3804643083"/>
      <w:bookmarkStart w:id="25" w:name="_Toc10"/>
      <w:bookmarkEnd w:id="24"/>
      <w:r>
        <w:rPr/>
        <w:t>Study of the Narrative Texts</w:t>
      </w:r>
      <w:bookmarkEnd w:id="2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legally evaluate an issue, the most essential thing to do is to</w:t>
      </w:r>
      <w:bookmarkStart w:id="26" w:name="pg2430_16509"/>
    </w:p>
    <w:p>
      <w:pPr>
        <w:pStyle w:val="BookText"/>
        <w:bidi w:val="0"/>
        <w:rPr/>
      </w:pPr>
      <w:bookmarkEnd w:id="26"/>
      <w:r>
        <w:rPr>
          <w:rFonts w:eastAsia="Times New Roman" w:cs="Times New Roman" w:ascii="Times New Roman" w:hAnsi="Times New Roman"/>
          <w:color w:val="111111"/>
          <w:sz w:val="28"/>
          <w:szCs w:val="28"/>
          <w:lang w:val="en-US"/>
        </w:rPr>
        <w:t>find the traditions proportionate to that issue and to examine the authenticity of their chain of transmission and their meaning.</w:t>
      </w:r>
    </w:p>
    <w:p>
      <w:pPr>
        <w:pStyle w:val="BookText"/>
        <w:bidi w:val="0"/>
        <w:jc w:val="both"/>
        <w:rPr/>
      </w:pPr>
      <w:r>
        <w:rPr>
          <w:rFonts w:eastAsia="Times New Roman" w:cs="Times New Roman" w:ascii="Times New Roman" w:hAnsi="Times New Roman"/>
          <w:color w:val="111111"/>
          <w:sz w:val="28"/>
          <w:szCs w:val="28"/>
          <w:lang w:val="en-US"/>
        </w:rPr>
        <w:t>Consequently, all the traditions narrated from the infallible and virtuous Ahl al-Bayt (A.S.) concerning the issues discussed in this book were compiled as per their relation to the subject and made use of with regard to their authenticity and validity.</w:t>
      </w:r>
    </w:p>
    <w:p>
      <w:pPr>
        <w:pStyle w:val="Heading3"/>
        <w:numPr>
          <w:ilvl w:val="2"/>
          <w:numId w:val="1"/>
        </w:numPr>
        <w:bidi w:val="0"/>
        <w:jc w:val="left"/>
        <w:rPr/>
      </w:pPr>
      <w:bookmarkStart w:id="27" w:name="__RefHeading___Toc3283391_3804643083"/>
      <w:bookmarkStart w:id="28" w:name="_Toc11"/>
      <w:bookmarkEnd w:id="27"/>
      <w:r>
        <w:rPr/>
        <w:t>Compilation Methodology</w:t>
      </w:r>
      <w:bookmarkEnd w:id="28"/>
    </w:p>
    <w:p>
      <w:pPr>
        <w:pStyle w:val="Heading4"/>
        <w:numPr>
          <w:ilvl w:val="3"/>
          <w:numId w:val="1"/>
        </w:numPr>
        <w:bidi w:val="0"/>
        <w:jc w:val="left"/>
        <w:rPr/>
      </w:pPr>
      <w:bookmarkStart w:id="29" w:name="__RefHeading___Toc3283393_3804643083"/>
      <w:bookmarkStart w:id="30" w:name="_Toc12"/>
      <w:bookmarkEnd w:id="29"/>
      <w:r>
        <w:rPr/>
        <w:t>point</w:t>
      </w:r>
      <w:bookmarkEnd w:id="30"/>
    </w:p>
    <w:p>
      <w:pPr>
        <w:pStyle w:val="BookText"/>
        <w:bidi w:val="0"/>
        <w:jc w:val="both"/>
        <w:rPr/>
      </w:pPr>
      <w:r>
        <w:rPr>
          <w:rFonts w:eastAsia="Times New Roman" w:cs="Times New Roman" w:ascii="Times New Roman" w:hAnsi="Times New Roman"/>
          <w:color w:val="111111"/>
          <w:sz w:val="28"/>
          <w:szCs w:val="28"/>
          <w:lang w:val="en-US"/>
        </w:rPr>
        <w:t>In order to the compile material for this book the following procedures have been respectively employed:</w:t>
      </w:r>
    </w:p>
    <w:p>
      <w:pPr>
        <w:pStyle w:val="Heading4"/>
        <w:numPr>
          <w:ilvl w:val="3"/>
          <w:numId w:val="1"/>
        </w:numPr>
        <w:bidi w:val="0"/>
        <w:jc w:val="left"/>
        <w:rPr/>
      </w:pPr>
      <w:bookmarkStart w:id="31" w:name="__RefHeading___Toc3283395_3804643083"/>
      <w:bookmarkStart w:id="32" w:name="_Toc13"/>
      <w:bookmarkEnd w:id="31"/>
      <w:r>
        <w:rPr/>
        <w:t>Stating the Jurist's Opinions</w:t>
      </w:r>
      <w:bookmarkEnd w:id="32"/>
    </w:p>
    <w:p>
      <w:pPr>
        <w:pStyle w:val="BookText"/>
        <w:bidi w:val="0"/>
        <w:jc w:val="both"/>
        <w:rPr/>
      </w:pPr>
      <w:r>
        <w:rPr>
          <w:rFonts w:eastAsia="Times New Roman" w:cs="Times New Roman" w:ascii="Times New Roman" w:hAnsi="Times New Roman"/>
          <w:color w:val="111111"/>
          <w:sz w:val="28"/>
          <w:szCs w:val="28"/>
          <w:lang w:val="en-US"/>
        </w:rPr>
        <w:t>At first, the issues were brought up according to the views presented in legal sources and the explanations given by earlier jurists, with the references being footnoted in terms of their importance.</w:t>
      </w:r>
    </w:p>
    <w:p>
      <w:pPr>
        <w:pStyle w:val="Heading4"/>
        <w:numPr>
          <w:ilvl w:val="3"/>
          <w:numId w:val="1"/>
        </w:numPr>
        <w:bidi w:val="0"/>
        <w:jc w:val="left"/>
        <w:rPr/>
      </w:pPr>
      <w:bookmarkStart w:id="33" w:name="__RefHeading___Toc3283397_3804643083"/>
      <w:bookmarkStart w:id="34" w:name="_Toc14"/>
      <w:bookmarkEnd w:id="33"/>
      <w:r>
        <w:rPr/>
        <w:t>Selecting</w:t>
      </w:r>
      <w:bookmarkEnd w:id="34"/>
    </w:p>
    <w:p>
      <w:pPr>
        <w:pStyle w:val="BookText"/>
        <w:bidi w:val="0"/>
        <w:jc w:val="both"/>
        <w:rPr/>
      </w:pPr>
      <w:r>
        <w:rPr>
          <w:rFonts w:eastAsia="Times New Roman" w:cs="Times New Roman" w:ascii="Times New Roman" w:hAnsi="Times New Roman"/>
          <w:color w:val="111111"/>
          <w:sz w:val="28"/>
          <w:szCs w:val="28"/>
          <w:lang w:val="en-US"/>
        </w:rPr>
        <w:t>Once the issue was brought up, if I accepted what the great jurists had previously stated, the matter was stated with reference to legal books, without referring to my own view.</w:t>
      </w:r>
    </w:p>
    <w:p>
      <w:pPr>
        <w:pStyle w:val="BookText"/>
        <w:bidi w:val="0"/>
        <w:jc w:val="both"/>
        <w:rPr/>
      </w:pPr>
      <w:r>
        <w:rPr>
          <w:rFonts w:eastAsia="Times New Roman" w:cs="Times New Roman" w:ascii="Times New Roman" w:hAnsi="Times New Roman"/>
          <w:color w:val="111111"/>
          <w:sz w:val="28"/>
          <w:szCs w:val="28"/>
          <w:lang w:val="en-US"/>
        </w:rPr>
        <w:t>However, in case I did not agree with a matter, I stated my opinion independently; although I have tried to mention it in the footnote if I happened to find someone agreeing with my opinion.</w:t>
      </w:r>
    </w:p>
    <w:p>
      <w:pPr>
        <w:pStyle w:val="BookText"/>
        <w:bidi w:val="0"/>
        <w:jc w:val="both"/>
        <w:rPr/>
      </w:pPr>
      <w:r>
        <w:rPr>
          <w:rFonts w:eastAsia="Times New Roman" w:cs="Times New Roman" w:ascii="Times New Roman" w:hAnsi="Times New Roman"/>
          <w:color w:val="111111"/>
          <w:sz w:val="28"/>
          <w:szCs w:val="28"/>
          <w:lang w:val="en-US"/>
        </w:rPr>
        <w:t>Of course, it needs to be noted that in selecting a legal view, it’s being generally accepted or unaccepted among the jurists has not been considered a sine qua non; thus, sometimes the view selected is not much advocated in legal books.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to our opinion breastfeeding a baby within the first twenty one months of its birth is obligatory for a mother, although the renowned majority of the jurists have given legal judgment (fatwa) for its preference or excellence. Also,</w:t>
      </w:r>
      <w:bookmarkStart w:id="35" w:name="pg2430_16511"/>
    </w:p>
    <w:p>
      <w:pPr>
        <w:pStyle w:val="BookText"/>
        <w:bidi w:val="0"/>
        <w:rPr/>
      </w:pPr>
      <w:bookmarkEnd w:id="35"/>
      <w:r>
        <w:rPr>
          <w:rFonts w:eastAsia="Times New Roman" w:cs="Times New Roman" w:ascii="Times New Roman" w:hAnsi="Times New Roman"/>
          <w:color w:val="111111"/>
          <w:sz w:val="28"/>
          <w:szCs w:val="28"/>
          <w:lang w:val="en-US"/>
        </w:rPr>
        <w:t>to my opinion, as long as the couple remains in marriage bond, the wife cannot demand wage from her husband for breastfeeding her child, as receiving wage is only endorsed when the couple are divorced, although again the renowned majority of the jurists agree on its permissibility.</w:t>
      </w:r>
    </w:p>
    <w:p>
      <w:pPr>
        <w:pStyle w:val="Heading3"/>
        <w:numPr>
          <w:ilvl w:val="2"/>
          <w:numId w:val="1"/>
        </w:numPr>
        <w:bidi w:val="0"/>
        <w:jc w:val="left"/>
        <w:rPr/>
      </w:pPr>
      <w:bookmarkStart w:id="36" w:name="__RefHeading___Toc3283399_3804643083"/>
      <w:bookmarkStart w:id="37" w:name="_Toc15"/>
      <w:bookmarkEnd w:id="36"/>
      <w:r>
        <w:rPr/>
        <w:t>Content</w:t>
      </w:r>
      <w:bookmarkEnd w:id="37"/>
    </w:p>
    <w:p>
      <w:pPr>
        <w:pStyle w:val="BookText"/>
        <w:bidi w:val="0"/>
        <w:jc w:val="both"/>
        <w:rPr/>
      </w:pPr>
      <w:r>
        <w:rPr>
          <w:rFonts w:eastAsia="Times New Roman" w:cs="Times New Roman" w:ascii="Times New Roman" w:hAnsi="Times New Roman"/>
          <w:color w:val="111111"/>
          <w:sz w:val="28"/>
          <w:szCs w:val="28"/>
          <w:lang w:val="en-US"/>
        </w:rPr>
        <w:t>Given the above explanations, the information obtained has been classified in terms of content and categorized in three sections:</w:t>
      </w:r>
    </w:p>
    <w:p>
      <w:pPr>
        <w:pStyle w:val="Heading3"/>
        <w:numPr>
          <w:ilvl w:val="2"/>
          <w:numId w:val="1"/>
        </w:numPr>
        <w:bidi w:val="0"/>
        <w:jc w:val="left"/>
        <w:rPr/>
      </w:pPr>
      <w:bookmarkStart w:id="38" w:name="__RefHeading___Toc3283401_3804643083"/>
      <w:bookmarkStart w:id="39" w:name="_Toc16"/>
      <w:bookmarkEnd w:id="38"/>
      <w:r>
        <w:rPr/>
        <w:t>Studying Legal Problems of Breastfeeding Children (Ridhaʿ)</w:t>
      </w:r>
      <w:bookmarkEnd w:id="39"/>
    </w:p>
    <w:p>
      <w:pPr>
        <w:pStyle w:val="BookText"/>
        <w:bidi w:val="0"/>
        <w:jc w:val="both"/>
        <w:rPr/>
      </w:pPr>
      <w:r>
        <w:rPr>
          <w:rFonts w:eastAsia="Times New Roman" w:cs="Times New Roman" w:ascii="Times New Roman" w:hAnsi="Times New Roman"/>
          <w:color w:val="111111"/>
          <w:sz w:val="28"/>
          <w:szCs w:val="28"/>
          <w:lang w:val="en-US"/>
        </w:rPr>
        <w:t>In the first part of the book the following issues are discussed in 8 chapters: the legal standing of mother's milk in Islamic texts; the length of breastfeeding; mother's duties during breastfeeding period; father's duties during breastfeeding period; parents' reciprocative duties during breastfeeding period; duties of the father's successors during breastfeeding period; how to wean a baby; how to hire a wet nurse.</w:t>
      </w:r>
    </w:p>
    <w:p>
      <w:pPr>
        <w:pStyle w:val="Heading3"/>
        <w:numPr>
          <w:ilvl w:val="2"/>
          <w:numId w:val="1"/>
        </w:numPr>
        <w:bidi w:val="0"/>
        <w:jc w:val="left"/>
        <w:rPr/>
      </w:pPr>
      <w:bookmarkStart w:id="40" w:name="__RefHeading___Toc3283403_3804643083"/>
      <w:bookmarkStart w:id="41" w:name="_Toc17"/>
      <w:bookmarkEnd w:id="40"/>
      <w:r>
        <w:rPr/>
        <w:t>Studying Legal Problems of Custody of Children (Hidhanat)</w:t>
      </w:r>
      <w:bookmarkEnd w:id="41"/>
    </w:p>
    <w:p>
      <w:pPr>
        <w:pStyle w:val="BookText"/>
        <w:bidi w:val="0"/>
        <w:jc w:val="both"/>
        <w:rPr/>
      </w:pPr>
      <w:r>
        <w:rPr>
          <w:rFonts w:eastAsia="Times New Roman" w:cs="Times New Roman" w:ascii="Times New Roman" w:hAnsi="Times New Roman"/>
          <w:color w:val="111111"/>
          <w:sz w:val="28"/>
          <w:szCs w:val="28"/>
          <w:lang w:val="en-US"/>
        </w:rPr>
        <w:t>The second part begins with a preface about the legal standing of fostering children in the Holy Qur’an and then the following issues are discussed in four sections: preliminary discourses; processes of fostering children; qualifications for fostering children; parents' relationships during fostering period.</w:t>
      </w:r>
    </w:p>
    <w:p>
      <w:pPr>
        <w:pStyle w:val="Heading3"/>
        <w:numPr>
          <w:ilvl w:val="2"/>
          <w:numId w:val="1"/>
        </w:numPr>
        <w:bidi w:val="0"/>
        <w:jc w:val="left"/>
        <w:rPr/>
      </w:pPr>
      <w:bookmarkStart w:id="42" w:name="__RefHeading___Toc3283405_3804643083"/>
      <w:bookmarkStart w:id="43" w:name="_Toc18"/>
      <w:bookmarkEnd w:id="42"/>
      <w:r>
        <w:rPr/>
        <w:t>Studying Legal Problems of Foundling Children (Laqit)</w:t>
      </w:r>
      <w:bookmarkEnd w:id="43"/>
    </w:p>
    <w:p>
      <w:pPr>
        <w:pStyle w:val="BookText"/>
        <w:bidi w:val="0"/>
        <w:jc w:val="both"/>
        <w:rPr/>
      </w:pPr>
      <w:r>
        <w:rPr>
          <w:rFonts w:eastAsia="Times New Roman" w:cs="Times New Roman" w:ascii="Times New Roman" w:hAnsi="Times New Roman"/>
          <w:color w:val="111111"/>
          <w:sz w:val="28"/>
          <w:szCs w:val="28"/>
          <w:lang w:val="en-US"/>
        </w:rPr>
        <w:t>The second part consists of the following issues: preliminary discourses; qualifications for fostering foundling children; legal problems of foundling children; penal problems concerning foundling children; disagreement over foundling children; kinship relation with the foundling children; figurative kinship.</w:t>
      </w:r>
    </w:p>
    <w:p>
      <w:pPr>
        <w:pStyle w:val="Heading3"/>
        <w:numPr>
          <w:ilvl w:val="2"/>
          <w:numId w:val="1"/>
        </w:numPr>
        <w:bidi w:val="0"/>
        <w:jc w:val="left"/>
        <w:rPr/>
      </w:pPr>
      <w:bookmarkStart w:id="44" w:name="__RefHeading___Toc3283407_3804643083"/>
      <w:bookmarkStart w:id="45" w:name="_Toc19"/>
      <w:bookmarkEnd w:id="44"/>
      <w:r>
        <w:rPr/>
        <w:t>Conclusions</w:t>
      </w:r>
      <w:bookmarkEnd w:id="45"/>
    </w:p>
    <w:p>
      <w:pPr>
        <w:pStyle w:val="Heading4"/>
        <w:numPr>
          <w:ilvl w:val="3"/>
          <w:numId w:val="1"/>
        </w:numPr>
        <w:bidi w:val="0"/>
        <w:jc w:val="left"/>
        <w:rPr/>
      </w:pPr>
      <w:bookmarkStart w:id="46" w:name="__RefHeading___Toc3283409_3804643083"/>
      <w:bookmarkStart w:id="47" w:name="_Toc20"/>
      <w:bookmarkEnd w:id="46"/>
      <w:r>
        <w:rPr/>
        <w:t>point</w:t>
      </w:r>
      <w:bookmarkEnd w:id="47"/>
    </w:p>
    <w:p>
      <w:pPr>
        <w:pStyle w:val="BookText"/>
        <w:bidi w:val="0"/>
        <w:jc w:val="both"/>
        <w:rPr/>
      </w:pPr>
      <w:r>
        <w:rPr>
          <w:rFonts w:eastAsia="Times New Roman" w:cs="Times New Roman" w:ascii="Times New Roman" w:hAnsi="Times New Roman"/>
          <w:color w:val="111111"/>
          <w:sz w:val="28"/>
          <w:szCs w:val="28"/>
          <w:lang w:val="en-US"/>
        </w:rPr>
        <w:t>Given the great importance of the research made about children, the conclusions drawn in this research are summarized in the following items for the reader:</w:t>
      </w:r>
    </w:p>
    <w:p>
      <w:pPr>
        <w:pStyle w:val="Heading4"/>
        <w:numPr>
          <w:ilvl w:val="3"/>
          <w:numId w:val="1"/>
        </w:numPr>
        <w:bidi w:val="0"/>
        <w:jc w:val="left"/>
        <w:rPr/>
      </w:pPr>
      <w:bookmarkStart w:id="48" w:name="__RefHeading___Toc3283411_3804643083"/>
      <w:bookmarkStart w:id="49" w:name="_Toc21"/>
      <w:bookmarkEnd w:id="48"/>
      <w:r>
        <w:rPr/>
        <w:t>Breastfeeding and Suckling (Ridhaʿ)</w:t>
      </w:r>
      <w:bookmarkEnd w:id="49"/>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Mother's milk is the best for the baby.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period for pregnancy and breastfeeding is to sum up to 30 months.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The mother is obliged to breastfeed her baby for 21 months; however, it is recommended to continue this period up to 24 months.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normal conditions it is not obligatory for the mother to breastfeed her baby beyond 21 months.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Breastfeeding is an obligatory act, but the mother cannot be forced to do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the separation of a couple, if the man wants her ex-wife to breastfeed their baby for a full 24 months, the mother is obliged to complete the breastfeeding period.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separation from her husband, the woman cannot shun from breastfeeding her baby, but she can demand wages for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the beginning of breastfeeding, the mother can demand for wages proportionate to the amount of breastfeeding.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is meant by wages is the provision of mother's food and clothing during breastfeeding period.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provision of mother's food and clothing during breastfeeding period is undertaken by the father and in proportion to his financial capacity.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husband and the wife would both agree on the amount of the wages.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normal conditions, the father is not obliged to provide for the expenses of breastfeeding beyond 21 months.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husband may pay her wife for breastfeeding during their matrimony, but he cannot be obliged to do so.</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Breastfeeding a baby (ridhaʿ) is different from its custody (hidhanat); receiving wages for breastfeeding does include its custody.</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During the period a mother is obliged to breastfeed her baby, she is not permitted to use supplementary foods or animal milk</w:t>
      </w:r>
      <w:bookmarkStart w:id="50" w:name="pg2430_16514"/>
    </w:p>
    <w:p>
      <w:pPr>
        <w:pStyle w:val="BookText"/>
        <w:bidi w:val="0"/>
        <w:rPr/>
      </w:pPr>
      <w:bookmarkEnd w:id="50"/>
      <w:r>
        <w:rPr>
          <w:rFonts w:eastAsia="Times New Roman" w:cs="Times New Roman" w:ascii="Times New Roman" w:hAnsi="Times New Roman"/>
          <w:color w:val="111111"/>
          <w:sz w:val="28"/>
          <w:szCs w:val="28"/>
          <w:lang w:val="en-US"/>
        </w:rPr>
        <w:t>instead of her own milk.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term “breastfeeding one's baby” is true only when the mother feed the baby from her own breasts.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 woman agrees to breastfeed a baby for a lower wage than the wage its mother has demanded and the mother does not accept that wage (taʿasur), the father can take the baby from the mother and leave it to that woman.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wife and the husband should not hurt each other by using the child as bait after separation.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inheritors of the father after his death have the same responsibilities towards the child and its mother as the father would have had if he had been alive.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order to complete the breastfeeding period, as the father can ask the mother to breastfeed the baby, he can hire a wet nurse, too.</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Decision about weaning the child lies with the parents.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 mother shuns breastfeeding her baby, she would lose her right for its custody in the first two years of its life.</w:t>
      </w:r>
    </w:p>
    <w:p>
      <w:pPr>
        <w:pStyle w:val="Heading4"/>
        <w:numPr>
          <w:ilvl w:val="3"/>
          <w:numId w:val="1"/>
        </w:numPr>
        <w:bidi w:val="0"/>
        <w:jc w:val="left"/>
        <w:rPr/>
      </w:pPr>
      <w:bookmarkStart w:id="51" w:name="__RefHeading___Toc3283413_3804643083"/>
      <w:bookmarkStart w:id="52" w:name="_Toc22"/>
      <w:bookmarkEnd w:id="51"/>
      <w:r>
        <w:rPr/>
        <w:t>Child Custody</w:t>
      </w:r>
      <w:bookmarkEnd w:id="52"/>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is meant by custody is taking care of the child; deciding on instances counted as taking care is subject to conventional understanding.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Parents’ custody of the child is their natural and unconditional right, which is created as soon as the filial relationship is realized, is not transferable to others, and cannot be relinquished.</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the parents have the right to take care of their own child, the child has also the right to be taken care of and raised</w:t>
      </w:r>
    </w:p>
    <w:p>
      <w:pPr>
        <w:pStyle w:val="BookText"/>
        <w:bidi w:val="0"/>
        <w:rPr/>
      </w:pPr>
      <w:r>
        <w:rPr>
          <w:rFonts w:eastAsia="Times New Roman" w:cs="Times New Roman" w:ascii="Times New Roman" w:hAnsi="Times New Roman"/>
          <w:color w:val="111111"/>
          <w:sz w:val="28"/>
          <w:szCs w:val="28"/>
          <w:lang w:val="en-US"/>
        </w:rPr>
        <w:t>by its parents.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Child custody is a father's intrinsic duty, which is transferred to the mother for a limited (at most seven years) period.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Mother's priority in breastfeeding and taking care of her baby in its first two years of life is on the condition that she does not receive wages for this or the wages she demands do not exceed what the others demand.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separation from her husband, the woman has the right to take care of her child, whether it is a boy or a girl, up to the age of seven.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mother can receive wages for breastfeeding her baby, but not for taking care of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case of mother's death while holding the custody of her child, this duty is transferred to the child's father.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father dies while holding the custody of his child, this duty is transferred to his successor, i.e., the child's paternal grandfather or his executor (wasi).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Guardianship of a child is different from its custody; this duty lies with the father, paternal grandfather, executor (wasi) of each one of them, and Islamic ruler, respectively.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Taking care of a child after its parents' death lies with its paternal grandfather, his specified executor, and then the Islamic ruler.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non-Muslim mother has the right to take care of her child.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Mother's chronic insanity inhibits her from the custody of her child.</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Mother's periodic insanity does not inhibit her custody over the child in case she is able to fulfill her</w:t>
      </w:r>
    </w:p>
    <w:p>
      <w:pPr>
        <w:pStyle w:val="BookText"/>
        <w:bidi w:val="0"/>
        <w:rPr/>
      </w:pPr>
      <w:r>
        <w:rPr>
          <w:rFonts w:eastAsia="Times New Roman" w:cs="Times New Roman" w:ascii="Times New Roman" w:hAnsi="Times New Roman"/>
          <w:color w:val="111111"/>
          <w:sz w:val="28"/>
          <w:szCs w:val="28"/>
          <w:lang w:val="en-US"/>
        </w:rPr>
        <w:t>duties of taking care of the child and the number of its recurrence is very few and not too lengthy.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Mother's marriage during her child's first seven years of life nullifies her custody over her child, whether her marriage takes place during her ex-husband's lifetime or after his death and whether her second husband agrees with taking care of the child or not.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Mother's separation from her second husband does not restore her right of custody.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Mother has to be trustworthy for the custody of her child; namely, she must not misappropriate or fall short of the issues related to her child's life.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Mother is required to be morally qualified to be allowed the custody of her child.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Change of the child's residence is permitted in case it does not have negative impacts on its life trend, physical, mental, educational well-being, and moral conduct.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mother is suffering a contagious disease, she cannot undertake her child's custody so long as she is not cured.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mother is suffering from a chronic disease so that she is not able to take care of her child even with the help of others, her right to custody remains valid; however, when it is by no means possible for the mother to take care of the child, this right is voided.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parents share the conditions for custody, except in case of the mother's marriage.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terms and qualifications for custody are lost during infancy, mother's right to custody is transferred</w:t>
      </w:r>
      <w:bookmarkStart w:id="53" w:name="pg2430_16520"/>
    </w:p>
    <w:p>
      <w:pPr>
        <w:pStyle w:val="BookText"/>
        <w:bidi w:val="0"/>
        <w:rPr/>
      </w:pPr>
      <w:bookmarkEnd w:id="53"/>
      <w:r>
        <w:rPr>
          <w:rFonts w:eastAsia="Times New Roman" w:cs="Times New Roman" w:ascii="Times New Roman" w:hAnsi="Times New Roman"/>
          <w:color w:val="111111"/>
          <w:sz w:val="28"/>
          <w:szCs w:val="28"/>
          <w:lang w:val="en-US"/>
        </w:rPr>
        <w:t>to the father.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father loses the qualifications for his child's custody, it is transferred to the paternal grandfather and then to their executor.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 father regains the required qualifications for his child's custody, it is entrusted to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 mother regains the required qualifications for her child's custody, it is transferred to her for the first seven years of the child's life, except in case of marriage.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While the child is living with its father, the latter must not inhibit the mother from meeting her child, and if the child gets sick, he must not prevent the mother from nursing it. In addition, when either the mother or the child dies, the father must not prevent the other from taking part in the mourning ceremony.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Once reaching maturity, the child’s custody is terminated and it can make its own decisions, with no difference in this injunction between a boy and a girl (whether virgin or non-virgin).</w:t>
      </w:r>
    </w:p>
    <w:p>
      <w:pPr>
        <w:pStyle w:val="Heading4"/>
        <w:numPr>
          <w:ilvl w:val="3"/>
          <w:numId w:val="1"/>
        </w:numPr>
        <w:bidi w:val="0"/>
        <w:jc w:val="left"/>
        <w:rPr/>
      </w:pPr>
      <w:bookmarkStart w:id="54" w:name="__RefHeading___Toc3283415_3804643083"/>
      <w:bookmarkStart w:id="55" w:name="_Toc23"/>
      <w:bookmarkEnd w:id="54"/>
      <w:r>
        <w:rPr/>
        <w:t>Custody of the Abandoned Children</w:t>
      </w:r>
      <w:bookmarkEnd w:id="55"/>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is meant by an abandoned child (foundling) is the girl or the boy who has had no specified guardian when found, whether a suckling or a non-suckling, provided that it is not near maturity.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Adopting and taking care of the abandoned children is a preferable religious act, which will become obligatory if their life is endangered. This obligation can on certain conditions be individual or shared.</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no need for asking permission from any authority for adopting an abandoned child, although some conditions must be observed for</w:t>
      </w:r>
    </w:p>
    <w:p>
      <w:pPr>
        <w:pStyle w:val="BookText"/>
        <w:bidi w:val="0"/>
        <w:rPr/>
      </w:pPr>
      <w:r>
        <w:rPr>
          <w:rFonts w:eastAsia="Times New Roman" w:cs="Times New Roman" w:ascii="Times New Roman" w:hAnsi="Times New Roman"/>
          <w:color w:val="111111"/>
          <w:sz w:val="28"/>
          <w:szCs w:val="28"/>
          <w:lang w:val="en-US"/>
        </w:rPr>
        <w:t>its custody.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no need for asking someone to act as witness for finding an abandoned child; however, it is better to have a witness.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finder of an abandoned child only undertakes to take care of the child and does not have any guardianship (wilaya) over the child.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underage, insane, and feeble-minded who are in need of custody themselves cannot undertake the custody of an unattended child, although they can pick the abandoned baby from public places and hand it over to the related institutions.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Finding an abandoned child does not create any right for the finder.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Decision about the custody of an abandoned child to be entrusted to someone is made by a specific organization that examines the required qualifications of the person for this purpose.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no need for justice in its technical meaning (the habit of avoiding sins) for taking care of an unattended child; however, the person is required to be morally qualified.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Being a Muslim is a condition for the custody of a child, whether the child is a Muslim or a non-Muslim; however, the validity of the faith (being a Shiʿa) is not far from truth, either.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non-Muslim and Muslim individuals with corrupt faith cannot take the custody of an unattended child.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custody of a non-Muslim abandoned child (found in non-Muslim settlements) is entrusted to a Muslim person.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Financial capability is not a prerequisite for the custody of an unattended child, although among several people with equal qualifications,</w:t>
      </w:r>
    </w:p>
    <w:p>
      <w:pPr>
        <w:pStyle w:val="BookText"/>
        <w:bidi w:val="0"/>
        <w:rPr/>
      </w:pPr>
      <w:r>
        <w:rPr>
          <w:rFonts w:eastAsia="Times New Roman" w:cs="Times New Roman" w:ascii="Times New Roman" w:hAnsi="Times New Roman"/>
          <w:color w:val="111111"/>
          <w:sz w:val="28"/>
          <w:szCs w:val="28"/>
          <w:lang w:val="en-US"/>
        </w:rPr>
        <w:t>being wealthy is a privilege.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Moving the residence of an unattended child is subject to the best physical and mental interest of the child.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Being a man or a woman does not have any effect on the permission for the custody of an abandoned child.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property used by or carried along with the child belongs to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properties [found] around the abandoned child do not belong to it, unless there are valid evidences proving otherwise, or when they lie in a place dedicated to the child.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one who takes care of the abandoned child can use the child's property to provide for its living expenses without needing to ask permission from the Islamic ruler.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 overseer is required to be around for supervising the correct expenditure of the child's property.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 finder of the child picks it up from the street just for the purpose of saving its life, provision of its living expenses lies with Islamic government.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 finder of the child collects it from the streets for taking care of it with unlimited responsibility, provision of the child's expenses is upon the finder.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 finder of the child collects it from the streets for taking care of it with limited responsibility, provision of the child's expenses is subject to the kind of the finder's undertaking, i.e., free care or care on the condition that the expenses are paid back after the child's maturity.</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case the finder of the child undertakes to</w:t>
      </w:r>
      <w:bookmarkStart w:id="56" w:name="pg2430_16526"/>
    </w:p>
    <w:p>
      <w:pPr>
        <w:pStyle w:val="BookText"/>
        <w:bidi w:val="0"/>
        <w:rPr/>
      </w:pPr>
      <w:bookmarkEnd w:id="56"/>
      <w:r>
        <w:rPr>
          <w:rFonts w:eastAsia="Times New Roman" w:cs="Times New Roman" w:ascii="Times New Roman" w:hAnsi="Times New Roman"/>
          <w:color w:val="111111"/>
          <w:sz w:val="28"/>
          <w:szCs w:val="28"/>
          <w:lang w:val="en-US"/>
        </w:rPr>
        <w:t>provide for the child's living expenses on the condition that he would be paid back later on and when the child reaches maturity there arises disagreement between them on the amount of the expenses, then if the overseer confirms the finder's claim, his claim would be accepted, whether he spends from the child's property or form his own; otherwise he has to provide evidence to prove his claim.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a deliberate or inadvertent crime perpetrated against abandoned children, whether leading to death or injury, decision about retaliation (qisas), pardon, or receiving blood money (diya) is to be made by the Infallible Imam (Islamic government).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Proof of parental relation to an abandoned (unattended) child is not possible merely by claim; rather, referring to their national identification records is needed to prove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case the parental relation to the abandoned child cannot be proved, medico-scientific procedures are to be exploited.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Acceptance or denial of kinship with someone by the child after maturity is not valid by itself.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religion of the claimant of kinship with the abandoned child is not effective in accepting or rejecting its claim.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finder of the abandoned child or the one who takes care of it does not have any natural (qahri) guardianship (wila’) over it.</w:t>
      </w:r>
    </w:p>
    <w:p>
      <w:pPr>
        <w:pStyle w:val="BookText"/>
        <w:bidi w:val="0"/>
        <w:jc w:val="both"/>
        <w:rPr/>
      </w:pPr>
      <w:r>
        <w:rPr>
          <w:rFonts w:eastAsia="Times New Roman" w:cs="Times New Roman" w:ascii="Times New Roman" w:hAnsi="Times New Roman"/>
          <w:color w:val="111111"/>
          <w:sz w:val="28"/>
          <w:szCs w:val="28"/>
          <w:lang w:val="en-US"/>
        </w:rPr>
        <w:t>Saed Nazari Tavakkoli</w:t>
      </w:r>
    </w:p>
    <w:p>
      <w:pPr>
        <w:pStyle w:val="BookText"/>
        <w:bidi w:val="0"/>
        <w:jc w:val="both"/>
        <w:rPr/>
      </w:pPr>
      <w:r>
        <w:rPr>
          <w:rFonts w:eastAsia="Times New Roman" w:cs="Times New Roman" w:ascii="Times New Roman" w:hAnsi="Times New Roman"/>
          <w:color w:val="111111"/>
          <w:sz w:val="28"/>
          <w:szCs w:val="28"/>
          <w:lang w:val="en-US"/>
        </w:rPr>
        <w:t>Mashhad, Iran,</w:t>
      </w:r>
    </w:p>
    <w:p>
      <w:pPr>
        <w:pStyle w:val="BookText"/>
        <w:bidi w:val="0"/>
        <w:jc w:val="both"/>
        <w:rPr/>
      </w:pPr>
      <w:r>
        <w:rPr>
          <w:rFonts w:eastAsia="Times New Roman" w:cs="Times New Roman" w:ascii="Times New Roman" w:hAnsi="Times New Roman"/>
          <w:color w:val="111111"/>
          <w:sz w:val="28"/>
          <w:szCs w:val="28"/>
          <w:lang w:val="en-US"/>
        </w:rPr>
        <w:t>September 29, 2002</w:t>
      </w:r>
    </w:p>
    <w:p>
      <w:pPr>
        <w:pStyle w:val="BookText"/>
        <w:bidi w:val="0"/>
        <w:jc w:val="both"/>
        <w:rPr/>
      </w:pPr>
      <w:r>
        <w:rPr>
          <w:rFonts w:eastAsia="Times New Roman" w:cs="Times New Roman" w:ascii="Times New Roman" w:hAnsi="Times New Roman"/>
          <w:color w:val="111111"/>
          <w:sz w:val="28"/>
          <w:szCs w:val="28"/>
          <w:lang w:val="en-US"/>
        </w:rPr>
        <w:t>sntavakoli@ferdowsi.um.ac.ir [13]</w:t>
      </w:r>
    </w:p>
    <w:p>
      <w:pPr>
        <w:pStyle w:val="Heading2"/>
        <w:numPr>
          <w:ilvl w:val="1"/>
          <w:numId w:val="1"/>
        </w:numPr>
        <w:bidi w:val="0"/>
        <w:jc w:val="left"/>
        <w:rPr/>
      </w:pPr>
      <w:bookmarkStart w:id="57" w:name="__RefHeading___Toc3283417_3804643083"/>
      <w:bookmarkStart w:id="58" w:name="_Toc24"/>
      <w:bookmarkEnd w:id="57"/>
      <w:r>
        <w:rPr/>
        <w:t>Part One: A Study on the Legal Issues of Breastfeeding (Ridhaʿ)</w:t>
      </w:r>
      <w:bookmarkEnd w:id="58"/>
    </w:p>
    <w:p>
      <w:pPr>
        <w:pStyle w:val="Heading3"/>
        <w:numPr>
          <w:ilvl w:val="2"/>
          <w:numId w:val="1"/>
        </w:numPr>
        <w:bidi w:val="0"/>
        <w:jc w:val="left"/>
        <w:rPr/>
      </w:pPr>
      <w:bookmarkStart w:id="59" w:name="__RefHeading___Toc3283419_3804643083"/>
      <w:bookmarkStart w:id="60" w:name="_Toc25"/>
      <w:bookmarkEnd w:id="59"/>
      <w:r>
        <w:rPr/>
        <w:t>Legal Standing of Mother's Milk in Islamic Texts</w:t>
      </w:r>
      <w:bookmarkEnd w:id="60"/>
    </w:p>
    <w:p>
      <w:pPr>
        <w:pStyle w:val="Heading4"/>
        <w:numPr>
          <w:ilvl w:val="3"/>
          <w:numId w:val="1"/>
        </w:numPr>
        <w:bidi w:val="0"/>
        <w:jc w:val="left"/>
        <w:rPr/>
      </w:pPr>
      <w:bookmarkStart w:id="61" w:name="__RefHeading___Toc3283421_3804643083"/>
      <w:bookmarkStart w:id="62" w:name="_Toc26"/>
      <w:bookmarkEnd w:id="61"/>
      <w:r>
        <w:rPr/>
        <w:t>point</w:t>
      </w:r>
      <w:bookmarkEnd w:id="62"/>
    </w:p>
    <w:p>
      <w:pPr>
        <w:pStyle w:val="BookText"/>
        <w:bidi w:val="0"/>
        <w:jc w:val="both"/>
        <w:rPr/>
      </w:pPr>
      <w:r>
        <w:rPr>
          <w:rFonts w:eastAsia="Times New Roman" w:cs="Times New Roman" w:ascii="Times New Roman" w:hAnsi="Times New Roman"/>
          <w:color w:val="111111"/>
          <w:sz w:val="28"/>
          <w:szCs w:val="28"/>
          <w:lang w:val="en-US"/>
        </w:rPr>
        <w:t>Human need for nutrition begins since the ovary is formed in the mother's uterus, a need which increases as time passes.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latest scientific achievements, no food is more nutritious for</w:t>
      </w:r>
      <w:bookmarkStart w:id="63" w:name="pg2430_16528"/>
    </w:p>
    <w:p>
      <w:pPr>
        <w:pStyle w:val="BookText"/>
        <w:bidi w:val="0"/>
        <w:rPr/>
      </w:pPr>
      <w:bookmarkEnd w:id="63"/>
      <w:r>
        <w:rPr>
          <w:rFonts w:eastAsia="Times New Roman" w:cs="Times New Roman" w:ascii="Times New Roman" w:hAnsi="Times New Roman"/>
          <w:color w:val="111111"/>
          <w:sz w:val="28"/>
          <w:szCs w:val="28"/>
          <w:lang w:val="en-US"/>
        </w:rPr>
        <w:t>a baby than mother's milk; as it is the best and most complete natural food that provides for all its needs.</w:t>
      </w:r>
    </w:p>
    <w:p>
      <w:pPr>
        <w:pStyle w:val="BookText"/>
        <w:bidi w:val="0"/>
        <w:jc w:val="both"/>
        <w:rPr/>
      </w:pPr>
      <w:r>
        <w:rPr>
          <w:rFonts w:eastAsia="Times New Roman" w:cs="Times New Roman" w:ascii="Times New Roman" w:hAnsi="Times New Roman"/>
          <w:color w:val="111111"/>
          <w:sz w:val="28"/>
          <w:szCs w:val="28"/>
          <w:lang w:val="en-US"/>
        </w:rPr>
        <w:t>Mother's milk is a vital liquid that can, with its property of transformability, meet a baby's needs quite desirably in various conditions.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Vitality of mother's milk is in that it contains living components such as white globules and the substances required for safeguarding and immunizing the baby against pathogenic infections.</w:t>
      </w:r>
    </w:p>
    <w:p>
      <w:pPr>
        <w:pStyle w:val="BookText"/>
        <w:bidi w:val="0"/>
        <w:jc w:val="both"/>
        <w:rPr/>
      </w:pPr>
      <w:r>
        <w:rPr>
          <w:rFonts w:eastAsia="Times New Roman" w:cs="Times New Roman" w:ascii="Times New Roman" w:hAnsi="Times New Roman"/>
          <w:color w:val="111111"/>
          <w:sz w:val="28"/>
          <w:szCs w:val="28"/>
          <w:lang w:val="en-US"/>
        </w:rPr>
        <w:t>Its transformability is because it is transformed in proportion to the baby's needs. In the early days of the baby's life, when it needs more rest, the milk is secreted in a condensed form (colostrum) so that besides providing the baby's nutritional and immunity needs, it would befit its stomach size.</w:t>
      </w:r>
    </w:p>
    <w:p>
      <w:pPr>
        <w:pStyle w:val="Heading4"/>
        <w:numPr>
          <w:ilvl w:val="3"/>
          <w:numId w:val="1"/>
        </w:numPr>
        <w:bidi w:val="0"/>
        <w:jc w:val="left"/>
        <w:rPr/>
      </w:pPr>
      <w:bookmarkStart w:id="64" w:name="__RefHeading___Toc3283423_3804643083"/>
      <w:bookmarkStart w:id="65" w:name="_Toc27"/>
      <w:bookmarkEnd w:id="64"/>
      <w:r>
        <w:rPr/>
        <w:t>Constituents of Mother's Milk</w:t>
      </w:r>
      <w:bookmarkEnd w:id="65"/>
    </w:p>
    <w:p>
      <w:pPr>
        <w:pStyle w:val="Heading5"/>
        <w:numPr>
          <w:ilvl w:val="4"/>
          <w:numId w:val="1"/>
        </w:numPr>
        <w:bidi w:val="0"/>
        <w:jc w:val="left"/>
        <w:rPr/>
      </w:pPr>
      <w:bookmarkStart w:id="66" w:name="__RefHeading___Toc3283425_3804643083"/>
      <w:bookmarkStart w:id="67" w:name="_Toc28"/>
      <w:bookmarkEnd w:id="66"/>
      <w:r>
        <w:rPr/>
        <w:t>point</w:t>
      </w:r>
      <w:bookmarkEnd w:id="67"/>
    </w:p>
    <w:p>
      <w:pPr>
        <w:pStyle w:val="BookText"/>
        <w:bidi w:val="0"/>
        <w:jc w:val="both"/>
        <w:rPr/>
      </w:pPr>
      <w:r>
        <w:rPr>
          <w:rFonts w:eastAsia="Times New Roman" w:cs="Times New Roman" w:ascii="Times New Roman" w:hAnsi="Times New Roman"/>
          <w:color w:val="111111"/>
          <w:sz w:val="28"/>
          <w:szCs w:val="28"/>
          <w:lang w:val="en-US"/>
        </w:rPr>
        <w:t>Mother's milk, with its six nutritional components, is produced and secreted according to the baby's need.</w:t>
      </w:r>
    </w:p>
    <w:p>
      <w:pPr>
        <w:pStyle w:val="BookText"/>
        <w:bidi w:val="0"/>
        <w:jc w:val="both"/>
        <w:rPr/>
      </w:pPr>
      <w:r>
        <w:rPr>
          <w:rFonts w:eastAsia="Times New Roman" w:cs="Times New Roman" w:ascii="Times New Roman" w:hAnsi="Times New Roman"/>
          <w:color w:val="111111"/>
          <w:sz w:val="28"/>
          <w:szCs w:val="28"/>
          <w:lang w:val="en-US"/>
        </w:rPr>
        <w:t>These components are as follows:</w:t>
      </w:r>
    </w:p>
    <w:p>
      <w:pPr>
        <w:pStyle w:val="Heading5"/>
        <w:numPr>
          <w:ilvl w:val="4"/>
          <w:numId w:val="1"/>
        </w:numPr>
        <w:bidi w:val="0"/>
        <w:jc w:val="left"/>
        <w:rPr/>
      </w:pPr>
      <w:bookmarkStart w:id="68" w:name="__RefHeading___Toc3283427_3804643083"/>
      <w:bookmarkStart w:id="69" w:name="_Toc29"/>
      <w:bookmarkEnd w:id="68"/>
      <w:r>
        <w:rPr/>
        <w:t>1. Protein Substances</w:t>
      </w:r>
      <w:bookmarkEnd w:id="69"/>
    </w:p>
    <w:p>
      <w:pPr>
        <w:pStyle w:val="BookText"/>
        <w:bidi w:val="0"/>
        <w:jc w:val="both"/>
        <w:rPr/>
      </w:pPr>
      <w:r>
        <w:rPr>
          <w:rFonts w:eastAsia="Times New Roman" w:cs="Times New Roman" w:ascii="Times New Roman" w:hAnsi="Times New Roman"/>
          <w:color w:val="111111"/>
          <w:sz w:val="28"/>
          <w:szCs w:val="28"/>
          <w:lang w:val="en-US"/>
        </w:rPr>
        <w:t>As we know there are two kinds of important proteins in the milk of the mammals: casein with large clots, very hard to digest as befitting animals' digestive system; proteins with small clots which are easily digested and their ratio in mother's milk is 80 to 20.</w:t>
      </w:r>
    </w:p>
    <w:p>
      <w:pPr>
        <w:pStyle w:val="BookText"/>
        <w:bidi w:val="0"/>
        <w:jc w:val="both"/>
        <w:rPr/>
      </w:pPr>
      <w:r>
        <w:rPr>
          <w:rFonts w:eastAsia="Times New Roman" w:cs="Times New Roman" w:ascii="Times New Roman" w:hAnsi="Times New Roman"/>
          <w:color w:val="111111"/>
          <w:sz w:val="28"/>
          <w:szCs w:val="28"/>
          <w:lang w:val="en-US"/>
        </w:rPr>
        <w:t>Therefore, the proteins existing in mother's milk is of best quality for digestion and absorption by the infant and greatly contributes to its optimal growth and development.</w:t>
      </w:r>
    </w:p>
    <w:p>
      <w:pPr>
        <w:pStyle w:val="Heading5"/>
        <w:numPr>
          <w:ilvl w:val="4"/>
          <w:numId w:val="1"/>
        </w:numPr>
        <w:bidi w:val="0"/>
        <w:jc w:val="left"/>
        <w:rPr/>
      </w:pPr>
      <w:bookmarkStart w:id="70" w:name="__RefHeading___Toc3283429_3804643083"/>
      <w:bookmarkStart w:id="71" w:name="_Toc30"/>
      <w:bookmarkEnd w:id="70"/>
      <w:r>
        <w:rPr/>
        <w:t>2. Fatty Substances</w:t>
      </w:r>
      <w:bookmarkEnd w:id="71"/>
    </w:p>
    <w:p>
      <w:pPr>
        <w:pStyle w:val="BookText"/>
        <w:bidi w:val="0"/>
        <w:jc w:val="both"/>
        <w:rPr/>
      </w:pPr>
      <w:r>
        <w:rPr>
          <w:rFonts w:eastAsia="Times New Roman" w:cs="Times New Roman" w:ascii="Times New Roman" w:hAnsi="Times New Roman"/>
          <w:color w:val="111111"/>
          <w:sz w:val="28"/>
          <w:szCs w:val="28"/>
          <w:lang w:val="en-US"/>
        </w:rPr>
        <w:t>The fats contained in mother's milk are more of the kind of fats needed for brain structure, which fully satisfies the infant's nutrition needs.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since mother's milk naturally contains more cholesterol, it operates the cholesterol metabolism system of the body</w:t>
      </w:r>
      <w:bookmarkStart w:id="72" w:name="pg2430_16530"/>
    </w:p>
    <w:p>
      <w:pPr>
        <w:pStyle w:val="BookText"/>
        <w:bidi w:val="0"/>
        <w:rPr/>
      </w:pPr>
      <w:bookmarkEnd w:id="72"/>
      <w:r>
        <w:rPr>
          <w:rFonts w:eastAsia="Times New Roman" w:cs="Times New Roman" w:ascii="Times New Roman" w:hAnsi="Times New Roman"/>
          <w:color w:val="111111"/>
          <w:sz w:val="28"/>
          <w:szCs w:val="28"/>
          <w:lang w:val="en-US"/>
        </w:rPr>
        <w:t>more desirably. As a result, the babies who have been breast-fed for over a year would be protected from the risk of increased cholesterol, blood pressure, and the related cardiovascular disorders in their middle age; or would be less prone to such maladies than other people.</w:t>
      </w:r>
      <w:r>
        <w:rPr>
          <w:rStyle w:val="FootnoteAnchor"/>
        </w:rPr>
        <w:footnoteReference w:id="4"/>
      </w:r>
    </w:p>
    <w:p>
      <w:pPr>
        <w:pStyle w:val="Heading5"/>
        <w:numPr>
          <w:ilvl w:val="4"/>
          <w:numId w:val="1"/>
        </w:numPr>
        <w:bidi w:val="0"/>
        <w:jc w:val="left"/>
        <w:rPr/>
      </w:pPr>
      <w:bookmarkStart w:id="73" w:name="__RefHeading___Toc3283431_3804643083"/>
      <w:bookmarkStart w:id="74" w:name="_Toc31"/>
      <w:bookmarkEnd w:id="73"/>
      <w:r>
        <w:rPr/>
        <w:t>3. Sugary Substances (Hydrocarbons)</w:t>
      </w:r>
      <w:bookmarkEnd w:id="74"/>
    </w:p>
    <w:p>
      <w:pPr>
        <w:pStyle w:val="BookText"/>
        <w:bidi w:val="0"/>
        <w:jc w:val="both"/>
        <w:rPr/>
      </w:pPr>
      <w:r>
        <w:rPr>
          <w:rFonts w:eastAsia="Times New Roman" w:cs="Times New Roman" w:ascii="Times New Roman" w:hAnsi="Times New Roman"/>
          <w:color w:val="111111"/>
          <w:sz w:val="28"/>
          <w:szCs w:val="28"/>
          <w:lang w:val="en-US"/>
        </w:rPr>
        <w:t>Mother's milk synthesis is different from other milks in the amount and type of sugar matters.</w:t>
      </w:r>
    </w:p>
    <w:p>
      <w:pPr>
        <w:pStyle w:val="BookText"/>
        <w:bidi w:val="0"/>
        <w:jc w:val="both"/>
        <w:rPr/>
      </w:pPr>
      <w:r>
        <w:rPr>
          <w:rFonts w:eastAsia="Times New Roman" w:cs="Times New Roman" w:ascii="Times New Roman" w:hAnsi="Times New Roman"/>
          <w:color w:val="111111"/>
          <w:sz w:val="28"/>
          <w:szCs w:val="28"/>
          <w:lang w:val="en-US"/>
        </w:rPr>
        <w:t>The sugar in mother's milk is lactose. This substance increases the absorption of calcium in the infant's intestine and improves its bone growth process.</w:t>
      </w:r>
    </w:p>
    <w:p>
      <w:pPr>
        <w:pStyle w:val="BookText"/>
        <w:bidi w:val="0"/>
        <w:jc w:val="both"/>
        <w:rPr/>
      </w:pPr>
      <w:r>
        <w:rPr>
          <w:rFonts w:eastAsia="Times New Roman" w:cs="Times New Roman" w:ascii="Times New Roman" w:hAnsi="Times New Roman"/>
          <w:color w:val="111111"/>
          <w:sz w:val="28"/>
          <w:szCs w:val="28"/>
          <w:lang w:val="en-US"/>
        </w:rPr>
        <w:t>In addition, the lactose in the mother's milk lessens the infant's constipation, and thus eases its bowel movements.</w:t>
      </w:r>
    </w:p>
    <w:p>
      <w:pPr>
        <w:pStyle w:val="BookText"/>
        <w:bidi w:val="0"/>
        <w:jc w:val="both"/>
        <w:rPr/>
      </w:pPr>
      <w:r>
        <w:rPr>
          <w:rFonts w:eastAsia="Times New Roman" w:cs="Times New Roman" w:ascii="Times New Roman" w:hAnsi="Times New Roman"/>
          <w:color w:val="111111"/>
          <w:sz w:val="28"/>
          <w:szCs w:val="28"/>
          <w:lang w:val="en-US"/>
        </w:rPr>
        <w:t>Also, due to the interaction of this sugar matter with other substances, the useful microbes of the intestine further grow and multiply and with the secretion of an acid substance, create an inappropriate environment for the pathogenic microbes to grow and prevent digestive disorders.</w:t>
      </w:r>
    </w:p>
    <w:p>
      <w:pPr>
        <w:pStyle w:val="Heading5"/>
        <w:numPr>
          <w:ilvl w:val="4"/>
          <w:numId w:val="1"/>
        </w:numPr>
        <w:bidi w:val="0"/>
        <w:jc w:val="left"/>
        <w:rPr/>
      </w:pPr>
      <w:bookmarkStart w:id="75" w:name="__RefHeading___Toc3283433_3804643083"/>
      <w:bookmarkStart w:id="76" w:name="_Toc32"/>
      <w:bookmarkEnd w:id="75"/>
      <w:r>
        <w:rPr/>
        <w:t>4. Water</w:t>
      </w:r>
      <w:bookmarkEnd w:id="76"/>
    </w:p>
    <w:p>
      <w:pPr>
        <w:pStyle w:val="BookText"/>
        <w:bidi w:val="0"/>
        <w:jc w:val="both"/>
        <w:rPr/>
      </w:pPr>
      <w:r>
        <w:rPr>
          <w:rFonts w:eastAsia="Times New Roman" w:cs="Times New Roman" w:ascii="Times New Roman" w:hAnsi="Times New Roman"/>
          <w:color w:val="111111"/>
          <w:sz w:val="28"/>
          <w:szCs w:val="28"/>
          <w:lang w:val="en-US"/>
        </w:rPr>
        <w:t>The amount of water in mother's milk is sufficient to liquefy with appropriate density so that the infant would not need extra water.</w:t>
      </w:r>
    </w:p>
    <w:p>
      <w:pPr>
        <w:pStyle w:val="BookText"/>
        <w:bidi w:val="0"/>
        <w:jc w:val="both"/>
        <w:rPr/>
      </w:pPr>
      <w:r>
        <w:rPr>
          <w:rFonts w:eastAsia="Times New Roman" w:cs="Times New Roman" w:ascii="Times New Roman" w:hAnsi="Times New Roman"/>
          <w:color w:val="111111"/>
          <w:sz w:val="28"/>
          <w:szCs w:val="28"/>
          <w:lang w:val="en-US"/>
        </w:rPr>
        <w:t>For this reason during the first five months that the infant is breastfed only with mother's milk, it does not need water beside the milk.</w:t>
      </w:r>
    </w:p>
    <w:p>
      <w:pPr>
        <w:pStyle w:val="BookText"/>
        <w:bidi w:val="0"/>
        <w:jc w:val="both"/>
        <w:rPr/>
      </w:pPr>
      <w:r>
        <w:rPr>
          <w:rFonts w:eastAsia="Times New Roman" w:cs="Times New Roman" w:ascii="Times New Roman" w:hAnsi="Times New Roman"/>
          <w:color w:val="111111"/>
          <w:sz w:val="28"/>
          <w:szCs w:val="28"/>
          <w:lang w:val="en-US"/>
        </w:rPr>
        <w:t>The amount of water in mother's milk is so much that if the infant is afflicted with diarrhea for any reason, it will be safe against lowering of body water (dehydration), which is the major incidence of diarrhea.</w:t>
      </w:r>
    </w:p>
    <w:p>
      <w:pPr>
        <w:pStyle w:val="Heading5"/>
        <w:numPr>
          <w:ilvl w:val="4"/>
          <w:numId w:val="1"/>
        </w:numPr>
        <w:bidi w:val="0"/>
        <w:jc w:val="left"/>
        <w:rPr/>
      </w:pPr>
      <w:bookmarkStart w:id="77" w:name="__RefHeading___Toc3283435_3804643083"/>
      <w:bookmarkStart w:id="78" w:name="_Toc33"/>
      <w:bookmarkEnd w:id="77"/>
      <w:r>
        <w:rPr/>
        <w:t>5. Vitamins</w:t>
      </w:r>
      <w:bookmarkEnd w:id="7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Mother's milk contains various kinds of vitamins dissolved in water and fat;</w:t>
      </w:r>
      <w:r>
        <w:rPr>
          <w:rStyle w:val="FootnoteAnchor"/>
        </w:rPr>
        <w:footnoteReference w:id="5"/>
      </w:r>
      <w:r>
        <w:rPr>
          <w:rFonts w:eastAsia="Times New Roman" w:cs="Times New Roman" w:ascii="Times New Roman" w:hAnsi="Times New Roman"/>
          <w:color w:val="111111"/>
          <w:sz w:val="28"/>
          <w:szCs w:val="28"/>
          <w:lang w:val="en-US"/>
        </w:rPr>
        <w:t>and since this milk is fed fresh and without being heated, it</w:t>
      </w:r>
      <w:bookmarkStart w:id="79" w:name="pg2430_16532"/>
    </w:p>
    <w:p>
      <w:pPr>
        <w:pStyle w:val="BookText"/>
        <w:bidi w:val="0"/>
        <w:rPr/>
      </w:pPr>
      <w:bookmarkEnd w:id="79"/>
      <w:r>
        <w:rPr>
          <w:rFonts w:eastAsia="Times New Roman" w:cs="Times New Roman" w:ascii="Times New Roman" w:hAnsi="Times New Roman"/>
          <w:color w:val="111111"/>
          <w:sz w:val="28"/>
          <w:szCs w:val="28"/>
          <w:lang w:val="en-US"/>
        </w:rPr>
        <w:t>contains the highest amount of vitamins, for most of these vitamins are ruined and rendered useless when heated over 60˚ C.</w:t>
      </w:r>
    </w:p>
    <w:p>
      <w:pPr>
        <w:pStyle w:val="Heading5"/>
        <w:numPr>
          <w:ilvl w:val="4"/>
          <w:numId w:val="1"/>
        </w:numPr>
        <w:bidi w:val="0"/>
        <w:jc w:val="left"/>
        <w:rPr/>
      </w:pPr>
      <w:bookmarkStart w:id="80" w:name="__RefHeading___Toc3283437_3804643083"/>
      <w:bookmarkStart w:id="81" w:name="_Toc34"/>
      <w:bookmarkEnd w:id="80"/>
      <w:r>
        <w:rPr/>
        <w:t>6. Salts and Minerals</w:t>
      </w:r>
      <w:bookmarkEnd w:id="81"/>
    </w:p>
    <w:p>
      <w:pPr>
        <w:pStyle w:val="BookText"/>
        <w:bidi w:val="0"/>
        <w:jc w:val="both"/>
        <w:rPr/>
      </w:pPr>
      <w:r>
        <w:rPr>
          <w:rFonts w:eastAsia="Times New Roman" w:cs="Times New Roman" w:ascii="Times New Roman" w:hAnsi="Times New Roman"/>
          <w:color w:val="111111"/>
          <w:sz w:val="28"/>
          <w:szCs w:val="28"/>
          <w:lang w:val="en-US"/>
        </w:rPr>
        <w:t>The minerals existing in mother's milk are quantitatively compatible with the infant's urinary system and kidneys.</w:t>
      </w:r>
    </w:p>
    <w:p>
      <w:pPr>
        <w:pStyle w:val="BookText"/>
        <w:bidi w:val="0"/>
        <w:jc w:val="both"/>
        <w:rPr/>
      </w:pPr>
      <w:r>
        <w:rPr>
          <w:rFonts w:eastAsia="Times New Roman" w:cs="Times New Roman" w:ascii="Times New Roman" w:hAnsi="Times New Roman"/>
          <w:color w:val="111111"/>
          <w:sz w:val="28"/>
          <w:szCs w:val="28"/>
          <w:lang w:val="en-US"/>
        </w:rPr>
        <w:t>Such salts as calcium, phosphorus, sodium, and potassium exist in mother's milk to the extent that while providing for bone growth, nervous system, and other tissues and satisfying the baby's natural needs, they do not impair the kidneys' discharge of urine.</w:t>
      </w:r>
    </w:p>
    <w:p>
      <w:pPr>
        <w:pStyle w:val="BookText"/>
        <w:bidi w:val="0"/>
        <w:jc w:val="both"/>
        <w:rPr/>
      </w:pPr>
      <w:r>
        <w:rPr>
          <w:rFonts w:eastAsia="Times New Roman" w:cs="Times New Roman" w:ascii="Times New Roman" w:hAnsi="Times New Roman"/>
          <w:color w:val="111111"/>
          <w:sz w:val="28"/>
          <w:szCs w:val="28"/>
          <w:lang w:val="en-US"/>
        </w:rPr>
        <w:t>The minerals existing in mother's milk are of such high quality that they satisfy the body's structural needs through better absorption.</w:t>
      </w:r>
    </w:p>
    <w:p>
      <w:pPr>
        <w:pStyle w:val="BookText"/>
        <w:bidi w:val="0"/>
        <w:jc w:val="both"/>
        <w:rPr/>
      </w:pPr>
      <w:r>
        <w:rPr>
          <w:rFonts w:eastAsia="Times New Roman" w:cs="Times New Roman" w:ascii="Times New Roman" w:hAnsi="Times New Roman"/>
          <w:color w:val="111111"/>
          <w:sz w:val="28"/>
          <w:szCs w:val="28"/>
          <w:lang w:val="en-US"/>
        </w:rPr>
        <w:t>In any case, the researches indicate that feeding the babies with human milk would reduce the incidence or intensity of diarrhea, the infection of lower respiratory system, and the urinary system.</w:t>
      </w:r>
    </w:p>
    <w:p>
      <w:pPr>
        <w:pStyle w:val="BookText"/>
        <w:bidi w:val="0"/>
        <w:jc w:val="both"/>
        <w:rPr/>
      </w:pPr>
      <w:r>
        <w:rPr>
          <w:rFonts w:eastAsia="Times New Roman" w:cs="Times New Roman" w:ascii="Times New Roman" w:hAnsi="Times New Roman"/>
          <w:color w:val="111111"/>
          <w:sz w:val="28"/>
          <w:szCs w:val="28"/>
          <w:lang w:val="en-US"/>
        </w:rPr>
        <w:t>In addition, mother's milk is protective against sudden infant death syndrome, insulin-dependnt sweet diabetes, allergic diseases, and other chronic digestive problems.</w:t>
      </w:r>
      <w:r>
        <w:rPr>
          <w:rStyle w:val="FootnoteAnchor"/>
        </w:rPr>
        <w:footnoteReference w:id="6"/>
      </w:r>
    </w:p>
    <w:p>
      <w:pPr>
        <w:pStyle w:val="Heading4"/>
        <w:numPr>
          <w:ilvl w:val="3"/>
          <w:numId w:val="1"/>
        </w:numPr>
        <w:bidi w:val="0"/>
        <w:jc w:val="left"/>
        <w:rPr/>
      </w:pPr>
      <w:bookmarkStart w:id="82" w:name="__RefHeading___Toc3283439_3804643083"/>
      <w:bookmarkStart w:id="83" w:name="_Toc35"/>
      <w:bookmarkEnd w:id="82"/>
      <w:r>
        <w:rPr/>
        <w:t>The Value of Mother's Milk in Religious Texts</w:t>
      </w:r>
      <w:bookmarkEnd w:id="83"/>
    </w:p>
    <w:p>
      <w:pPr>
        <w:pStyle w:val="BookText"/>
        <w:bidi w:val="0"/>
        <w:jc w:val="both"/>
        <w:rPr/>
      </w:pPr>
      <w:r>
        <w:rPr>
          <w:rFonts w:eastAsia="Times New Roman" w:cs="Times New Roman" w:ascii="Times New Roman" w:hAnsi="Times New Roman"/>
          <w:color w:val="111111"/>
          <w:sz w:val="28"/>
          <w:szCs w:val="28"/>
          <w:lang w:val="en-US"/>
        </w:rPr>
        <w:t>What is perceived from a study of Islamic texts concerning mother's milk is the very important conclusion that mother's milk is the best and the most perfect food for a baby, and that nothing, even other natural animal milks, can be substituted with it.</w:t>
      </w:r>
    </w:p>
    <w:p>
      <w:pPr>
        <w:pStyle w:val="BookText"/>
        <w:bidi w:val="0"/>
        <w:jc w:val="both"/>
        <w:rPr/>
      </w:pPr>
      <w:r>
        <w:rPr>
          <w:rFonts w:eastAsia="Times New Roman" w:cs="Times New Roman" w:ascii="Times New Roman" w:hAnsi="Times New Roman"/>
          <w:color w:val="111111"/>
          <w:sz w:val="28"/>
          <w:szCs w:val="28"/>
          <w:lang w:val="en-US"/>
        </w:rPr>
        <w:t>Besides the attention paid by the jurists in legal texts</w:t>
      </w:r>
      <w:r>
        <w:rPr>
          <w:rStyle w:val="FootnoteAnchor"/>
        </w:rPr>
        <w:footnoteReference w:id="7"/>
      </w:r>
      <w:r>
        <w:rPr>
          <w:rFonts w:eastAsia="Times New Roman" w:cs="Times New Roman" w:ascii="Times New Roman" w:hAnsi="Times New Roman"/>
          <w:color w:val="111111"/>
          <w:sz w:val="28"/>
          <w:szCs w:val="28"/>
          <w:lang w:val="en-US"/>
        </w:rPr>
        <w:t>, the importance of mother's milk has been brought up in hadith sources and many traditions have stressed its importance in the form of short statements related to us from the Infallible Imams.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of Islam (S.A.W.) describes mother's milk as follows: "There is no better milk for an infant than mother's</w:t>
      </w:r>
      <w:bookmarkStart w:id="84" w:name="pg2430_16534"/>
    </w:p>
    <w:p>
      <w:pPr>
        <w:pStyle w:val="BookText"/>
        <w:bidi w:val="0"/>
        <w:rPr/>
      </w:pPr>
      <w:bookmarkEnd w:id="84"/>
      <w:r>
        <w:rPr>
          <w:rFonts w:eastAsia="Times New Roman" w:cs="Times New Roman" w:ascii="Times New Roman" w:hAnsi="Times New Roman"/>
          <w:color w:val="111111"/>
          <w:sz w:val="28"/>
          <w:szCs w:val="28"/>
          <w:lang w:val="en-US"/>
        </w:rPr>
        <w:t>milk."</w:t>
      </w:r>
      <w:r>
        <w:rPr>
          <w:rStyle w:val="FootnoteAnchor"/>
        </w:rPr>
        <w:footnoteReference w:id="8"/>
      </w:r>
      <w:r>
        <w:rPr>
          <w:rFonts w:eastAsia="Times New Roman" w:cs="Times New Roman" w:ascii="Times New Roman" w:hAnsi="Times New Roman"/>
          <w:color w:val="111111"/>
          <w:sz w:val="28"/>
          <w:szCs w:val="28"/>
          <w:lang w:val="en-US"/>
        </w:rPr>
        <w:t>Similarly, Imam ʿAli (A.S.) is quoted as saying: "No milk is more blessed than mother's milk for the infant."</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Thus, if not saying breastfeeding a baby is an obligation upon the mother – which we will explain later on – it is, at least, recommendable and desirable (musthab), which is evidenced by its compatibility with the baby's body.</w:t>
      </w:r>
      <w:r>
        <w:rPr>
          <w:rStyle w:val="FootnoteAnchor"/>
        </w:rPr>
        <w:footnoteReference w:id="10"/>
      </w:r>
    </w:p>
    <w:p>
      <w:pPr>
        <w:pStyle w:val="Heading4"/>
        <w:numPr>
          <w:ilvl w:val="3"/>
          <w:numId w:val="1"/>
        </w:numPr>
        <w:bidi w:val="0"/>
        <w:jc w:val="left"/>
        <w:rPr/>
      </w:pPr>
      <w:bookmarkStart w:id="85" w:name="__RefHeading___Toc3283441_3804643083"/>
      <w:bookmarkStart w:id="86" w:name="_Toc36"/>
      <w:bookmarkEnd w:id="85"/>
      <w:r>
        <w:rPr/>
        <w:t>The First Milk (Colostrum)</w:t>
      </w:r>
      <w:bookmarkEnd w:id="86"/>
    </w:p>
    <w:p>
      <w:pPr>
        <w:pStyle w:val="BookText"/>
        <w:bidi w:val="0"/>
        <w:jc w:val="both"/>
        <w:rPr/>
      </w:pPr>
      <w:r>
        <w:rPr>
          <w:rFonts w:eastAsia="Times New Roman" w:cs="Times New Roman" w:ascii="Times New Roman" w:hAnsi="Times New Roman"/>
          <w:color w:val="111111"/>
          <w:sz w:val="28"/>
          <w:szCs w:val="28"/>
          <w:lang w:val="en-US"/>
        </w:rPr>
        <w:t>Colostrum is a condensed liquid with a lemon yellow color which is the first milk excreted from the breast. This liquid which is called aghuz (in Persian) excretes from the nipples from the second day of childbirth and continues to excrete for five days; during the next four weeks it gradually turns to mature milk.</w:t>
      </w:r>
    </w:p>
    <w:p>
      <w:pPr>
        <w:pStyle w:val="BookText"/>
        <w:bidi w:val="0"/>
        <w:jc w:val="both"/>
        <w:rPr/>
      </w:pPr>
      <w:r>
        <w:rPr>
          <w:rFonts w:eastAsia="Times New Roman" w:cs="Times New Roman" w:ascii="Times New Roman" w:hAnsi="Times New Roman"/>
          <w:color w:val="111111"/>
          <w:sz w:val="28"/>
          <w:szCs w:val="28"/>
          <w:lang w:val="en-US"/>
        </w:rPr>
        <w:t>Comparing mother's milk, colostrum contains more minerals and proteins, which mainly consist of globin, and to less degree, sugar and fat.</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importance and nutritious-hygienic value of feeding the infants colostrum has made this issue to be brought up in legal texts and many jurists have obliged mothers to feed it to their infants, even if they may demand wages for it, since the baby's survival is dependent upon eating it.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 contrast, some people criticize this claim and reject it as untrue, maintaining that the baby can survive without eating the colostrum, for it can be breastfed after birth by a woman other than its mother; some women do not secrete colostrum and it may so happen that breastfeeding the colostrum would not be possible because of the mother's illness.</w:t>
      </w:r>
      <w:r>
        <w:rPr>
          <w:rStyle w:val="FootnoteAnchor"/>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Paying attention to these points has made some great jurists claim</w:t>
      </w:r>
      <w:bookmarkStart w:id="87" w:name="pg2430_16536"/>
    </w:p>
    <w:p>
      <w:pPr>
        <w:pStyle w:val="BookText"/>
        <w:bidi w:val="0"/>
        <w:rPr/>
      </w:pPr>
      <w:bookmarkEnd w:id="87"/>
      <w:r>
        <w:rPr>
          <w:rFonts w:eastAsia="Times New Roman" w:cs="Times New Roman" w:ascii="Times New Roman" w:hAnsi="Times New Roman"/>
          <w:color w:val="111111"/>
          <w:sz w:val="28"/>
          <w:szCs w:val="28"/>
          <w:lang w:val="en-US"/>
        </w:rPr>
        <w:t>that the baby's life is dependent upon taking colostrum milk in most but not all instances; besides, taking this milk makes the baby's body stronger and more vigorous.</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Regardless of the reasons proposed by the proponents and critics of obliging mothers to feed their infants colostrum, feeding this milk to infants is so important that a group of Shiʿa jurists have given fatwa (a legal edict) that if a woman is sentenced to qisas (retaliation punishment) or lapidation (stoning to death) for murder or other criminal acts, the execution of the punishment should be postponed so that the mother could feed the infant colostrum, reasoning that the infant's livelihood is dependent upon the intake of colostrum, as the infant is often unable to survive without it; hence, observing the infant's rights and safeguarding his life.</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According to some, the execution of qisas can be postponed until the end of the two-year period of breastfeeding; and if no wet nurse is found to breastfeed the infant after it had colostrum from its mother, this postponement is even preferable (mustahab), for the infant may not accept milk other than its mother's.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This claim is testified by the traditions the Shiʿa transmitters of hadith have related about the way the Holy Prophet (S.A.W.) and Amir al-Mu’minin ʿAli (A.S.) have dealt with this issue.</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It is to be mentioned that no specific time is determined in the religious texts for the legal obligation of feeding the infant colostrum; although some have limited it to three days.</w:t>
      </w:r>
      <w:r>
        <w:rPr>
          <w:rStyle w:val="FootnoteAnchor"/>
        </w:rPr>
        <w:footnoteReference w:id="18"/>
      </w:r>
    </w:p>
    <w:p>
      <w:pPr>
        <w:pStyle w:val="Heading4"/>
        <w:numPr>
          <w:ilvl w:val="3"/>
          <w:numId w:val="1"/>
        </w:numPr>
        <w:bidi w:val="0"/>
        <w:jc w:val="left"/>
        <w:rPr/>
      </w:pPr>
      <w:bookmarkStart w:id="88" w:name="__RefHeading___Toc3283443_3804643083"/>
      <w:bookmarkStart w:id="89" w:name="_Toc37"/>
      <w:bookmarkEnd w:id="88"/>
      <w:r>
        <w:rPr/>
        <w:t>How to Breastfeed the Baby</w:t>
      </w:r>
      <w:bookmarkEnd w:id="8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religious</w:t>
      </w:r>
      <w:bookmarkStart w:id="90" w:name="pg2430_16538"/>
    </w:p>
    <w:p>
      <w:pPr>
        <w:pStyle w:val="BookText"/>
        <w:bidi w:val="0"/>
        <w:rPr/>
      </w:pPr>
      <w:bookmarkEnd w:id="90"/>
      <w:r>
        <w:rPr>
          <w:rFonts w:eastAsia="Times New Roman" w:cs="Times New Roman" w:ascii="Times New Roman" w:hAnsi="Times New Roman"/>
          <w:color w:val="111111"/>
          <w:sz w:val="28"/>
          <w:szCs w:val="28"/>
          <w:lang w:val="en-US"/>
        </w:rPr>
        <w:t>dignitaries have recommended, it is preferable (mustahab) for the mother to breastfeed the baby from her both breasts. The Holy Prophet (S.A.W.) of Islam said in this respect: "Allah, the exalted, has placed the infant's daily sustenance in the mother's two breasts; water in one and food in the other".</w:t>
      </w:r>
      <w:r>
        <w:rPr>
          <w:rStyle w:val="FootnoteAnchor"/>
        </w:rPr>
        <w:footnoteReference w:id="19"/>
      </w:r>
      <w:r>
        <w:rPr>
          <w:rFonts w:eastAsia="Times New Roman" w:cs="Times New Roman" w:ascii="Times New Roman" w:hAnsi="Times New Roman"/>
          <w:color w:val="111111"/>
          <w:sz w:val="28"/>
          <w:szCs w:val="28"/>
          <w:lang w:val="en-US"/>
        </w:rPr>
        <w:t>Similarly, Imam al-Sadiq (A.S.) said to a woman who was breastfeeding her two babies at the same time: "Do not feed them from one breast, feed them from both, as one is water [provides water] and the other food".</w:t>
      </w:r>
      <w:r>
        <w:rPr>
          <w:rStyle w:val="FootnoteAnchor"/>
        </w:rPr>
        <w:footnoteReference w:id="20"/>
      </w:r>
    </w:p>
    <w:p>
      <w:pPr>
        <w:pStyle w:val="Heading4"/>
        <w:numPr>
          <w:ilvl w:val="3"/>
          <w:numId w:val="1"/>
        </w:numPr>
        <w:bidi w:val="0"/>
        <w:jc w:val="left"/>
        <w:rPr/>
      </w:pPr>
      <w:bookmarkStart w:id="91" w:name="__RefHeading___Toc3283445_3804643083"/>
      <w:bookmarkStart w:id="92" w:name="_Toc38"/>
      <w:bookmarkEnd w:id="91"/>
      <w:r>
        <w:rPr/>
        <w:t>Breastfeeding Time</w:t>
      </w:r>
      <w:bookmarkEnd w:id="92"/>
    </w:p>
    <w:p>
      <w:pPr>
        <w:pStyle w:val="BookText"/>
        <w:bidi w:val="0"/>
        <w:jc w:val="both"/>
        <w:rPr/>
      </w:pPr>
      <w:r>
        <w:rPr>
          <w:rFonts w:eastAsia="Times New Roman" w:cs="Times New Roman" w:ascii="Times New Roman" w:hAnsi="Times New Roman"/>
          <w:color w:val="111111"/>
          <w:sz w:val="28"/>
          <w:szCs w:val="28"/>
          <w:lang w:val="en-US"/>
        </w:rPr>
        <w:t>The Holy Qur’an has stressed through several verses on being kind to one's parents.</w:t>
      </w:r>
      <w:r>
        <w:rPr>
          <w:rStyle w:val="FootnoteAnchor"/>
        </w:rPr>
        <w:footnoteReference w:id="21"/>
      </w:r>
      <w:r>
        <w:rPr>
          <w:rFonts w:eastAsia="Times New Roman" w:cs="Times New Roman" w:ascii="Times New Roman" w:hAnsi="Times New Roman"/>
          <w:color w:val="111111"/>
          <w:sz w:val="28"/>
          <w:szCs w:val="28"/>
          <w:lang w:val="en-US"/>
        </w:rPr>
        <w:t>Meanwhile, in two verses, it has pointed out the mother's difficulties during pregnancy, the length of pregnancy, and breastfeeding.</w:t>
      </w:r>
    </w:p>
    <w:p>
      <w:pPr>
        <w:pStyle w:val="BookText"/>
        <w:bidi w:val="0"/>
        <w:jc w:val="both"/>
        <w:rPr/>
      </w:pPr>
      <w:r>
        <w:rPr>
          <w:rFonts w:eastAsia="Times New Roman" w:cs="Times New Roman" w:ascii="Times New Roman" w:hAnsi="Times New Roman"/>
          <w:color w:val="111111"/>
          <w:sz w:val="28"/>
          <w:szCs w:val="28"/>
          <w:lang w:val="en-US"/>
        </w:rPr>
        <w:t>The holy Surat al-Ahqaf (46), considers the length of pregnancy and breastfeeding to be thirty months altogether: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We have enjoined man to be kind to his parents. His mother has carried him in travail, and bore him in travail, and his gestation and weaning take thirty months. (46: 15.)Obviously, if the pregnancy period fluctuates between six to nine months – as pointed out in some traditions</w:t>
      </w:r>
      <w:r>
        <w:rPr>
          <w:rStyle w:val="FootnoteAnchor"/>
        </w:rPr>
        <w:footnoteReference w:id="22"/>
      </w:r>
      <w:r>
        <w:rPr>
          <w:rFonts w:eastAsia="Times New Roman" w:cs="Times New Roman" w:ascii="Times New Roman" w:hAnsi="Times New Roman"/>
          <w:color w:val="111111"/>
          <w:sz w:val="28"/>
          <w:szCs w:val="28"/>
          <w:lang w:val="en-US"/>
        </w:rPr>
        <w:t>– the breastfeeding period may vary between twenty one to twenty four months to sum up to thirty months.</w:t>
      </w:r>
      <w:r>
        <w:rPr>
          <w:rStyle w:val="FootnoteAnchor"/>
        </w:rPr>
        <w:footnoteReference w:id="23"/>
      </w:r>
      <w:r>
        <w:rPr>
          <w:rFonts w:eastAsia="Times New Roman" w:cs="Times New Roman" w:ascii="Times New Roman" w:hAnsi="Times New Roman"/>
          <w:color w:val="111111"/>
          <w:sz w:val="28"/>
          <w:szCs w:val="28"/>
          <w:lang w:val="en-US"/>
        </w:rPr>
        <w:t>)It goes without saying that since according to scientific findings and Islamic instructions concerning the end of pregnancy period, from among the four choices of six to nine months only three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choices, i.e. 6, 7, and 9 month periods are feasible</w:t>
      </w:r>
      <w:r>
        <w:rPr>
          <w:rStyle w:val="FootnoteAnchor"/>
        </w:rPr>
        <w:footnoteReference w:id="24"/>
      </w:r>
      <w:r>
        <w:rPr>
          <w:rFonts w:eastAsia="Times New Roman" w:cs="Times New Roman" w:ascii="Times New Roman" w:hAnsi="Times New Roman"/>
          <w:color w:val="111111"/>
          <w:sz w:val="28"/>
          <w:szCs w:val="28"/>
          <w:lang w:val="en-US"/>
        </w:rPr>
        <w:t>, therefore the breastfeeding period may vary between 21, 23, and 24 months.)The variation of breastfeeding period to be between 21 to 24 months – which of course exceeds one year – can be understood from aya 14 of Surat Luqman (31, where the Almighty Allah mentions that weaning a baby takes place within two years:)We have enjoined man concerning his parents: His mother carried him through weakness upon weakness, and his weaning takes two years. Give thanks to Me and to your parents. To Me is the return.(31:14.)### The Length of BreastfeedingGiven the above explanations, the length of a mother's breastfeeding her baby is not to be less than twenty months, as according to what is related by ʿAbd al-Wahhab b. al-Sabah and Sumaʿa</w:t>
      </w:r>
      <w:r>
        <w:rPr>
          <w:rStyle w:val="FootnoteAnchor"/>
        </w:rPr>
        <w:footnoteReference w:id="25"/>
      </w:r>
      <w:r>
        <w:rPr>
          <w:rFonts w:eastAsia="Times New Roman" w:cs="Times New Roman" w:ascii="Times New Roman" w:hAnsi="Times New Roman"/>
          <w:color w:val="111111"/>
          <w:sz w:val="28"/>
          <w:szCs w:val="28"/>
          <w:lang w:val="en-US"/>
        </w:rPr>
        <w:t>, Imam al-Sadiq (A.S.) asserts, using the two words fardh (obligation) and jawr (wrong), that the mother is obliged to breastfeed her baby for twenty one months and if she contents herself with less than that, she has wronged her baby.</w:t>
      </w:r>
      <w:r>
        <w:rPr>
          <w:rStyle w:val="FootnoteAnchor"/>
        </w:rPr>
        <w:footnoteReference w:id="26"/>
      </w:r>
      <w:r>
        <w:rPr>
          <w:rFonts w:eastAsia="Times New Roman" w:cs="Times New Roman" w:ascii="Times New Roman" w:hAnsi="Times New Roman"/>
          <w:color w:val="111111"/>
          <w:sz w:val="28"/>
          <w:szCs w:val="28"/>
          <w:lang w:val="en-US"/>
        </w:rPr>
        <w:t>)Then, claiming that the minimum length of breastfeeding is not distinct and depends on the baby's need and the impact on its health</w:t>
      </w:r>
      <w:r>
        <w:rPr>
          <w:rStyle w:val="FootnoteAnchor"/>
        </w:rPr>
        <w:footnoteReference w:id="27"/>
      </w:r>
      <w:r>
        <w:rPr>
          <w:rFonts w:eastAsia="Times New Roman" w:cs="Times New Roman" w:ascii="Times New Roman" w:hAnsi="Times New Roman"/>
          <w:color w:val="111111"/>
          <w:sz w:val="28"/>
          <w:szCs w:val="28"/>
          <w:lang w:val="en-US"/>
        </w:rPr>
        <w:t>, is totally baseless.)Of course, it is clear that, according to the practical principle of exemption, the mother has no obligation to breastfeed her baby more than this length of time</w:t>
      </w:r>
      <w:r>
        <w:rPr>
          <w:rStyle w:val="FootnoteAnchor"/>
        </w:rPr>
        <w:footnoteReference w:id="28"/>
      </w:r>
      <w:r>
        <w:rPr>
          <w:rFonts w:eastAsia="Times New Roman" w:cs="Times New Roman" w:ascii="Times New Roman" w:hAnsi="Times New Roman"/>
          <w:color w:val="111111"/>
          <w:sz w:val="28"/>
          <w:szCs w:val="28"/>
          <w:lang w:val="en-US"/>
        </w:rPr>
        <w:t>, and if she does – as it is asserted in the traditions related by Ashʿari and Halabi</w:t>
      </w:r>
      <w:r>
        <w:rPr>
          <w:rStyle w:val="FootnoteAnchor"/>
        </w:rPr>
        <w:footnoteReference w:id="29"/>
      </w:r>
      <w:r>
        <w:rPr>
          <w:rFonts w:eastAsia="Times New Roman" w:cs="Times New Roman" w:ascii="Times New Roman" w:hAnsi="Times New Roman"/>
          <w:color w:val="111111"/>
          <w:sz w:val="28"/>
          <w:szCs w:val="28"/>
          <w:lang w:val="en-US"/>
        </w:rPr>
        <w:t>– the father does not have to)</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pay for the surplus of the twenty one months of breastfeeding</w:t>
      </w:r>
      <w:r>
        <w:rPr>
          <w:rStyle w:val="FootnoteAnchor"/>
        </w:rPr>
        <w:footnoteReference w:id="30"/>
      </w:r>
      <w:r>
        <w:rPr>
          <w:rFonts w:eastAsia="Times New Roman" w:cs="Times New Roman" w:ascii="Times New Roman" w:hAnsi="Times New Roman"/>
          <w:color w:val="111111"/>
          <w:sz w:val="28"/>
          <w:szCs w:val="28"/>
          <w:lang w:val="en-US"/>
        </w:rPr>
        <w:t>, unless the baby is in need of its mother's milk further than that for a specific reason such as illness, in which case the father is obliged to pay her for the whole period of breastfeeding, as this is part of the baby's necessary expenditure which is upon the father to pay.</w:t>
      </w:r>
      <w:r>
        <w:rPr>
          <w:rStyle w:val="FootnoteAnchor"/>
        </w:rPr>
        <w:footnoteReference w:id="31"/>
      </w:r>
      <w:r>
        <w:rPr>
          <w:rFonts w:eastAsia="Times New Roman" w:cs="Times New Roman" w:ascii="Times New Roman" w:hAnsi="Times New Roman"/>
          <w:color w:val="111111"/>
          <w:sz w:val="28"/>
          <w:szCs w:val="28"/>
          <w:lang w:val="en-US"/>
        </w:rPr>
        <w:t>)### Mother's Duties in Breastfeeding PeriodIn the two verses</w:t>
      </w:r>
      <w:r>
        <w:rPr>
          <w:rStyle w:val="FootnoteAnchor"/>
        </w:rPr>
        <w:footnoteReference w:id="32"/>
      </w:r>
      <w:r>
        <w:rPr>
          <w:rFonts w:eastAsia="Times New Roman" w:cs="Times New Roman" w:ascii="Times New Roman" w:hAnsi="Times New Roman"/>
          <w:color w:val="111111"/>
          <w:sz w:val="28"/>
          <w:szCs w:val="28"/>
          <w:lang w:val="en-US"/>
        </w:rPr>
        <w:t>explained in previous chapter, it was only stated that the total sum of pregnancy and breastfeeding periods are thirty months and breastfeeding is done within two years, without giving any further explanation as to how it is done.)However, the Holy Qur’an, as the major and most important source of Islamic legislation, examines in detail in two other verses</w:t>
      </w:r>
      <w:r>
        <w:rPr>
          <w:rStyle w:val="FootnoteAnchor"/>
        </w:rPr>
        <w:footnoteReference w:id="33"/>
      </w:r>
      <w:r>
        <w:rPr>
          <w:rFonts w:eastAsia="Times New Roman" w:cs="Times New Roman" w:ascii="Times New Roman" w:hAnsi="Times New Roman"/>
          <w:color w:val="111111"/>
          <w:sz w:val="28"/>
          <w:szCs w:val="28"/>
          <w:lang w:val="en-US"/>
        </w:rPr>
        <w:t>the issue of breastfeeding the infant – of course, while stating the situation of the women who have separated from their husbands.)The Qur’an's silence in stating the ordinances for breastfeeding a baby and the way the three members of family, i.e., father, mother, and the child are related, while a matrimonial relationship is established between the parents, strikes the mind that the clarity of the ordinance for this issue was the reason for not bringing it up.The way the parents treat their children, both during infancy and after that, seems to be so self-evident that there is no need to be stated; however, it is in divorce and when the marriage bond is for any reason broken that raising this issue becomes seriously necessary.From verse 227</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Surat al-Baqarah onward, the Qur'an has examined the issue of divorce. In these verses such issues as divorce permit, ʿidda (waiting period after divorce, husbands' priority in returning to their ex-wife, times of divorce, the way to treat divorced women during the ʿidda period and after that are explained.)The question remains to be raised that if a man divorces his wife while having a suckling baby or being pregnant, what obligations are upon him toward his wife and baby. What has the mother to do in this situation?God has answered this question and said about the women with a suckling baby who have separated from their husbands. He says:Mothers shall breastfeed their children for two full years, that for such as desire to complete the breastfeeding and on the father shall be their maintenance and clothing, in accordance with honorable norms. No soul is to be tasked except according to its capacity: neither the mother shall be made to suffer harm on her child's account, nor the father because of his child, and on the [father's] heir devolve [duties and rights] similar to that. And, if the couple desire to wean, with mutual consent and consultation, there will be no sin upon them. And if you want to have your children wet nursed, there will be no sin upon you so long as you pay what you give in accordance with honorable norms, and be wary of Allah, and know that Allah sees best what you</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do.(2: 233.)This verse contains several issues as follows, respectively: breastfeeding the baby for two full years; providing divorced mother with her maintenance during breastfeeding period; Divine tasks as being proportionate to human capacity; forbidding fathers to inflict harm on mothers, or mothers on fathers, and both on children. As well as the responsibility of the father's heir after his death to provide for mother's maintenance; permission to wean the child with mutual consent and consultation by both parents; permission to have one's children wet nursed in accordance with their financial rights; necessity of being wary of Allah; Allah's mastery over all human actions.Similarly, concerning the women who get divorced from their husbands in their pregnancy, Allah says:House them where you live, in accordance with your means, and do not harass them to put them in straits, and should they be pregnant, maintain them until they deliver. Then, if they breastfeed [the baby] for you, give them their wages and consult together honorably; but if you make things difficult for each other, then another woman will breastfeed [the baby] for him. Let the affluent man spend out of his affluence, and let he whose provision has been tightened spend out of what Allah has given him. Allah does not task any soul except [according to] what He has given it. Allah will bring about ease after hardship.(65:6-7.)This verse has examined within nine statements the rulings concerning the residence of the divorced women during their ʿidda period. After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separation from their husbands and the way their ex-husbands are to treat them, providing a pregnant woman with her living expenses after separating from her husband until delivery. Paying wages to mothers during their breastfeeding period, the amount of the payment and their interrelation after separation.Since issues relating to the residence of the divorced women during their ʿidda period after divorce as well as their financial problems in this period are beyond the main framework of the present book, we avoid examining the details, and suffice to state that according to the Qur’an, the man is obliged to provide his divorced wife with residence during the time she passes her ʿidda period; similarly, if she is pregnant, he has to provide her with her living expenses until delivery.However, the main theme of our discussion includes the fourth statement of the above verse onward in which such issues as paying mothers for breastfeeding during the period after separation and the way the man and woman interrelate are examined.The Holy Qur’an has separately discussed the issues concerning baby breastfeeding and the parents' duties during the time after their separation, depending on whether it is before or after the childbirth. However, there are many content similarities among the details of these two subjects, that we will bring up these details according to their content and examine the statements of the above two verses as per our subject of discourse.### Mother's Duties during Breastfeeding PeriodThe Holy Qur’an has dealt with mothers' duties during the breastfeeding period in the following</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statement:Mothers shall breastfeed their children for two full years, that for such as desire to complete the breastfeeding. Since the study of legal rulings deduced from this statement is based on correct understanding of the meaning of the terms used in it, we will follow the juridical discourses of this section while assessing the meaning of the terms.The term walidat is the plural form of walida. Walida and umm are both used in Arabic as meaning mother, with the difference that walida is used for a woman who has given birth to a child, but umm is used for grandmother, too</w:t>
      </w:r>
      <w:r>
        <w:rPr>
          <w:rStyle w:val="FootnoteAnchor"/>
        </w:rPr>
        <w:footnoteReference w:id="34"/>
      </w:r>
      <w:r>
        <w:rPr>
          <w:rFonts w:eastAsia="Times New Roman" w:cs="Times New Roman" w:ascii="Times New Roman" w:hAnsi="Times New Roman"/>
          <w:color w:val="111111"/>
          <w:sz w:val="28"/>
          <w:szCs w:val="28"/>
          <w:lang w:val="en-US"/>
        </w:rPr>
        <w:t>; and as the former is characterized by childbirth, it is normally associated with breastfeeding and infancy.</w:t>
      </w:r>
      <w:r>
        <w:rPr>
          <w:rStyle w:val="FootnoteAnchor"/>
        </w:rPr>
        <w:footnoteReference w:id="35"/>
      </w:r>
      <w:r>
        <w:rPr>
          <w:rFonts w:eastAsia="Times New Roman" w:cs="Times New Roman" w:ascii="Times New Roman" w:hAnsi="Times New Roman"/>
          <w:color w:val="111111"/>
          <w:sz w:val="28"/>
          <w:szCs w:val="28"/>
          <w:lang w:val="en-US"/>
        </w:rPr>
        <w:t>)Walidat apparently includes all women who have given birth to their children and breastfeed them. In addition, it seems to mean only the women who have separated from their husbands and have infants</w:t>
      </w:r>
      <w:r>
        <w:rPr>
          <w:rStyle w:val="FootnoteAnchor"/>
        </w:rPr>
        <w:footnoteReference w:id="36"/>
      </w:r>
      <w:r>
        <w:rPr>
          <w:rFonts w:eastAsia="Times New Roman" w:cs="Times New Roman" w:ascii="Times New Roman" w:hAnsi="Times New Roman"/>
          <w:color w:val="111111"/>
          <w:sz w:val="28"/>
          <w:szCs w:val="28"/>
          <w:lang w:val="en-US"/>
        </w:rPr>
        <w:t>, for there must be a logical relation between this verse and the verses before and after that as well as a semantic consistency within the statements of the verse itself.)There are statements in this verse, which are definitely about divorced women and cannot include all women. For example, as agreed by all interpreters, the statementon the father shall be their maintenance and clothingmerely concerns the women who have separated from their husbands, for the obligation of paying maintenance and providing the woman with her expenses, given the continuance of matrimony, is because of the continuing marriage bond, rather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than for breastfeeding. In other words, provision of a woman's expenses is upon her husband, whether she is breastfeeding or not.On the other hand, in rizquhunna (their maintenance and kiswatuhunna (their clothing), the pronoun hunna (their) refers to alwalidat (mothers). The conformity between the pronoun and its antecedent denote the point that the same women whose provision of maintenance and clothing during breastfeeding period is upon their husbands, are obliged to breastfeed their children.)In other words, if this verse includes all mothers, there must be two portions of maintenance for the women who have separated from their husbands and at the same time breastfeed their babies. One including the expenses whose provision is undertaken by the husband through wedlock, whether breastfeeding is involved or not, and the second, the expenses whose provision is obligatory for the husbands as mandated by the verse and because of breastfeeding, whereas women in marriage bond deserve to receive only one portion of maintenance.</w:t>
      </w:r>
      <w:r>
        <w:rPr>
          <w:rStyle w:val="FootnoteAnchor"/>
        </w:rPr>
        <w:footnoteReference w:id="37"/>
      </w:r>
      <w:r>
        <w:rPr>
          <w:rFonts w:eastAsia="Times New Roman" w:cs="Times New Roman" w:ascii="Times New Roman" w:hAnsi="Times New Roman"/>
          <w:color w:val="111111"/>
          <w:sz w:val="28"/>
          <w:szCs w:val="28"/>
          <w:lang w:val="en-US"/>
        </w:rPr>
        <w:t>)Yurdhiʿna is the present tense from the root radhaʿa, meaning breastfeeding from breast.</w:t>
      </w:r>
      <w:r>
        <w:rPr>
          <w:rStyle w:val="FootnoteAnchor"/>
        </w:rPr>
        <w:footnoteReference w:id="38"/>
      </w:r>
      <w:r>
        <w:rPr>
          <w:rFonts w:eastAsia="Times New Roman" w:cs="Times New Roman" w:ascii="Times New Roman" w:hAnsi="Times New Roman"/>
          <w:color w:val="111111"/>
          <w:sz w:val="28"/>
          <w:szCs w:val="28"/>
          <w:lang w:val="en-US"/>
        </w:rPr>
        <w:t>Using this word denotes the point that the mother should directly undertake breastfeeding her baby, and feeding the baby with animal or industrial milk does not rule out her duty.)Although yurdhiʿna is a present tense verb, and a verb signifies an action or appearance of an attribute or state in the present or future, there is no doubt the word yurdhiʿna in this verse could not have been used as a statement, since there are mothers who do</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not breastfeed their babies.</w:t>
      </w:r>
      <w:r>
        <w:rPr>
          <w:rStyle w:val="FootnoteAnchor"/>
        </w:rPr>
        <w:footnoteReference w:id="39"/>
      </w:r>
      <w:r>
        <w:rPr>
          <w:rFonts w:eastAsia="Times New Roman" w:cs="Times New Roman" w:ascii="Times New Roman" w:hAnsi="Times New Roman"/>
          <w:color w:val="111111"/>
          <w:sz w:val="28"/>
          <w:szCs w:val="28"/>
          <w:lang w:val="en-US"/>
        </w:rPr>
        <w:t>For this reason, in spite of its appearance as statement, it is used as imperative and demanding, which means "mothers have to (it is obligatory for mothers to) breastfeed their babies."</w:t>
      </w:r>
      <w:r>
        <w:rPr>
          <w:rStyle w:val="FootnoteAnchor"/>
        </w:rPr>
        <w:footnoteReference w:id="40"/>
      </w:r>
      <w:r>
        <w:rPr>
          <w:rFonts w:eastAsia="Times New Roman" w:cs="Times New Roman" w:ascii="Times New Roman" w:hAnsi="Times New Roman"/>
          <w:color w:val="111111"/>
          <w:sz w:val="28"/>
          <w:szCs w:val="28"/>
          <w:lang w:val="en-US"/>
        </w:rPr>
        <w:t>)It is worth mentioning that even those believing that the verb yurdhiʿna does not denote the obligation of breastfeeding, they regard mother's breastfeeding her baby as obligatory in several cases due to the necessity of saving the baby's life.1. The baby would accept no breasts other than its mother's,2. The baby would survive only with its mother's milk and no other milk would befit it,3. No one other than its mother would be around to breastfeed it, and4. The baby does not have a father, it does not have any capital to pay for the mother's wage, and no one else is ready to provide it.</w:t>
      </w:r>
      <w:r>
        <w:rPr>
          <w:rStyle w:val="FootnoteAnchor"/>
        </w:rPr>
        <w:footnoteReference w:id="41"/>
      </w:r>
      <w:r>
        <w:rPr>
          <w:rFonts w:eastAsia="Times New Roman" w:cs="Times New Roman" w:ascii="Times New Roman" w:hAnsi="Times New Roman"/>
          <w:color w:val="111111"/>
          <w:sz w:val="28"/>
          <w:szCs w:val="28"/>
          <w:lang w:val="en-US"/>
        </w:rPr>
        <w:t>)Although the mother is obliged to breastfeed her baby only for 21 months, but if in time of separation her ex-husband wants her to complete the breastfeeding period, the mother has to feed her baby up to maximum twenty four months (two full years.)The necessity of completing the breastfeeding period to twenty-four months can be implied from the phrasefor two full years, that for such as desire to complete the breastfeeding because:First: what is intended bytwo full yearsis that the two years is not to be calculated approximately or with compromise; rather, care must be taken that the mother breastfeed her baby for two full years (twenty four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months.</w:t>
      </w:r>
      <w:r>
        <w:rPr>
          <w:rStyle w:val="FootnoteAnchor"/>
        </w:rPr>
        <w:footnoteReference w:id="42"/>
      </w:r>
      <w:r>
        <w:rPr>
          <w:rFonts w:eastAsia="Times New Roman" w:cs="Times New Roman" w:ascii="Times New Roman" w:hAnsi="Times New Roman"/>
          <w:color w:val="111111"/>
          <w:sz w:val="28"/>
          <w:szCs w:val="28"/>
          <w:lang w:val="en-US"/>
        </w:rPr>
        <w:t>On the other hand, the longest time for a baby to be breastfed and deemed as helpful is two years, after which the baby's breastfeeding is no longer of any benefit to the baby.</w:t>
      </w:r>
      <w:r>
        <w:rPr>
          <w:rStyle w:val="FootnoteAnchor"/>
        </w:rPr>
        <w:footnoteReference w:id="43"/>
      </w:r>
      <w:r>
        <w:rPr>
          <w:rFonts w:eastAsia="Times New Roman" w:cs="Times New Roman" w:ascii="Times New Roman" w:hAnsi="Times New Roman"/>
          <w:color w:val="111111"/>
          <w:sz w:val="28"/>
          <w:szCs w:val="28"/>
          <w:lang w:val="en-US"/>
        </w:rPr>
        <w:t>)Accordingly, it is obvious that a ruling as to the necessity of breastfeeding a baby up to two full years is not exclusive to the premature babies (born at 26 weeks or whose parents are in dispute</w:t>
      </w:r>
      <w:r>
        <w:rPr>
          <w:rStyle w:val="FootnoteAnchor"/>
        </w:rPr>
        <w:footnoteReference w:id="44"/>
      </w:r>
      <w:r>
        <w:rPr>
          <w:rFonts w:eastAsia="Times New Roman" w:cs="Times New Roman" w:ascii="Times New Roman" w:hAnsi="Times New Roman"/>
          <w:color w:val="111111"/>
          <w:sz w:val="28"/>
          <w:szCs w:val="28"/>
          <w:lang w:val="en-US"/>
        </w:rPr>
        <w:t>; rather, it includes all children and it means that twenty four months is the maximum acceptable time for breastfeeding, without the pregnancy period having any impact on this ruling.</w:t>
      </w:r>
      <w:r>
        <w:rPr>
          <w:rStyle w:val="FootnoteAnchor"/>
        </w:rPr>
        <w:footnoteReference w:id="45"/>
      </w:r>
      <w:r>
        <w:rPr>
          <w:rFonts w:eastAsia="Times New Roman" w:cs="Times New Roman" w:ascii="Times New Roman" w:hAnsi="Times New Roman"/>
          <w:color w:val="111111"/>
          <w:sz w:val="28"/>
          <w:szCs w:val="28"/>
          <w:lang w:val="en-US"/>
        </w:rPr>
        <w:t>)Second: although, according to the statementthat for such as desire to complete the breastfeeding, the completion of breastfeeding period is conditional on someone's demanding the full breastfeeding period, but this one is not intended to be the mother herself; rather, this one is intended to be the father. Therefore, if the father provides for the required expenses of breastfeeding the baby up to two years, the mother is obliged to complete the breastfeeding period.</w:t>
      </w:r>
      <w:r>
        <w:rPr>
          <w:rStyle w:val="FootnoteAnchor"/>
        </w:rPr>
        <w:footnoteReference w:id="46"/>
      </w:r>
      <w:r>
        <w:rPr>
          <w:rFonts w:eastAsia="Times New Roman" w:cs="Times New Roman" w:ascii="Times New Roman" w:hAnsi="Times New Roman"/>
          <w:color w:val="111111"/>
          <w:sz w:val="28"/>
          <w:szCs w:val="28"/>
          <w:lang w:val="en-US"/>
        </w:rPr>
        <w:t>)Conclusion: Comparing the content of the verseMothers shall breastfeed their children for two full years, that for such as desire to complete the breastfeeding with the content of the verseHis mother carried him through weakness upon weakness, and his weaning takes two years.</w:t>
      </w:r>
      <w:r>
        <w:rPr>
          <w:rStyle w:val="FootnoteAnchor"/>
        </w:rPr>
        <w:footnoteReference w:id="47"/>
      </w:r>
      <w:r>
        <w:rPr>
          <w:rFonts w:eastAsia="Times New Roman" w:cs="Times New Roman" w:ascii="Times New Roman" w:hAnsi="Times New Roman"/>
          <w:color w:val="111111"/>
          <w:sz w:val="28"/>
          <w:szCs w:val="28"/>
          <w:lang w:val="en-US"/>
        </w:rPr>
        <w:t>and)and his gestation and weaning take thirty months ,</w:t>
      </w:r>
      <w:r>
        <w:rPr>
          <w:rStyle w:val="FootnoteAnchor"/>
        </w:rPr>
        <w:footnoteReference w:id="48"/>
      </w:r>
      <w:r>
        <w:rPr>
          <w:rFonts w:eastAsia="Times New Roman" w:cs="Times New Roman" w:ascii="Times New Roman" w:hAnsi="Times New Roman"/>
          <w:color w:val="111111"/>
          <w:sz w:val="28"/>
          <w:szCs w:val="28"/>
          <w:lang w:val="en-US"/>
        </w:rPr>
        <w:t>we conclude that the breastfeeding period varies between twenty one to twenty four months. Since the total length of pregnancy and)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breastfeeding is thirty months and the pregnancy period varies between six to nine months.Twenty one months is the least length of time for breastfeeding that the mother is obliged to complete; however, its completion to twenty months during the parents' separation is upon the mother only when the father demands it from the mother (of his baby while paying for her expenses. Thus, the obligation for completion of breastfeeding period is a conditional obligation rather than an absolute one.</w:t>
      </w:r>
      <w:r>
        <w:rPr>
          <w:rStyle w:val="FootnoteAnchor"/>
        </w:rPr>
        <w:footnoteReference w:id="49"/>
      </w:r>
      <w:r>
        <w:rPr>
          <w:rFonts w:eastAsia="Times New Roman" w:cs="Times New Roman" w:ascii="Times New Roman" w:hAnsi="Times New Roman"/>
          <w:color w:val="111111"/>
          <w:sz w:val="28"/>
          <w:szCs w:val="28"/>
          <w:lang w:val="en-US"/>
        </w:rPr>
        <w:t>)Obviously, legal obligation of completing the breastfeeding period in case of the father's demand is reconcilable with the non-permissibility of forcing the mother to breastfeeding, which is understood from Sulayman b. Dawud b. Minqari’s tradition and other evidences</w:t>
      </w:r>
      <w:r>
        <w:rPr>
          <w:rStyle w:val="FootnoteAnchor"/>
        </w:rPr>
        <w:footnoteReference w:id="50"/>
      </w:r>
      <w:r>
        <w:rPr>
          <w:rFonts w:eastAsia="Times New Roman" w:cs="Times New Roman" w:ascii="Times New Roman" w:hAnsi="Times New Roman"/>
          <w:color w:val="111111"/>
          <w:sz w:val="28"/>
          <w:szCs w:val="28"/>
          <w:lang w:val="en-US"/>
        </w:rPr>
        <w:t>and over which there is consensus by the Sunni and Shiʿa jurists</w:t>
      </w:r>
      <w:r>
        <w:rPr>
          <w:rStyle w:val="FootnoteAnchor"/>
        </w:rPr>
        <w:footnoteReference w:id="51"/>
      </w:r>
      <w:r>
        <w:rPr>
          <w:rFonts w:eastAsia="Times New Roman" w:cs="Times New Roman" w:ascii="Times New Roman" w:hAnsi="Times New Roman"/>
          <w:color w:val="111111"/>
          <w:sz w:val="28"/>
          <w:szCs w:val="28"/>
          <w:lang w:val="en-US"/>
        </w:rPr>
        <w:t>; for, there is no correlation between the legal obligation of an action and the coercion to perform it.)On the other hand, although the mother is legally obliged to breastfeed her baby for twenty months, it is preferable for the mother to complete the breastfeeding period up to twenty-four months to the benefit of the baby.</w:t>
      </w:r>
      <w:r>
        <w:rPr>
          <w:rStyle w:val="FootnoteAnchor"/>
        </w:rPr>
        <w:footnoteReference w:id="52"/>
      </w:r>
      <w:r>
        <w:rPr>
          <w:rFonts w:eastAsia="Times New Roman" w:cs="Times New Roman" w:ascii="Times New Roman" w:hAnsi="Times New Roman"/>
          <w:color w:val="111111"/>
          <w:sz w:val="28"/>
          <w:szCs w:val="28"/>
          <w:lang w:val="en-US"/>
        </w:rPr>
        <w:t>)### Father's Duties during Breastfeeding period#### Provision of the Mother's Expenses during Breastfeeding PeriodAfter stating the divorced mothers' duties concerning the completion of breastfeeding period, God proceeds to state their husbands' reciprocal duties.With the phrasingand on the father shall be their maintenance and clothing, in accordance with honorable norms, the Holy Qur’an points out that the baby's father is legally obliged to provide his ex-wife's maintenance and clothing during the breastfeeding period.In the above verse (Q. 2: 233, God has)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made use of the [Arabic] phrase al-mawludi lahu (i.e., the one for whom the baby has been born instead of the word father in order to show that the payment of the expenses of breastfeeding during the period after separation is upon the father. Because the baby had been born for his sake and as, he had wished.</w:t>
      </w:r>
      <w:r>
        <w:rPr>
          <w:rStyle w:val="FootnoteAnchor"/>
        </w:rPr>
        <w:footnoteReference w:id="53"/>
      </w:r>
      <w:r>
        <w:rPr>
          <w:rFonts w:eastAsia="Times New Roman" w:cs="Times New Roman" w:ascii="Times New Roman" w:hAnsi="Times New Roman"/>
          <w:color w:val="111111"/>
          <w:sz w:val="28"/>
          <w:szCs w:val="28"/>
          <w:lang w:val="en-US"/>
        </w:rPr>
        <w:t>)The Holy Qur’an assigns responsibility for the provision of two things to the father during the breastfeeding period: rizq (maintenance, sustenance and kiswa (clothing).)Although the term rizq is translated as sufficient food</w:t>
      </w:r>
      <w:r>
        <w:rPr>
          <w:rStyle w:val="FootnoteAnchor"/>
        </w:rPr>
        <w:footnoteReference w:id="54"/>
      </w:r>
      <w:r>
        <w:rPr>
          <w:rFonts w:eastAsia="Times New Roman" w:cs="Times New Roman" w:ascii="Times New Roman" w:hAnsi="Times New Roman"/>
          <w:color w:val="111111"/>
          <w:sz w:val="28"/>
          <w:szCs w:val="28"/>
          <w:lang w:val="en-US"/>
        </w:rPr>
        <w:t>, and kiswa as clothing,</w:t>
      </w:r>
      <w:r>
        <w:rPr>
          <w:rStyle w:val="FootnoteAnchor"/>
        </w:rPr>
        <w:footnoteReference w:id="55"/>
      </w:r>
      <w:r>
        <w:rPr>
          <w:rFonts w:eastAsia="Times New Roman" w:cs="Times New Roman" w:ascii="Times New Roman" w:hAnsi="Times New Roman"/>
          <w:color w:val="111111"/>
          <w:sz w:val="28"/>
          <w:szCs w:val="28"/>
          <w:lang w:val="en-US"/>
        </w:rPr>
        <w:t>it seems that rizq is not restricted to food alone but includes all the things that the mother requires during her breastfeeding period.</w:t>
      </w:r>
      <w:r>
        <w:rPr>
          <w:rStyle w:val="FootnoteAnchor"/>
        </w:rPr>
        <w:footnoteReference w:id="56"/>
      </w:r>
      <w:r>
        <w:rPr>
          <w:rFonts w:eastAsia="Times New Roman" w:cs="Times New Roman" w:ascii="Times New Roman" w:hAnsi="Times New Roman"/>
          <w:color w:val="111111"/>
          <w:sz w:val="28"/>
          <w:szCs w:val="28"/>
          <w:lang w:val="en-US"/>
        </w:rPr>
        <w:t>Therefore, the father is obliged to provide the mother with all her requirements during the breastfeeding period after separation.</w:t>
      </w:r>
      <w:r>
        <w:rPr>
          <w:rStyle w:val="FootnoteAnchor"/>
        </w:rPr>
        <w:footnoteReference w:id="57"/>
      </w:r>
      <w:r>
        <w:rPr>
          <w:rFonts w:eastAsia="Times New Roman" w:cs="Times New Roman" w:ascii="Times New Roman" w:hAnsi="Times New Roman"/>
          <w:color w:val="111111"/>
          <w:sz w:val="28"/>
          <w:szCs w:val="28"/>
          <w:lang w:val="en-US"/>
        </w:rPr>
        <w:t>)Provision of mother's needs during the breastfeeding period is referred to as wage in verse 6 of Surat al-Talaq; thus, it may be concluded that what is meant by the breastfeeding wages for the mother is the provision of her requirements during breastfeeding period.</w:t>
      </w:r>
      <w:r>
        <w:rPr>
          <w:rStyle w:val="FootnoteAnchor"/>
        </w:rPr>
        <w:footnoteReference w:id="58"/>
      </w:r>
      <w:r>
        <w:rPr>
          <w:rFonts w:eastAsia="Times New Roman" w:cs="Times New Roman" w:ascii="Times New Roman" w:hAnsi="Times New Roman"/>
          <w:color w:val="111111"/>
          <w:sz w:val="28"/>
          <w:szCs w:val="28"/>
          <w:lang w:val="en-US"/>
        </w:rPr>
        <w:t>Similarly, it can be claimed that the wage that the father pays to his ex-wife for breastfeeding has to be so much as it provides her food and clothing (requirements).</w:t>
      </w:r>
      <w:r>
        <w:rPr>
          <w:rStyle w:val="FootnoteAnchor"/>
        </w:rPr>
        <w:footnoteReference w:id="59"/>
      </w:r>
      <w:r>
        <w:rPr>
          <w:rFonts w:eastAsia="Times New Roman" w:cs="Times New Roman" w:ascii="Times New Roman" w:hAnsi="Times New Roman"/>
          <w:color w:val="111111"/>
          <w:sz w:val="28"/>
          <w:szCs w:val="28"/>
          <w:lang w:val="en-US"/>
        </w:rPr>
        <w:t>)Of course, the change of the Qur’an tone from "maintenance [food] and clothing" to "wages" is perhaps because if the divorce comes through before childbirth, the woman's ʿidda period will be over once delivered and there will remain no relationship between the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man and the woman. However, if the divorce is after the childbirth, the matrimonial relation between the man and the women will remain unbroken – however weakened – until the ʿidda period is over. As we explained before, the woman cannot ask for wages for breastfeeding her baby while matrimonial relation is still valid; rather, it is incumbent upon the husband to provide his wife with food and clothing.Now that the father is obliged to provide the mother's expenses during the breastfeeding period, the question arises that how much the amount of these expenses will be. To answer this question, the Qur’an uses the phrase bi al-maʿruf (in accordance with honorable norms.)There are various probabilities as to what is meant by maʿruf, which can be divided into two general categories: 1. how to pay, 2. and how much to pay.According to the first probability, the father has to pay for his ex-wife's requirements in a decent way during the breastfeeding period. According to the second probability, however, the amount of the father's payment to his ex-wife during that period has to be honorable; in such a case, there are three probabilities: proportion to the mother's social status, proportion to the father's financial ability, sufficiency of the amount.</w:t>
      </w:r>
      <w:r>
        <w:rPr>
          <w:rStyle w:val="FootnoteAnchor"/>
        </w:rPr>
        <w:footnoteReference w:id="60"/>
      </w:r>
      <w:r>
        <w:rPr>
          <w:rFonts w:eastAsia="Times New Roman" w:cs="Times New Roman" w:ascii="Times New Roman" w:hAnsi="Times New Roman"/>
          <w:color w:val="111111"/>
          <w:sz w:val="28"/>
          <w:szCs w:val="28"/>
          <w:lang w:val="en-US"/>
        </w:rPr>
        <w:t>)It seems that the criterion for determining maʿruf is the financial power and potential of the baby's father and does not have anything to do with the mother's social status,</w:t>
      </w:r>
      <w:r>
        <w:rPr>
          <w:rStyle w:val="FootnoteAnchor"/>
        </w:rPr>
        <w:footnoteReference w:id="61"/>
      </w:r>
      <w:r>
        <w:rPr>
          <w:rFonts w:eastAsia="Times New Roman" w:cs="Times New Roman" w:ascii="Times New Roman" w:hAnsi="Times New Roman"/>
          <w:color w:val="111111"/>
          <w:sz w:val="28"/>
          <w:szCs w:val="28"/>
          <w:lang w:val="en-US"/>
        </w:rPr>
        <w:t>since the Qur’an continues to emphasize that God does not task man except)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according to his capacity,No soul is to be tasked except according to its capacity</w:t>
      </w:r>
      <w:r>
        <w:rPr>
          <w:rStyle w:val="FootnoteAnchor"/>
        </w:rPr>
        <w:footnoteReference w:id="62"/>
      </w:r>
      <w:r>
        <w:rPr>
          <w:rFonts w:eastAsia="Times New Roman" w:cs="Times New Roman" w:ascii="Times New Roman" w:hAnsi="Times New Roman"/>
          <w:color w:val="111111"/>
          <w:sz w:val="28"/>
          <w:szCs w:val="28"/>
          <w:lang w:val="en-US"/>
        </w:rPr>
        <w:t>. The best witness to the truth of the above is what God has said in Surat al-Talaq concerning maʿruf:)Then, if they breastfeed [the baby] for you, give them their wages and consult together honorably… Let the affluent man spend out of his affluence, and let he whose provision has been tightened spend out of what Allah has given him. Allah does not task any soul except [according to] what He has given it. Allah will bring about ease after hardship.(65: 6-7.)#### Breastfeeding WageAs mentioned before, God has brought up in Surat al-Talaq the issue of giving wages to breastfeeding mothers,Then, if they suckle [the baby] for you, give them their wages.Therefore, it is noteworthy that the Qur’an talks about giving wages to mothers for breastfeeding when all matrimonial bonds are broken and there would be no difference between her and other women. However, while the woman is still in her ʿidda period and there are some signs of matrimony remained, the Qur’an does not say anything about wages, but suffices to mention the provision of food and clothing, which we refer to in legal convention as nafaqa (maintenance or alimony. This was of course what the man as a husband, had to provide for even if no divorce were to come through.</w:t>
      </w:r>
      <w:r>
        <w:rPr>
          <w:rStyle w:val="FootnoteAnchor"/>
        </w:rPr>
        <w:footnoteReference w:id="63"/>
      </w:r>
      <w:r>
        <w:rPr>
          <w:rFonts w:eastAsia="Times New Roman" w:cs="Times New Roman" w:ascii="Times New Roman" w:hAnsi="Times New Roman"/>
          <w:color w:val="111111"/>
          <w:sz w:val="28"/>
          <w:szCs w:val="28"/>
          <w:lang w:val="en-US"/>
        </w:rPr>
        <w:t>)Perhaps it can be understood from this difference in phrasing that the institution of marriage is too sacred to use such terms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wages, which in itself denotes a kind of wage earning and a master-servant relationship, in regulating the financial relationship between the man and the woman.In any case, one of the issues discussed in Islamic law is establishment of a leasehold relationship between the wife and the husband concerning breastfeeding their baby.Some Sunni jurists such as Shafiʿi and Ahmad b. Hanbal, as well as Shaykh Tusi from among the Shiʿa jurists believe that no wage contract is made between the wife and the husband in relation to breastfeeding. Moreover, the wife cannot demand wages for breastfeeding her baby. That is because the husband is the beneficiary of his matrimonial relation to his wife and there is no reason for receiving wages. The permissibility of a leasehold relationship between a woman and someone other than her husband concerning breastfeeding (i.e., as a wet nurse is no reason for the existence of this relationship between she and her husband; and finally, receiving wages is against the requirements of marriage contract.</w:t>
      </w:r>
      <w:r>
        <w:rPr>
          <w:rStyle w:val="FootnoteAnchor"/>
        </w:rPr>
        <w:footnoteReference w:id="64"/>
      </w:r>
      <w:r>
        <w:rPr>
          <w:rFonts w:eastAsia="Times New Roman" w:cs="Times New Roman" w:ascii="Times New Roman" w:hAnsi="Times New Roman"/>
          <w:color w:val="111111"/>
          <w:sz w:val="28"/>
          <w:szCs w:val="28"/>
          <w:lang w:val="en-US"/>
        </w:rPr>
        <w:t>)In contrast, most of the Shiʿa jurists believe that a contract for breastfeeding is made between the wife and the husband and the former can demand wages for breastfeeding her baby. In order to prove it, they provided evidence from the verses of the Qur’an, the correlation between the permissibility of contract with one's wife and the permissibility of contract with other people, and the husband's being undeserved of all his wife's benefits.</w:t>
      </w:r>
      <w:r>
        <w:rPr>
          <w:rStyle w:val="FootnoteAnchor"/>
        </w:rPr>
        <w:footnoteReference w:id="65"/>
      </w:r>
      <w:r>
        <w:rPr>
          <w:rFonts w:eastAsia="Times New Roman" w:cs="Times New Roman" w:ascii="Times New Roman" w:hAnsi="Times New Roman"/>
          <w:color w:val="111111"/>
          <w:sz w:val="28"/>
          <w:szCs w:val="28"/>
          <w:lang w:val="en-US"/>
        </w:rPr>
        <w:t>)To our opinion, none of the previous reasons denies or proves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permissibility of establishing a leasehold relationship between the wife and the husband; therefore, lacking the verbal signification, we have to turn to practical principles.If we doubt about the permissibility of hiring the mother for breastfeeding her own baby, the principle of lawfulness denotes the permissibility of such a deal, since on one hand, the father pays the wages, and on the other hand, the mother breastfeed her own baby</w:t>
      </w:r>
      <w:r>
        <w:rPr>
          <w:rStyle w:val="FootnoteAnchor"/>
        </w:rPr>
        <w:footnoteReference w:id="66"/>
      </w:r>
      <w:r>
        <w:rPr>
          <w:rFonts w:eastAsia="Times New Roman" w:cs="Times New Roman" w:ascii="Times New Roman" w:hAnsi="Times New Roman"/>
          <w:color w:val="111111"/>
          <w:sz w:val="28"/>
          <w:szCs w:val="28"/>
          <w:lang w:val="en-US"/>
        </w:rPr>
        <w:t>; just as the principle of soundness of transactions denotes the soundness and the necessity for each party to observe the content of such a transaction.)Moreover, if we doubt that, in case of the mother's one-sided request for wages, whether the father is obliged to pay for it or not, the principle of non-necessity and his exemption from obligation suggests that the father is not committed to pay wages.Thus, two issues should not be confused with each other; one is the parents' consent for paying and receiving wages while marriage bond is still established between them; the other is the father's obligation to pay wages when the mother makes breastfeeding her baby conditional on receiving wages.Reconciliation between these two principles prompts us to say that if the father agrees on such a contract, the deal is sound and the two parties are obliged to fulfill their commitments, but the father cannot be forced to pay wages.Obviously, if the mother receives wages from her husband for breastfeeding her own baby, she is not permitted to feed the baby with supplementary food or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animal milk instead of giving it milk from her own breasts</w:t>
      </w:r>
      <w:r>
        <w:rPr>
          <w:rStyle w:val="FootnoteAnchor"/>
        </w:rPr>
        <w:footnoteReference w:id="67"/>
      </w:r>
      <w:r>
        <w:rPr>
          <w:rFonts w:eastAsia="Times New Roman" w:cs="Times New Roman" w:ascii="Times New Roman" w:hAnsi="Times New Roman"/>
          <w:color w:val="111111"/>
          <w:sz w:val="28"/>
          <w:szCs w:val="28"/>
          <w:lang w:val="en-US"/>
        </w:rPr>
        <w:t>. Since she is not permitted to have the baby wet nursed by another woman (i.e., a foster suckling-mother), unless the father permits her to do so.</w:t>
      </w:r>
      <w:r>
        <w:rPr>
          <w:rStyle w:val="FootnoteAnchor"/>
        </w:rPr>
        <w:footnoteReference w:id="68"/>
      </w:r>
      <w:r>
        <w:rPr>
          <w:rFonts w:eastAsia="Times New Roman" w:cs="Times New Roman" w:ascii="Times New Roman" w:hAnsi="Times New Roman"/>
          <w:color w:val="111111"/>
          <w:sz w:val="28"/>
          <w:szCs w:val="28"/>
          <w:lang w:val="en-US"/>
        </w:rPr>
        <w:t>)As it was said, according to the Qur’anic statementThen, if they breastfeed [the baby] for you, give them their wages , the father of the baby is committed to pay the mother's wage during their separation period, and if the father dies, the expense is to be paid for from the baby's share of inheritance.</w:t>
      </w:r>
      <w:r>
        <w:rPr>
          <w:rStyle w:val="FootnoteAnchor"/>
        </w:rPr>
        <w:footnoteReference w:id="69"/>
      </w:r>
      <w:r>
        <w:rPr>
          <w:rFonts w:eastAsia="Times New Roman" w:cs="Times New Roman" w:ascii="Times New Roman" w:hAnsi="Times New Roman"/>
          <w:color w:val="111111"/>
          <w:sz w:val="28"/>
          <w:szCs w:val="28"/>
          <w:lang w:val="en-US"/>
        </w:rPr>
        <w:t>Moreover, the possibility that the provision of expenses for the breastfeeding would lie with the baby (even if the father were alive) and is paid from the baby's assets</w:t>
      </w:r>
      <w:r>
        <w:rPr>
          <w:rStyle w:val="FootnoteAnchor"/>
        </w:rPr>
        <w:footnoteReference w:id="70"/>
      </w:r>
      <w:r>
        <w:rPr>
          <w:rFonts w:eastAsia="Times New Roman" w:cs="Times New Roman" w:ascii="Times New Roman" w:hAnsi="Times New Roman"/>
          <w:color w:val="111111"/>
          <w:sz w:val="28"/>
          <w:szCs w:val="28"/>
          <w:lang w:val="en-US"/>
        </w:rPr>
        <w:t>, is incorrect.)In addition, the father is obliged to pay for the mother's wage once she undertakes to breastfeed the baby,</w:t>
      </w:r>
      <w:r>
        <w:rPr>
          <w:rStyle w:val="FootnoteAnchor"/>
        </w:rPr>
        <w:footnoteReference w:id="71"/>
      </w:r>
      <w:r>
        <w:rPr>
          <w:rFonts w:eastAsia="Times New Roman" w:cs="Times New Roman" w:ascii="Times New Roman" w:hAnsi="Times New Roman"/>
          <w:color w:val="111111"/>
          <w:sz w:val="28"/>
          <w:szCs w:val="28"/>
          <w:lang w:val="en-US"/>
        </w:rPr>
        <w:t>and there is no need for the breastfeeding period to end – as al-Jassas claims</w:t>
      </w:r>
      <w:r>
        <w:rPr>
          <w:rStyle w:val="FootnoteAnchor"/>
        </w:rPr>
        <w:footnoteReference w:id="72"/>
      </w:r>
      <w:r>
        <w:rPr>
          <w:rFonts w:eastAsia="Times New Roman" w:cs="Times New Roman" w:ascii="Times New Roman" w:hAnsi="Times New Roman"/>
          <w:color w:val="111111"/>
          <w:sz w:val="28"/>
          <w:szCs w:val="28"/>
          <w:lang w:val="en-US"/>
        </w:rPr>
        <w:t>– so that the mother may receive her wage.)Determining the amount of the mother's wage is a matter of agreement, too, which depends on the mutual consent. Restricting it to the wage that the other women receive for this task in equal conditions (ujrat al-mithl – fair equivalent wage</w:t>
      </w:r>
      <w:r>
        <w:rPr>
          <w:rStyle w:val="FootnoteAnchor"/>
        </w:rPr>
        <w:footnoteReference w:id="73"/>
      </w:r>
      <w:r>
        <w:rPr>
          <w:rFonts w:eastAsia="Times New Roman" w:cs="Times New Roman" w:ascii="Times New Roman" w:hAnsi="Times New Roman"/>
          <w:color w:val="111111"/>
          <w:sz w:val="28"/>
          <w:szCs w:val="28"/>
          <w:lang w:val="en-US"/>
        </w:rPr>
        <w:t>is incorrect, because the amount of breastfeeding wage is subject to the father's financial capability.)In order to prove this issue, besides the versebut if you make things difficult for each other, then another woman will breastfeed [the baby] for him,</w:t>
      </w:r>
      <w:r>
        <w:rPr>
          <w:rStyle w:val="FootnoteAnchor"/>
        </w:rPr>
        <w:footnoteReference w:id="74"/>
      </w:r>
      <w:r>
        <w:rPr>
          <w:rFonts w:eastAsia="Times New Roman" w:cs="Times New Roman" w:ascii="Times New Roman" w:hAnsi="Times New Roman"/>
          <w:color w:val="111111"/>
          <w:sz w:val="28"/>
          <w:szCs w:val="28"/>
          <w:lang w:val="en-US"/>
        </w:rPr>
        <w:t>which regards the father's)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being in dire straits as the criterion for permitting the baby to be left with the foster suckling-mother. We can rely on the content of traditions related by Dawud b. Husayn, Kanani, Abi al-ʿAbbas, and Halabi</w:t>
      </w:r>
      <w:r>
        <w:rPr>
          <w:rStyle w:val="FootnoteAnchor"/>
        </w:rPr>
        <w:footnoteReference w:id="75"/>
      </w:r>
      <w:r>
        <w:rPr>
          <w:rFonts w:eastAsia="Times New Roman" w:cs="Times New Roman" w:ascii="Times New Roman" w:hAnsi="Times New Roman"/>
          <w:color w:val="111111"/>
          <w:sz w:val="28"/>
          <w:szCs w:val="28"/>
          <w:lang w:val="en-US"/>
        </w:rPr>
        <w:t>, for the wage which the mother is demanding is less than, more than, or equal to the fair equivalent wage.</w:t>
      </w:r>
      <w:r>
        <w:rPr>
          <w:rStyle w:val="FootnoteAnchor"/>
        </w:rPr>
        <w:footnoteReference w:id="76"/>
      </w:r>
      <w:r>
        <w:rPr>
          <w:rFonts w:eastAsia="Times New Roman" w:cs="Times New Roman" w:ascii="Times New Roman" w:hAnsi="Times New Roman"/>
          <w:color w:val="111111"/>
          <w:sz w:val="28"/>
          <w:szCs w:val="28"/>
          <w:lang w:val="en-US"/>
        </w:rPr>
        <w:t>)In these traditions, two issues are emphasized explicitly or implicitly: permissibility of taking the baby from the mother in case of asking for higher wage and the mother's priority in breastfeeding her baby if she does not ask for higher wage.</w:t>
      </w:r>
      <w:r>
        <w:rPr>
          <w:rStyle w:val="FootnoteAnchor"/>
        </w:rPr>
        <w:footnoteReference w:id="77"/>
      </w:r>
      <w:r>
        <w:rPr>
          <w:rFonts w:eastAsia="Times New Roman" w:cs="Times New Roman" w:ascii="Times New Roman" w:hAnsi="Times New Roman"/>
          <w:color w:val="111111"/>
          <w:sz w:val="28"/>
          <w:szCs w:val="28"/>
          <w:lang w:val="en-US"/>
        </w:rPr>
        <w:t>Therefore, taking the baby from the mother and leaving it with a foster suckling-mother when the former asks for a higher wage is permissible, whether the amount she is demanding is equal to the fair equivalent wage, lower, or higher than that. On the other hand, the mother is given priority over other women for breastfeeding her baby in case she receives equal wage and does not demand a higher wage than they do.</w:t>
      </w:r>
      <w:r>
        <w:rPr>
          <w:rStyle w:val="FootnoteAnchor"/>
        </w:rPr>
        <w:footnoteReference w:id="78"/>
      </w:r>
      <w:r>
        <w:rPr>
          <w:rFonts w:eastAsia="Times New Roman" w:cs="Times New Roman" w:ascii="Times New Roman" w:hAnsi="Times New Roman"/>
          <w:color w:val="111111"/>
          <w:sz w:val="28"/>
          <w:szCs w:val="28"/>
          <w:lang w:val="en-US"/>
        </w:rPr>
        <w:t>)### Reciprocal Duties of Parents during the Breastfeeding PeriodThrough the statementneither the mother shall be made to suffer harm on her child's account, nor the father on account of his childthe Qur’an specifies that the mother should complete the breastfeeding period upon the father's demand and the father, in return, should undertake her living expenses during this period. The parents' separation should not be a means to harming each other or their child.This part of the verse is divided into two independent parts, i.e.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la tudharra walidatun bi waladiha (neither the mother shall be made to suffer harm on her child's account, and la tudharra mawludun lahu bi waladihi (nor the father shall be made to suffer harm because of his child). The verb tudharr is read in two ways: la tudharru in the active form and la tudharra in the passive form, due to which in the former case the two words walidatun and mawludun lahu are subjects (faʿil) and in the latter case they are the subject of the passive (na’ib faʿil), therefore, two possibilities are perceived in its meaning:)First, children may suffer because of their parents. Accordingly, God undertakes to prevent the parents from harming their children, saying: the mother must not harm her child and the father must not do, either.</w:t>
      </w:r>
      <w:r>
        <w:rPr>
          <w:rStyle w:val="FootnoteAnchor"/>
        </w:rPr>
        <w:footnoteReference w:id="79"/>
      </w:r>
      <w:r>
        <w:rPr>
          <w:rFonts w:eastAsia="Times New Roman" w:cs="Times New Roman" w:ascii="Times New Roman" w:hAnsi="Times New Roman"/>
          <w:color w:val="111111"/>
          <w:sz w:val="28"/>
          <w:szCs w:val="28"/>
          <w:lang w:val="en-US"/>
        </w:rPr>
        <w:t>)Mother's harming her own child is imaginable in several ways, such as refraining from breastfeeding the child, which can be due to fury against the father and negligence in taking care of the child's needs such as cleaning, feeding, and clothing.</w:t>
      </w:r>
      <w:r>
        <w:rPr>
          <w:rStyle w:val="FootnoteAnchor"/>
        </w:rPr>
        <w:footnoteReference w:id="80"/>
      </w:r>
      <w:r>
        <w:rPr>
          <w:rFonts w:eastAsia="Times New Roman" w:cs="Times New Roman" w:ascii="Times New Roman" w:hAnsi="Times New Roman"/>
          <w:color w:val="111111"/>
          <w:sz w:val="28"/>
          <w:szCs w:val="28"/>
          <w:lang w:val="en-US"/>
        </w:rPr>
        <w:t>)Father's harming his child can be done in various forms, such as negligence or delay in paying the child's living expenses, unduly separating the child from the mother and leaving it with another person.</w:t>
      </w:r>
      <w:r>
        <w:rPr>
          <w:rStyle w:val="FootnoteAnchor"/>
        </w:rPr>
        <w:footnoteReference w:id="81"/>
      </w:r>
      <w:r>
        <w:rPr>
          <w:rFonts w:eastAsia="Times New Roman" w:cs="Times New Roman" w:ascii="Times New Roman" w:hAnsi="Times New Roman"/>
          <w:color w:val="111111"/>
          <w:sz w:val="28"/>
          <w:szCs w:val="28"/>
          <w:lang w:val="en-US"/>
        </w:rPr>
        <w:t>)Second, the parents may suffer on each other's account. Experience has shown that in many cases that dispute and conflict arises between the wife and the husband, each one of them tries to harm the other by taking the child as a means to this end;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the meantime, the only one who suffers most is the child.If we accept this possibility in the meaning of the Qur’anic verse, it shows that the Qur’an is trying to state that the parents should not try to harm each other by using their child as bait.</w:t>
      </w:r>
      <w:r>
        <w:rPr>
          <w:rStyle w:val="FootnoteAnchor"/>
        </w:rPr>
        <w:footnoteReference w:id="82"/>
      </w:r>
      <w:r>
        <w:rPr>
          <w:rFonts w:eastAsia="Times New Roman" w:cs="Times New Roman" w:ascii="Times New Roman" w:hAnsi="Times New Roman"/>
          <w:color w:val="111111"/>
          <w:sz w:val="28"/>
          <w:szCs w:val="28"/>
          <w:lang w:val="en-US"/>
        </w:rPr>
        <w:t>)Father's harming the mother may be through such acts as emotional instigation of the mother by making her breastfeed their baby without paying for her living expenses, depriving her of seeing and taking care of her baby, taking the baby away from her in order to revenge her and leaving it with someone else for breastfeeding, as well as preventing her from breastfeeding the baby while she is indeed able to breastfeed the baby herself. Obviously, in the above cases, the first one to be harmed is the baby.</w:t>
      </w:r>
      <w:r>
        <w:rPr>
          <w:rStyle w:val="FootnoteAnchor"/>
        </w:rPr>
        <w:footnoteReference w:id="83"/>
      </w:r>
      <w:r>
        <w:rPr>
          <w:rFonts w:eastAsia="Times New Roman" w:cs="Times New Roman" w:ascii="Times New Roman" w:hAnsi="Times New Roman"/>
          <w:color w:val="111111"/>
          <w:sz w:val="28"/>
          <w:szCs w:val="28"/>
          <w:lang w:val="en-US"/>
        </w:rPr>
        <w:t>)On the other hand, since the mother is not able to persecute the father directly, she tries to achieve her goal by using the baby as bait throughout one of the following ways. Through emotional provocation of the father making him to pay more for her breastfeeding the baby; preventing the father from seeing his baby; avoiding to breastfeed the baby and abandoning the baby to its father.</w:t>
      </w:r>
      <w:r>
        <w:rPr>
          <w:rStyle w:val="FootnoteAnchor"/>
        </w:rPr>
        <w:footnoteReference w:id="84"/>
      </w:r>
      <w:r>
        <w:rPr>
          <w:rFonts w:eastAsia="Times New Roman" w:cs="Times New Roman" w:ascii="Times New Roman" w:hAnsi="Times New Roman"/>
          <w:color w:val="111111"/>
          <w:sz w:val="28"/>
          <w:szCs w:val="28"/>
          <w:lang w:val="en-US"/>
        </w:rPr>
        <w:t>)Although some believe that the verseneither the mother shall be made to suffer harm on her child's account, nor the father on account of his childencompasses both possibilities</w:t>
      </w:r>
      <w:r>
        <w:rPr>
          <w:rStyle w:val="FootnoteAnchor"/>
        </w:rPr>
        <w:footnoteReference w:id="85"/>
      </w:r>
      <w:r>
        <w:rPr>
          <w:rFonts w:eastAsia="Times New Roman" w:cs="Times New Roman" w:ascii="Times New Roman" w:hAnsi="Times New Roman"/>
          <w:color w:val="111111"/>
          <w:sz w:val="28"/>
          <w:szCs w:val="28"/>
          <w:lang w:val="en-US"/>
        </w:rPr>
        <w:t>, the statement can prohibit harming the baby or the wife in itself and out of the context of)</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verse as a general law whether the verb is in the active or passive form – as according to some traditions, shunning from intercourse by the wife or the husband during pregnancy is an evidence of mutual harming of both husband and the wife.</w:t>
      </w:r>
      <w:r>
        <w:rPr>
          <w:rStyle w:val="FootnoteAnchor"/>
        </w:rPr>
        <w:footnoteReference w:id="86"/>
      </w:r>
      <w:r>
        <w:rPr>
          <w:rFonts w:eastAsia="Times New Roman" w:cs="Times New Roman" w:ascii="Times New Roman" w:hAnsi="Times New Roman"/>
          <w:color w:val="111111"/>
          <w:sz w:val="28"/>
          <w:szCs w:val="28"/>
          <w:lang w:val="en-US"/>
        </w:rPr>
        <w:t>)To our opinion, this phrase, given the sentences before and after this statement, suggests the prohibition of the wife and the husband from harming one another after separation and during the breastfeeding period. The duties of the wife and the husband in this period should not turn into means for taking revenge from each other, the revenge that due to the breaking of marital relation would occur just through their mediating link, namely their child.</w:t>
      </w:r>
      <w:r>
        <w:rPr>
          <w:rStyle w:val="FootnoteAnchor"/>
        </w:rPr>
        <w:footnoteReference w:id="87"/>
      </w:r>
      <w:r>
        <w:rPr>
          <w:rFonts w:eastAsia="Times New Roman" w:cs="Times New Roman" w:ascii="Times New Roman" w:hAnsi="Times New Roman"/>
          <w:color w:val="111111"/>
          <w:sz w:val="28"/>
          <w:szCs w:val="28"/>
          <w:lang w:val="en-US"/>
        </w:rPr>
        <w:t>)Therefore, the verb la tudharru is used in the passive form and concerns the prohibition of the ex-couple harming each other via their child rather than the parents directly damaging their child; although, in its own place, the latter can be true.### Duties of the Father's Successors during the Breastfeeding PeriodWith the clarification of the duties of both the parents toward their child during the period after separation and also their reciprocal duties toward each other, the question remains to be answered that if the father dies during the breastfeeding period, who would take on his duty to pay for the mother's wage.Statingand on the [father's] heir devolves [duties and rights] similar to that, the Qur’an intends to say that the father's duties during the baby's breastfeeding period are transferred over to his heir.For what is meant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by heir (warith different possibilities have been considered: the father's heir, the child's father, either of the mother or the father when the other is dead, the heir to each of the father or the mother, the child's future heirs, the child itself, the child's executor (wasi).</w:t>
      </w:r>
      <w:r>
        <w:rPr>
          <w:rStyle w:val="FootnoteAnchor"/>
        </w:rPr>
        <w:footnoteReference w:id="88"/>
      </w:r>
      <w:r>
        <w:rPr>
          <w:rFonts w:eastAsia="Times New Roman" w:cs="Times New Roman" w:ascii="Times New Roman" w:hAnsi="Times New Roman"/>
          <w:color w:val="111111"/>
          <w:sz w:val="28"/>
          <w:szCs w:val="28"/>
          <w:lang w:val="en-US"/>
        </w:rPr>
        <w:t>)Despite what some sources have claimed</w:t>
      </w:r>
      <w:r>
        <w:rPr>
          <w:rStyle w:val="FootnoteAnchor"/>
        </w:rPr>
        <w:footnoteReference w:id="89"/>
      </w:r>
      <w:r>
        <w:rPr>
          <w:rFonts w:eastAsia="Times New Roman" w:cs="Times New Roman" w:ascii="Times New Roman" w:hAnsi="Times New Roman"/>
          <w:color w:val="111111"/>
          <w:sz w:val="28"/>
          <w:szCs w:val="28"/>
          <w:lang w:val="en-US"/>
        </w:rPr>
        <w:t>, there are different possibilities as to what is meant by mithl-i dhalik (similar to that): payment of the mother's maintenance or alimony (nafaqa), not inflicting any harm, provision of the mother's expenses, and having the child wet nursed.</w:t>
      </w:r>
      <w:r>
        <w:rPr>
          <w:rStyle w:val="FootnoteAnchor"/>
        </w:rPr>
        <w:footnoteReference w:id="90"/>
      </w:r>
      <w:r>
        <w:rPr>
          <w:rFonts w:eastAsia="Times New Roman" w:cs="Times New Roman" w:ascii="Times New Roman" w:hAnsi="Times New Roman"/>
          <w:color w:val="111111"/>
          <w:sz w:val="28"/>
          <w:szCs w:val="28"/>
          <w:lang w:val="en-US"/>
        </w:rPr>
        <w:t>)To our opinion, what “heir” means in this statement is the heir to the father and as this statement refers to the two statements before it, it contains two issues of providing the mother's maintenance (daily sustenance and clothing and not inflicting any harm on her.)Therefore, the father's heirs are obliged not to inflict any harm on the mother by means of her child, just as they have to provide for her food and clothes in a decent way.It is clear, of course, that the holy verse proposes the transfer of the father's duties to his heirs, but it is silent about the source of provision and payment of the mother's maintenance.</w:t>
      </w:r>
      <w:r>
        <w:rPr>
          <w:rStyle w:val="FootnoteAnchor"/>
        </w:rPr>
        <w:footnoteReference w:id="91"/>
      </w:r>
      <w:r>
        <w:rPr>
          <w:rFonts w:eastAsia="Times New Roman" w:cs="Times New Roman" w:ascii="Times New Roman" w:hAnsi="Times New Roman"/>
          <w:color w:val="111111"/>
          <w:sz w:val="28"/>
          <w:szCs w:val="28"/>
          <w:lang w:val="en-US"/>
        </w:rPr>
        <w:t>Thus, the father's heirs do not need to provide for the baby's expenses during the breastfeeding period from their own property; rather, either they provide the related expenses from the father's properties (shared among the heirs) – should we say these expenses are regarded as among his debts)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from the baby's possessions.</w:t>
      </w:r>
      <w:r>
        <w:rPr>
          <w:rStyle w:val="FootnoteAnchor"/>
        </w:rPr>
        <w:footnoteReference w:id="92"/>
      </w:r>
      <w:r>
        <w:rPr>
          <w:rFonts w:eastAsia="Times New Roman" w:cs="Times New Roman" w:ascii="Times New Roman" w:hAnsi="Times New Roman"/>
          <w:color w:val="111111"/>
          <w:sz w:val="28"/>
          <w:szCs w:val="28"/>
          <w:lang w:val="en-US"/>
        </w:rPr>
        <w:t>)Such a meaning of the statementand on the [father's] heir devolve [duties and rights] similar to thatcan also be understood from the traditions related from the Infallible Household of the Prophet (S.A.W.. Since some of these traditions have referred to the issue of alimony</w:t>
      </w:r>
      <w:r>
        <w:rPr>
          <w:rStyle w:val="FootnoteAnchor"/>
        </w:rPr>
        <w:footnoteReference w:id="93"/>
      </w:r>
      <w:r>
        <w:rPr>
          <w:rFonts w:eastAsia="Times New Roman" w:cs="Times New Roman" w:ascii="Times New Roman" w:hAnsi="Times New Roman"/>
          <w:color w:val="111111"/>
          <w:sz w:val="28"/>
          <w:szCs w:val="28"/>
          <w:lang w:val="en-US"/>
        </w:rPr>
        <w:t>, to the effect that as the father undertakes the responsibility of providing for the mother's maintenance during the breastfeeding period, after his death, this responsibility will be transferred to his heir.)However, not to the effect that the father's heirs provide for the mother's maintenance during the breastfeeding period from their own property like what is true regarding the father's executor in relation to the minor children of the demised father.</w:t>
      </w:r>
      <w:r>
        <w:rPr>
          <w:rStyle w:val="FootnoteAnchor"/>
        </w:rPr>
        <w:footnoteReference w:id="94"/>
      </w:r>
      <w:r>
        <w:rPr>
          <w:rFonts w:eastAsia="Times New Roman" w:cs="Times New Roman" w:ascii="Times New Roman" w:hAnsi="Times New Roman"/>
          <w:color w:val="111111"/>
          <w:sz w:val="28"/>
          <w:szCs w:val="28"/>
          <w:lang w:val="en-US"/>
        </w:rPr>
        <w:t>Moreover, it is for the same reason that it is asserted in the tradition related by Muhammad b. Abi ʿUmayr and Ibn Abi Yaʿfur that this maintenance is paid from the baby's own share of inheritance.</w:t>
      </w:r>
      <w:r>
        <w:rPr>
          <w:rStyle w:val="FootnoteAnchor"/>
        </w:rPr>
        <w:footnoteReference w:id="95"/>
      </w:r>
      <w:r>
        <w:rPr>
          <w:rFonts w:eastAsia="Times New Roman" w:cs="Times New Roman" w:ascii="Times New Roman" w:hAnsi="Times New Roman"/>
          <w:color w:val="111111"/>
          <w:sz w:val="28"/>
          <w:szCs w:val="28"/>
          <w:lang w:val="en-US"/>
        </w:rPr>
        <w:t xml:space="preserve">)In some traditions the father and the heir in the statementand on the [father's] heir devolve [duties and rights] similar to that are taken to be the same with respect to the statement before that, i.e.,neither the mother shall be made to suffer harm on her child's account, nor the father on account of his child </w:t>
      </w:r>
      <w:r>
        <w:rPr>
          <w:rStyle w:val="FootnoteAnchor"/>
        </w:rPr>
        <w:footnoteReference w:id="96"/>
      </w:r>
      <w:r>
        <w:rPr>
          <w:rFonts w:eastAsia="Times New Roman" w:cs="Times New Roman" w:ascii="Times New Roman" w:hAnsi="Times New Roman"/>
          <w:color w:val="111111"/>
          <w:sz w:val="28"/>
          <w:szCs w:val="28"/>
          <w:lang w:val="en-US"/>
        </w:rPr>
        <w:t>.Careful examination of this group of traditions would clearly reveal that what is intended by the Words of Allah is preventing the father's heirs from persecuting the mother and her child. These persecutions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may occur in various forms in their mental and financial affairs such as taking away the child from her mother, failure to give the child's share of inheritance in due time, etc. The mother’s separation from the child’s father before his death lays the ground for numerous challenges between the father's family and heirs, i.e., grandfather, grandmother, brothers, and sisters on one side and his ex-wife (the child's mother on the other.)The great Qur’an interpreter, ʿAli b. Ibrahim Qummi, comments on the statementand on the [father's] heir devolve [duties and rights] similar to that: that “it means if a man dies and leaves behind a suckling baby, it is not befitting the heirs to cut down the baby's maintenance cost; rather, it is best to increase it generously."</w:t>
      </w:r>
      <w:r>
        <w:rPr>
          <w:rStyle w:val="FootnoteAnchor"/>
        </w:rPr>
        <w:footnoteReference w:id="97"/>
      </w:r>
      <w:r>
        <w:rPr>
          <w:rFonts w:eastAsia="Times New Roman" w:cs="Times New Roman" w:ascii="Times New Roman" w:hAnsi="Times New Roman"/>
          <w:color w:val="111111"/>
          <w:sz w:val="28"/>
          <w:szCs w:val="28"/>
          <w:lang w:val="en-US"/>
        </w:rPr>
        <w:t>)### How to Wean the BabySo far we explained that the mother is obliged to breastfeed her baby up to twenty one months; and in case she has separated from her husband, if her ex-husband wants her to complete the breastfeeding period, she is obliged to do so. Anyhow, the father is obliged, in return and as per his capacity, to provide for her maintenance during this period, and if he dies, his heirs are responsible to provide for the mother's living expenses during this period.Now, the question remains to be answered that if the baby is to be weaned, who should make the decision in this respect.The Holy Qur’an replies the above question as follows:And if the couple desire to wean, with mutual consent and</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consultation, there will be no sin upon them.(2:233.)There are two possibilities as to which two people's desire matters: that of the father and mother</w:t>
      </w:r>
      <w:r>
        <w:rPr>
          <w:rStyle w:val="FootnoteAnchor"/>
        </w:rPr>
        <w:footnoteReference w:id="98"/>
      </w:r>
      <w:r>
        <w:rPr>
          <w:rFonts w:eastAsia="Times New Roman" w:cs="Times New Roman" w:ascii="Times New Roman" w:hAnsi="Times New Roman"/>
          <w:color w:val="111111"/>
          <w:sz w:val="28"/>
          <w:szCs w:val="28"/>
          <w:lang w:val="en-US"/>
        </w:rPr>
        <w:t>or the heir and the mother</w:t>
      </w:r>
      <w:r>
        <w:rPr>
          <w:rStyle w:val="FootnoteAnchor"/>
        </w:rPr>
        <w:footnoteReference w:id="99"/>
      </w:r>
      <w:r>
        <w:rPr>
          <w:rFonts w:eastAsia="Times New Roman" w:cs="Times New Roman" w:ascii="Times New Roman" w:hAnsi="Times New Roman"/>
          <w:color w:val="111111"/>
          <w:sz w:val="28"/>
          <w:szCs w:val="28"/>
          <w:lang w:val="en-US"/>
        </w:rPr>
        <w:t>; what is meant by fisal (which means both separating and weaning)</w:t>
      </w:r>
      <w:r>
        <w:rPr>
          <w:rStyle w:val="FootnoteAnchor"/>
        </w:rPr>
        <w:footnoteReference w:id="100"/>
      </w:r>
      <w:r>
        <w:rPr>
          <w:rFonts w:eastAsia="Times New Roman" w:cs="Times New Roman" w:ascii="Times New Roman" w:hAnsi="Times New Roman"/>
          <w:color w:val="111111"/>
          <w:sz w:val="28"/>
          <w:szCs w:val="28"/>
          <w:lang w:val="en-US"/>
        </w:rPr>
        <w:t>in the above verse, is either separating the baby from its paternal next of kin, or simply weaning.</w:t>
      </w:r>
      <w:r>
        <w:rPr>
          <w:rStyle w:val="FootnoteAnchor"/>
        </w:rPr>
        <w:footnoteReference w:id="101"/>
      </w:r>
      <w:r>
        <w:rPr>
          <w:rFonts w:eastAsia="Times New Roman" w:cs="Times New Roman" w:ascii="Times New Roman" w:hAnsi="Times New Roman"/>
          <w:color w:val="111111"/>
          <w:sz w:val="28"/>
          <w:szCs w:val="28"/>
          <w:lang w:val="en-US"/>
        </w:rPr>
        <w:t>)Weaning the baby could mean that the baby starts eating food and is not being fed with milk or simply weaned from mother's milk, although it may be left with a foster suckling-mother to be breastfed.</w:t>
      </w:r>
      <w:r>
        <w:rPr>
          <w:rStyle w:val="FootnoteAnchor"/>
        </w:rPr>
        <w:footnoteReference w:id="102"/>
      </w:r>
      <w:r>
        <w:rPr>
          <w:rFonts w:eastAsia="Times New Roman" w:cs="Times New Roman" w:ascii="Times New Roman" w:hAnsi="Times New Roman"/>
          <w:color w:val="111111"/>
          <w:sz w:val="28"/>
          <w:szCs w:val="28"/>
          <w:lang w:val="en-US"/>
        </w:rPr>
        <w:t>)The term fisal in the above verse seems to mean fitam, and what is meant by fitam, as it is related in traditions, is weaning the baby from the mother's milk before the ending of two years (i.e., twenty-four months.</w:t>
      </w:r>
      <w:r>
        <w:rPr>
          <w:rStyle w:val="FootnoteAnchor"/>
        </w:rPr>
        <w:footnoteReference w:id="103"/>
      </w:r>
      <w:r>
        <w:rPr>
          <w:rFonts w:eastAsia="Times New Roman" w:cs="Times New Roman" w:ascii="Times New Roman" w:hAnsi="Times New Roman"/>
          <w:color w:val="111111"/>
          <w:sz w:val="28"/>
          <w:szCs w:val="28"/>
          <w:lang w:val="en-US"/>
        </w:rPr>
        <w:t>Since after two years there remains no obligation on anyone for breastfeeding to talk about separation</w:t>
      </w:r>
      <w:r>
        <w:rPr>
          <w:rStyle w:val="FootnoteAnchor"/>
        </w:rPr>
        <w:footnoteReference w:id="104"/>
      </w:r>
      <w:r>
        <w:rPr>
          <w:rFonts w:eastAsia="Times New Roman" w:cs="Times New Roman" w:ascii="Times New Roman" w:hAnsi="Times New Roman"/>
          <w:color w:val="111111"/>
          <w:sz w:val="28"/>
          <w:szCs w:val="28"/>
          <w:lang w:val="en-US"/>
        </w:rPr>
        <w:t>, for this reason claiming that the issue in question either is weaning the baby from milk, before or after two years, would be incorrect.)Having brought up the issue of weaning the baby, the Qur’an emphasizes, by statingwith mutual consent and consultationthat this weaning is to be consented and consulted by both parents.The requirement of the consent of the father and the mother (the heir and the mother is a factor restraining unilateral decision of each one of them on weaning the baby before two years.</w:t>
      </w:r>
      <w:r>
        <w:rPr>
          <w:rStyle w:val="FootnoteAnchor"/>
        </w:rPr>
        <w:footnoteReference w:id="105"/>
      </w:r>
      <w:r>
        <w:rPr>
          <w:rFonts w:eastAsia="Times New Roman" w:cs="Times New Roman" w:ascii="Times New Roman" w:hAnsi="Times New Roman"/>
          <w:color w:val="111111"/>
          <w:sz w:val="28"/>
          <w:szCs w:val="28"/>
          <w:lang w:val="en-US"/>
        </w:rPr>
        <w:t>)Consultation and conferring, from the viewpoint of the Qur’an, is among the qualifications for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weaning the baby. Nevertheless, whom should be conferred, the baby's parents or the parents and other people?The question arises since, when talking of consent (taradhin, Allah limits its range of application to the baby's father and mother by using the adverb minhuma (each one of them, translated here as mutual) and thus deems consent of others as unnecessary; however, when talking of consultation (tashawurin), He uses it without any adverb.)Some believe that not mentioning the adverb minhuma for consultation is simply due to the literary structure of the Arabic language, and for this reason, the parents can wean their baby after consent and consultation with each other.In contrast, some believe that not mentioning the adverb minhuma for consultation suggests that consultation is not restricted to the parents alone, rather it includes child nutrition specialists (specialized physicians, which indicates the significant role of conferring with specialists in the field of Islamic legislation.)Although there seems to be no basic difference between these two views, as the parents' consultation with one another is for the purpose of recognition of their own baby's interests and if they are not in a position to recognize it, they would naturally refer to child nutrition specialists and experts.Obviously, in both cases, whether the consulted party is the parent or another person, the consultation has to be directed towards the child's interests and benefits.</w:t>
      </w:r>
      <w:r>
        <w:rPr>
          <w:rStyle w:val="FootnoteAnchor"/>
        </w:rPr>
        <w:footnoteReference w:id="106"/>
      </w:r>
      <w:r>
        <w:rPr>
          <w:rFonts w:eastAsia="Times New Roman" w:cs="Times New Roman" w:ascii="Times New Roman" w:hAnsi="Times New Roman"/>
          <w:color w:val="111111"/>
          <w:sz w:val="28"/>
          <w:szCs w:val="28"/>
          <w:lang w:val="en-US"/>
        </w:rPr>
        <w:t>)Consultation following consent indicates that any agreement that is reached between the parents in this respect is not sufficient by itself. Since there is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possibility that both of them are benefiting from this agreement the father wishes to shun the financial burden, and the mother would like to live her personal life and get rid of the child's attachment to her.Thus, consent alone is not enough; rather, this consent has to be for the child's interests, which will be obtained through consultation to safeguard the child from any harm.</w:t>
      </w:r>
      <w:r>
        <w:rPr>
          <w:rStyle w:val="FootnoteAnchor"/>
        </w:rPr>
        <w:footnoteReference w:id="107"/>
      </w:r>
      <w:r>
        <w:rPr>
          <w:rFonts w:eastAsia="Times New Roman" w:cs="Times New Roman" w:ascii="Times New Roman" w:hAnsi="Times New Roman"/>
          <w:color w:val="111111"/>
          <w:sz w:val="28"/>
          <w:szCs w:val="28"/>
          <w:lang w:val="en-US"/>
        </w:rPr>
        <w:t>)It is clearly implied from what was said that weaning the baby needs to be consented by both parents and no one's view is preferable to the other. Therefore, giving priority to the mother in this respect and the father's being subject to the mother does not have a Qur’anic basis. However, it should be noted that the parents' consent and consultation for weaning the baby is permissible only after the baby has been breastfed for twenty one months, as it was stated before that observing the least length of time for breastfeeding the baby is obligatory. Therefore, fisal – as some claim</w:t>
      </w:r>
      <w:r>
        <w:rPr>
          <w:rStyle w:val="FootnoteAnchor"/>
        </w:rPr>
        <w:footnoteReference w:id="108"/>
      </w:r>
      <w:r>
        <w:rPr>
          <w:rFonts w:eastAsia="Times New Roman" w:cs="Times New Roman" w:ascii="Times New Roman" w:hAnsi="Times New Roman"/>
          <w:color w:val="111111"/>
          <w:sz w:val="28"/>
          <w:szCs w:val="28"/>
          <w:lang w:val="en-US"/>
        </w:rPr>
        <w:t>- cannot occur without time limit, rather it is applicable within the complementary period, which is between twenty one to twenty four months.</w:t>
      </w:r>
      <w:r>
        <w:rPr>
          <w:rStyle w:val="FootnoteAnchor"/>
        </w:rPr>
        <w:footnoteReference w:id="109"/>
      </w:r>
      <w:r>
        <w:rPr>
          <w:rFonts w:eastAsia="Times New Roman" w:cs="Times New Roman" w:ascii="Times New Roman" w:hAnsi="Times New Roman"/>
          <w:color w:val="111111"/>
          <w:sz w:val="28"/>
          <w:szCs w:val="28"/>
          <w:lang w:val="en-US"/>
        </w:rPr>
        <w:t>)### Leaving the Baby with a Foster Suckling-MotherSuckling the baby is among the problems of the children's life we face in almost all societies.There is no doubt that mother's milk is the best food for the child; however, despite the importance of this issue, there are mothers who for some problems are not able to breastfeed their child, or if they are, they are not willing to</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do so.The easiest way to solve this problem, which has since long ago been pursued by many, is to find a substitute for the mother and to leave the baby with the woman who is able to breastfeed.Taking care in choosing the suckling foster mother has been greatly emphasized in some Islamic sources, since breastfeeding the baby, besides providing for its nutritional needs, can have profound impact on its mind and soul:"Look who is breastfeeding your baby, as the baby nourishes with that [milk]."</w:t>
      </w:r>
      <w:r>
        <w:rPr>
          <w:rStyle w:val="FootnoteAnchor"/>
        </w:rPr>
        <w:footnoteReference w:id="110"/>
      </w:r>
      <w:r>
        <w:rPr>
          <w:rFonts w:eastAsia="Times New Roman" w:cs="Times New Roman" w:ascii="Times New Roman" w:hAnsi="Times New Roman"/>
          <w:color w:val="111111"/>
          <w:sz w:val="28"/>
          <w:szCs w:val="28"/>
          <w:lang w:val="en-US"/>
        </w:rPr>
        <w:t>)"As you select a woman for marriage, so also select women for breastfeeding your babies, for breastfeeding changes natural disposition.</w:t>
      </w:r>
      <w:r>
        <w:rPr>
          <w:rStyle w:val="FootnoteAnchor"/>
        </w:rPr>
        <w:footnoteReference w:id="111"/>
      </w:r>
      <w:r>
        <w:rPr>
          <w:rFonts w:eastAsia="Times New Roman" w:cs="Times New Roman" w:ascii="Times New Roman" w:hAnsi="Times New Roman"/>
          <w:color w:val="111111"/>
          <w:sz w:val="28"/>
          <w:szCs w:val="28"/>
          <w:lang w:val="en-US"/>
        </w:rPr>
        <w:t>)Therefore, it is quite natural that for selecting a foster suckling-mother, besides the ability to breastfeed, the legislator deems the other factors such as mental and physical health, chastity, and even outward beauty as effective:"I asked the Imam (A.S. whether it is appropriate to choose an adulterous woman for breastfeeding my child. The Imam (A.S.) said: Neither she nor her daughter is appropriate for such a task."</w:t>
      </w:r>
      <w:r>
        <w:rPr>
          <w:rStyle w:val="FootnoteAnchor"/>
        </w:rPr>
        <w:footnoteReference w:id="112"/>
      </w:r>
      <w:r>
        <w:rPr>
          <w:rFonts w:eastAsia="Times New Roman" w:cs="Times New Roman" w:ascii="Times New Roman" w:hAnsi="Times New Roman"/>
          <w:color w:val="111111"/>
          <w:sz w:val="28"/>
          <w:szCs w:val="28"/>
          <w:lang w:val="en-US"/>
        </w:rPr>
        <w:t>)"Do not choose a feeble-minded or bleary-eyed woman for breastfeeding your child, as milk transfers (the features."</w:t>
      </w:r>
      <w:r>
        <w:rPr>
          <w:rStyle w:val="FootnoteAnchor"/>
        </w:rPr>
        <w:footnoteReference w:id="113"/>
      </w:r>
      <w:r>
        <w:rPr>
          <w:rFonts w:eastAsia="Times New Roman" w:cs="Times New Roman" w:ascii="Times New Roman" w:hAnsi="Times New Roman"/>
          <w:color w:val="111111"/>
          <w:sz w:val="28"/>
          <w:szCs w:val="28"/>
          <w:lang w:val="en-US"/>
        </w:rPr>
        <w:t>)"Choose a good-looking woman for breastfeeding your child and beware of the ugly-faced woman, as milk transfers (the features."</w:t>
      </w:r>
      <w:r>
        <w:rPr>
          <w:rStyle w:val="FootnoteAnchor"/>
        </w:rPr>
        <w:footnoteReference w:id="114"/>
      </w:r>
      <w:r>
        <w:rPr>
          <w:rFonts w:eastAsia="Times New Roman" w:cs="Times New Roman" w:ascii="Times New Roman" w:hAnsi="Times New Roman"/>
          <w:color w:val="111111"/>
          <w:sz w:val="28"/>
          <w:szCs w:val="28"/>
          <w:lang w:val="en-US"/>
        </w:rPr>
        <w:t>)"It is upon you to choose a good-looking foster suckling-mother, as milk transfers (the features."</w:t>
      </w:r>
      <w:r>
        <w:rPr>
          <w:rStyle w:val="FootnoteAnchor"/>
        </w:rPr>
        <w:footnoteReference w:id="115"/>
      </w:r>
      <w:r>
        <w:rPr>
          <w:rFonts w:eastAsia="Times New Roman" w:cs="Times New Roman" w:ascii="Times New Roman" w:hAnsi="Times New Roman"/>
          <w:color w:val="111111"/>
          <w:sz w:val="28"/>
          <w:szCs w:val="28"/>
          <w:lang w:val="en-US"/>
        </w:rPr>
        <w:t>)It is understood that these traditions are not comparing the mother's milk with that of other than mother; they only introduce criteria for choosing foster suckling-mother, the effects of which would not be lasting.</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So, it is not implied from these traditions that a good-looking mother's milk is better than that of an ugly-faced mother. Particularly because according to some traditions, avoidance of choosing certain women as foster suckling-mothers is for the existence of other factors than milk in them.For example, it is related concerning not choosing a non-Muslim woman for breastfeeding a Muslim child:"I asked the Imam (A.S. whether it was appropriate for a Muslim man to choose a Jewish or Christian foster suckling-mother for his child, while they drink wine. The Imam (A.S.) said: When they breastfeed your babies, do not permit them to drink wine."</w:t>
      </w:r>
      <w:r>
        <w:rPr>
          <w:rStyle w:val="FootnoteAnchor"/>
        </w:rPr>
        <w:footnoteReference w:id="116"/>
      </w:r>
      <w:r>
        <w:rPr>
          <w:rFonts w:eastAsia="Times New Roman" w:cs="Times New Roman" w:ascii="Times New Roman" w:hAnsi="Times New Roman"/>
          <w:color w:val="111111"/>
          <w:sz w:val="28"/>
          <w:szCs w:val="28"/>
          <w:lang w:val="en-US"/>
        </w:rPr>
        <w:t>)The Holy Qur’an has examined the issue of hiring a foster suckling-mother for one's child in the following statement:And if you want to have your children wet nursed [hire a foster suckling-mother], there will be no sin upon you so long as you pay what you give in accordance with honorable norms.(2:233)The first question arising in respect to this Qur’anic statement is 'Who is this statement addressed to?'Some claim that it is addressed to parents; thus, leaving the child with a foster suckling-mother is possible when both parents share this intention.</w:t>
      </w:r>
      <w:r>
        <w:rPr>
          <w:rStyle w:val="FootnoteAnchor"/>
        </w:rPr>
        <w:footnoteReference w:id="117"/>
      </w:r>
      <w:r>
        <w:rPr>
          <w:rFonts w:eastAsia="Times New Roman" w:cs="Times New Roman" w:ascii="Times New Roman" w:hAnsi="Times New Roman"/>
          <w:color w:val="111111"/>
          <w:sz w:val="28"/>
          <w:szCs w:val="28"/>
          <w:lang w:val="en-US"/>
        </w:rPr>
        <w:t>)In contrast, some also maintain that God has given the right to hire a foster suckling-mother for the baby only to its parents, since the expenses of the child rest with the father.</w:t>
      </w:r>
      <w:r>
        <w:rPr>
          <w:rStyle w:val="FootnoteAnchor"/>
        </w:rPr>
        <w:footnoteReference w:id="118"/>
      </w:r>
      <w:r>
        <w:rPr>
          <w:rFonts w:eastAsia="Times New Roman" w:cs="Times New Roman" w:ascii="Times New Roman" w:hAnsi="Times New Roman"/>
          <w:color w:val="111111"/>
          <w:sz w:val="28"/>
          <w:szCs w:val="28"/>
          <w:lang w:val="en-US"/>
        </w:rPr>
        <w:t>)The afore-mentioned explanations clarify that the Qur’an has given the primary right to breastfeeding to the mother of the baby; therefore, leaving the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baby with a foster suckling-mother is permissible in case this right is not ignored. Thus, it is with the mother's consent and considering her priority that a foster suckling-mother can be hired.</w:t>
      </w:r>
      <w:r>
        <w:rPr>
          <w:rStyle w:val="FootnoteAnchor"/>
        </w:rPr>
        <w:footnoteReference w:id="119"/>
      </w:r>
      <w:r>
        <w:rPr>
          <w:rFonts w:eastAsia="Times New Roman" w:cs="Times New Roman" w:ascii="Times New Roman" w:hAnsi="Times New Roman"/>
          <w:color w:val="111111"/>
          <w:sz w:val="28"/>
          <w:szCs w:val="28"/>
          <w:lang w:val="en-US"/>
        </w:rPr>
        <w:t>Moreover, it is feasible when the mother is not able to breastfeed her baby due to illness, pregnancy, or lack of milk, or else, she would fail to do her duty as a mother for having married, demanding more wages, and so forth.</w:t>
      </w:r>
      <w:r>
        <w:rPr>
          <w:rStyle w:val="FootnoteAnchor"/>
        </w:rPr>
        <w:footnoteReference w:id="120"/>
      </w:r>
      <w:r>
        <w:rPr>
          <w:rFonts w:eastAsia="Times New Roman" w:cs="Times New Roman" w:ascii="Times New Roman" w:hAnsi="Times New Roman"/>
          <w:color w:val="111111"/>
          <w:sz w:val="28"/>
          <w:szCs w:val="28"/>
          <w:lang w:val="en-US"/>
        </w:rPr>
        <w:t>)With the statement,so long as you pay what you give in accordance with honorable norms, the Qur’an makes leaving the baby with a foster suckling-mother conditional on payment of the mother's due right.</w:t>
      </w:r>
      <w:r>
        <w:rPr>
          <w:rStyle w:val="FootnoteAnchor"/>
        </w:rPr>
        <w:footnoteReference w:id="121"/>
      </w:r>
      <w:r>
        <w:rPr>
          <w:rFonts w:eastAsia="Times New Roman" w:cs="Times New Roman" w:ascii="Times New Roman" w:hAnsi="Times New Roman"/>
          <w:color w:val="111111"/>
          <w:sz w:val="28"/>
          <w:szCs w:val="28"/>
          <w:lang w:val="en-US"/>
        </w:rPr>
        <w:t>The mother's inability to breastfeed or her unwillingness to do so, , does not allow the father to use it as a pretext to ignore her previous rights; rather, he is obliged to pay her wages thoroughly and in accordance with honorable norms up to the time she had breastfed her baby.</w:t>
      </w:r>
      <w:r>
        <w:rPr>
          <w:rStyle w:val="FootnoteAnchor"/>
        </w:rPr>
        <w:footnoteReference w:id="122"/>
      </w:r>
      <w:r>
        <w:rPr>
          <w:rFonts w:eastAsia="Times New Roman" w:cs="Times New Roman" w:ascii="Times New Roman" w:hAnsi="Times New Roman"/>
          <w:color w:val="111111"/>
          <w:sz w:val="28"/>
          <w:szCs w:val="28"/>
          <w:lang w:val="en-US"/>
        </w:rPr>
        <w:t>)## Part Two: A Study of the Legal Issues of Child Custody (Hidhanat)### Child Custody According to the Holy Qur’anIt was explained in part one that according to the teachings of the Qur’an the mother is obliged to breastfeed her baby up to twenty one months after its birth. It is clear, however, that besides feeding on milk, the baby needs certain caring to keep on nourishing; and this caring is to be performed, in normal circumstances, by someone who has the most emotional and physical relations with that baby.Talking about taking care of the child, which is called hidhanat (custody in juridical and legal texts, has since)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long ago been of interest to the Muslim scholars. In addition, because of its significance and the great role it plays in forming and adjusting socio-familial relationships, it has been examined in various chapters of legal books and the traditions of the infallible household of the Prophet (S.A.W..)Although the root word hadhana and its derivatives are not used in the Holy Qur’an, but the root kafala concerning the issue of child custody and providing for its needs have been brought up in two instances; one about the Prophet Moses (A.S. and the other for the Holy Mary (S.A.).)In the two suras of Surat Ta Ha and Surat al-Qasas, God mentions the story of Moses. When his mother put him afloat in an ark and Asiya, Pharaoh's wife, took him from the water, he rejected the breasts of the foster suckling-mothers. Afterward he was returned to his family as per her sister's advice:When your sister walked up [to Pharaoh’s palace] saying, "Shall I show you someone who will take care of him (yakfuluhu)?" Then We restored you to your mother, that she might be comforted and not grieve.</w:t>
      </w:r>
      <w:r>
        <w:rPr>
          <w:rStyle w:val="FootnoteAnchor"/>
        </w:rPr>
        <w:footnoteReference w:id="123"/>
      </w:r>
      <w:r>
        <w:rPr>
          <w:rFonts w:eastAsia="Times New Roman" w:cs="Times New Roman" w:ascii="Times New Roman" w:hAnsi="Times New Roman"/>
          <w:color w:val="111111"/>
          <w:sz w:val="28"/>
          <w:szCs w:val="28"/>
          <w:lang w:val="en-US"/>
        </w:rPr>
        <w:t xml:space="preserve">,)And We had forbidden him to be suckled by any nurse since before. So she said," Shall I show you a household that will take care of him (yakfulunahu) for you and will be his well-wishers? </w:t>
      </w:r>
      <w:r>
        <w:rPr>
          <w:rStyle w:val="FootnoteAnchor"/>
        </w:rPr>
        <w:footnoteReference w:id="124"/>
      </w:r>
      <w:r>
        <w:rPr>
          <w:rFonts w:eastAsia="Times New Roman" w:cs="Times New Roman" w:ascii="Times New Roman" w:hAnsi="Times New Roman"/>
          <w:color w:val="111111"/>
          <w:sz w:val="28"/>
          <w:szCs w:val="28"/>
          <w:lang w:val="en-US"/>
        </w:rPr>
        <w:t>)The motivation behind sending back Moses (A.S. to his family was to undertake his kifala (taking charge of his care), except that kifala in the first)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statement refers to one person and in the second to a group, i.e. the household of Moses (A.S..)Thus, by definition, kifala includes tasks that are partly done by the foster suckling-mother and partly by other people, or at least part of those tasks could be undertaken by others, which is clearly implied from the statementand will be his well-wishers.In Surat Al-i ʿImran, the holy Qur’an brings up the issue of taking charge of Mary's care (kifala by Zechariah. Having stated how ʿImran's wife dedicated to Him what was in her belly and the birth of Mary, Allah first emphasizes that Zechariah took charge of Mary's care:)Thereupon her Lord accepted her with a gracious acceptance, and made her grow up in a worthy fashion, and He charged Zechariah with her care..</w:t>
      </w:r>
      <w:r>
        <w:rPr>
          <w:rStyle w:val="FootnoteAnchor"/>
        </w:rPr>
        <w:footnoteReference w:id="125"/>
      </w:r>
      <w:r>
        <w:rPr>
          <w:rFonts w:eastAsia="Times New Roman" w:cs="Times New Roman" w:ascii="Times New Roman" w:hAnsi="Times New Roman"/>
          <w:color w:val="111111"/>
          <w:sz w:val="28"/>
          <w:szCs w:val="28"/>
          <w:lang w:val="en-US"/>
        </w:rPr>
        <w:t>)Then He mentions that charging him with her care has been determined by casting lots:These accounts are from the Unseen, which We reveal to you, and you were not with them when they were casting lots [to see] which of them would take charge of Mary's care (yakfulu), nor were you with them when they were contending.</w:t>
      </w:r>
      <w:r>
        <w:rPr>
          <w:rStyle w:val="FootnoteAnchor"/>
        </w:rPr>
        <w:footnoteReference w:id="126"/>
      </w:r>
      <w:r>
        <w:rPr>
          <w:rFonts w:eastAsia="Times New Roman" w:cs="Times New Roman" w:ascii="Times New Roman" w:hAnsi="Times New Roman"/>
          <w:color w:val="111111"/>
          <w:sz w:val="28"/>
          <w:szCs w:val="28"/>
          <w:lang w:val="en-US"/>
        </w:rPr>
        <w:t>)Choosing a guardian (kafil by casting lots denotes a disagreement existing between Zechariah and the dignitaries of Bani Israʿil, which the Qur’an points out with surprise. A disagreement that can be an outcome of everybody's desire to take charge of Mary's care, as it can be due to everyone's unwillingness to do so, as well. In the former case, Mary's moral-spiritual)</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merits and certain familial and social considerations lead to casting lots and in the latter case, the adverse economical conditions caused by draught prompted it.</w:t>
      </w:r>
      <w:r>
        <w:rPr>
          <w:rStyle w:val="FootnoteAnchor"/>
        </w:rPr>
        <w:footnoteReference w:id="127"/>
      </w:r>
      <w:r>
        <w:rPr>
          <w:rFonts w:eastAsia="Times New Roman" w:cs="Times New Roman" w:ascii="Times New Roman" w:hAnsi="Times New Roman"/>
          <w:color w:val="111111"/>
          <w:sz w:val="28"/>
          <w:szCs w:val="28"/>
          <w:lang w:val="en-US"/>
        </w:rPr>
        <w:t>)Three possibilities have been brought up in exegetical texts as to when the disagreement over Mary's guardianship occurred.a Upon her birth and being handed over to the mosque by her mother in order to fulfill her vow.)b While she became an orphan as she lost her parents.)c While she reached maturity and Zechariah's inability to provide for her livelihood.</w:t>
      </w:r>
      <w:r>
        <w:rPr>
          <w:rStyle w:val="FootnoteAnchor"/>
        </w:rPr>
        <w:footnoteReference w:id="128"/>
      </w:r>
      <w:r>
        <w:rPr>
          <w:rFonts w:eastAsia="Times New Roman" w:cs="Times New Roman" w:ascii="Times New Roman" w:hAnsi="Times New Roman"/>
          <w:color w:val="111111"/>
          <w:sz w:val="28"/>
          <w:szCs w:val="28"/>
          <w:lang w:val="en-US"/>
        </w:rPr>
        <w:t>)It is clearly understood from what was said above that kifala (guardianship, at least in its Qur’anic application, is used in a more inclusive meaning than child custody. Kifala in this usage includes all aspects of a human being ranging from breastfeeding to provision for his/her living expenses and caretaking without any time limitation; but custody does not enjoy such comprehensiveness, as will be explained in the following chapters.)### Preliminary DiscussionsThe term hidhana in Arabic is derived from the root hadhana. In Arabic hadhana means "the distance between the armpits to the loins", "the chest and the two arms and what includes in between", that can be summed up as "embrace".Accordingly, hidhana, which can grammatically be either infinitive or noun</w:t>
      </w:r>
      <w:r>
        <w:rPr>
          <w:rStyle w:val="FootnoteAnchor"/>
        </w:rPr>
        <w:footnoteReference w:id="129"/>
      </w:r>
      <w:r>
        <w:rPr>
          <w:rFonts w:eastAsia="Times New Roman" w:cs="Times New Roman" w:ascii="Times New Roman" w:hAnsi="Times New Roman"/>
          <w:color w:val="111111"/>
          <w:sz w:val="28"/>
          <w:szCs w:val="28"/>
          <w:lang w:val="en-US"/>
        </w:rPr>
        <w:t>, means, "to clasp the baby to one's breast", "to nurture the baby", "to embrace the baby", which can be viewed as a synonym to "nursing" and "wet nursing".</w:t>
      </w:r>
      <w:r>
        <w:rPr>
          <w:rStyle w:val="FootnoteAnchor"/>
        </w:rPr>
        <w:footnoteReference w:id="130"/>
      </w:r>
      <w:r>
        <w:rPr>
          <w:rFonts w:eastAsia="Times New Roman" w:cs="Times New Roman" w:ascii="Times New Roman" w:hAnsi="Times New Roman"/>
          <w:color w:val="111111"/>
          <w:sz w:val="28"/>
          <w:szCs w:val="28"/>
          <w:lang w:val="en-US"/>
        </w:rPr>
        <w:t>)In Islamic jurisprudence, hidhana is used in its lexical meaning</w:t>
      </w:r>
      <w:r>
        <w:rPr>
          <w:rStyle w:val="FootnoteAnchor"/>
        </w:rPr>
        <w:footnoteReference w:id="131"/>
      </w:r>
      <w:r>
        <w:rPr>
          <w:rFonts w:eastAsia="Times New Roman" w:cs="Times New Roman" w:ascii="Times New Roman" w:hAnsi="Times New Roman"/>
          <w:color w:val="111111"/>
          <w:sz w:val="28"/>
          <w:szCs w:val="28"/>
          <w:lang w:val="en-US"/>
        </w:rPr>
        <w:t>and it does not have a new meaning (legal reality))</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some believe. Thus, using the word wilaya in the meaning of "guardianship" for the definition of hidhana</w:t>
      </w:r>
      <w:r>
        <w:rPr>
          <w:rStyle w:val="FootnoteAnchor"/>
        </w:rPr>
        <w:footnoteReference w:id="132"/>
      </w:r>
      <w:r>
        <w:rPr>
          <w:rFonts w:eastAsia="Times New Roman" w:cs="Times New Roman" w:ascii="Times New Roman" w:hAnsi="Times New Roman"/>
          <w:color w:val="111111"/>
          <w:sz w:val="28"/>
          <w:szCs w:val="28"/>
          <w:lang w:val="en-US"/>
        </w:rPr>
        <w:t>would not be correct.)Among the issues open to discussion about custody is whether it is a right or a decree. Some believe that religious laws (legal fabrications are divisible into right and decree, the most important difference of which is in transferability of their use to others; and also the possibility of refusing to use it (isqat = relinquishment) in case it is a right and the impossibility to do so in case it is a decree.</w:t>
      </w:r>
      <w:r>
        <w:rPr>
          <w:rStyle w:val="FootnoteAnchor"/>
        </w:rPr>
        <w:footnoteReference w:id="133"/>
      </w:r>
      <w:r>
        <w:rPr>
          <w:rFonts w:eastAsia="Times New Roman" w:cs="Times New Roman" w:ascii="Times New Roman" w:hAnsi="Times New Roman"/>
          <w:color w:val="111111"/>
          <w:sz w:val="28"/>
          <w:szCs w:val="28"/>
          <w:lang w:val="en-US"/>
        </w:rPr>
        <w:t>)If we accept that transferability and relinquishment are two basic features of right, then it is argued whether child custody is a right or a decree.To those who believe custody is a kind of guardianship (wilaya, it is a decree, for wilaya is among the granted legal decrees which are removed or devised by the grantor or legislator and the one who is religiously accountable (mukallaf) has no option in fabricating or not fabricating them; consequently, neither of the parents can refuse to accept it.)However, those who do not regard wilaya as valid in the concept of custody, naturally view it as among the rights; as a result either of the parents would be permissible to refuse to take care of the child (accept its custody.</w:t>
      </w:r>
      <w:r>
        <w:rPr>
          <w:rStyle w:val="FootnoteAnchor"/>
        </w:rPr>
        <w:footnoteReference w:id="134"/>
      </w:r>
      <w:r>
        <w:rPr>
          <w:rFonts w:eastAsia="Times New Roman" w:cs="Times New Roman" w:ascii="Times New Roman" w:hAnsi="Times New Roman"/>
          <w:color w:val="111111"/>
          <w:sz w:val="28"/>
          <w:szCs w:val="28"/>
          <w:lang w:val="en-US"/>
        </w:rPr>
        <w:t>)To our opinion, even if we regard custody to be among the rights, no conclusion can be made from it for the permissibility to refuse to put it into action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all cases; for, right is divisible in one aspect into two types of natural-innate and entrusted.The entrusted right is an authority given to a person by law and perhaps it can be viewed as synonym to "sovereignty"; natural right, however, is one genetically enjoyed by everybody without requiring any legal authority, like right to freedom.Accordingly, undertaking a person's custody takes place in one of the following two ways: 1. Genetic (natural and 2. Legislative (granted); for, in some cases, one's genetic relationship with another person in itself is sufficient to undertake their custody, but in some other cases, one has to be permitted to take over a task or someone's affairs.)For example, every human being undertakes their own affairs because of their innate authority over themselves without needing anything or anyone in this authority; in contrast, however, if they wish to interfere in others' lives and undertake to manage them, they have to have permission for it.</w:t>
      </w:r>
      <w:r>
        <w:rPr>
          <w:rStyle w:val="FootnoteAnchor"/>
        </w:rPr>
        <w:footnoteReference w:id="135"/>
      </w:r>
      <w:r>
        <w:rPr>
          <w:rFonts w:eastAsia="Times New Roman" w:cs="Times New Roman" w:ascii="Times New Roman" w:hAnsi="Times New Roman"/>
          <w:color w:val="111111"/>
          <w:sz w:val="28"/>
          <w:szCs w:val="28"/>
          <w:lang w:val="en-US"/>
        </w:rPr>
        <w:t>)In cases where the custody of parents is concerned, mention is made of a natural-genetic right that is created as soon as a filial relationship is realized.Naturally, such a right cannot be relinquished so much as the genetic relationship between the child and its parents cannot be relinquished, especially if we remember that custody is a reciprocal right. On one side is the child and on the other either the father or mother. On one hand if the child is not protected, it would fall prey to annihilation – so the parents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are obliged to protect and support their child, and on the other hand, the realization of father-child or mother-child relationship itself necessitates the parents and not other people to undertake their child's care.Therefore, it is incumbent on the parents to fulfill their duties in this respect and they are not allowed to shun this responsibility, for failure in this case would inflict serious harms on the child.</w:t>
      </w:r>
      <w:r>
        <w:rPr>
          <w:rStyle w:val="FootnoteAnchor"/>
        </w:rPr>
        <w:footnoteReference w:id="136"/>
      </w:r>
      <w:r>
        <w:rPr>
          <w:rFonts w:eastAsia="Times New Roman" w:cs="Times New Roman" w:ascii="Times New Roman" w:hAnsi="Times New Roman"/>
          <w:color w:val="111111"/>
          <w:sz w:val="28"/>
          <w:szCs w:val="28"/>
          <w:lang w:val="en-US"/>
        </w:rPr>
        <w:t>)However, as we will explain in the following chapters, besides the parents and the child's blood relatives who naturally undertake the child's custody; there are other people who can undertake this task, such as a person who by specific conditions can undertake the custody of abandoned babies.Although picking up abandoned babies from public passageways (iltiqat is a collective obligation, by leaving the baby to the finder of the baby or any other person through the organizations which are authorized to make decisions about such a baby, that person is privileged (permitted) to undertake the baby's custody.)This privilege or right is a legal right according to which God has given the person the responsibility of taking care of a baby and that person has the right to relinquish or transfer it to others. As he can discontinue his cooperation in this respect or due to losing the competence for taking care of the baby the right to custody is taken back from them.Finally, it is concluded from all the traditions related from the Infallible Imams (A.S. that from the viewpoint of Islamic law, taking care)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the child is the father's main responsibility; although at a juncture this responsibility is transferred to someone else such as the mother. In all the traditions dealing with the mother's entitlement (precedence to the custody of the child, it is stressed that the mother's priority is temporary and at a certain due time, it is nullified.</w:t>
      </w:r>
      <w:r>
        <w:rPr>
          <w:rStyle w:val="FootnoteAnchor"/>
        </w:rPr>
        <w:footnoteReference w:id="137"/>
      </w:r>
      <w:r>
        <w:rPr>
          <w:rFonts w:eastAsia="Times New Roman" w:cs="Times New Roman" w:ascii="Times New Roman" w:hAnsi="Times New Roman"/>
          <w:color w:val="111111"/>
          <w:sz w:val="28"/>
          <w:szCs w:val="28"/>
          <w:lang w:val="en-US"/>
        </w:rPr>
        <w:t>Nevertheless, the traditions stating the father's status mention his priority and entitlement (precedence) without any limitation or determining a specific due time and as an inclusive law (a man is more entitled than a woman to his child's custody ecause of his status as a father).</w:t>
      </w:r>
      <w:r>
        <w:rPr>
          <w:rStyle w:val="FootnoteAnchor"/>
        </w:rPr>
        <w:footnoteReference w:id="138"/>
      </w:r>
      <w:r>
        <w:rPr>
          <w:rFonts w:eastAsia="Times New Roman" w:cs="Times New Roman" w:ascii="Times New Roman" w:hAnsi="Times New Roman"/>
          <w:color w:val="111111"/>
          <w:sz w:val="28"/>
          <w:szCs w:val="28"/>
          <w:lang w:val="en-US"/>
        </w:rPr>
        <w:t>)### Stages of Child Custody#### pointThe issue of child custody is examinable in two stages: the infancy and afterwards; or, in other words, before and after two years of age.It is evident that the issue of custody and who should undertake this responsibility is brought up when the parents have been separated; but in case of continued matrimony, this issue is out of discussion because the parents cooperate in taking care of their child.#### 1. Child Custody before the Age of Two##### pointSome jurists believe that the custody of a child before the age of two is to be undertaken by the mother</w:t>
      </w:r>
      <w:r>
        <w:rPr>
          <w:rStyle w:val="FootnoteAnchor"/>
        </w:rPr>
        <w:footnoteReference w:id="139"/>
      </w:r>
      <w:r>
        <w:rPr>
          <w:rFonts w:eastAsia="Times New Roman" w:cs="Times New Roman" w:ascii="Times New Roman" w:hAnsi="Times New Roman"/>
          <w:color w:val="111111"/>
          <w:sz w:val="28"/>
          <w:szCs w:val="28"/>
          <w:lang w:val="en-US"/>
        </w:rPr>
        <w:t>; others believe that the custody of the child is upon both parents, even though they are separated.</w:t>
      </w:r>
      <w:r>
        <w:rPr>
          <w:rStyle w:val="FootnoteAnchor"/>
        </w:rPr>
        <w:footnoteReference w:id="140"/>
      </w:r>
      <w:r>
        <w:rPr>
          <w:rFonts w:eastAsia="Times New Roman" w:cs="Times New Roman" w:ascii="Times New Roman" w:hAnsi="Times New Roman"/>
          <w:color w:val="111111"/>
          <w:sz w:val="28"/>
          <w:szCs w:val="28"/>
          <w:lang w:val="en-US"/>
        </w:rPr>
        <w:t>)Despite certain arguments</w:t>
      </w:r>
      <w:r>
        <w:rPr>
          <w:rStyle w:val="FootnoteAnchor"/>
        </w:rPr>
        <w:footnoteReference w:id="141"/>
      </w:r>
      <w:r>
        <w:rPr>
          <w:rFonts w:eastAsia="Times New Roman" w:cs="Times New Roman" w:ascii="Times New Roman" w:hAnsi="Times New Roman"/>
          <w:color w:val="111111"/>
          <w:sz w:val="28"/>
          <w:szCs w:val="28"/>
          <w:lang w:val="en-US"/>
        </w:rPr>
        <w:t>, the most significant reason that the proponents of both views present is the traditions related from the Infallible Imams in Islamic sources.)Regarding their content, these traditions are divisible into three categories:1. Partnership of both parents in child custody (the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tradition related by Dawud b. Husayn.</w:t>
      </w:r>
      <w:r>
        <w:rPr>
          <w:rStyle w:val="FootnoteAnchor"/>
        </w:rPr>
        <w:footnoteReference w:id="142"/>
      </w:r>
      <w:r>
        <w:rPr>
          <w:rFonts w:eastAsia="Times New Roman" w:cs="Times New Roman" w:ascii="Times New Roman" w:hAnsi="Times New Roman"/>
          <w:color w:val="111111"/>
          <w:sz w:val="28"/>
          <w:szCs w:val="28"/>
          <w:lang w:val="en-US"/>
        </w:rPr>
        <w:t>)2. Child custody as exclusive to the mother: Viewing the mother as more deserving (ahaqq = more rightful towards her child, these traditions state this priority sometimes in respect to breastfeeding</w:t>
      </w:r>
      <w:r>
        <w:rPr>
          <w:rStyle w:val="FootnoteAnchor"/>
        </w:rPr>
        <w:footnoteReference w:id="143"/>
      </w:r>
      <w:r>
        <w:rPr>
          <w:rFonts w:eastAsia="Times New Roman" w:cs="Times New Roman" w:ascii="Times New Roman" w:hAnsi="Times New Roman"/>
          <w:color w:val="111111"/>
          <w:sz w:val="28"/>
          <w:szCs w:val="28"/>
          <w:lang w:val="en-US"/>
        </w:rPr>
        <w:t>and at other times irrespective of it.</w:t>
      </w:r>
      <w:r>
        <w:rPr>
          <w:rStyle w:val="FootnoteAnchor"/>
        </w:rPr>
        <w:footnoteReference w:id="144"/>
      </w:r>
      <w:r>
        <w:rPr>
          <w:rFonts w:eastAsia="Times New Roman" w:cs="Times New Roman" w:ascii="Times New Roman" w:hAnsi="Times New Roman"/>
          <w:color w:val="111111"/>
          <w:sz w:val="28"/>
          <w:szCs w:val="28"/>
          <w:lang w:val="en-US"/>
        </w:rPr>
        <w:t>As a result, some jurists argue that the lack of reference to the object of this priority (omission of the dependent – mutaʿallaq) denotes the generality of mother's priority in the custody of her child. Moreover, they claim the correlation between breastfeeding (ridhaʿ) and child custody (hidhanat) have implied that during the breastfeeding period the child custody rests with the mother.</w:t>
      </w:r>
      <w:r>
        <w:rPr>
          <w:rStyle w:val="FootnoteAnchor"/>
        </w:rPr>
        <w:footnoteReference w:id="145"/>
      </w:r>
      <w:r>
        <w:rPr>
          <w:rFonts w:eastAsia="Times New Roman" w:cs="Times New Roman" w:ascii="Times New Roman" w:hAnsi="Times New Roman"/>
          <w:color w:val="111111"/>
          <w:sz w:val="28"/>
          <w:szCs w:val="28"/>
          <w:lang w:val="en-US"/>
        </w:rPr>
        <w:t>)3. Child custody as Exclusive to the mother (absoluteness of the tradition is related by Ibn ʿAbbas and Fudhayl b. Yasar.</w:t>
      </w:r>
      <w:r>
        <w:rPr>
          <w:rStyle w:val="FootnoteAnchor"/>
        </w:rPr>
        <w:footnoteReference w:id="146"/>
      </w:r>
      <w:r>
        <w:rPr>
          <w:rFonts w:eastAsia="Times New Roman" w:cs="Times New Roman" w:ascii="Times New Roman" w:hAnsi="Times New Roman"/>
          <w:color w:val="111111"/>
          <w:sz w:val="28"/>
          <w:szCs w:val="28"/>
          <w:lang w:val="en-US"/>
        </w:rPr>
        <w:t>)##### Survey and Summation of the NarrationsThe first group of the traditions, including that of Dawud b. Husayn, is reliable in sanad (chain of transmission. This tradition in itself includes all parents, either divorced or still in marriage bond, and denotes that taking care of the child in its first two years of life, i.e., infancy, is upon both the parents who share this task together.)However, it must be noted that, as an explanation of the statement of the verse 233 of Surat al-Baqara:Mothers shall breastfeed their children for two full years, the Imam (A.S. has uttered the statement "So long as the baby is suckling, its custody is equally shared between the parents". In addition, we said previously that this verse suggests that after separation from their husbands, the mothers)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are obliged to breastfeed their babies for two full years if their husbands ask them to do so, and that the babies can be weaned before two years only if the parents make such decision by mutual consent and consultation.Therefore, the phrase "equally shared between the parents" is derived from the statementwith mutual consent and consultationand has nothing to do with the issue of hidhanat (custody</w:t>
      </w:r>
      <w:r>
        <w:rPr>
          <w:rStyle w:val="FootnoteAnchor"/>
        </w:rPr>
        <w:footnoteReference w:id="147"/>
      </w:r>
      <w:r>
        <w:rPr>
          <w:rFonts w:eastAsia="Times New Roman" w:cs="Times New Roman" w:ascii="Times New Roman" w:hAnsi="Times New Roman"/>
          <w:color w:val="111111"/>
          <w:sz w:val="28"/>
          <w:szCs w:val="28"/>
          <w:lang w:val="en-US"/>
        </w:rPr>
        <w:t>, thereby none of the objections raised against the sanad or evidentiary proof of this tradition by some jurists would be valid.</w:t>
      </w:r>
      <w:r>
        <w:rPr>
          <w:rStyle w:val="FootnoteAnchor"/>
        </w:rPr>
        <w:footnoteReference w:id="148"/>
      </w:r>
      <w:r>
        <w:rPr>
          <w:rFonts w:eastAsia="Times New Roman" w:cs="Times New Roman" w:ascii="Times New Roman" w:hAnsi="Times New Roman"/>
          <w:color w:val="111111"/>
          <w:sz w:val="28"/>
          <w:szCs w:val="28"/>
          <w:lang w:val="en-US"/>
        </w:rPr>
        <w:t>)From among the second group of traditions, although varied in type, only the tradition related by Ayyub b. Nuh via Shaykh al-Saduq is valid in its chain of transmission. The content of which denotes the mother's priority in the custody (hidhanat of her child up to the age of seven.)Ayyub b. Nuh's tradition has constrained the absoluteness of the third group traditions, i.e. the traditions related by Abi al-ʿAbbas and Fudhayl b. Yasar which denote the father's priority in the custody of his child. The above would sum up to the fact that during the first two years of the child's life (i.e., infancy the mother is superior over the father in taking care of the child.</w:t>
      </w:r>
      <w:r>
        <w:rPr>
          <w:rStyle w:val="FootnoteAnchor"/>
        </w:rPr>
        <w:footnoteReference w:id="149"/>
      </w:r>
      <w:r>
        <w:rPr>
          <w:rFonts w:eastAsia="Times New Roman" w:cs="Times New Roman" w:ascii="Times New Roman" w:hAnsi="Times New Roman"/>
          <w:color w:val="111111"/>
          <w:sz w:val="28"/>
          <w:szCs w:val="28"/>
          <w:lang w:val="en-US"/>
        </w:rPr>
        <w:t>)It is worth mentioning that in order to be able to undertake the custody of her child; the mother has to meet certain qualifications that will be talked about later on.</w:t>
      </w:r>
      <w:r>
        <w:rPr>
          <w:rStyle w:val="FootnoteAnchor"/>
        </w:rPr>
        <w:footnoteReference w:id="150"/>
      </w:r>
      <w:r>
        <w:rPr>
          <w:rFonts w:eastAsia="Times New Roman" w:cs="Times New Roman" w:ascii="Times New Roman" w:hAnsi="Times New Roman"/>
          <w:color w:val="111111"/>
          <w:sz w:val="28"/>
          <w:szCs w:val="28"/>
          <w:lang w:val="en-US"/>
        </w:rPr>
        <w:t>)It is to be noted that a child can be turned over to its mother to</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 taken care of (custody during its first two years of life (infancy) as long as the mother consents to breastfeed her child. However, if she rejects to do so, the father is permitted to hire a foster suckling-mother for the child and take it away from its mother;</w:t>
      </w:r>
      <w:r>
        <w:rPr>
          <w:rStyle w:val="FootnoteAnchor"/>
        </w:rPr>
        <w:footnoteReference w:id="151"/>
      </w:r>
      <w:r>
        <w:rPr>
          <w:rFonts w:eastAsia="Times New Roman" w:cs="Times New Roman" w:ascii="Times New Roman" w:hAnsi="Times New Roman"/>
          <w:color w:val="111111"/>
          <w:sz w:val="28"/>
          <w:szCs w:val="28"/>
          <w:lang w:val="en-US"/>
        </w:rPr>
        <w:t>because, as mentioned above, taking care of the child (its custody) is upon the father and the mother would take up this responsibility for a limited period due to a specific reason. Transfer of custody to the mother is sure to occur when the mother breastfeeds her child for free or for a wage equal to that demanded by others; otherwise, the principle of non-transfer of child custody to the mother is in effect.</w:t>
      </w:r>
      <w:r>
        <w:rPr>
          <w:rStyle w:val="FootnoteAnchor"/>
        </w:rPr>
        <w:footnoteReference w:id="152"/>
      </w:r>
      <w:r>
        <w:rPr>
          <w:rFonts w:eastAsia="Times New Roman" w:cs="Times New Roman" w:ascii="Times New Roman" w:hAnsi="Times New Roman"/>
          <w:color w:val="111111"/>
          <w:sz w:val="28"/>
          <w:szCs w:val="28"/>
          <w:lang w:val="en-US"/>
        </w:rPr>
        <w:t>)#### 2. Child Custody after the Age of twoOnce the infancy period is over while the parents have separated, who should undertake the custody of the child?Answer to this question can be examined in the form of three hypotheses:2. 1. The parents being alive: In case the parents are divorced and are both alive, there are various views stated by the jurists on the custody of the child in terms of its gender. The most important is the priority of the mother in the custody of a son up to the age of two and a daughter up to the age of seven. To prove this as agreed by all jurists (consensus, reference has been made to the reconciliation of the traditions and preference of the traditions denoting seven years of age;</w:t>
      </w:r>
      <w:r>
        <w:rPr>
          <w:rStyle w:val="FootnoteAnchor"/>
        </w:rPr>
        <w:footnoteReference w:id="153"/>
      </w:r>
      <w:r>
        <w:rPr>
          <w:rFonts w:eastAsia="Times New Roman" w:cs="Times New Roman" w:ascii="Times New Roman" w:hAnsi="Times New Roman"/>
          <w:color w:val="111111"/>
          <w:sz w:val="28"/>
          <w:szCs w:val="28"/>
          <w:lang w:val="en-US"/>
        </w:rPr>
        <w:t>of course, none of)</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these reasons are sufficient to prove it and the differentiation between a son and a daughter concerning custody does not seem right.</w:t>
      </w:r>
      <w:r>
        <w:rPr>
          <w:rStyle w:val="FootnoteAnchor"/>
        </w:rPr>
        <w:footnoteReference w:id="154"/>
      </w:r>
      <w:r>
        <w:rPr>
          <w:rFonts w:eastAsia="Times New Roman" w:cs="Times New Roman" w:ascii="Times New Roman" w:hAnsi="Times New Roman"/>
          <w:color w:val="111111"/>
          <w:sz w:val="28"/>
          <w:szCs w:val="28"/>
          <w:lang w:val="en-US"/>
        </w:rPr>
        <w:t>)As stated previously, the custody of the child, although after being weaned, is the main responsibility of the father; however, the mother is also given the right to undertake this responsibility up to the age of seven if she wishes so irrespective of the child's gender.</w:t>
      </w:r>
      <w:r>
        <w:rPr>
          <w:rStyle w:val="FootnoteAnchor"/>
        </w:rPr>
        <w:footnoteReference w:id="155"/>
      </w:r>
      <w:r>
        <w:rPr>
          <w:rFonts w:eastAsia="Times New Roman" w:cs="Times New Roman" w:ascii="Times New Roman" w:hAnsi="Times New Roman"/>
          <w:color w:val="111111"/>
          <w:sz w:val="28"/>
          <w:szCs w:val="28"/>
          <w:lang w:val="en-US"/>
        </w:rPr>
        <w:t>)The best evidence for proving this view is the tradition related by Ayyub b. Nuh, which explicitly states: "The woman is more deserved to [take care of] her child until it reaches seven, unless she wishes otherwise."</w:t>
      </w:r>
      <w:r>
        <w:rPr>
          <w:rStyle w:val="FootnoteAnchor"/>
        </w:rPr>
        <w:footnoteReference w:id="156"/>
      </w:r>
      <w:r>
        <w:rPr>
          <w:rFonts w:eastAsia="Times New Roman" w:cs="Times New Roman" w:ascii="Times New Roman" w:hAnsi="Times New Roman"/>
          <w:color w:val="111111"/>
          <w:sz w:val="28"/>
          <w:szCs w:val="28"/>
          <w:lang w:val="en-US"/>
        </w:rPr>
        <w:t>It is obvious that this statement can constrain the absoluteness of the tradition related by Dawud, the tradition related by Abi al-ʿAbbass and the one related by Fudhayl b. Yasar</w:t>
      </w:r>
      <w:r>
        <w:rPr>
          <w:rStyle w:val="FootnoteAnchor"/>
        </w:rPr>
        <w:footnoteReference w:id="157"/>
      </w:r>
      <w:r>
        <w:rPr>
          <w:rFonts w:eastAsia="Times New Roman" w:cs="Times New Roman" w:ascii="Times New Roman" w:hAnsi="Times New Roman"/>
          <w:color w:val="111111"/>
          <w:sz w:val="28"/>
          <w:szCs w:val="28"/>
          <w:lang w:val="en-US"/>
        </w:rPr>
        <w:t>denoting the father's priority, and regard his right as authorized after the age of seven.</w:t>
      </w:r>
      <w:r>
        <w:rPr>
          <w:rStyle w:val="FootnoteAnchor"/>
        </w:rPr>
        <w:footnoteReference w:id="158"/>
      </w:r>
      <w:r>
        <w:rPr>
          <w:rFonts w:eastAsia="Times New Roman" w:cs="Times New Roman" w:ascii="Times New Roman" w:hAnsi="Times New Roman"/>
          <w:color w:val="111111"/>
          <w:sz w:val="28"/>
          <w:szCs w:val="28"/>
          <w:lang w:val="en-US"/>
        </w:rPr>
        <w:t>)2. 2. Either of the parents being alive: In case the mother dies while undertaking the custody of her child (to the age of seven, the responsibility of the child custody will be transferred to the father.</w:t>
      </w:r>
      <w:r>
        <w:rPr>
          <w:rStyle w:val="FootnoteAnchor"/>
        </w:rPr>
        <w:footnoteReference w:id="159"/>
      </w:r>
      <w:r>
        <w:rPr>
          <w:rFonts w:eastAsia="Times New Roman" w:cs="Times New Roman" w:ascii="Times New Roman" w:hAnsi="Times New Roman"/>
          <w:color w:val="111111"/>
          <w:sz w:val="28"/>
          <w:szCs w:val="28"/>
          <w:lang w:val="en-US"/>
        </w:rPr>
        <w:t>Since the child custody – as it was said before – is the responsibility of the father and it is transferred to the mother for seven years in case she desires so; therefore, the father has priority over others in his child's custody. The possibility of transferring this privilege to the child's maternal grandmother – as Ibn Barraj has asserted – does not sound correct.</w:t>
      </w:r>
      <w:r>
        <w:rPr>
          <w:rStyle w:val="FootnoteAnchor"/>
        </w:rPr>
        <w:footnoteReference w:id="160"/>
      </w:r>
      <w:r>
        <w:rPr>
          <w:rFonts w:eastAsia="Times New Roman" w:cs="Times New Roman" w:ascii="Times New Roman" w:hAnsi="Times New Roman"/>
          <w:color w:val="111111"/>
          <w:sz w:val="28"/>
          <w:szCs w:val="28"/>
          <w:lang w:val="en-US"/>
        </w:rPr>
        <w:t>)However, if</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father dies, there is no doubt that the mother would undertake the custody of the child up to the age of seven. However, who should take care of the child after this age?Some jurists have mentioned the restoration of custody to the mother and have invoked the versethe blood relatives are more entitled to inherit from one another in the Book of Allah.</w:t>
      </w:r>
      <w:r>
        <w:rPr>
          <w:rStyle w:val="FootnoteAnchor"/>
        </w:rPr>
        <w:footnoteReference w:id="161"/>
      </w:r>
      <w:r>
        <w:rPr>
          <w:rFonts w:eastAsia="Times New Roman" w:cs="Times New Roman" w:ascii="Times New Roman" w:hAnsi="Times New Roman"/>
          <w:color w:val="111111"/>
          <w:sz w:val="28"/>
          <w:szCs w:val="28"/>
          <w:lang w:val="en-US"/>
        </w:rPr>
        <w:t>and the verse)neither the mother shall be made to suffer harm on her child's account, nor the father on account of his child.</w:t>
      </w:r>
      <w:r>
        <w:rPr>
          <w:rStyle w:val="FootnoteAnchor"/>
        </w:rPr>
        <w:footnoteReference w:id="162"/>
      </w:r>
      <w:r>
        <w:rPr>
          <w:rFonts w:eastAsia="Times New Roman" w:cs="Times New Roman" w:ascii="Times New Roman" w:hAnsi="Times New Roman"/>
          <w:color w:val="111111"/>
          <w:sz w:val="28"/>
          <w:szCs w:val="28"/>
          <w:lang w:val="en-US"/>
        </w:rPr>
        <w:t>The jurists' consensus (ijmaʿ), Dawud b. Husayn's tradition, Ibn Sanan's tradition, the practical principle of continuance (istishab), the mother's emotional condition, and the very traditions concerning hidhanat (custody).</w:t>
      </w:r>
      <w:r>
        <w:rPr>
          <w:rStyle w:val="FootnoteAnchor"/>
        </w:rPr>
        <w:footnoteReference w:id="163"/>
      </w:r>
      <w:r>
        <w:rPr>
          <w:rFonts w:eastAsia="Times New Roman" w:cs="Times New Roman" w:ascii="Times New Roman" w:hAnsi="Times New Roman"/>
          <w:color w:val="111111"/>
          <w:sz w:val="28"/>
          <w:szCs w:val="28"/>
          <w:lang w:val="en-US"/>
        </w:rPr>
        <w:t>)In contrast, there are some other possibilities brought up such as transfer of the child custody to the father's wasi (executor of the father's will,</w:t>
      </w:r>
      <w:r>
        <w:rPr>
          <w:rStyle w:val="FootnoteAnchor"/>
        </w:rPr>
        <w:footnoteReference w:id="164"/>
      </w:r>
      <w:r>
        <w:rPr>
          <w:rFonts w:eastAsia="Times New Roman" w:cs="Times New Roman" w:ascii="Times New Roman" w:hAnsi="Times New Roman"/>
          <w:color w:val="111111"/>
          <w:sz w:val="28"/>
          <w:szCs w:val="28"/>
          <w:lang w:val="en-US"/>
        </w:rPr>
        <w:t>to the paternal grandmother,</w:t>
      </w:r>
      <w:r>
        <w:rPr>
          <w:rStyle w:val="FootnoteAnchor"/>
        </w:rPr>
        <w:footnoteReference w:id="165"/>
      </w:r>
      <w:r>
        <w:rPr>
          <w:rFonts w:eastAsia="Times New Roman" w:cs="Times New Roman" w:ascii="Times New Roman" w:hAnsi="Times New Roman"/>
          <w:color w:val="111111"/>
          <w:sz w:val="28"/>
          <w:szCs w:val="28"/>
          <w:lang w:val="en-US"/>
        </w:rPr>
        <w:t>and to the paternal grandfather, of which the latter possibility is more likely to be correct by all the reasons presented.</w:t>
      </w:r>
      <w:r>
        <w:rPr>
          <w:rStyle w:val="FootnoteAnchor"/>
        </w:rPr>
        <w:footnoteReference w:id="166"/>
      </w:r>
      <w:r>
        <w:rPr>
          <w:rFonts w:eastAsia="Times New Roman" w:cs="Times New Roman" w:ascii="Times New Roman" w:hAnsi="Times New Roman"/>
          <w:color w:val="111111"/>
          <w:sz w:val="28"/>
          <w:szCs w:val="28"/>
          <w:lang w:val="en-US"/>
        </w:rPr>
        <w:t>)2. 3. None of the parents being alive: If a child loses one of its parents before it reaches maturity, who must undertake its custody?To answer this question, first we have to look for a specific reason for which one or more persons are determined to undertake this responsibility and if there is not such a reason, seek to decide on someone by means of resorting to the existing generalities.As it was stated before, this responsibility is transferred to the child's paternal grandfather, since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seeing into and appropriation of the child's properties and making decision about its marriage, at least before reaching maturity, is only upon the grandfather to a similar level as its father in his absence. All the more so, then, the child's affairs and custody rest with him.</w:t>
      </w:r>
      <w:r>
        <w:rPr>
          <w:rStyle w:val="FootnoteAnchor"/>
        </w:rPr>
        <w:footnoteReference w:id="167"/>
      </w:r>
      <w:r>
        <w:rPr>
          <w:rFonts w:eastAsia="Times New Roman" w:cs="Times New Roman" w:ascii="Times New Roman" w:hAnsi="Times New Roman"/>
          <w:color w:val="111111"/>
          <w:sz w:val="28"/>
          <w:szCs w:val="28"/>
          <w:lang w:val="en-US"/>
        </w:rPr>
        <w:t>)In case the child's grandfather is not alive, this responsibility will be transferred to the father's and grandfather's executor. That is because the latter is the exclusive successor of the father and grandfather, who is authorized to intervene in the underage child and it is clear that custody and rearing of the child is among the duties of the father and the grandfather.</w:t>
      </w:r>
      <w:r>
        <w:rPr>
          <w:rStyle w:val="FootnoteAnchor"/>
        </w:rPr>
        <w:footnoteReference w:id="168"/>
      </w:r>
      <w:r>
        <w:rPr>
          <w:rFonts w:eastAsia="Times New Roman" w:cs="Times New Roman" w:ascii="Times New Roman" w:hAnsi="Times New Roman"/>
          <w:color w:val="111111"/>
          <w:sz w:val="28"/>
          <w:szCs w:val="28"/>
          <w:lang w:val="en-US"/>
        </w:rPr>
        <w:t>)Furthermore, although Ibn Abi ʿUmayr's tradition denotes the mother's priority over the executor, it is also implied from this same denotation that the executor has some responsibility toward the custody of the child.</w:t>
      </w:r>
      <w:r>
        <w:rPr>
          <w:rStyle w:val="FootnoteAnchor"/>
        </w:rPr>
        <w:footnoteReference w:id="169"/>
      </w:r>
      <w:r>
        <w:rPr>
          <w:rFonts w:eastAsia="Times New Roman" w:cs="Times New Roman" w:ascii="Times New Roman" w:hAnsi="Times New Roman"/>
          <w:color w:val="111111"/>
          <w:sz w:val="28"/>
          <w:szCs w:val="28"/>
          <w:lang w:val="en-US"/>
        </w:rPr>
        <w:t>)In contrast to this view, i.e., transferring the duty of child custody after the death of its parents to its paternal grandfather, other views have also been raised in Islamic jurisprudence, such as: transfer of custody to the child's near of kin according to the hierarchy of their inheritance (awla bi mirathihi</w:t>
      </w:r>
      <w:r>
        <w:rPr>
          <w:rStyle w:val="FootnoteAnchor"/>
        </w:rPr>
        <w:footnoteReference w:id="170"/>
      </w:r>
      <w:r>
        <w:rPr>
          <w:rFonts w:eastAsia="Times New Roman" w:cs="Times New Roman" w:ascii="Times New Roman" w:hAnsi="Times New Roman"/>
          <w:color w:val="111111"/>
          <w:sz w:val="28"/>
          <w:szCs w:val="28"/>
          <w:lang w:val="en-US"/>
        </w:rPr>
        <w:t>, transfer to the child's paternal kin (ʿusba),</w:t>
      </w:r>
      <w:r>
        <w:rPr>
          <w:rStyle w:val="FootnoteAnchor"/>
        </w:rPr>
        <w:footnoteReference w:id="171"/>
      </w:r>
      <w:r>
        <w:rPr>
          <w:rFonts w:eastAsia="Times New Roman" w:cs="Times New Roman" w:ascii="Times New Roman" w:hAnsi="Times New Roman"/>
          <w:color w:val="111111"/>
          <w:sz w:val="28"/>
          <w:szCs w:val="28"/>
          <w:lang w:val="en-US"/>
        </w:rPr>
        <w:t>transfer to the child's maternal aunt</w:t>
      </w:r>
      <w:r>
        <w:rPr>
          <w:rStyle w:val="FootnoteAnchor"/>
        </w:rPr>
        <w:footnoteReference w:id="172"/>
      </w:r>
      <w:r>
        <w:rPr>
          <w:rFonts w:eastAsia="Times New Roman" w:cs="Times New Roman" w:ascii="Times New Roman" w:hAnsi="Times New Roman"/>
          <w:color w:val="111111"/>
          <w:sz w:val="28"/>
          <w:szCs w:val="28"/>
          <w:lang w:val="en-US"/>
        </w:rPr>
        <w:t>, which, given the previous explanations, do not sound correct.)### Qualifications for Child CustodyAlthough the mother can take care of her child up to seven years after divorce from her husband, she has to meet certain qualifications for undertaking such a task, the lack of each one of which would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lead to losing her competence to this end.Of course, it is to be noted that if undertaking the child’s custody is subject to the realization of these qualifications, there is no difference in this task between the mother and other people of equal rank or her successors.Eight qualifications have been stated in old legal texts for confirmation of the mother's competence in the custody of her child:1. Islam: Since before reaching maturity the child is legally attached to the religion of its father or mother, some jurists believe that the mother can take the custody of her child after separation from her Muslim husband if she is a Muslim herself.The most important reason for this, notwithstanding the possibility of a non-Muslim mother's influencing her child's beliefs, is the impermissibility of the guardianship of a non-Muslim (unbeliever over a Muslim child.</w:t>
      </w:r>
      <w:r>
        <w:rPr>
          <w:rStyle w:val="FootnoteAnchor"/>
        </w:rPr>
        <w:footnoteReference w:id="173"/>
      </w:r>
      <w:r>
        <w:rPr>
          <w:rFonts w:eastAsia="Times New Roman" w:cs="Times New Roman" w:ascii="Times New Roman" w:hAnsi="Times New Roman"/>
          <w:color w:val="111111"/>
          <w:sz w:val="28"/>
          <w:szCs w:val="28"/>
          <w:lang w:val="en-US"/>
        </w:rPr>
        <w:t>)To our opinion, however, what is meant by negation of way (nafyi sabil in the verse)and Allah will never provide the faithless any way [to prevail] over the faithful.</w:t>
      </w:r>
      <w:r>
        <w:rPr>
          <w:rStyle w:val="FootnoteAnchor"/>
        </w:rPr>
        <w:footnoteReference w:id="174"/>
      </w:r>
      <w:r>
        <w:rPr>
          <w:rFonts w:eastAsia="Times New Roman" w:cs="Times New Roman" w:ascii="Times New Roman" w:hAnsi="Times New Roman"/>
          <w:color w:val="111111"/>
          <w:sz w:val="28"/>
          <w:szCs w:val="28"/>
          <w:lang w:val="en-US"/>
        </w:rPr>
        <w:t>is not the negation of dominance of the non-Muslims over the Muslims, since a Muslim can have a non-Muslim employer. Rather, it means that the non-Muslim has no reason (argument) for disapproving Muslims. Furthermore, what is meant by child custody is only taking care of the child and has nothing to do with guardianship over the child so that a non-Muslim mother's taking care of a Muslim child may require the guardianship of non-Muslims over the Muslims.</w:t>
      </w:r>
      <w:r>
        <w:rPr>
          <w:rStyle w:val="FootnoteAnchor"/>
        </w:rPr>
        <w:footnoteReference w:id="175"/>
      </w:r>
      <w:r>
        <w:rPr>
          <w:rFonts w:eastAsia="Times New Roman" w:cs="Times New Roman" w:ascii="Times New Roman" w:hAnsi="Times New Roman"/>
          <w:color w:val="111111"/>
          <w:sz w:val="28"/>
          <w:szCs w:val="28"/>
          <w:lang w:val="en-US"/>
        </w:rPr>
        <w:t>)Irrespective of</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its weak chain of transmission (sanad and as proportionate to other traditions,</w:t>
      </w:r>
      <w:r>
        <w:rPr>
          <w:rStyle w:val="FootnoteAnchor"/>
        </w:rPr>
        <w:footnoteReference w:id="176"/>
      </w:r>
      <w:r>
        <w:rPr>
          <w:rFonts w:eastAsia="Times New Roman" w:cs="Times New Roman" w:ascii="Times New Roman" w:hAnsi="Times New Roman"/>
          <w:color w:val="111111"/>
          <w:sz w:val="28"/>
          <w:szCs w:val="28"/>
          <w:lang w:val="en-US"/>
        </w:rPr>
        <w:t>the tradition "Islam takes precedence over all and nothing takes precedence over it"</w:t>
      </w:r>
      <w:r>
        <w:rPr>
          <w:rStyle w:val="FootnoteAnchor"/>
        </w:rPr>
        <w:footnoteReference w:id="177"/>
      </w:r>
      <w:r>
        <w:rPr>
          <w:rFonts w:eastAsia="Times New Roman" w:cs="Times New Roman" w:ascii="Times New Roman" w:hAnsi="Times New Roman"/>
          <w:color w:val="111111"/>
          <w:sz w:val="28"/>
          <w:szCs w:val="28"/>
          <w:lang w:val="en-US"/>
        </w:rPr>
        <w:t>is dedicated to inheritance and indicates that a Muslim inherits from a non-Muslim but not vice versa.</w:t>
      </w:r>
      <w:r>
        <w:rPr>
          <w:rStyle w:val="FootnoteAnchor"/>
        </w:rPr>
        <w:footnoteReference w:id="178"/>
      </w:r>
      <w:r>
        <w:rPr>
          <w:rFonts w:eastAsia="Times New Roman" w:cs="Times New Roman" w:ascii="Times New Roman" w:hAnsi="Times New Roman"/>
          <w:color w:val="111111"/>
          <w:sz w:val="28"/>
          <w:szCs w:val="28"/>
          <w:lang w:val="en-US"/>
        </w:rPr>
        <w:t>So, it cannot be proved through this tradition that a non-Muslim mother cannot take the custody of her Muslim child.</w:t>
      </w:r>
      <w:r>
        <w:rPr>
          <w:rStyle w:val="FootnoteAnchor"/>
        </w:rPr>
        <w:footnoteReference w:id="179"/>
      </w:r>
      <w:r>
        <w:rPr>
          <w:rFonts w:eastAsia="Times New Roman" w:cs="Times New Roman" w:ascii="Times New Roman" w:hAnsi="Times New Roman"/>
          <w:color w:val="111111"/>
          <w:sz w:val="28"/>
          <w:szCs w:val="28"/>
          <w:lang w:val="en-US"/>
        </w:rPr>
        <w:t>)2. Intellect: Among the basic requirements of the mother's custody of her child is her being sane. If the mother does not enjoy the soundness of intellect, she cannot undertake her child's custody, because she is not only unable to take care and safeguard her child, but she herself needs someone to take care and custody of her.</w:t>
      </w:r>
      <w:r>
        <w:rPr>
          <w:rStyle w:val="FootnoteAnchor"/>
        </w:rPr>
        <w:footnoteReference w:id="180"/>
      </w:r>
      <w:r>
        <w:rPr>
          <w:rFonts w:eastAsia="Times New Roman" w:cs="Times New Roman" w:ascii="Times New Roman" w:hAnsi="Times New Roman"/>
          <w:color w:val="111111"/>
          <w:sz w:val="28"/>
          <w:szCs w:val="28"/>
          <w:lang w:val="en-US"/>
        </w:rPr>
        <w:t>)However, the jurists wonder if there is a difference between the periodical and chronic insanity in this respect.Some of the jurists believe that there is no difference between these two types of insanity; for, taking care of the child (its custody does not require guardianship over the child; thus, it can be reconciled with insanity and the decision in this regard is left with the mother's legal guardian.</w:t>
      </w:r>
      <w:r>
        <w:rPr>
          <w:rStyle w:val="FootnoteAnchor"/>
        </w:rPr>
        <w:footnoteReference w:id="181"/>
      </w:r>
      <w:r>
        <w:rPr>
          <w:rFonts w:eastAsia="Times New Roman" w:cs="Times New Roman" w:ascii="Times New Roman" w:hAnsi="Times New Roman"/>
          <w:color w:val="111111"/>
          <w:sz w:val="28"/>
          <w:szCs w:val="28"/>
          <w:lang w:val="en-US"/>
        </w:rPr>
        <w:t>In contrast, some also believe that in both cases the child's custody cannot be left with the mother, unless the recurrence of the mother's insanity is extremely low and its duration is not too long.</w:t>
      </w:r>
      <w:r>
        <w:rPr>
          <w:rStyle w:val="FootnoteAnchor"/>
        </w:rPr>
        <w:footnoteReference w:id="182"/>
      </w:r>
      <w:r>
        <w:rPr>
          <w:rFonts w:eastAsia="Times New Roman" w:cs="Times New Roman" w:ascii="Times New Roman" w:hAnsi="Times New Roman"/>
          <w:color w:val="111111"/>
          <w:sz w:val="28"/>
          <w:szCs w:val="28"/>
          <w:lang w:val="en-US"/>
        </w:rPr>
        <w:t>)To our opinion, however, taking care of her child is possible for a mother only in case she enjoys soundness of intellect, because how can an insane person who is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unable to manage his or her own life, be able to take care of another person?Therefore, if the mother is suffering from chronic insanity, she is certainly not qualified to take the custody of her child and transferring this issue to the mother's guardian is baseless, because child custody is not like the right of pre-emption. The right of delimitation, option of cancellation, and similar rights so that with the mother's loss of competence decision about them [her and her child] is transferred to her guardian; rather, child custody is a duty incumbent upon the mother, which will not be possible to fulfill if the mother is afflicted with insanity.But if the mother's insanity is periodical so that she is able to do her duties, its occurrence will not endanger the child's physical and psychological health and the mother can in due time undertake her child's custody.Of course, it is evident that if the criterion for the permission of child custody is the mother's capability, she can be judged as not forbidden from her child's custody due to periodical insanity only when its occurrence is not so frequent as to having an impact on the child's life and practically depreciate the mother's ability in taking care of her child and satisfying its needs.</w:t>
      </w:r>
      <w:r>
        <w:rPr>
          <w:rStyle w:val="FootnoteAnchor"/>
        </w:rPr>
        <w:footnoteReference w:id="183"/>
      </w:r>
      <w:r>
        <w:rPr>
          <w:rFonts w:eastAsia="Times New Roman" w:cs="Times New Roman" w:ascii="Times New Roman" w:hAnsi="Times New Roman"/>
          <w:color w:val="111111"/>
          <w:sz w:val="28"/>
          <w:szCs w:val="28"/>
          <w:lang w:val="en-US"/>
        </w:rPr>
        <w:t>)3. Freedom: Among the qualifications mentioned in some of the early legal books, concerning the mother's custody of her child is that she is not a slave, which to our opinion is not a valid qualification at least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for the mother.</w:t>
      </w:r>
      <w:r>
        <w:rPr>
          <w:rStyle w:val="FootnoteAnchor"/>
        </w:rPr>
        <w:footnoteReference w:id="184"/>
      </w:r>
      <w:r>
        <w:rPr>
          <w:rFonts w:eastAsia="Times New Roman" w:cs="Times New Roman" w:ascii="Times New Roman" w:hAnsi="Times New Roman"/>
          <w:color w:val="111111"/>
          <w:sz w:val="28"/>
          <w:szCs w:val="28"/>
          <w:lang w:val="en-US"/>
        </w:rPr>
        <w:t>)Although talking about the rules of slavery in our time is useless due to the abolishment of slavery, this issue – by refinement of reason – can be useful in two cases. When the mother is imprisoned for committing a crime or is living in a forced labor camp; for, as the slaves have been deprived of wielding power in most of their daily affairs and unable to make independent decisions about their lives, it is also true for the person who lives in a prison or a forced labor camp.Now the question is raised that whether the child is sent to prison along with her mother to be taken care of by her, although she is not able to make independent decisions concerning her own daily life affairs. Alternatively, it is separated from the mother to be left with the father or any other person who can legally take its custody because of the inappropriate atmosphere of such places and the destructive effects that such places may have on the personality growth of the child.4. Freedom from Matrimonial Rights: According to this qualification, the mother may not marry while holding her child's custody.To prove this issue, such reasons as consensus of the jurists, failure of mother in her maternal duties when remarried, and several traditions have been relied on, among which the traditions are of most importance.</w:t>
      </w:r>
      <w:r>
        <w:rPr>
          <w:rStyle w:val="FootnoteAnchor"/>
        </w:rPr>
        <w:footnoteReference w:id="185"/>
      </w:r>
      <w:r>
        <w:rPr>
          <w:rFonts w:eastAsia="Times New Roman" w:cs="Times New Roman" w:ascii="Times New Roman" w:hAnsi="Times New Roman"/>
          <w:color w:val="111111"/>
          <w:sz w:val="28"/>
          <w:szCs w:val="28"/>
          <w:lang w:val="en-US"/>
        </w:rPr>
        <w:t>)In five traditions, reference has been made to the mother's marriage and child custody and it is emphasized that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mother enjoys the right to have the custody of her child so long as she has not married. Among these traditions, of course, only Dawud Riqqi's is valid in sanad. However, the tradition related by Sulayman b. Dawud b. Minqari is weak for the uncertainty of its transmitter as Hafs b. Qiyath or someone else.</w:t>
      </w:r>
      <w:r>
        <w:rPr>
          <w:rStyle w:val="FootnoteAnchor"/>
        </w:rPr>
        <w:footnoteReference w:id="186"/>
      </w:r>
      <w:r>
        <w:rPr>
          <w:rFonts w:eastAsia="Times New Roman" w:cs="Times New Roman" w:ascii="Times New Roman" w:hAnsi="Times New Roman"/>
          <w:color w:val="111111"/>
          <w:sz w:val="28"/>
          <w:szCs w:val="28"/>
          <w:lang w:val="en-US"/>
        </w:rPr>
        <w:t>The tradition related by ʿAbd Allah b. ʿAmr b. al-ʿAs is also weak for its lack of sanad and thus both are invalid.</w:t>
      </w:r>
      <w:r>
        <w:rPr>
          <w:rStyle w:val="FootnoteAnchor"/>
        </w:rPr>
        <w:footnoteReference w:id="187"/>
      </w:r>
      <w:r>
        <w:rPr>
          <w:rFonts w:eastAsia="Times New Roman" w:cs="Times New Roman" w:ascii="Times New Roman" w:hAnsi="Times New Roman"/>
          <w:color w:val="111111"/>
          <w:sz w:val="28"/>
          <w:szCs w:val="28"/>
          <w:lang w:val="en-US"/>
        </w:rPr>
        <w:t>)In Dawud Riqqi's tradition, although the Imam does not directly talk about the prohibition of the mother's getting married, the statement "the slave is not privileged to separate his children from their mother until he is freed even though she is married"</w:t>
      </w:r>
      <w:r>
        <w:rPr>
          <w:rStyle w:val="FootnoteAnchor"/>
        </w:rPr>
        <w:footnoteReference w:id="188"/>
      </w:r>
      <w:r>
        <w:rPr>
          <w:rFonts w:eastAsia="Times New Roman" w:cs="Times New Roman" w:ascii="Times New Roman" w:hAnsi="Times New Roman"/>
          <w:color w:val="111111"/>
          <w:sz w:val="28"/>
          <w:szCs w:val="28"/>
          <w:lang w:val="en-US"/>
        </w:rPr>
        <w:t>clearly indicates that although the mother's marriage is an obstacle to her taking the custody of her child, but the father's being a slave is an obstacle to hold his child's custody as well. As his obstacle is greater than the mother's being married, the child remains in its mother's custody and upon the removal of the greater obstacle, i.e., the father’s slavery, the child is returned to him.)Thus, there remains no doubt that if the mother gets married during her child's first seven years of age while the child's father is alive and there is also no obstacle for her to take care of her child, this marriage will cause the loss of her right to her child's custody, which will then be transferred to the father.</w:t>
      </w:r>
      <w:r>
        <w:rPr>
          <w:rStyle w:val="FootnoteAnchor"/>
        </w:rPr>
        <w:footnoteReference w:id="189"/>
      </w:r>
      <w:r>
        <w:rPr>
          <w:rFonts w:eastAsia="Times New Roman" w:cs="Times New Roman" w:ascii="Times New Roman" w:hAnsi="Times New Roman"/>
          <w:color w:val="111111"/>
          <w:sz w:val="28"/>
          <w:szCs w:val="28"/>
          <w:lang w:val="en-US"/>
        </w:rPr>
        <w:t>)Of course, it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 clear that the mother's marriage is a barrier to her child's custody when she gets married to a man other than her ex-husband.</w:t>
      </w:r>
      <w:r>
        <w:rPr>
          <w:rStyle w:val="FootnoteAnchor"/>
        </w:rPr>
        <w:footnoteReference w:id="190"/>
      </w:r>
      <w:r>
        <w:rPr>
          <w:rFonts w:eastAsia="Times New Roman" w:cs="Times New Roman" w:ascii="Times New Roman" w:hAnsi="Times New Roman"/>
          <w:color w:val="111111"/>
          <w:sz w:val="28"/>
          <w:szCs w:val="28"/>
          <w:lang w:val="en-US"/>
        </w:rPr>
        <w:t>That is because if she remarries her ex-husband and the father of her child, the issue of custody is by itself resolved since all the evidences for custody are relevant in case the two have been separated. However, if the father dies, will the mother's marriage still result in the loss of her right to her child's custody?)Although some jurists believe that in case the father dies, the mother's marriage will not result in losing her right.</w:t>
      </w:r>
      <w:r>
        <w:rPr>
          <w:rStyle w:val="FootnoteAnchor"/>
        </w:rPr>
        <w:footnoteReference w:id="191"/>
      </w:r>
      <w:r>
        <w:rPr>
          <w:rFonts w:eastAsia="Times New Roman" w:cs="Times New Roman" w:ascii="Times New Roman" w:hAnsi="Times New Roman"/>
          <w:color w:val="111111"/>
          <w:sz w:val="28"/>
          <w:szCs w:val="28"/>
          <w:lang w:val="en-US"/>
        </w:rPr>
        <w:t>To our opinion, as indicated by Dawud Riqqi's tradition, the mother's marriage is an obstacle to her child's custody whether the father is dead or alive, because if the father dies the responsibility of child's custody goes to the paternal grandfather. Thus, with the mother's marriage the custody of her child is transferred to the father or his successor.)It is clear that in this problem the second husband's consent has no effect on the child custody, since the traditions that mention the mother's marriage as an obstacle are effectual irrespective of the second husband's consent or refusal.</w:t>
      </w:r>
      <w:r>
        <w:rPr>
          <w:rStyle w:val="FootnoteAnchor"/>
        </w:rPr>
        <w:footnoteReference w:id="192"/>
      </w:r>
      <w:r>
        <w:rPr>
          <w:rFonts w:eastAsia="Times New Roman" w:cs="Times New Roman" w:ascii="Times New Roman" w:hAnsi="Times New Roman"/>
          <w:color w:val="111111"/>
          <w:sz w:val="28"/>
          <w:szCs w:val="28"/>
          <w:lang w:val="en-US"/>
        </w:rPr>
        <w:t>In addition, the inhibition of marriage is for observing the right of the father and the child, and this right is not vindicated with the consent of the mother's second husband.)Renewability of the Mother's Right: If we accept that the mother's marriage will hinder her from taking the custody of her child,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then the question is raised that if the mother separates from her second husband, can she take back the custody of her child?Some jurists believe that if the mother separates from her second husband during the time that she enjoys the right to her child's custody – i.e., the first seven years of the child's life – she can take back her child's custody.</w:t>
      </w:r>
      <w:r>
        <w:rPr>
          <w:rStyle w:val="FootnoteAnchor"/>
        </w:rPr>
        <w:footnoteReference w:id="193"/>
      </w:r>
      <w:r>
        <w:rPr>
          <w:rFonts w:eastAsia="Times New Roman" w:cs="Times New Roman" w:ascii="Times New Roman" w:hAnsi="Times New Roman"/>
          <w:color w:val="111111"/>
          <w:sz w:val="28"/>
          <w:szCs w:val="28"/>
          <w:lang w:val="en-US"/>
        </w:rPr>
        <w:t>)If we accept such a claim, since in Islamic law a woman's separation from a man (divorce is possible in two forms of revocable (rijʿi) and irrevocable (ba’in)</w:t>
      </w:r>
      <w:r>
        <w:rPr>
          <w:rStyle w:val="FootnoteAnchor"/>
        </w:rPr>
        <w:footnoteReference w:id="194"/>
      </w:r>
      <w:r>
        <w:rPr>
          <w:rFonts w:eastAsia="Times New Roman" w:cs="Times New Roman" w:ascii="Times New Roman" w:hAnsi="Times New Roman"/>
          <w:color w:val="111111"/>
          <w:sz w:val="28"/>
          <w:szCs w:val="28"/>
          <w:lang w:val="en-US"/>
        </w:rPr>
        <w:t>, two possibilities are set forth. 1. The mother's right to custody is given back to her when she has separated from her second husband by irrevocable divorce, or in case she has separated by revocable divorce, her ʿidda period has to be over.</w:t>
      </w:r>
      <w:r>
        <w:rPr>
          <w:rStyle w:val="FootnoteAnchor"/>
        </w:rPr>
        <w:footnoteReference w:id="195"/>
      </w:r>
      <w:r>
        <w:rPr>
          <w:rFonts w:eastAsia="Times New Roman" w:cs="Times New Roman" w:ascii="Times New Roman" w:hAnsi="Times New Roman"/>
          <w:color w:val="111111"/>
          <w:sz w:val="28"/>
          <w:szCs w:val="28"/>
          <w:lang w:val="en-US"/>
        </w:rPr>
        <w:t>2. The criterion in the mother's renewal of her child's custody is her separation from her second husband, whether by revocable or irrevocable divorce. Since in revocable divorce there is no matrimonial obligation upon the mother, therefore she can freely take care of her child.</w:t>
      </w:r>
      <w:r>
        <w:rPr>
          <w:rStyle w:val="FootnoteAnchor"/>
        </w:rPr>
        <w:footnoteReference w:id="196"/>
      </w:r>
      <w:r>
        <w:rPr>
          <w:rFonts w:eastAsia="Times New Roman" w:cs="Times New Roman" w:ascii="Times New Roman" w:hAnsi="Times New Roman"/>
          <w:color w:val="111111"/>
          <w:sz w:val="28"/>
          <w:szCs w:val="28"/>
          <w:lang w:val="en-US"/>
        </w:rPr>
        <w:t>)The most significant reasons presented by the proponents of the return (or restoration theory – despite the tradition of ʿAbd Allah .b ʿAmr b. al-ʿAs which is not valid for its lack of sanad</w:t>
      </w:r>
      <w:r>
        <w:rPr>
          <w:rStyle w:val="FootnoteAnchor"/>
        </w:rPr>
        <w:footnoteReference w:id="197"/>
      </w:r>
      <w:r>
        <w:rPr>
          <w:rFonts w:eastAsia="Times New Roman" w:cs="Times New Roman" w:ascii="Times New Roman" w:hAnsi="Times New Roman"/>
          <w:color w:val="111111"/>
          <w:sz w:val="28"/>
          <w:szCs w:val="28"/>
          <w:lang w:val="en-US"/>
        </w:rPr>
        <w:t>– is that the mother's marriage is an obstacle to her child's custody. It is clear that the existence of an obstacle causes a ruling to relinquish rather than the lack of an obstacle creating a ruling,</w:t>
      </w:r>
      <w:r>
        <w:rPr>
          <w:rStyle w:val="FootnoteAnchor"/>
        </w:rPr>
        <w:footnoteReference w:id="198"/>
      </w:r>
      <w:r>
        <w:rPr>
          <w:rFonts w:eastAsia="Times New Roman" w:cs="Times New Roman" w:ascii="Times New Roman" w:hAnsi="Times New Roman"/>
          <w:color w:val="111111"/>
          <w:sz w:val="28"/>
          <w:szCs w:val="28"/>
          <w:lang w:val="en-US"/>
        </w:rPr>
        <w:t>therefore,)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mother's priority remains intact with her separation from her second husband.In addition, the mother's marriage makes her occupied with fulfilling her marital duties and her second husband's rights, which are far more powerful than the right to custody; now, if the mother separates from her husband, that obstacle is removed and she can undertake the custody of her child again.</w:t>
      </w:r>
      <w:r>
        <w:rPr>
          <w:rStyle w:val="FootnoteAnchor"/>
        </w:rPr>
        <w:footnoteReference w:id="199"/>
      </w:r>
      <w:r>
        <w:rPr>
          <w:rFonts w:eastAsia="Times New Roman" w:cs="Times New Roman" w:ascii="Times New Roman" w:hAnsi="Times New Roman"/>
          <w:color w:val="111111"/>
          <w:sz w:val="28"/>
          <w:szCs w:val="28"/>
          <w:lang w:val="en-US"/>
        </w:rPr>
        <w:t>)To our opinion, however, the mother's separation from her second husband does not restore her right to undertake her child's custody, since the restoration of the mother's right after its loss requires a reason. If we have doubt in the restoration of this right, the practical principle signifies the non-restoration of this right, just as in other instances the relinquished right will not be restored with the restoration of the circumstances to the earlier state.5. Trustworthiness: Among the qualifications mentioned in legal texts for permitting the mother to take the custody of her child is her trustworthiness.</w:t>
      </w:r>
      <w:r>
        <w:rPr>
          <w:rStyle w:val="FootnoteAnchor"/>
        </w:rPr>
        <w:footnoteReference w:id="200"/>
      </w:r>
      <w:r>
        <w:rPr>
          <w:rFonts w:eastAsia="Times New Roman" w:cs="Times New Roman" w:ascii="Times New Roman" w:hAnsi="Times New Roman"/>
          <w:color w:val="111111"/>
          <w:sz w:val="28"/>
          <w:szCs w:val="28"/>
          <w:lang w:val="en-US"/>
        </w:rPr>
        <w:t>)Mother's being trustworthy is interpreted from two aspects. Lack of sinful signs (depravity in her, which is sometimes mentioned as justice</w:t>
      </w:r>
      <w:r>
        <w:rPr>
          <w:rStyle w:val="FootnoteAnchor"/>
        </w:rPr>
        <w:footnoteReference w:id="201"/>
      </w:r>
      <w:r>
        <w:rPr>
          <w:rFonts w:eastAsia="Times New Roman" w:cs="Times New Roman" w:ascii="Times New Roman" w:hAnsi="Times New Roman"/>
          <w:color w:val="111111"/>
          <w:sz w:val="28"/>
          <w:szCs w:val="28"/>
          <w:lang w:val="en-US"/>
        </w:rPr>
        <w:t>or lack of perfidy and negligence in the issues related to the child's life,</w:t>
      </w:r>
      <w:r>
        <w:rPr>
          <w:rStyle w:val="FootnoteAnchor"/>
        </w:rPr>
        <w:footnoteReference w:id="202"/>
      </w:r>
      <w:r>
        <w:rPr>
          <w:rFonts w:eastAsia="Times New Roman" w:cs="Times New Roman" w:ascii="Times New Roman" w:hAnsi="Times New Roman"/>
          <w:color w:val="111111"/>
          <w:sz w:val="28"/>
          <w:szCs w:val="28"/>
          <w:lang w:val="en-US"/>
        </w:rPr>
        <w:t>which seems to be more pertinent, since a mother may not be abiding by the moral instruction of the religion but does not show the slightest negligence in taking care of her child.)Although, for proving this condition such reasons as incompatibility with guardianship (wilayat, uncertainty of perfidy, creation of an atmosphere of learning bad habits for the child, and)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appearance of distress and constriction have been referred to,</w:t>
      </w:r>
      <w:r>
        <w:rPr>
          <w:rStyle w:val="FootnoteAnchor"/>
        </w:rPr>
        <w:footnoteReference w:id="203"/>
      </w:r>
      <w:r>
        <w:rPr>
          <w:rFonts w:eastAsia="Times New Roman" w:cs="Times New Roman" w:ascii="Times New Roman" w:hAnsi="Times New Roman"/>
          <w:color w:val="111111"/>
          <w:sz w:val="28"/>
          <w:szCs w:val="28"/>
          <w:lang w:val="en-US"/>
        </w:rPr>
        <w:t>to our opinion, the validity of the parents' having moral competence for undertaking the custody of their child does not require a specific reason, since the very legislation for custody is for protecting the life and psychophysical well-being of the children whose parents have separated by the ominous phenomenon of divorce.</w:t>
      </w:r>
      <w:r>
        <w:rPr>
          <w:rStyle w:val="FootnoteAnchor"/>
        </w:rPr>
        <w:footnoteReference w:id="204"/>
      </w:r>
      <w:r>
        <w:rPr>
          <w:rFonts w:eastAsia="Times New Roman" w:cs="Times New Roman" w:ascii="Times New Roman" w:hAnsi="Times New Roman"/>
          <w:color w:val="111111"/>
          <w:sz w:val="28"/>
          <w:szCs w:val="28"/>
          <w:lang w:val="en-US"/>
        </w:rPr>
        <w:t>Now, how is it possible to leave the child with a parent who may inflict serious physical or moral damages upon that child?)Is it logically permissible to transfer the children's custody to the parents (either father or mother who misuse them as tools for earning money by sending them to street to engage in such acts as beggary, shoe shining, windshield cleaning, etc? Can it be claimed that the Holy Lawmaker would)consent to such transference?Besides, if we regard the child custody and leaving it to either of the parents as a trust, the generalities that validate a person to be entrusted would be evidentiary in the validity of this qualification in the issue of custody.</w:t>
      </w:r>
      <w:r>
        <w:rPr>
          <w:rStyle w:val="FootnoteAnchor"/>
        </w:rPr>
        <w:footnoteReference w:id="205"/>
      </w:r>
      <w:r>
        <w:rPr>
          <w:rFonts w:eastAsia="Times New Roman" w:cs="Times New Roman" w:ascii="Times New Roman" w:hAnsi="Times New Roman"/>
          <w:color w:val="111111"/>
          <w:sz w:val="28"/>
          <w:szCs w:val="28"/>
          <w:lang w:val="en-US"/>
        </w:rPr>
        <w:t>)6. Unchanging of the Mother's Residence: Some of the Sunni jurists believe that in order to be able to take care of her child a mother should not change her residence, whether temporarily or permanently (through traveling.</w:t>
      </w:r>
      <w:r>
        <w:rPr>
          <w:rStyle w:val="FootnoteAnchor"/>
        </w:rPr>
        <w:footnoteReference w:id="206"/>
      </w:r>
      <w:r>
        <w:rPr>
          <w:rFonts w:eastAsia="Times New Roman" w:cs="Times New Roman" w:ascii="Times New Roman" w:hAnsi="Times New Roman"/>
          <w:color w:val="111111"/>
          <w:sz w:val="28"/>
          <w:szCs w:val="28"/>
          <w:lang w:val="en-US"/>
        </w:rPr>
        <w:t>)To our opinion, although as Muhaqqiq Tusi and some other Shiʿa jurists have asserted that the application of traditions on custody includes the two hypotheses of the mother's residence and change of residence, whose giving up is to</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 reasonable,</w:t>
      </w:r>
      <w:r>
        <w:rPr>
          <w:rStyle w:val="FootnoteAnchor"/>
        </w:rPr>
        <w:footnoteReference w:id="207"/>
      </w:r>
      <w:r>
        <w:rPr>
          <w:rFonts w:eastAsia="Times New Roman" w:cs="Times New Roman" w:ascii="Times New Roman" w:hAnsi="Times New Roman"/>
          <w:color w:val="111111"/>
          <w:sz w:val="28"/>
          <w:szCs w:val="28"/>
          <w:lang w:val="en-US"/>
        </w:rPr>
        <w:t>it should be noted that the child is not merchandise in the hands of the father or mother who have the right to posses it; rather, it is entrusted to them to take care of during the time it is not able to manage its own life and to provide means for its growth. Therefore, during the time the child is living under the supervision of its mother or father, its interests must be taken into account.)Therefore, if the change of residence does not have a negative impact on the child's life trend, psychophysical health, education, and moral conduct, it will undoubtedly live with its mother given the (other proofs hold true. But, if the change of residence is detrimental to it in any of the physical, psychological, emotional, religious, and educational aspects, this change will not be permissible. Nor will resorting to the absoluteness of traditions for its permissibility be possible, as certitude about the custody of either of the parents is true when the child's health is in all aspects secured.)7. Unchanging of the Father's Residence: The Sunni jurists have made the child's custody by the mother conditional on the unchanging of the father's permanent or temporary (by travel residence, in a way that if the father decides to change his place of residence, he can take the child away from the mother.</w:t>
      </w:r>
      <w:r>
        <w:rPr>
          <w:rStyle w:val="FootnoteAnchor"/>
        </w:rPr>
        <w:footnoteReference w:id="208"/>
      </w:r>
      <w:r>
        <w:rPr>
          <w:rFonts w:eastAsia="Times New Roman" w:cs="Times New Roman" w:ascii="Times New Roman" w:hAnsi="Times New Roman"/>
          <w:color w:val="111111"/>
          <w:sz w:val="28"/>
          <w:szCs w:val="28"/>
          <w:lang w:val="en-US"/>
        </w:rPr>
        <w:t>)To our opinion, since there is no legal evidence for these issues in the traditions and Qur’anic verses,</w:t>
      </w:r>
      <w:r>
        <w:rPr>
          <w:rStyle w:val="FootnoteAnchor"/>
        </w:rPr>
        <w:footnoteReference w:id="209"/>
      </w:r>
      <w:r>
        <w:rPr>
          <w:rFonts w:eastAsia="Times New Roman" w:cs="Times New Roman" w:ascii="Times New Roman" w:hAnsi="Times New Roman"/>
          <w:color w:val="111111"/>
          <w:sz w:val="28"/>
          <w:szCs w:val="28"/>
          <w:lang w:val="en-US"/>
        </w:rPr>
        <w:t>what is in the child's best)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interests has to be taken into account. If being with the father or mother is to the child's interest, it would move along with them and if staying in its present residence were in his best interests, it would stay on.</w:t>
      </w:r>
      <w:r>
        <w:rPr>
          <w:rStyle w:val="FootnoteAnchor"/>
        </w:rPr>
        <w:footnoteReference w:id="210"/>
      </w:r>
      <w:r>
        <w:rPr>
          <w:rFonts w:eastAsia="Times New Roman" w:cs="Times New Roman" w:ascii="Times New Roman" w:hAnsi="Times New Roman"/>
          <w:color w:val="111111"/>
          <w:sz w:val="28"/>
          <w:szCs w:val="28"/>
          <w:lang w:val="en-US"/>
        </w:rPr>
        <w:t>)8. Unafflicted with Chronic and Contagious Diseases: We explained previously that the mother's insanity is a factor in disclaiming her competency in the custody of her child. Furthermore, some jurists have raised the question whether the mother's being afflicted with chronic and contagious diseases, as was the case for insanity, causes the loss of her competency or not.</w:t>
      </w:r>
      <w:r>
        <w:rPr>
          <w:rStyle w:val="FootnoteAnchor"/>
        </w:rPr>
        <w:footnoteReference w:id="211"/>
      </w:r>
      <w:r>
        <w:rPr>
          <w:rFonts w:eastAsia="Times New Roman" w:cs="Times New Roman" w:ascii="Times New Roman" w:hAnsi="Times New Roman"/>
          <w:color w:val="111111"/>
          <w:sz w:val="28"/>
          <w:szCs w:val="28"/>
          <w:lang w:val="en-US"/>
        </w:rPr>
        <w:t>)By raising the issue, that a child's living with its sick mother will cause harm to it and by referring to the Prophet's words warning to keep a distance from those infected with leprosy and not watering a diseased camel from the same place as the healthy animals drink, some claim that such medical considerations in a religious context prompt us to proclaim with certainty that a child must be separated from its sick mother.</w:t>
      </w:r>
      <w:r>
        <w:rPr>
          <w:rStyle w:val="FootnoteAnchor"/>
        </w:rPr>
        <w:footnoteReference w:id="212"/>
      </w:r>
      <w:r>
        <w:rPr>
          <w:rFonts w:eastAsia="Times New Roman" w:cs="Times New Roman" w:ascii="Times New Roman" w:hAnsi="Times New Roman"/>
          <w:color w:val="111111"/>
          <w:sz w:val="28"/>
          <w:szCs w:val="28"/>
          <w:lang w:val="en-US"/>
        </w:rPr>
        <w:t>)In contrast, some also believe that the mother's affliction with chronic and contagious diseases would not cause the loss of her right to the custody of her child. Proving this, they have made reference to the tradition related by Nadhr b. Qirwash al-Jammal,</w:t>
      </w:r>
      <w:r>
        <w:rPr>
          <w:rStyle w:val="FootnoteAnchor"/>
        </w:rPr>
        <w:footnoteReference w:id="213"/>
      </w:r>
      <w:r>
        <w:rPr>
          <w:rFonts w:eastAsia="Times New Roman" w:cs="Times New Roman" w:ascii="Times New Roman" w:hAnsi="Times New Roman"/>
          <w:color w:val="111111"/>
          <w:sz w:val="28"/>
          <w:szCs w:val="28"/>
          <w:lang w:val="en-US"/>
        </w:rPr>
        <w:t>as well as the traditions on custody and their non-reference to these diseases as restraining the mother's right to custody, the invalidity of mother's assistance and interference in the custody of her child and the practical)</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principle of preference (istishab.</w:t>
      </w:r>
      <w:r>
        <w:rPr>
          <w:rStyle w:val="FootnoteAnchor"/>
        </w:rPr>
        <w:footnoteReference w:id="214"/>
      </w:r>
      <w:r>
        <w:rPr>
          <w:rFonts w:eastAsia="Times New Roman" w:cs="Times New Roman" w:ascii="Times New Roman" w:hAnsi="Times New Roman"/>
          <w:color w:val="111111"/>
          <w:sz w:val="28"/>
          <w:szCs w:val="28"/>
          <w:lang w:val="en-US"/>
        </w:rPr>
        <w:t>)To our opinion, the contagious diseases have to be distinguished from the chronic ones. In the contagious diseases, so long as the mother has not recovered from her illness, the child may not be left in her care; in the chronic diseases, however, its effect on the mother's ability to take care of the child is to be taken into account.If the mother is afflicted with certain chronic diseases such as different kinds of cancers, which do not hinder the mother from taking care of her child, her right to her child's custody is retained even though she receives help from others to this end. But if this disease is so serious that it does not allow the mother to fulfill her duty and someone else is to help out, there is no doubt that the child cannot be left with her since the narrations concerning custody are applicable where the mother is directly undertaking the duties of taking care of her child. In other words, the mother's right to custody is certainly valid when the mother is capable of fulfilling her duties so that the child's psychophysical health is not endangered.Accordingly, it is not unlikely to claim that if the mother is addicted to narcotic drugs or alcoholic drinks, she is not qualified for her child's custody, although she is able to fulfill her duties, as its ethico-moral soundness, and in some cases its physical health, will be endangered. Thus, leaving the child with such a</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mother will cause the relinquishment of a purpose for which the law of custody has been devised.In the end, it is necessary to consider some points:First: All the qualifications mentioned for custody, if we have reason for their validity, are not exclusive to the mother but common between her and the father, unless in regard to marriage, which, in case of validity, is only exclusive to the mother and is not applied to the father.</w:t>
      </w:r>
      <w:r>
        <w:rPr>
          <w:rStyle w:val="FootnoteAnchor"/>
        </w:rPr>
        <w:footnoteReference w:id="215"/>
      </w:r>
      <w:r>
        <w:rPr>
          <w:rFonts w:eastAsia="Times New Roman" w:cs="Times New Roman" w:ascii="Times New Roman" w:hAnsi="Times New Roman"/>
          <w:color w:val="111111"/>
          <w:sz w:val="28"/>
          <w:szCs w:val="28"/>
          <w:lang w:val="en-US"/>
        </w:rPr>
        <w:t>)Second: As, to our opinion, the mother's custody period includes the first seven years of the child's life, be it a boy or a girl, and after that the custody is transferred to the father up to the age of maturity, therefore, each of the parents is to observe these terms during their custody period.</w:t>
      </w:r>
      <w:r>
        <w:rPr>
          <w:rStyle w:val="FootnoteAnchor"/>
        </w:rPr>
        <w:footnoteReference w:id="216"/>
      </w:r>
      <w:r>
        <w:rPr>
          <w:rFonts w:eastAsia="Times New Roman" w:cs="Times New Roman" w:ascii="Times New Roman" w:hAnsi="Times New Roman"/>
          <w:color w:val="111111"/>
          <w:sz w:val="28"/>
          <w:szCs w:val="28"/>
          <w:lang w:val="en-US"/>
        </w:rPr>
        <w:t>)Third: The qualifications explained above are related to custody; and the custody of a child and the related discourses are in effect only when the parents have been separated. Therefore, when they are living together they both undertake their child's care and in case of the incompetence of either one, the other takes the custody of the child.</w:t>
      </w:r>
      <w:r>
        <w:rPr>
          <w:rStyle w:val="FootnoteAnchor"/>
        </w:rPr>
        <w:footnoteReference w:id="217"/>
      </w:r>
      <w:r>
        <w:rPr>
          <w:rFonts w:eastAsia="Times New Roman" w:cs="Times New Roman" w:ascii="Times New Roman" w:hAnsi="Times New Roman"/>
          <w:color w:val="111111"/>
          <w:sz w:val="28"/>
          <w:szCs w:val="28"/>
          <w:lang w:val="en-US"/>
        </w:rPr>
        <w:t>)Fourth: Given the fact that the child's infancy is part of the seven-year period that it spends with its mother, the qualifications for custody are true and necessary during the infancy, too; therefore, not asserting them for the infancy period is not because of their invalidity, rather, because of the clarity of their validity.</w:t>
      </w:r>
      <w:r>
        <w:rPr>
          <w:rStyle w:val="FootnoteAnchor"/>
        </w:rPr>
        <w:footnoteReference w:id="218"/>
      </w:r>
      <w:r>
        <w:rPr>
          <w:rFonts w:eastAsia="Times New Roman" w:cs="Times New Roman" w:ascii="Times New Roman" w:hAnsi="Times New Roman"/>
          <w:color w:val="111111"/>
          <w:sz w:val="28"/>
          <w:szCs w:val="28"/>
          <w:lang w:val="en-US"/>
        </w:rPr>
        <w:t>)### Loss of the Required Qualifications for Child CustodyIf either of the parents, while holding the custody of his or</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her child, loses any of the qualifications for this task, who will take over their duty?1. Loss of Mother's Qualifications: Some of the jurists believe that if the mother lacks or loses one of the qualifications required for the custody of her child, then the father will substitute her and undertake the duty of the child's custody.</w:t>
      </w:r>
      <w:r>
        <w:rPr>
          <w:rStyle w:val="FootnoteAnchor"/>
        </w:rPr>
        <w:footnoteReference w:id="219"/>
      </w:r>
      <w:r>
        <w:rPr>
          <w:rFonts w:eastAsia="Times New Roman" w:cs="Times New Roman" w:ascii="Times New Roman" w:hAnsi="Times New Roman"/>
          <w:color w:val="111111"/>
          <w:sz w:val="28"/>
          <w:szCs w:val="28"/>
          <w:lang w:val="en-US"/>
        </w:rPr>
        <w:t>)Therefore, if the mother is qualified for taking care of her child but refuses to fulfill her duties for it, the father has to undertake care of his child even when the mother has the duty for that and if the father also refuses to do so, he can be forced to in order to protect the child.</w:t>
      </w:r>
      <w:r>
        <w:rPr>
          <w:rStyle w:val="FootnoteAnchor"/>
        </w:rPr>
        <w:footnoteReference w:id="220"/>
      </w:r>
      <w:r>
        <w:rPr>
          <w:rFonts w:eastAsia="Times New Roman" w:cs="Times New Roman" w:ascii="Times New Roman" w:hAnsi="Times New Roman"/>
          <w:color w:val="111111"/>
          <w:sz w:val="28"/>
          <w:szCs w:val="28"/>
          <w:lang w:val="en-US"/>
        </w:rPr>
        <w:t>)In contrast, some also claim that in this case the maternal grandmother substitutes and fulfills her duties;</w:t>
      </w:r>
      <w:r>
        <w:rPr>
          <w:rStyle w:val="FootnoteAnchor"/>
        </w:rPr>
        <w:footnoteReference w:id="221"/>
      </w:r>
      <w:r>
        <w:rPr>
          <w:rFonts w:eastAsia="Times New Roman" w:cs="Times New Roman" w:ascii="Times New Roman" w:hAnsi="Times New Roman"/>
          <w:color w:val="111111"/>
          <w:sz w:val="28"/>
          <w:szCs w:val="28"/>
          <w:lang w:val="en-US"/>
        </w:rPr>
        <w:t>naturally, if the grandmother is a successor to the mother, in case of the mother's absence or her refusal to undertake her child's custody, this duty is transferred to her.)To our opinion – as we also explained before – the child's custody is the father's main intrinsic duty that for special reasons is transferred to the mother for the first seven years of its life; then, if the mother cannot or does not want to fulfill this duty, the father will substitute her.2. Loss of Father's Qualifications: However, if the father lacks or loses one of the required qualifications, the possibility has been set forth in some legal texts that the task of taking care of the child up to</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maturity is transferred to the mother.</w:t>
      </w:r>
      <w:r>
        <w:rPr>
          <w:rStyle w:val="FootnoteAnchor"/>
        </w:rPr>
        <w:footnoteReference w:id="222"/>
      </w:r>
      <w:r>
        <w:rPr>
          <w:rFonts w:eastAsia="Times New Roman" w:cs="Times New Roman" w:ascii="Times New Roman" w:hAnsi="Times New Roman"/>
          <w:color w:val="111111"/>
          <w:sz w:val="28"/>
          <w:szCs w:val="28"/>
          <w:lang w:val="en-US"/>
        </w:rPr>
        <w:t>)The proponents of this view believe that according to the traditions narrated by Fudhayl b. Yasar and Dawud Riqqi,</w:t>
      </w:r>
      <w:r>
        <w:rPr>
          <w:rStyle w:val="FootnoteAnchor"/>
        </w:rPr>
        <w:footnoteReference w:id="223"/>
      </w:r>
      <w:r>
        <w:rPr>
          <w:rFonts w:eastAsia="Times New Roman" w:cs="Times New Roman" w:ascii="Times New Roman" w:hAnsi="Times New Roman"/>
          <w:color w:val="111111"/>
          <w:sz w:val="28"/>
          <w:szCs w:val="28"/>
          <w:lang w:val="en-US"/>
        </w:rPr>
        <w:t>if the father is a slave, so long as he is not set free, his child's custody will be left with the mother, even if she has been married to someone else. Accordingly, if other barriers to the father's custody of the child such as lack of moral competency, lack of intellectual soundness, and affliction with contagious diseases occur too, the mother, all the more so and in case of enjoying the required qualifications, has priority over other people in her child's custody. Besides the practical principle of continuance (istishab) also indicates the continuation of the mother's right.</w:t>
      </w:r>
      <w:r>
        <w:rPr>
          <w:rStyle w:val="FootnoteAnchor"/>
        </w:rPr>
        <w:footnoteReference w:id="224"/>
      </w:r>
      <w:r>
        <w:rPr>
          <w:rFonts w:eastAsia="Times New Roman" w:cs="Times New Roman" w:ascii="Times New Roman" w:hAnsi="Times New Roman"/>
          <w:color w:val="111111"/>
          <w:sz w:val="28"/>
          <w:szCs w:val="28"/>
          <w:lang w:val="en-US"/>
        </w:rPr>
        <w:t>)To our opinion, however, during the time that the father is undertaking his child's custody, i.e., from seven until maturity, in case the father does not have the requirements for the child's custody or if he loses them, this duty will be transferred to the paternal grandfather. That is because with the termination of the mother's custody period, the duty of taking care of the child is transferred to the father or his successor; and as we explained before, the paternal grandfather is the successor.</w:t>
      </w:r>
      <w:r>
        <w:rPr>
          <w:rStyle w:val="FootnoteAnchor"/>
        </w:rPr>
        <w:footnoteReference w:id="225"/>
      </w:r>
      <w:r>
        <w:rPr>
          <w:rFonts w:eastAsia="Times New Roman" w:cs="Times New Roman" w:ascii="Times New Roman" w:hAnsi="Times New Roman"/>
          <w:color w:val="111111"/>
          <w:sz w:val="28"/>
          <w:szCs w:val="28"/>
          <w:lang w:val="en-US"/>
        </w:rPr>
        <w:t>)### Return of the RequirementsSo far, we have stressed that custody of a child is subject to certain qualifications and if any of the parents loses one of them they will no longer be qualified to hold the custody of their child. However, it is natural to raise the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question that if either of the parents regains the required qualifications for the child's custody, can the child be put under their care?If the father regains the required qualifications, his child's custody will undoubtedly be given back to him. The statement, "he is more deserved of his child than the mother due to his status as a father" in Fudhayl b. Yasar's tradition indicates that loss of qualifications is an obstruction to the father's status and it is obvious that if the obstructions are removed, his fatherliness will restore its efficacy.Similarly, if the mother is also able to regain the required qualifications while holding the custody of her child, for example, when signs of insanity are removed from her, her contagious disease is treated, etc., she will regain her right to the custody of her child, for the expediency for custody is retained in her. Here, only an obstacle has barred its efficacy, which if removed, the expediency will be effective, except for the marriage of the mother, which we have previously talked about.### Parents' Relationship during the Child CustodyAmong the most important issues brought up in child custody is the way the parents treat each other and the kind of relationship existing between them during this period, for as we explained before, child custody comes up when the parents have separated through divorce.Naturally, when the parents are not living together under a single roof, the child has to live with one of them as according to the previous explanations the child, regardless of gender, lives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with its mother during the first seven years of its life, and after that the father undertake its custody up to maturity.It needs to be noted, however, that the parents' separation in itself creates tension between them, which may lead to hostile and vengeful behavior.This unfriendly relationship between the parents would most often reach its peak by using the child as bait, that is, the child being with one parent is a means or pretext to exert indirect pressure on the other parent. For this reason, the great Shiʿa jurists have since long ago attempted by stating a definition of these relations to minimize the probable damage being inflicted upon any of the parents as well as the child.During the period in which the child is living with its father, whether due to the mother's lack of qualification for the child's custody or because her legal time for this purpose has run out, the father must make arrangements for the child's relationship with its mother in a way that neither the child nor the mother may be kept at bay. To this end, the father has to prepare the ground for certain affairs to fulfill:</w:t>
      </w:r>
      <w:r>
        <w:rPr>
          <w:rStyle w:val="FootnoteAnchor"/>
        </w:rPr>
        <w:footnoteReference w:id="226"/>
      </w:r>
      <w:r>
        <w:rPr>
          <w:rFonts w:eastAsia="Times New Roman" w:cs="Times New Roman" w:ascii="Times New Roman" w:hAnsi="Times New Roman"/>
          <w:color w:val="111111"/>
          <w:sz w:val="28"/>
          <w:szCs w:val="28"/>
          <w:lang w:val="en-US"/>
        </w:rPr>
        <w:t>)First, meeting with the child: He should prepare the ground for the meeting between the child and its mother. Moreover, not to prevent it, since preventing the child from meeting its mother would lead to breaking off the ties of relationship, which is strongly repulsive to Islam.Second, nursing the child: If the child gets sick, the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father must not prevent the mother from nursing and treating the child and hold her back from staying with her child, since the mother is more caring than others towards her child, and the sick child needs someone to take care of it and it is obvious that the mother is the most deserving person for this task.Third, nursing the mother: When the mother gets sick, the father must not prevent the child – whether her son or daughter – to visit their mother frequently.Fourth, child's mourning ceremony: In case the child passes away while the father is holding its custody, the mother can be present at her child's deathbed and attend to the related tasks.</w:t>
      </w:r>
      <w:r>
        <w:rPr>
          <w:rStyle w:val="FootnoteAnchor"/>
        </w:rPr>
        <w:footnoteReference w:id="227"/>
      </w:r>
      <w:r>
        <w:rPr>
          <w:rFonts w:eastAsia="Times New Roman" w:cs="Times New Roman" w:ascii="Times New Roman" w:hAnsi="Times New Roman"/>
          <w:color w:val="111111"/>
          <w:sz w:val="28"/>
          <w:szCs w:val="28"/>
          <w:lang w:val="en-US"/>
        </w:rPr>
        <w:t>)Fifth, mother's mourning ceremony: And if the mother dies, her child can be present at her deathbed, and if old enough, the child can undertake to administer the burial services such as funeral ablution, enshrouding, funeral procession, and burial, provided that the mother's husband gives them permission for this.As the researches indicate, nothing is mentioned in any of the Shiʿa legal texts about the child's relationship with its father while living with its mother.</w:t>
      </w:r>
      <w:r>
        <w:rPr>
          <w:rStyle w:val="FootnoteAnchor"/>
        </w:rPr>
        <w:footnoteReference w:id="228"/>
      </w:r>
      <w:r>
        <w:rPr>
          <w:rFonts w:eastAsia="Times New Roman" w:cs="Times New Roman" w:ascii="Times New Roman" w:hAnsi="Times New Roman"/>
          <w:color w:val="111111"/>
          <w:sz w:val="28"/>
          <w:szCs w:val="28"/>
          <w:lang w:val="en-US"/>
        </w:rPr>
        <w:t>)To our opinion, taking care of the child by any of the parents cannot lead to the relinquishment of the mutual rights of the child and parents; thus, all the things that are conventionally regarded as the requirements and functions of the father-child or the mother-child relationships are permissible and the child or any of the parents cannot be deprived of</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Part Three: A Study on the Legal Issues of Abandoned Children (Laqit)### Preliminary Topics of Discourse#### pointAs one of the most important functions of marriage, reproduction sometimes turns into a serious problem in both individual and social aspects.Many women and men in a legitimate or illegitimate way and through wanted or unwanted submission to sexual intercourse may provide the way for a baby to be born, whom none of them desired to live on and if it happens to be born, they cannot manage its life due to certain social or economic problems.Such people can take action in two ways to get rid of this problem: destroying the fetus before birth (abortion, or abandoning the baby after birth, leading to formation of the “abandoned children” phenomenon.)Of course, the role of the natural factors in creating abandoned children is not to be ignored, since some natural disasters such as flood, earthquake, epidemic diseases, war, etc., may cause the death of the parents or even close relatives of the child. It is unfortunately in these circumstances that we encounter the tragic phenomenon of "unattended children".Besides the abandoned and unattended children, there is a third group of children called laboring children. These are a group of children who despite enjoying legal guardians and living with them, spend most of their time out of their homes or on the streets in order to earn money for their guardians.Similarly important is the issue of the fourth group, i.e., "run-away children", since there are many children who because of poor family conditions leave home and wander about aimlessly, continuing</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live in public places in much more unhealthy ways.Talking about the latter two groups, i.e., "laboring children" and "run-away children" is beyond the scope of this book, because taking care of the children who have identified protectors, legally rests with their guardians (wali or people such as their father or grandfather. However, a study of the ways in which such children come into being is to be undertaken as a social problem by sociologists.)The jurists have independently studied the issue of the abandoned children in books of jurisprudence concerning luqata. Luqata means something that someone finds in public places, whether it is property, animal, or human being.</w:t>
      </w:r>
      <w:r>
        <w:rPr>
          <w:rStyle w:val="FootnoteAnchor"/>
        </w:rPr>
        <w:footnoteReference w:id="229"/>
      </w:r>
      <w:r>
        <w:rPr>
          <w:rFonts w:eastAsia="Times New Roman" w:cs="Times New Roman" w:ascii="Times New Roman" w:hAnsi="Times New Roman"/>
          <w:color w:val="111111"/>
          <w:sz w:val="28"/>
          <w:szCs w:val="28"/>
          <w:lang w:val="en-US"/>
        </w:rPr>
        <w:t>)Discussing about the found properties and animals and the way to introduce and find their proprietor is again beyond the scope of this book, but talking about the babies abandoned in public places, which in legal terminology are named by three words of laqit, malqut, and manbudh,</w:t>
      </w:r>
      <w:r>
        <w:rPr>
          <w:rStyle w:val="FootnoteAnchor"/>
        </w:rPr>
        <w:footnoteReference w:id="230"/>
      </w:r>
      <w:r>
        <w:rPr>
          <w:rFonts w:eastAsia="Times New Roman" w:cs="Times New Roman" w:ascii="Times New Roman" w:hAnsi="Times New Roman"/>
          <w:color w:val="111111"/>
          <w:sz w:val="28"/>
          <w:szCs w:val="28"/>
          <w:lang w:val="en-US"/>
        </w:rPr>
        <w:t>is what we deal with in this chapter.)Of course, it is not to be neglected that many of the rulings set forth about the abandoned children are true for the unattended children too, namely the children who have for natural or social reasons lost their protectors. Thus, among the issues brought up in this chapter, we will talk about both topics – as relevant to the subject.Laqit refers to any child who is abandoned to its fate, with no one to raise and take care of it.</w:t>
      </w:r>
      <w:r>
        <w:rPr>
          <w:rStyle w:val="FootnoteAnchor"/>
        </w:rPr>
        <w:footnoteReference w:id="231"/>
      </w:r>
      <w:r>
        <w:rPr>
          <w:rFonts w:eastAsia="Times New Roman" w:cs="Times New Roman" w:ascii="Times New Roman" w:hAnsi="Times New Roman"/>
          <w:color w:val="111111"/>
          <w:sz w:val="28"/>
          <w:szCs w:val="28"/>
          <w:lang w:val="en-US"/>
        </w:rPr>
        <w:t>)It goes without saying that if the child is old</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enough to be able to satisfy its own needs and to take care of its own health, this title (laqit does not apply to it, nor do the rulings that we will talk about in the following.</w:t>
      </w:r>
      <w:r>
        <w:rPr>
          <w:rStyle w:val="FootnoteAnchor"/>
        </w:rPr>
        <w:footnoteReference w:id="232"/>
      </w:r>
      <w:r>
        <w:rPr>
          <w:rFonts w:eastAsia="Times New Roman" w:cs="Times New Roman" w:ascii="Times New Roman" w:hAnsi="Times New Roman"/>
          <w:color w:val="111111"/>
          <w:sz w:val="28"/>
          <w:szCs w:val="28"/>
          <w:lang w:val="en-US"/>
        </w:rPr>
        <w:t>)Now, if such a child has guardians, it will be handed over to them; otherwise, someone should undertake its custody.It is also necessary to note that although the term laqit does not apply to the grown up people (adults since they do not need to be taken care of (through custody), if their life is at risk, helping them and saving them from danger is obligatory to everyone.</w:t>
      </w:r>
      <w:r>
        <w:rPr>
          <w:rStyle w:val="FootnoteAnchor"/>
        </w:rPr>
        <w:footnoteReference w:id="233"/>
      </w:r>
      <w:r>
        <w:rPr>
          <w:rFonts w:eastAsia="Times New Roman" w:cs="Times New Roman" w:ascii="Times New Roman" w:hAnsi="Times New Roman"/>
          <w:color w:val="111111"/>
          <w:sz w:val="28"/>
          <w:szCs w:val="28"/>
          <w:lang w:val="en-US"/>
        </w:rPr>
        <w:t>)#### Necessity of Taking Care of the Unattended ChildrenIf we encounter a child in the streets or a public place who does not have a guardian or whose legal guardian has abandoned and this child is wandering about with no shelter, what should we do?There are three views in the legal texts concerning the duty of the people who encounter such children:Most of the Shiʿa jurists believe that collecting the abandoned and unattended children and taking care of them is a collective or communal (kifa’i duty, i.e., if one person undertakes it, others will be exempt from this task. However, if no one does, all those who are informed about it while having the possibility to take care of such children, are sinful.</w:t>
      </w:r>
      <w:r>
        <w:rPr>
          <w:rStyle w:val="FootnoteAnchor"/>
        </w:rPr>
        <w:footnoteReference w:id="234"/>
      </w:r>
      <w:r>
        <w:rPr>
          <w:rFonts w:eastAsia="Times New Roman" w:cs="Times New Roman" w:ascii="Times New Roman" w:hAnsi="Times New Roman"/>
          <w:color w:val="111111"/>
          <w:sz w:val="28"/>
          <w:szCs w:val="28"/>
          <w:lang w:val="en-US"/>
        </w:rPr>
        <w:t>)Collecting the abandoned children and taking care of them is obligatory, since it is among the benevolent deeds that God has obliged us to cooperate with one another and commissioned us to act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this respect, as saving one's life is also among the most important duties of every Muslim:Cooperate in piety and God wariness, but do not cooperate in sin and aggression.,</w:t>
      </w:r>
      <w:r>
        <w:rPr>
          <w:rStyle w:val="FootnoteAnchor"/>
        </w:rPr>
        <w:footnoteReference w:id="235"/>
      </w:r>
      <w:r>
        <w:rPr>
          <w:rFonts w:eastAsia="Times New Roman" w:cs="Times New Roman" w:ascii="Times New Roman" w:hAnsi="Times New Roman"/>
          <w:color w:val="111111"/>
          <w:sz w:val="28"/>
          <w:szCs w:val="28"/>
          <w:lang w:val="en-US"/>
        </w:rPr>
        <w:t>)O you who have faith! Bow down and prostrate yourselves, and worship your Lord, and do good, so that you may be felicitous.</w:t>
      </w:r>
      <w:r>
        <w:rPr>
          <w:rStyle w:val="FootnoteAnchor"/>
        </w:rPr>
        <w:footnoteReference w:id="236"/>
      </w:r>
      <w:r>
        <w:rPr>
          <w:rFonts w:eastAsia="Times New Roman" w:cs="Times New Roman" w:ascii="Times New Roman" w:hAnsi="Times New Roman"/>
          <w:color w:val="111111"/>
          <w:sz w:val="28"/>
          <w:szCs w:val="28"/>
          <w:lang w:val="en-US"/>
        </w:rPr>
        <w:t>,)And whoever saves a life is as though he had saved all mankind.</w:t>
      </w:r>
      <w:r>
        <w:rPr>
          <w:rStyle w:val="FootnoteAnchor"/>
        </w:rPr>
        <w:footnoteReference w:id="237"/>
      </w:r>
      <w:r>
        <w:rPr>
          <w:rFonts w:eastAsia="Times New Roman" w:cs="Times New Roman" w:ascii="Times New Roman" w:hAnsi="Times New Roman"/>
          <w:color w:val="111111"/>
          <w:sz w:val="28"/>
          <w:szCs w:val="28"/>
          <w:lang w:val="en-US"/>
        </w:rPr>
        <w:t>)In addition, if giving food to someone who is starving or keeping people clear of harm is obligatory from a religious perspective, it can be well concluded that collecting the unattended and abandoned children, sheltering them, and fulfilling their needs is obligatory in sight of God.</w:t>
      </w:r>
      <w:r>
        <w:rPr>
          <w:rStyle w:val="FootnoteAnchor"/>
        </w:rPr>
        <w:footnoteReference w:id="238"/>
      </w:r>
      <w:r>
        <w:rPr>
          <w:rFonts w:eastAsia="Times New Roman" w:cs="Times New Roman" w:ascii="Times New Roman" w:hAnsi="Times New Roman"/>
          <w:color w:val="111111"/>
          <w:sz w:val="28"/>
          <w:szCs w:val="28"/>
          <w:lang w:val="en-US"/>
        </w:rPr>
        <w:t>)Given these explanations, although collecting children from public places is obligatory, it is indeed a communal duty, because collecting such children is aimed at protecting their lives and fostering and educating them. This goal is achievable by any Muslim who may undertake it; besides, the jurists' consensus (ijmaʿ and reference to the practical principle of disavowal (bara’a) would confirm it not to be ʿayni (personal duty) and to be kifa’i (collective or communal duty).</w:t>
      </w:r>
      <w:r>
        <w:rPr>
          <w:rStyle w:val="FootnoteAnchor"/>
        </w:rPr>
        <w:footnoteReference w:id="239"/>
      </w:r>
      <w:r>
        <w:rPr>
          <w:rFonts w:eastAsia="Times New Roman" w:cs="Times New Roman" w:ascii="Times New Roman" w:hAnsi="Times New Roman"/>
          <w:color w:val="111111"/>
          <w:sz w:val="28"/>
          <w:szCs w:val="28"/>
          <w:lang w:val="en-US"/>
        </w:rPr>
        <w:t>)The question arises for the jurists who believe collecting the abandoned and unattended children is a communal duty that if someone undertakes this task, can they give up later on or are they obliged to live up to their commitment until the child reaches maturity?Answering this question involves the doctrinal rather than jurisprudential (legal research that whether the undertaking that has been communal at the outset)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can turn into personal so that it is not possible to give it up, or it will remain as a communal duty to be continued.</w:t>
      </w:r>
      <w:r>
        <w:rPr>
          <w:rStyle w:val="FootnoteAnchor"/>
        </w:rPr>
        <w:footnoteReference w:id="240"/>
      </w:r>
      <w:r>
        <w:rPr>
          <w:rFonts w:eastAsia="Times New Roman" w:cs="Times New Roman" w:ascii="Times New Roman" w:hAnsi="Times New Roman"/>
          <w:color w:val="111111"/>
          <w:sz w:val="28"/>
          <w:szCs w:val="28"/>
          <w:lang w:val="en-US"/>
        </w:rPr>
        <w:t>)In contrast to communal obligation, some jurists believe that picking up abandoned children and taking care of them is a praiseworthy and preferably religious act, in which lies otherworldly reward besides its worldly value.To prove this view, in addition to practical principle of exemption which results in non-obligation of collecting such children, it is emphasized that cooperation in pious deeds which is implied from the verseCooperate in piety and God wariness, but do not cooperate in sin and aggression</w:t>
      </w:r>
      <w:r>
        <w:rPr>
          <w:rStyle w:val="FootnoteAnchor"/>
        </w:rPr>
        <w:footnoteReference w:id="241"/>
      </w:r>
      <w:r>
        <w:rPr>
          <w:rFonts w:eastAsia="Times New Roman" w:cs="Times New Roman" w:ascii="Times New Roman" w:hAnsi="Times New Roman"/>
          <w:color w:val="111111"/>
          <w:sz w:val="28"/>
          <w:szCs w:val="28"/>
          <w:lang w:val="en-US"/>
        </w:rPr>
        <w:t>is desirable and not obligatory.</w:t>
      </w:r>
      <w:r>
        <w:rPr>
          <w:rStyle w:val="FootnoteAnchor"/>
        </w:rPr>
        <w:footnoteReference w:id="242"/>
      </w:r>
      <w:r>
        <w:rPr>
          <w:rFonts w:eastAsia="Times New Roman" w:cs="Times New Roman" w:ascii="Times New Roman" w:hAnsi="Times New Roman"/>
          <w:color w:val="111111"/>
          <w:sz w:val="28"/>
          <w:szCs w:val="28"/>
          <w:lang w:val="en-US"/>
        </w:rPr>
        <w:t>)To our opinion, there is no doubt that collecting such children and sheltering them is among the good and pious acts which have always been recommended,and We revealed to them the performance of good deeds</w:t>
      </w:r>
      <w:r>
        <w:rPr>
          <w:rStyle w:val="FootnoteAnchor"/>
        </w:rPr>
        <w:footnoteReference w:id="243"/>
      </w:r>
      <w:r>
        <w:rPr>
          <w:rFonts w:eastAsia="Times New Roman" w:cs="Times New Roman" w:ascii="Times New Roman" w:hAnsi="Times New Roman"/>
          <w:color w:val="111111"/>
          <w:sz w:val="28"/>
          <w:szCs w:val="28"/>
          <w:lang w:val="en-US"/>
        </w:rPr>
        <w:t>, doing this pious act sometimes become essential and obligatory, since failing to do so may endanger a child's life.)Thus, collecting the abandoned children and taking their custody is a desirable (mustahab act, which will turn into an obligation when their lives are endangered. This obligation can be communal or individual given the child's conditions.</w:t>
      </w:r>
      <w:r>
        <w:rPr>
          <w:rStyle w:val="FootnoteAnchor"/>
        </w:rPr>
        <w:footnoteReference w:id="244"/>
      </w:r>
      <w:r>
        <w:rPr>
          <w:rFonts w:eastAsia="Times New Roman" w:cs="Times New Roman" w:ascii="Times New Roman" w:hAnsi="Times New Roman"/>
          <w:color w:val="111111"/>
          <w:sz w:val="28"/>
          <w:szCs w:val="28"/>
          <w:lang w:val="en-US"/>
        </w:rPr>
        <w:t>)In any case, whether picking up and collecting such children is desirable or obligatory, the finder of the child (multaqit is to do their best in safeguarding it in a decent way and fulfill their commitment toward that child either directly or indirectly through someone else, so long as they have not dispensed)</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with their decision. Naturally, whenever in the meantime they failed to continue or by any reason were unwilling to continue this task, they are to leave the child with the judge (Islamic ruler or supportive institutions.</w:t>
      </w:r>
      <w:r>
        <w:rPr>
          <w:rStyle w:val="FootnoteAnchor"/>
        </w:rPr>
        <w:footnoteReference w:id="245"/>
      </w:r>
      <w:r>
        <w:rPr>
          <w:rFonts w:eastAsia="Times New Roman" w:cs="Times New Roman" w:ascii="Times New Roman" w:hAnsi="Times New Roman"/>
          <w:color w:val="111111"/>
          <w:sz w:val="28"/>
          <w:szCs w:val="28"/>
          <w:lang w:val="en-US"/>
        </w:rPr>
        <w:t>)Permit Requirement (Asking for Permission: Although special requirements are to be fulfilled for custody of a child which we will deal with later on, collecting the children from the streets or any other public places does not require anyone's consent.</w:t>
      </w:r>
      <w:r>
        <w:rPr>
          <w:rStyle w:val="FootnoteAnchor"/>
        </w:rPr>
        <w:footnoteReference w:id="246"/>
      </w:r>
      <w:r>
        <w:rPr>
          <w:rFonts w:eastAsia="Times New Roman" w:cs="Times New Roman" w:ascii="Times New Roman" w:hAnsi="Times New Roman"/>
          <w:color w:val="111111"/>
          <w:sz w:val="28"/>
          <w:szCs w:val="28"/>
          <w:lang w:val="en-US"/>
        </w:rPr>
        <w:t>However, in case of lacking financial, moral, and social qualifications in the finder, the child is taken back from him; for, asking permission from the judge or the Islamic ruler can lead to wasting time and further damage to the child.)Producing a Witness: If someone encounters an infant or child abandoned in a public place, do they need a witness for picking it up from the public passageways? Naturally, if a witness is supposed to bear witness on picking up the child by the finder, they should point out two things:1. Finding the child by the finder (multaqit,)2. The properties and things possibly found along with the child.It is related from some Shafiʿi jurists that the presence of a witness when picking the abandoned child (laqit is obligatory, because such children must remain secure both in terms of life and parentage and this will not be realized except by taking a witness statement.</w:t>
      </w:r>
      <w:r>
        <w:rPr>
          <w:rStyle w:val="FootnoteAnchor"/>
        </w:rPr>
        <w:footnoteReference w:id="247"/>
      </w:r>
      <w:r>
        <w:rPr>
          <w:rFonts w:eastAsia="Times New Roman" w:cs="Times New Roman" w:ascii="Times New Roman" w:hAnsi="Times New Roman"/>
          <w:color w:val="111111"/>
          <w:sz w:val="28"/>
          <w:szCs w:val="28"/>
          <w:lang w:val="en-US"/>
        </w:rPr>
        <w:t>)With reference to the principle of exemption and comparing picking up abandoned children to accepting trusts, some jurists have claimed that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taking a witness – like when accepting trusts – is not obligatory, and it is possible to proceed to collect them without anyone to be present as witness.</w:t>
      </w:r>
      <w:r>
        <w:rPr>
          <w:rStyle w:val="FootnoteAnchor"/>
        </w:rPr>
        <w:footnoteReference w:id="248"/>
      </w:r>
      <w:r>
        <w:rPr>
          <w:rFonts w:eastAsia="Times New Roman" w:cs="Times New Roman" w:ascii="Times New Roman" w:hAnsi="Times New Roman"/>
          <w:color w:val="111111"/>
          <w:sz w:val="28"/>
          <w:szCs w:val="28"/>
          <w:lang w:val="en-US"/>
        </w:rPr>
        <w:t>)A group of jurists also believe that if the finder of the child (multaqit is a just person, there is no need for taking a witness; however, if his or her justice is not evident, taking witness is obligatory, as this would create more trust in that person.</w:t>
      </w:r>
      <w:r>
        <w:rPr>
          <w:rStyle w:val="FootnoteAnchor"/>
        </w:rPr>
        <w:footnoteReference w:id="249"/>
      </w:r>
      <w:r>
        <w:rPr>
          <w:rFonts w:eastAsia="Times New Roman" w:cs="Times New Roman" w:ascii="Times New Roman" w:hAnsi="Times New Roman"/>
          <w:color w:val="111111"/>
          <w:sz w:val="28"/>
          <w:szCs w:val="28"/>
          <w:lang w:val="en-US"/>
        </w:rPr>
        <w:t>)Finally, this possibility is also brought up in legal texts that taking a witness for picking up an abandoned child is a desirable action (mustahab. It can be a factor in preserving the child's parentage (lineage) and preventing any possible misuse by the person who has found the child. It is possible to increase the possibility of finding the child's parents.</w:t>
      </w:r>
      <w:r>
        <w:rPr>
          <w:rStyle w:val="FootnoteAnchor"/>
        </w:rPr>
        <w:footnoteReference w:id="250"/>
      </w:r>
      <w:r>
        <w:rPr>
          <w:rFonts w:eastAsia="Times New Roman" w:cs="Times New Roman" w:ascii="Times New Roman" w:hAnsi="Times New Roman"/>
          <w:color w:val="111111"/>
          <w:sz w:val="28"/>
          <w:szCs w:val="28"/>
          <w:lang w:val="en-US"/>
        </w:rPr>
        <w:t>)To our opinion, although the presence of a witness for collecting and taking custody of abandoned and unattended children is desirable as reason dictates that someone should witnesses the one picking up the child. Especially when there are personal belongings with that child so that the finder would not get into trouble later on by being accused and suspected by others, this is not obligatory or mustahab in a legal sense since we have no valid reason for it. Besides, finding a witness for such a matter is sometimes impossible and it may at times be so time-consuming that the child's life could be endangered, especially in large cities where due to unfamiliarity with each other,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people would usually not agree to witness.### Conditions for the Custody of Abandoned ChildrenJurists have set certain conditions to be fulfilled by the person who has found a child and wants to undertake its custody. If they do not meet all or any of the conditions, they are not allowed to undertake this task and in case they have picked up the child, it is taken back from them and left with someone qualified.It is to be noted that these conditions are valid only for the finder that for whom the finding of the child is a preliminary step toward protecting and safeguarding it, or else, they are not required for the finder who does not have the intention or the ability to undertake such a task. Therefore, the term multaqit in the Islamic jurisprudence does not apply to any person who finds a child.1. Maturity and Intellect: Maturity and intellect are among the general requirements of any obligation; that is why some jurists instead of mentioning those requirements have pointed out that the first requirement for permission to take the custody of a child is maturity of age. Thus, all the reasons that validate maturity and intellect in other obligations would include iltiqat (picking up abandoned babies from public passageways as well.</w:t>
      </w:r>
      <w:r>
        <w:rPr>
          <w:rStyle w:val="FootnoteAnchor"/>
        </w:rPr>
        <w:footnoteReference w:id="251"/>
      </w:r>
      <w:r>
        <w:rPr>
          <w:rFonts w:eastAsia="Times New Roman" w:cs="Times New Roman" w:ascii="Times New Roman" w:hAnsi="Times New Roman"/>
          <w:color w:val="111111"/>
          <w:sz w:val="28"/>
          <w:szCs w:val="28"/>
          <w:lang w:val="en-US"/>
        </w:rPr>
        <w:t>)In addition to this, only he can manage someone else's life who can at least manage his own life; naturally, the one who is not qualified to manage his own life will not be able to run someone else's life.Given this, it is obvious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for validation of these two conditions, there is no need for relating the discussion of custody to the issue of guardianship (wilaya,</w:t>
      </w:r>
      <w:r>
        <w:rPr>
          <w:rStyle w:val="FootnoteAnchor"/>
        </w:rPr>
        <w:footnoteReference w:id="252"/>
      </w:r>
      <w:r>
        <w:rPr>
          <w:rFonts w:eastAsia="Times New Roman" w:cs="Times New Roman" w:ascii="Times New Roman" w:hAnsi="Times New Roman"/>
          <w:color w:val="111111"/>
          <w:sz w:val="28"/>
          <w:szCs w:val="28"/>
          <w:lang w:val="en-US"/>
        </w:rPr>
        <w:t>for we have no reason for the validity of guardianship in the sense set forth in Shiʿa jurisprudence regarding the issue of hidhanat and iltiqat.)2. Mental Maturity: Mental maturity (rushd is opposite to feeble-mindedness (safah), as mentally mature (rashid) is opposite to feeble-minded (safih). The feeble-minded individual who is referred to as inconsistent and simpleton, is the one who is unable to use their properties rightly and handle them wisely. In contrast, the mentally mature is someone who is capable of making correct use and preventing damage of his or her properties.</w:t>
      </w:r>
      <w:r>
        <w:rPr>
          <w:rStyle w:val="FootnoteAnchor"/>
        </w:rPr>
        <w:footnoteReference w:id="253"/>
      </w:r>
      <w:r>
        <w:rPr>
          <w:rFonts w:eastAsia="Times New Roman" w:cs="Times New Roman" w:ascii="Times New Roman" w:hAnsi="Times New Roman"/>
          <w:color w:val="111111"/>
          <w:sz w:val="28"/>
          <w:szCs w:val="28"/>
          <w:lang w:val="en-US"/>
        </w:rPr>
        <w:t>)With reference to this issue, the Holy Qur’an states:Do not give the feeble-minded your property, which Allah has assigned you to manage: provide for them out of it, and clothe them, and speak to them honorable words. Test the orphans when they reach the age of marriage. Then if you discern in them maturity, deliver to them their property.</w:t>
      </w:r>
      <w:r>
        <w:rPr>
          <w:rStyle w:val="FootnoteAnchor"/>
        </w:rPr>
        <w:footnoteReference w:id="254"/>
      </w:r>
      <w:r>
        <w:rPr>
          <w:rFonts w:eastAsia="Times New Roman" w:cs="Times New Roman" w:ascii="Times New Roman" w:hAnsi="Times New Roman"/>
          <w:color w:val="111111"/>
          <w:sz w:val="28"/>
          <w:szCs w:val="28"/>
          <w:lang w:val="en-US"/>
        </w:rPr>
        <w:t>)It is noteworthy that the designation of orphan does not do anything with mental maturity (rushd and the ruling ensued, for although the object of verse 6 of Surat al-Nisa and the two traditions narrated by Hisham and ʿAbd Allah b. Sanan</w:t>
      </w:r>
      <w:r>
        <w:rPr>
          <w:rStyle w:val="FootnoteAnchor"/>
        </w:rPr>
        <w:footnoteReference w:id="255"/>
      </w:r>
      <w:r>
        <w:rPr>
          <w:rFonts w:eastAsia="Times New Roman" w:cs="Times New Roman" w:ascii="Times New Roman" w:hAnsi="Times New Roman"/>
          <w:color w:val="111111"/>
          <w:sz w:val="28"/>
          <w:szCs w:val="28"/>
          <w:lang w:val="en-US"/>
        </w:rPr>
        <w:t>is orphan, but as verse 5 of the same sura denotes the ruling for not delivering property to the feeble-minded is a general ruling that includes both orphan and non-orphan. Then, reaching the age)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maturity is not sufficient for taking hold of one's property; one has to achieve a mental maturity for this purpose, as well.</w:t>
      </w:r>
      <w:r>
        <w:rPr>
          <w:rStyle w:val="FootnoteAnchor"/>
        </w:rPr>
        <w:footnoteReference w:id="256"/>
      </w:r>
      <w:r>
        <w:rPr>
          <w:rFonts w:eastAsia="Times New Roman" w:cs="Times New Roman" w:ascii="Times New Roman" w:hAnsi="Times New Roman"/>
          <w:color w:val="111111"/>
          <w:sz w:val="28"/>
          <w:szCs w:val="28"/>
          <w:lang w:val="en-US"/>
        </w:rPr>
        <w:t>)Although we have no reasons in hadith collections that explicitly proclaim a person does not need custody when they reach mental maturity, this does not mean that the immature person can do anything except property ownership, since conditionality of such matters as maturity in religious rulings and regulations are not legal and founded; rather, they are exhortative and emphasized according to intellectual stipulation and procedure.Thus if according to the intellectuals maturity is necessary in other matters except property ownership, it can be judged to be conditional; although legal reasons are silent about it.Examination of the families whose decisions are intellectually oriented clearly indicates that the newly matured adolescents who enjoy inadequate wisdom cannot be left to themselves to manage their own lives. Rather, they need to be taken care of, a care that needs no specific reason issued by the legislator to prove its necessity, but the intellectuals' practical prescription is sufficient for this purpose.Therefore, included among those who are in need of custody are the feeble-minded and intellectually underprivileged people who do not enjoy the required mental health and maturity to run their own lives.It goes without saying that even if the feeble-minded reach their maturity, they have to remain under protection of their guardians; thus, they will not be able to undertake running another person's life.</w:t>
      </w:r>
      <w:r>
        <w:rPr>
          <w:rStyle w:val="FootnoteAnchor"/>
        </w:rPr>
        <w:footnoteReference w:id="257"/>
      </w:r>
      <w:r>
        <w:rPr>
          <w:rFonts w:eastAsia="Times New Roman" w:cs="Times New Roman" w:ascii="Times New Roman" w:hAnsi="Times New Roman"/>
          <w:color w:val="111111"/>
          <w:sz w:val="28"/>
          <w:szCs w:val="28"/>
          <w:lang w:val="en-US"/>
        </w:rPr>
        <w:t>)Conclusion: If what is meant by iltiqat is picking up a</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baby from the street and handing it over to the unattended-children care centers, a feeble-minded person will be able to do this. However, if it means undertaking the responsibility for taking care of the baby, we should note that only he could take care of a child who is at least able to take care of his own life, and the feeble-minded person does not enjoy this ability. And the fact that according to the Holy Qur’an leaving the properties of an orphan at his or her own disposal is, besides maturity, contingent on mental maturity does not mean that the feeble-minded require a guardian only in financial matters and can undertake their own life affairs in non-financial matters as well.For this reasons, claiming that a child's custody can be entrusted to a feeble-minded person but not letting him or her to interfere with the child's financial affairs,</w:t>
      </w:r>
      <w:r>
        <w:rPr>
          <w:rStyle w:val="FootnoteAnchor"/>
        </w:rPr>
        <w:footnoteReference w:id="258"/>
      </w:r>
      <w:r>
        <w:rPr>
          <w:rFonts w:eastAsia="Times New Roman" w:cs="Times New Roman" w:ascii="Times New Roman" w:hAnsi="Times New Roman"/>
          <w:color w:val="111111"/>
          <w:sz w:val="28"/>
          <w:szCs w:val="28"/>
          <w:lang w:val="en-US"/>
        </w:rPr>
        <w:t>is not legally justified.)3. Justice: In some jurisprudential texts, enjoyment of justice is regarded as one of the requirements of the finder of the above-mentioned child.The word justice (ʿidalat is conceptually opposite to tyranny (zulm = injustice), but in legal texts its opposite is iniquity (fisq), although some have regarded it as higher than not committing sins and defined it as a kind of perpetual self-restraining (innate disposition).</w:t>
      </w:r>
      <w:r>
        <w:rPr>
          <w:rStyle w:val="FootnoteAnchor"/>
        </w:rPr>
        <w:footnoteReference w:id="259"/>
      </w:r>
      <w:r>
        <w:rPr>
          <w:rFonts w:eastAsia="Times New Roman" w:cs="Times New Roman" w:ascii="Times New Roman" w:hAnsi="Times New Roman"/>
          <w:color w:val="111111"/>
          <w:sz w:val="28"/>
          <w:szCs w:val="28"/>
          <w:lang w:val="en-US"/>
        </w:rPr>
        <w:t>)If we translate justice as not committing sins, then being just equals not being sinful or reprobate (fasiq. but if we translate it as innate quality and moral disposition, then not being sinful cannot be)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regarded as equivalent to being just, as there is a third state to them that although a person does not have the habit of self-restrain, he or she does not commit any sins in some instances, either.</w:t>
      </w:r>
      <w:r>
        <w:rPr>
          <w:rStyle w:val="FootnoteAnchor"/>
        </w:rPr>
        <w:footnoteReference w:id="260"/>
      </w:r>
      <w:r>
        <w:rPr>
          <w:rFonts w:eastAsia="Times New Roman" w:cs="Times New Roman" w:ascii="Times New Roman" w:hAnsi="Times New Roman"/>
          <w:color w:val="111111"/>
          <w:sz w:val="28"/>
          <w:szCs w:val="28"/>
          <w:lang w:val="en-US"/>
        </w:rPr>
        <w:t>)Some jurists have regarded as precautionary the existence of justice in the finder of the child</w:t>
      </w:r>
      <w:r>
        <w:rPr>
          <w:rStyle w:val="FootnoteAnchor"/>
        </w:rPr>
        <w:footnoteReference w:id="261"/>
      </w:r>
      <w:r>
        <w:rPr>
          <w:rFonts w:eastAsia="Times New Roman" w:cs="Times New Roman" w:ascii="Times New Roman" w:hAnsi="Times New Roman"/>
          <w:color w:val="111111"/>
          <w:sz w:val="28"/>
          <w:szCs w:val="28"/>
          <w:lang w:val="en-US"/>
        </w:rPr>
        <w:t>; some believe that justice is not valid because child custody is not safekeeping to require justice and if it does, being a Muslim by itself encompasses being trustworthy, as well. Besides, permitting a non-Muslim person to undertake the custody of a Muslim child, the practical principle of exemption, and inclusiveness of traditions indicate the invalidity of justice, too.</w:t>
      </w:r>
      <w:r>
        <w:rPr>
          <w:rStyle w:val="FootnoteAnchor"/>
        </w:rPr>
        <w:footnoteReference w:id="262"/>
      </w:r>
      <w:r>
        <w:rPr>
          <w:rFonts w:eastAsia="Times New Roman" w:cs="Times New Roman" w:ascii="Times New Roman" w:hAnsi="Times New Roman"/>
          <w:color w:val="111111"/>
          <w:sz w:val="28"/>
          <w:szCs w:val="28"/>
          <w:lang w:val="en-US"/>
        </w:rPr>
        <w:t>)Finally, the possibility has also been proposed that if a child has some properties of his own, the one who proceeds to pick up the child has to be just, since the breach of trust is strongly probable; but if the child lacks properties, justice is not valid.</w:t>
      </w:r>
      <w:r>
        <w:rPr>
          <w:rStyle w:val="FootnoteAnchor"/>
        </w:rPr>
        <w:footnoteReference w:id="263"/>
      </w:r>
      <w:r>
        <w:rPr>
          <w:rFonts w:eastAsia="Times New Roman" w:cs="Times New Roman" w:ascii="Times New Roman" w:hAnsi="Times New Roman"/>
          <w:color w:val="111111"/>
          <w:sz w:val="28"/>
          <w:szCs w:val="28"/>
          <w:lang w:val="en-US"/>
        </w:rPr>
        <w:t>)Irrespective of the third theory, which is not evidenced by any proof, the other two theories can be reconciled, since although leaving the child with someone who has a disposition of justice is precautionary; there is no reason for observing it. Moreover, some proofs can be given according to which we do not need to make sure of such a level of piety. Since, sometimes we can trust someone who, despite lack of certain desirable features, is certainly able to protect the child by paying enough affection and care in managing its affairs to</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extent that a just person may not enjoy such ability. However, it does not mean that we can leave a child with a reprobate (fasiq person.</w:t>
      </w:r>
      <w:r>
        <w:rPr>
          <w:rStyle w:val="FootnoteAnchor"/>
        </w:rPr>
        <w:footnoteReference w:id="264"/>
      </w:r>
      <w:r>
        <w:rPr>
          <w:rFonts w:eastAsia="Times New Roman" w:cs="Times New Roman" w:ascii="Times New Roman" w:hAnsi="Times New Roman"/>
          <w:color w:val="111111"/>
          <w:sz w:val="28"/>
          <w:szCs w:val="28"/>
          <w:lang w:val="en-US"/>
        </w:rPr>
        <w:t>)To our opinion – as we already said in the discussion about the custody of parents – enjoyment of moral competence of the finder of the child (multaqit is among the most fundamental requirements of leaving the child's custody to them. Since the legitimacy of iltiqat in Islamic jurisprudence is for its protection of the life and psychophysical health of the children whose parents have for some reasons shunned their duty in undertaking their care and abandoned them in public passageways. Now, how would it be possible to leave the child with someone who would inflict serious physical or moral damages on it?)Is it reasonable to give the child's custody to someone who due to moral corruption and lack of sufficient religious commitments would misuse them in various ways, or at least provide the ground for sins in them?Thus, if the finder of the child is a reprobate (fasiq person or happen to become so later on, the Islamic ruler (the judge of the institutions in charge) would take over the child from him or her, since the fasiq is not legally trustworthy. Fasiq is a wrongdoer (zalim), and trusting their wrongdoing is not permissible according to the holy verse:)And do not incline toward the wrongdoers, lest the Fire should touch you,</w:t>
      </w:r>
      <w:r>
        <w:rPr>
          <w:rStyle w:val="FootnoteAnchor"/>
        </w:rPr>
        <w:footnoteReference w:id="265"/>
      </w:r>
      <w:r>
        <w:rPr>
          <w:rFonts w:eastAsia="Times New Roman" w:cs="Times New Roman" w:ascii="Times New Roman" w:hAnsi="Times New Roman"/>
          <w:color w:val="111111"/>
          <w:sz w:val="28"/>
          <w:szCs w:val="28"/>
          <w:lang w:val="en-US"/>
        </w:rPr>
        <w:t>as it can lead to the miseducation of the child.</w:t>
      </w:r>
      <w:r>
        <w:rPr>
          <w:rStyle w:val="FootnoteAnchor"/>
        </w:rPr>
        <w:footnoteReference w:id="266"/>
      </w:r>
      <w:r>
        <w:rPr>
          <w:rFonts w:eastAsia="Times New Roman" w:cs="Times New Roman" w:ascii="Times New Roman" w:hAnsi="Times New Roman"/>
          <w:color w:val="111111"/>
          <w:sz w:val="28"/>
          <w:szCs w:val="28"/>
          <w:lang w:val="en-US"/>
        </w:rPr>
        <w:t>)But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if the finder's state is unclear or only apparently seems trustworthy, although in some legal texts it is considered permissible to give the child's custody to them,</w:t>
      </w:r>
      <w:r>
        <w:rPr>
          <w:rStyle w:val="FootnoteAnchor"/>
        </w:rPr>
        <w:footnoteReference w:id="267"/>
      </w:r>
      <w:r>
        <w:rPr>
          <w:rFonts w:eastAsia="Times New Roman" w:cs="Times New Roman" w:ascii="Times New Roman" w:hAnsi="Times New Roman"/>
          <w:color w:val="111111"/>
          <w:sz w:val="28"/>
          <w:szCs w:val="28"/>
          <w:lang w:val="en-US"/>
        </w:rPr>
        <w:t>to our opinion , so long as we are not reassured that the child's physical and moral soundness is taken care of, we cannot leave the child with them. To prove such a claim we do not need any particular reason, since the attitude and procedure of the intellectuals, which is undoubtedly confirmed by the Holy Lawmaker (the Prophet – S.A.W.), is that not everyone should be trusted with the education of one’s child.)How would a religion that does not deem it permissible to leave a child with a wet nurse who is familially, ideologically, or intellectually unhealthy and regards it as inappropriate to leave one's property to a thoughtless person, would allow it to leave a child to someone who we know does not have the required competence, or at least we do not know whether he has it or not?</w:t>
      </w:r>
      <w:r>
        <w:rPr>
          <w:rStyle w:val="FootnoteAnchor"/>
        </w:rPr>
        <w:footnoteReference w:id="268"/>
      </w:r>
      <w:r>
        <w:rPr>
          <w:rFonts w:eastAsia="Times New Roman" w:cs="Times New Roman" w:ascii="Times New Roman" w:hAnsi="Times New Roman"/>
          <w:color w:val="111111"/>
          <w:sz w:val="28"/>
          <w:szCs w:val="28"/>
          <w:lang w:val="en-US"/>
        </w:rPr>
        <w:t>)Can we not hold the words of Imam al-Baqir (A.S. as a model to follow, who said: "Whoever trusts an untrustworthy person there is no proof for them with God"? In addition, should we not take heed of the message that the Imam would always impart by saying: "A trustworthy person never betrays you, but that you have trusted a betrayer [to be betrayed]."</w:t>
      </w:r>
      <w:r>
        <w:rPr>
          <w:rStyle w:val="FootnoteAnchor"/>
        </w:rPr>
        <w:footnoteReference w:id="269"/>
      </w:r>
      <w:r>
        <w:rPr>
          <w:rFonts w:eastAsia="Times New Roman" w:cs="Times New Roman" w:ascii="Times New Roman" w:hAnsi="Times New Roman"/>
          <w:color w:val="111111"/>
          <w:sz w:val="28"/>
          <w:szCs w:val="28"/>
          <w:lang w:val="en-US"/>
        </w:rPr>
        <w:t>)Perhaps it has been for the importance of the issue of the unattended children that some jurists have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distinguished between luqata and laqit and emphasized giving the custody of such children to a non-reprobate person, while casting doubt on the necessity of entrusting property to a non-probate person, because there are no supportive procedures to prevent misuse of children like the ones existing concerning the prevention of misuse of property by untrustworthy people. Similarly, some jurists deem it necessary for achieving more reassurance to take someone as witness over a person who finds an abandoned child, even though the finder is a trustworthy person.</w:t>
      </w:r>
      <w:r>
        <w:rPr>
          <w:rStyle w:val="FootnoteAnchor"/>
        </w:rPr>
        <w:footnoteReference w:id="270"/>
      </w:r>
      <w:r>
        <w:rPr>
          <w:rFonts w:eastAsia="Times New Roman" w:cs="Times New Roman" w:ascii="Times New Roman" w:hAnsi="Times New Roman"/>
          <w:color w:val="111111"/>
          <w:sz w:val="28"/>
          <w:szCs w:val="28"/>
          <w:lang w:val="en-US"/>
        </w:rPr>
        <w:t>)4. Islam: Being a Muslim is among the requirements stipulated in some legal texts for the finder (multaqit of the abandoned child.)The question has been raised by the Shiʿa jurists as to whether a non-Muslim can pick up an abandoned Muslim child from the streets and undertake its custody. Besides, can a non-Muslim undertake to manage the life of a Muslim child?Some believe that only a Muslim is allowed to collect and take care of unattended children, since a non-Muslim may provide the ground for the deviation of the child by influencing its beliefs and faith.</w:t>
      </w:r>
      <w:r>
        <w:rPr>
          <w:rStyle w:val="FootnoteAnchor"/>
        </w:rPr>
        <w:footnoteReference w:id="271"/>
      </w:r>
      <w:r>
        <w:rPr>
          <w:rFonts w:eastAsia="Times New Roman" w:cs="Times New Roman" w:ascii="Times New Roman" w:hAnsi="Times New Roman"/>
          <w:color w:val="111111"/>
          <w:sz w:val="28"/>
          <w:szCs w:val="28"/>
          <w:lang w:val="en-US"/>
        </w:rPr>
        <w:t>)In contrast, some also believe that being a Muslim is not a condition for such a task, because two basic goals legitimize the collection of the abandoned children: fulfilling the child's basic and natural needs and providing for its educational requirements, both of which can be afforded by a non-Muslim person, too. Furthermore, the application of the proofs for iltiqat encompasses the two hypotheses of the multaqit (finder of the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abandoned child as being a Muslim or non-Muslim. If we are doubtful about the permission of leaving the child's custody to a non-Muslim, we should know that the practical principle of exemption denotes its permission, whether the child is a Muslim or a non-Muslim.</w:t>
      </w:r>
      <w:r>
        <w:rPr>
          <w:rStyle w:val="FootnoteAnchor"/>
        </w:rPr>
        <w:footnoteReference w:id="272"/>
      </w:r>
      <w:r>
        <w:rPr>
          <w:rFonts w:eastAsia="Times New Roman" w:cs="Times New Roman" w:ascii="Times New Roman" w:hAnsi="Times New Roman"/>
          <w:color w:val="111111"/>
          <w:sz w:val="28"/>
          <w:szCs w:val="28"/>
          <w:lang w:val="en-US"/>
        </w:rPr>
        <w:t>)A third view is also brought up in legal texts and its followers believe that even though a non-Muslim cannot take care of a Muslim child, they can take care of a non-Muslim child.It is emphasized that custody is a kind of guardianship (wilaya and the non-Muslim cannot have guardianship over a Muslim according to the verse)and Allah will never provide the faithless any way [to prevail] over the faithful.</w:t>
      </w:r>
      <w:r>
        <w:rPr>
          <w:rStyle w:val="FootnoteAnchor"/>
        </w:rPr>
        <w:footnoteReference w:id="273"/>
      </w:r>
      <w:r>
        <w:rPr>
          <w:rFonts w:eastAsia="Times New Roman" w:cs="Times New Roman" w:ascii="Times New Roman" w:hAnsi="Times New Roman"/>
          <w:color w:val="111111"/>
          <w:sz w:val="28"/>
          <w:szCs w:val="28"/>
          <w:lang w:val="en-US"/>
        </w:rPr>
        <w:t>So the non-Muslim cannot take care of a Muslim child. In addition to that, the non-Muslim can have a great impact on a child's tendency toward a doctrine other than Islam, as the same has also been brought up concerning the marriage of a Muslim woman to a non-Muslim man.</w:t>
      </w:r>
      <w:r>
        <w:rPr>
          <w:rStyle w:val="FootnoteAnchor"/>
        </w:rPr>
        <w:footnoteReference w:id="274"/>
      </w:r>
      <w:r>
        <w:rPr>
          <w:rFonts w:eastAsia="Times New Roman" w:cs="Times New Roman" w:ascii="Times New Roman" w:hAnsi="Times New Roman"/>
          <w:color w:val="111111"/>
          <w:sz w:val="28"/>
          <w:szCs w:val="28"/>
          <w:lang w:val="en-US"/>
        </w:rPr>
        <w:t>)A non-Muslim can undertake to pick up and hold the custody of a non-Muslim child because the guardianship of a non-Muslim over a non-Muslim is permissible and there is no obstacle to undertake such a task. When a child is non-Muslim, there is no such issue of negative impact on the child's beliefs; and if we doubt about the permissibility of this task, the exemption principle signifies its permissibility.</w:t>
      </w:r>
      <w:r>
        <w:rPr>
          <w:rStyle w:val="FootnoteAnchor"/>
        </w:rPr>
        <w:footnoteReference w:id="275"/>
      </w:r>
      <w:r>
        <w:rPr>
          <w:rFonts w:eastAsia="Times New Roman" w:cs="Times New Roman" w:ascii="Times New Roman" w:hAnsi="Times New Roman"/>
          <w:color w:val="111111"/>
          <w:sz w:val="28"/>
          <w:szCs w:val="28"/>
          <w:lang w:val="en-US"/>
        </w:rPr>
        <w:t>)Since the critical review of each of these reasons would lengthen the discussion, we suffice it to say</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to our opinion Islam is the main requirement for collecting and undertaking the custody of abandoned and unattended children, because:There is not the slightest doubt in that a non-Muslim can fulfill the material and psychological needs of an unattended child as much as, or sometimes even better than, a Muslim can, for the non-Muslims are well-capable of this responsibility for their own children. However, it has to be noted that satisfying the children's physical and emotional needs alone for taking care of them is not enough, for living with one or more persons by itself provides a suitable ground for compliance and modeling, a context that has a great and undeniable impact on the child's behavior and beliefs.The Holy Prophet (S.A.W. of Islam has described this impressionability as follows: "No child is born except according to its inner nature [Islam]; then, it is its parents who rear it as a Jew, a Christian, or a Magus."</w:t>
      </w:r>
      <w:r>
        <w:rPr>
          <w:rStyle w:val="FootnoteAnchor"/>
        </w:rPr>
        <w:footnoteReference w:id="276"/>
      </w:r>
      <w:r>
        <w:rPr>
          <w:rFonts w:eastAsia="Times New Roman" w:cs="Times New Roman" w:ascii="Times New Roman" w:hAnsi="Times New Roman"/>
          <w:color w:val="111111"/>
          <w:sz w:val="28"/>
          <w:szCs w:val="28"/>
          <w:lang w:val="en-US"/>
        </w:rPr>
        <w:t>Accordingly, it can be well understood that trying to preserve the Monotheistic inner nature and preventing it from deviation is not only decent and praiseworthy but an indisputable task for any Muslim, as well.</w:t>
      </w:r>
      <w:r>
        <w:rPr>
          <w:rStyle w:val="FootnoteAnchor"/>
        </w:rPr>
        <w:footnoteReference w:id="277"/>
      </w:r>
      <w:r>
        <w:rPr>
          <w:rFonts w:eastAsia="Times New Roman" w:cs="Times New Roman" w:ascii="Times New Roman" w:hAnsi="Times New Roman"/>
          <w:color w:val="111111"/>
          <w:sz w:val="28"/>
          <w:szCs w:val="28"/>
          <w:lang w:val="en-US"/>
        </w:rPr>
        <w:t>)With this consideration in mind, there remains no room for dividing children into Muslim and non-Muslim. That is because the title "non-Muslim" is applied to the child who is found in non-Muslim settlements, otherwise, such a child has neither reached a mature age to have selected a specific religion out of his/her own investigation, nor he/she has specific parents so</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the title Jewish-born or Christian-born, etc., is true for him/her.Thus, if we find a child in such a circumstance and can leave it with a Muslim, the latter is more preferable to a non-Muslim. However, if we find a Jewish-born or Christian-born child abandoned in the street who lacks a guardian in all aspects, then it is not clear whether its being a Christian-born is a license for leaving its custody to the church.It goes without saying that this matter does not contradict the right of non-Muslim parents in taking care of their own child, for our discussion concerns a situation in which undertaking the guardianship of a child is a legislative matter and requires passing a law by the legislator. However, every parent naturally undertakes their child's life simply by fulfillment of generic relation between them and their child without needing any conventional right; and it is obvious that in generic matters it is the external fulfillment of an action that is functional rather than the conventional matters such as acceptance of a specific religion.Therefore, like the Muslim parents, the non-Muslim parents can undertake their own child's care and nothing can deny them this generic right. However, this right can be restricted to specific limitations and conditioned on special conditions when it is entrusted to someone through passing a law so that not all people can exploit it.5. Financial Capacity: Should the finder of an abandoned or unattended child (multaqit enjoy financial capacity besides other requirements, to be)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able to take the custody of the child?Answering this question is possible when it is clarified how the expenses for the child would be provided during the time the finder undertakes its care.Undoubtedly, paying for the expenses of the child's care is not upon the finder. Rather, if the child owns property, the expenses will be paid thereby, but if the child does not have such property, the Islamic state (public treasury is responsible for paying for the expenses and in case of the government's non-existence or inability to pay for it, provision of expenses will be upon the well-to-do class or the public. Thus, in all these assumptions, the finder's financial capacity cannot be a condition.</w:t>
      </w:r>
      <w:r>
        <w:rPr>
          <w:rStyle w:val="FootnoteAnchor"/>
        </w:rPr>
        <w:footnoteReference w:id="278"/>
      </w:r>
      <w:r>
        <w:rPr>
          <w:rFonts w:eastAsia="Times New Roman" w:cs="Times New Roman" w:ascii="Times New Roman" w:hAnsi="Times New Roman"/>
          <w:color w:val="111111"/>
          <w:sz w:val="28"/>
          <w:szCs w:val="28"/>
          <w:lang w:val="en-US"/>
        </w:rPr>
        <w:t>)However, if we assume that the provision of the child's expenses is not possible by any of the above means, the finder of the child is obliged to pay for the expenses by him/herself. It is natural that in such circumstances the finder's financial capacity is the basic requirement for accepting the responsibility of the unattended child's custody.Anyhow, the financial capacity of the child's finder can be an advantage for them for in this case they can provide more welfare for the child, which in turn can have a significant role in its growth. Thus, it is not unlikely to claim that in equal circumstances the one who is more well-to-do has priority in undertaking the child's care.</w:t>
      </w:r>
      <w:r>
        <w:rPr>
          <w:rStyle w:val="FootnoteAnchor"/>
        </w:rPr>
        <w:footnoteReference w:id="279"/>
      </w:r>
      <w:r>
        <w:rPr>
          <w:rFonts w:eastAsia="Times New Roman" w:cs="Times New Roman" w:ascii="Times New Roman" w:hAnsi="Times New Roman"/>
          <w:color w:val="111111"/>
          <w:sz w:val="28"/>
          <w:szCs w:val="28"/>
          <w:lang w:val="en-US"/>
        </w:rPr>
        <w:t>)6. Residence Constancy: Does the permanent or temporary change of residence of the person who takes care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an unattended or abandoned child have any impact on the child's care process?Some argue that the finder of the child is regarded as its guardian, has the right to make decisions for the child, and is allowed to move their residence along with the child to avoid harming it; furthermore, the practical principle of exemption does confirm the permissibility of the move.</w:t>
      </w:r>
      <w:r>
        <w:rPr>
          <w:rStyle w:val="FootnoteAnchor"/>
        </w:rPr>
        <w:footnoteReference w:id="280"/>
      </w:r>
      <w:r>
        <w:rPr>
          <w:rFonts w:eastAsia="Times New Roman" w:cs="Times New Roman" w:ascii="Times New Roman" w:hAnsi="Times New Roman"/>
          <w:color w:val="111111"/>
          <w:sz w:val="28"/>
          <w:szCs w:val="28"/>
          <w:lang w:val="en-US"/>
        </w:rPr>
        <w:t>)In contrast, arguing that the child's distancing from the place it was abandoned will in itself reduce the chance for finding its probable relatives, some believe that moving the child's residence is not permissible and the finder is permitted to hold its custody so long as they do not move it from that place to another.</w:t>
      </w:r>
      <w:r>
        <w:rPr>
          <w:rStyle w:val="FootnoteAnchor"/>
        </w:rPr>
        <w:footnoteReference w:id="281"/>
      </w:r>
      <w:r>
        <w:rPr>
          <w:rFonts w:eastAsia="Times New Roman" w:cs="Times New Roman" w:ascii="Times New Roman" w:hAnsi="Times New Roman"/>
          <w:color w:val="111111"/>
          <w:sz w:val="28"/>
          <w:szCs w:val="28"/>
          <w:lang w:val="en-US"/>
        </w:rPr>
        <w:t>)Finally, some have also commented on this issue considering the finder's moral characteristic as well as the type of the place that the child is moved onto.On this basis, if the finder of the child is a really trustworthy and just person, he is entitled to take the child with them, but if they are apparently trustworthy and just, they do not have the right to move the child away since there is the possibility of misuse.</w:t>
      </w:r>
      <w:r>
        <w:rPr>
          <w:rStyle w:val="FootnoteAnchor"/>
        </w:rPr>
        <w:footnoteReference w:id="282"/>
      </w:r>
      <w:r>
        <w:rPr>
          <w:rFonts w:eastAsia="Times New Roman" w:cs="Times New Roman" w:ascii="Times New Roman" w:hAnsi="Times New Roman"/>
          <w:color w:val="111111"/>
          <w:sz w:val="28"/>
          <w:szCs w:val="28"/>
          <w:lang w:val="en-US"/>
        </w:rPr>
        <w:t>)In some legal text, the issue of moving the child in relation to the type of place that it is supposed to be moved onto is examined, such as move from town to desert, town to village, from town to town, and finally, the nomadic life.It is noteworthy here that most of these matters have been brought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up by Muhaqqiq Tusi and ʿAllama Hilli, with the legal judgments (fatawa of the Sunni scholars playing a significant role in their formation.</w:t>
      </w:r>
      <w:r>
        <w:rPr>
          <w:rStyle w:val="FootnoteAnchor"/>
        </w:rPr>
        <w:footnoteReference w:id="283"/>
      </w:r>
      <w:r>
        <w:rPr>
          <w:rFonts w:eastAsia="Times New Roman" w:cs="Times New Roman" w:ascii="Times New Roman" w:hAnsi="Times New Roman"/>
          <w:color w:val="111111"/>
          <w:sz w:val="28"/>
          <w:szCs w:val="28"/>
          <w:lang w:val="en-US"/>
        </w:rPr>
        <w:t>)To our opinion, none of the stated reasons can prove or disprove the permissibility of transfer or move of the child in general. What is of importance to us is the child's interests. It is to be noted whether the child's move is helpful in its physical and mental growth or not. If the answer is yes, this move is permissible; otherwise, it is not. In order to become more assured of this, the realization of its helpfulness and the way it should be carried out can be left upon the organization that is in charge of control and care of the families who take the custody of such children.It is not unlikely, of course, that like the late Shahid (Awwal, we give a legal judgment (fatwa) that the child had better not be taken from a city to a village and from a village to the desert, so that its living condition does not worsen, its kinship bonds remain more preserved, and its physical health care can be pursued more easily.</w:t>
      </w:r>
      <w:r>
        <w:rPr>
          <w:rStyle w:val="FootnoteAnchor"/>
        </w:rPr>
        <w:footnoteReference w:id="284"/>
      </w:r>
      <w:r>
        <w:rPr>
          <w:rFonts w:eastAsia="Times New Roman" w:cs="Times New Roman" w:ascii="Times New Roman" w:hAnsi="Times New Roman"/>
          <w:color w:val="111111"/>
          <w:sz w:val="28"/>
          <w:szCs w:val="28"/>
          <w:lang w:val="en-US"/>
        </w:rPr>
        <w:t>)7. Gender: Among the questions asked about the finder of the child is the impact of their gender; is it necessary for the finder to be a man? Or can a woman also take the abandoned child's custody simply by finding it?ʿAllama Hilli claims that although affection is stronger in women, the men's physical superiority and their</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higher strength makes them more reliable to be entrusted with a child's custody. Ahmad Ardabili, known as Muhaqqiq, also claims that if the child is a girl, a woman has priority over a man in undertaking her custody, because women are kinder and are more mentally prepared to take care of a child.</w:t>
      </w:r>
      <w:r>
        <w:rPr>
          <w:rStyle w:val="FootnoteAnchor"/>
        </w:rPr>
        <w:footnoteReference w:id="285"/>
      </w:r>
      <w:r>
        <w:rPr>
          <w:rFonts w:eastAsia="Times New Roman" w:cs="Times New Roman" w:ascii="Times New Roman" w:hAnsi="Times New Roman"/>
          <w:color w:val="111111"/>
          <w:sz w:val="28"/>
          <w:szCs w:val="28"/>
          <w:lang w:val="en-US"/>
        </w:rPr>
        <w:t>)To our mind, there is no gender advantage in taking care of the child as what is important is the benefit and interests that the child receives.### Legal Issues of Abandoned Children#### pointLegal issues of the unattended children are examinable from two perspectives; one is identifying the proprietor and the degree of proprietorship of the property found along with the children and the other is provision of the expenses for their care and determining the required sources for that purpose.#### Property Found along with the Abandoned ChildrenThe children who are abandoned in one of the public places usually have some objects with them. Who do these objects legally belong to?Although there is disagreement among the jurists concerning the proprietorship of some of the objects, there is no doubt that since the child, like adults, is entitled to take possession of objects, it has ownership over what it has dominance over.</w:t>
      </w:r>
      <w:r>
        <w:rPr>
          <w:rStyle w:val="FootnoteAnchor"/>
        </w:rPr>
        <w:footnoteReference w:id="286"/>
      </w:r>
      <w:r>
        <w:rPr>
          <w:rFonts w:eastAsia="Times New Roman" w:cs="Times New Roman" w:ascii="Times New Roman" w:hAnsi="Times New Roman"/>
          <w:color w:val="111111"/>
          <w:sz w:val="28"/>
          <w:szCs w:val="28"/>
          <w:lang w:val="en-US"/>
        </w:rPr>
        <w:t>)The objects used by the abandoned child such as the clothes it is wearing, the blanket covering it, the cloth wrapped around it, etc., are undoubtedly among the child's belongings.</w:t>
      </w:r>
      <w:r>
        <w:rPr>
          <w:rStyle w:val="FootnoteAnchor"/>
        </w:rPr>
        <w:footnoteReference w:id="287"/>
      </w:r>
      <w:r>
        <w:rPr>
          <w:rFonts w:eastAsia="Times New Roman" w:cs="Times New Roman" w:ascii="Times New Roman" w:hAnsi="Times New Roman"/>
          <w:color w:val="111111"/>
          <w:sz w:val="28"/>
          <w:szCs w:val="28"/>
          <w:lang w:val="en-US"/>
        </w:rPr>
        <w:t>)There are two different opinions concerning the proprietorship of the objects found around the abandoned child; some regard them as belonging to the child and some believe that they do not belong</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the child.</w:t>
      </w:r>
      <w:r>
        <w:rPr>
          <w:rStyle w:val="FootnoteAnchor"/>
        </w:rPr>
        <w:footnoteReference w:id="288"/>
      </w:r>
      <w:r>
        <w:rPr>
          <w:rFonts w:eastAsia="Times New Roman" w:cs="Times New Roman" w:ascii="Times New Roman" w:hAnsi="Times New Roman"/>
          <w:color w:val="111111"/>
          <w:sz w:val="28"/>
          <w:szCs w:val="28"/>
          <w:lang w:val="en-US"/>
        </w:rPr>
        <w:t>)If some objects are hidden under or around the place where the child is abandoned, can one by finding those objects judge them as the child's belongings?Some believe that if these objects are buried in a piece of land that belongs to the child, the buried objects belong to the child as well; otherwise, their simply being buried around the child does not necessarily mean they belong to it.</w:t>
      </w:r>
      <w:r>
        <w:rPr>
          <w:rStyle w:val="FootnoteAnchor"/>
        </w:rPr>
        <w:footnoteReference w:id="289"/>
      </w:r>
      <w:r>
        <w:rPr>
          <w:rFonts w:eastAsia="Times New Roman" w:cs="Times New Roman" w:ascii="Times New Roman" w:hAnsi="Times New Roman"/>
          <w:color w:val="111111"/>
          <w:sz w:val="28"/>
          <w:szCs w:val="28"/>
          <w:lang w:val="en-US"/>
        </w:rPr>
        <w:t>)But if there is a written note with the child indicating that a specific property belongs to this child, can this note be trusted and accordingly judged to the child's proprietorship of the belonging?By accepting the note as an indication of proprietorship, some judge the property as belonging to the child; and some, by doubting it to be an indication, judge it as not belonging to the child.</w:t>
      </w:r>
      <w:r>
        <w:rPr>
          <w:rStyle w:val="FootnoteAnchor"/>
        </w:rPr>
        <w:footnoteReference w:id="290"/>
      </w:r>
      <w:r>
        <w:rPr>
          <w:rFonts w:eastAsia="Times New Roman" w:cs="Times New Roman" w:ascii="Times New Roman" w:hAnsi="Times New Roman"/>
          <w:color w:val="111111"/>
          <w:sz w:val="28"/>
          <w:szCs w:val="28"/>
          <w:lang w:val="en-US"/>
        </w:rPr>
        <w:t>)To our opinion, the belongings used by the child or found with it are undoubtedly regarded as its properties, such as the clothes it is wearing, garments somehow relating to it (bedcover, sheet, blanket, mattress, and the like; ornaments that are with the child, and the stuff around it (such as hammock, baby carriage, and the like), and generally all the things that are customarily said to belong to a child.</w:t>
      </w:r>
      <w:r>
        <w:rPr>
          <w:rStyle w:val="FootnoteAnchor"/>
        </w:rPr>
        <w:footnoteReference w:id="291"/>
      </w:r>
      <w:r>
        <w:rPr>
          <w:rFonts w:eastAsia="Times New Roman" w:cs="Times New Roman" w:ascii="Times New Roman" w:hAnsi="Times New Roman"/>
          <w:color w:val="111111"/>
          <w:sz w:val="28"/>
          <w:szCs w:val="28"/>
          <w:lang w:val="en-US"/>
        </w:rPr>
        <w:t>)However, what are found around the child do not belong to it, unless there exists valid and reliable evidence as to the child's ownership of them or they are in a place dedicated to the child.</w:t>
      </w:r>
      <w:r>
        <w:rPr>
          <w:rStyle w:val="FootnoteAnchor"/>
        </w:rPr>
        <w:footnoteReference w:id="292"/>
      </w:r>
      <w:r>
        <w:rPr>
          <w:rFonts w:eastAsia="Times New Roman" w:cs="Times New Roman" w:ascii="Times New Roman" w:hAnsi="Times New Roman"/>
          <w:color w:val="111111"/>
          <w:sz w:val="28"/>
          <w:szCs w:val="28"/>
          <w:lang w:val="en-US"/>
        </w:rPr>
        <w:t>)#### Providing for the Abandoned Children's Living ExpensesAmong the most important issues concerning the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abandoned (unattended children is the provision of their living expenses.)The question is raised by most of the jurists as to who would commit to provide for the child's living expenses once its custody is taken by the person who has found it.In case the child has sufficient financial means, provision of its living expenses, like other people, is not obligatory on anyone else and its material needs are fulfilled through its own assets.</w:t>
      </w:r>
      <w:r>
        <w:rPr>
          <w:rStyle w:val="FootnoteAnchor"/>
        </w:rPr>
        <w:footnoteReference w:id="293"/>
      </w:r>
      <w:r>
        <w:rPr>
          <w:rFonts w:eastAsia="Times New Roman" w:cs="Times New Roman" w:ascii="Times New Roman" w:hAnsi="Times New Roman"/>
          <w:color w:val="111111"/>
          <w:sz w:val="28"/>
          <w:szCs w:val="28"/>
          <w:lang w:val="en-US"/>
        </w:rPr>
        <w:t>)Although the jurists are unanimous about this ruling in and by itself, they disagree concerning how it is to be implemented; for, the jurists have raised the question as to whether the finder of the child is permitted to directly take from the child's property and use it to provide for the living expenses of the child or they require permission from certain authorities (Islamic judge for taking from the child's property.</w:t>
      </w:r>
      <w:r>
        <w:rPr>
          <w:rStyle w:val="FootnoteAnchor"/>
        </w:rPr>
        <w:footnoteReference w:id="294"/>
      </w:r>
      <w:r>
        <w:rPr>
          <w:rFonts w:eastAsia="Times New Roman" w:cs="Times New Roman" w:ascii="Times New Roman" w:hAnsi="Times New Roman"/>
          <w:color w:val="111111"/>
          <w:sz w:val="28"/>
          <w:szCs w:val="28"/>
          <w:lang w:val="en-US"/>
        </w:rPr>
        <w:t>)Some believe that the finder of the child can without needing to ask permission from any authority such as the orphan's guardian, use the child's property to provide for its living expenses.</w:t>
      </w:r>
      <w:r>
        <w:rPr>
          <w:rStyle w:val="FootnoteAnchor"/>
        </w:rPr>
        <w:footnoteReference w:id="295"/>
      </w:r>
      <w:r>
        <w:rPr>
          <w:rFonts w:eastAsia="Times New Roman" w:cs="Times New Roman" w:ascii="Times New Roman" w:hAnsi="Times New Roman"/>
          <w:color w:val="111111"/>
          <w:sz w:val="28"/>
          <w:szCs w:val="28"/>
          <w:lang w:val="en-US"/>
        </w:rPr>
        <w:t>)In contrast, most of the Shiʿa jurists believe that the finder of the child cannot undertake to use the child's property to provide for its living expenses without asking from the Islamic ruler.Accordingly, if the Islamic ruler is present and one can ask permission from him for this purpose, the finder of the child can provide for the child's expenses using its own property, since education, custody, and infaq (giving away in charity require a kind)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guardianship which is among the responsibilities of the father, grandfather, the executor (wasi, and the Islamic ruler. Besides, usufruct (tasarruf) is possible only by having general or specific guardianship, whereas the finder of the child (multaqit) does not enjoy any of these two types of guardianship.)Therefore, if the finder appropriates the child's property except in necessary cases without permission from the Islamic ruler, they will stand responsible for it proportionate to the amount they have appropriated and they are obliged to refund it.</w:t>
      </w:r>
      <w:r>
        <w:rPr>
          <w:rStyle w:val="FootnoteAnchor"/>
        </w:rPr>
        <w:footnoteReference w:id="296"/>
      </w:r>
      <w:r>
        <w:rPr>
          <w:rFonts w:eastAsia="Times New Roman" w:cs="Times New Roman" w:ascii="Times New Roman" w:hAnsi="Times New Roman"/>
          <w:color w:val="111111"/>
          <w:sz w:val="28"/>
          <w:szCs w:val="28"/>
          <w:lang w:val="en-US"/>
        </w:rPr>
        <w:t>)In this case the Islamic ruler can give permission to the finder to spend from the child's property, as he can also leave the child's property to a trusted person and specify certain amount of the property for the child's expenses.</w:t>
      </w:r>
      <w:r>
        <w:rPr>
          <w:rStyle w:val="FootnoteAnchor"/>
        </w:rPr>
        <w:footnoteReference w:id="297"/>
      </w:r>
      <w:r>
        <w:rPr>
          <w:rFonts w:eastAsia="Times New Roman" w:cs="Times New Roman" w:ascii="Times New Roman" w:hAnsi="Times New Roman"/>
          <w:color w:val="111111"/>
          <w:sz w:val="28"/>
          <w:szCs w:val="28"/>
          <w:lang w:val="en-US"/>
        </w:rPr>
        <w:t>)But if the Islamic ruler does not exist or access to him is not possible, the finder can use the child's property to provide for its expenses as hisba (accountability.</w:t>
      </w:r>
      <w:r>
        <w:rPr>
          <w:rStyle w:val="FootnoteAnchor"/>
        </w:rPr>
        <w:footnoteReference w:id="298"/>
      </w:r>
      <w:r>
        <w:rPr>
          <w:rFonts w:eastAsia="Times New Roman" w:cs="Times New Roman" w:ascii="Times New Roman" w:hAnsi="Times New Roman"/>
          <w:color w:val="111111"/>
          <w:sz w:val="28"/>
          <w:szCs w:val="28"/>
          <w:lang w:val="en-US"/>
        </w:rPr>
        <w:t>)To our opinion, if we scrutinize the arguments of both proponents of the independence and non-independence of the child's finder (multaqit, we would find out that the core of their discussion is the existence or non-existence of the multaqit's guardianship over the abandoned child ; however, we explained at the outset of the discussion that custody (hidhanat) means taking care of the child and that guardianship in the concept used in jurisprudence has nothing to do with its actualization or veracity.)It is clear that if the issue of guardianship is no longer under consideration, no room is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left for discussion about asking permission from the Islamic ruler and the like; thus, for the same reason that the finder of the child is permitted to undertake the custody of the child, they are also permitted to appropriate the child's property to actualize the custody.The point that is to be taken into consideration is the trustworthiness of the finder of the child, as we already explained that taking the custody of a child is the acceptance of a kind of trust and safekeeping a trust requires some qualification, without which it is not possible to accept the trust.Thus, if the finder of the child is trustworthy and thereby permissible to adopt the child, then there is no difference between the child and its property.If the finder is trustworthy, the issue of their surety (dhamam is no longer an option unless they have not correctly fulfilled their duties (by going to extremes), in which case they will definitely stand accountable whether they have appropriated the child's property by the Islamic ruler's permission or without it.)It is also to be noted that as confirmation of the finder's trustworthiness requires being done by an authority that is in charge of this task, confirmation of correct and pertinent expenditure of the child's property by the finder also requires a supervisory system to prevent the finder from probable shortcomings (going to extremes and care be taken that the child's interests are in all cases secured.)It is obvious that the realization of such a matter</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does not necessarily require asking permission from the Islamic ruler if the ruler is meant to be an Infallible Imam or his special deputy,</w:t>
      </w:r>
      <w:r>
        <w:rPr>
          <w:rStyle w:val="FootnoteAnchor"/>
        </w:rPr>
        <w:footnoteReference w:id="299"/>
      </w:r>
      <w:r>
        <w:rPr>
          <w:rFonts w:eastAsia="Times New Roman" w:cs="Times New Roman" w:ascii="Times New Roman" w:hAnsi="Times New Roman"/>
          <w:color w:val="111111"/>
          <w:sz w:val="28"/>
          <w:szCs w:val="28"/>
          <w:lang w:val="en-US"/>
        </w:rPr>
        <w:t>let alone that the title of ruler includes the jurist (general deputy) and other than him; for, we have no reason for its validity except for the prophetic tradition that says: "Sultan is guardian of the one who does not have a guardian"</w:t>
      </w:r>
      <w:r>
        <w:rPr>
          <w:rStyle w:val="FootnoteAnchor"/>
        </w:rPr>
        <w:footnoteReference w:id="300"/>
      </w:r>
      <w:r>
        <w:rPr>
          <w:rFonts w:eastAsia="Times New Roman" w:cs="Times New Roman" w:ascii="Times New Roman" w:hAnsi="Times New Roman"/>
          <w:color w:val="111111"/>
          <w:sz w:val="28"/>
          <w:szCs w:val="28"/>
          <w:lang w:val="en-US"/>
        </w:rPr>
        <w:t>which, given the studies done, is a part of a tradition that ʿA’isha has narrated from the Holy Prophet (S.A.W.) concerning a woman's getting married without permission of her guardian.</w:t>
      </w:r>
      <w:r>
        <w:rPr>
          <w:rStyle w:val="FootnoteAnchor"/>
        </w:rPr>
        <w:footnoteReference w:id="301"/>
      </w:r>
      <w:r>
        <w:rPr>
          <w:rFonts w:eastAsia="Times New Roman" w:cs="Times New Roman" w:ascii="Times New Roman" w:hAnsi="Times New Roman"/>
          <w:color w:val="111111"/>
          <w:sz w:val="28"/>
          <w:szCs w:val="28"/>
          <w:lang w:val="en-US"/>
        </w:rPr>
        <w:t>)Despite the debates of the Sunnis themselves over the chain of transmission (sanad and the non-acceptance of its content by the Shiʿa jurists, this tradition has been first related by ʿAllama Hilli during jurisprudential discussions and without mentioning its sanad.</w:t>
      </w:r>
      <w:r>
        <w:rPr>
          <w:rStyle w:val="FootnoteAnchor"/>
        </w:rPr>
        <w:footnoteReference w:id="302"/>
      </w:r>
      <w:r>
        <w:rPr>
          <w:rFonts w:eastAsia="Times New Roman" w:cs="Times New Roman" w:ascii="Times New Roman" w:hAnsi="Times New Roman"/>
          <w:color w:val="111111"/>
          <w:sz w:val="28"/>
          <w:szCs w:val="28"/>
          <w:lang w:val="en-US"/>
        </w:rPr>
        <w:t>)In addition to this, although some have claimed that what is meant in this tradition by Sultan is the Infallible Imam or his specific and general deputies and for the same reason they have resorted to it to prove the guardianship of jurisprudence (wilayat-i faqih,</w:t>
      </w:r>
      <w:r>
        <w:rPr>
          <w:rStyle w:val="FootnoteAnchor"/>
        </w:rPr>
        <w:footnoteReference w:id="303"/>
      </w:r>
      <w:r>
        <w:rPr>
          <w:rFonts w:eastAsia="Times New Roman" w:cs="Times New Roman" w:ascii="Times New Roman" w:hAnsi="Times New Roman"/>
          <w:color w:val="111111"/>
          <w:sz w:val="28"/>
          <w:szCs w:val="28"/>
          <w:lang w:val="en-US"/>
        </w:rPr>
        <w:t>to our opinion what is meant by Sultan is the Infallible Imam or his specific deputy and inclusion of others such as the Shiʿa jurist during the occultation age requires another reason that may regard the jurists as deputies of the Infallible Imams in all issues.</w:t>
      </w:r>
      <w:r>
        <w:rPr>
          <w:rStyle w:val="FootnoteAnchor"/>
        </w:rPr>
        <w:footnoteReference w:id="304"/>
      </w:r>
      <w:r>
        <w:rPr>
          <w:rFonts w:eastAsia="Times New Roman" w:cs="Times New Roman" w:ascii="Times New Roman" w:hAnsi="Times New Roman"/>
          <w:color w:val="111111"/>
          <w:sz w:val="28"/>
          <w:szCs w:val="28"/>
          <w:lang w:val="en-US"/>
        </w:rPr>
        <w:t>)Therefore, there is no reason for the necessity of asking permission from the Islamic ruler (the jurist during the occultation age to spend from the)</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child's properties, and if we are doubtful of the necessity to ask permission from the Islamic ruler (faqih, the principle of exemption (bara’a) proves it unnecessary;</w:t>
      </w:r>
      <w:r>
        <w:rPr>
          <w:rStyle w:val="FootnoteAnchor"/>
        </w:rPr>
        <w:footnoteReference w:id="305"/>
      </w:r>
      <w:r>
        <w:rPr>
          <w:rFonts w:eastAsia="Times New Roman" w:cs="Times New Roman" w:ascii="Times New Roman" w:hAnsi="Times New Roman"/>
          <w:color w:val="111111"/>
          <w:sz w:val="28"/>
          <w:szCs w:val="28"/>
          <w:lang w:val="en-US"/>
        </w:rPr>
        <w:t>although caution demands to ask permission for this purpose from the jurist or the supervisory organizations that have been established to this end.)Since most of the unattended children who are abandoned in public places have no properties or money with them so that their livelihood is thereby taken care of, the question has been raised by our jurists as to how the living expenses of such children is to be provided.A group of the Shiʿa jurists have set forth the possibility – which is somehow influenced by the Sunni views – that the living expenses of such children are to be provided and paid by the public treasury,</w:t>
      </w:r>
      <w:r>
        <w:rPr>
          <w:rStyle w:val="FootnoteAnchor"/>
        </w:rPr>
        <w:footnoteReference w:id="306"/>
      </w:r>
      <w:r>
        <w:rPr>
          <w:rFonts w:eastAsia="Times New Roman" w:cs="Times New Roman" w:ascii="Times New Roman" w:hAnsi="Times New Roman"/>
          <w:color w:val="111111"/>
          <w:sz w:val="28"/>
          <w:szCs w:val="28"/>
          <w:lang w:val="en-US"/>
        </w:rPr>
        <w:t>as there is no doubt that such a task is in the interest of the public; and since the assets of such people would be transferred to the public treasury after their death in case they have no blood relatives or relatives by marriage, the government is obliged to provide for their living costs now that they are in need of help.</w:t>
      </w:r>
      <w:r>
        <w:rPr>
          <w:rStyle w:val="FootnoteAnchor"/>
        </w:rPr>
        <w:footnoteReference w:id="307"/>
      </w:r>
      <w:r>
        <w:rPr>
          <w:rFonts w:eastAsia="Times New Roman" w:cs="Times New Roman" w:ascii="Times New Roman" w:hAnsi="Times New Roman"/>
          <w:color w:val="111111"/>
          <w:sz w:val="28"/>
          <w:szCs w:val="28"/>
          <w:lang w:val="en-US"/>
        </w:rPr>
        <w:t>)Naturally, if the state's public budget does not respond to the living expenses of such children or there are more important expenses for the government to cover, then the people are required to provide for these expenses as collective obligation.Such public collaboration can be carried out in two forms of loan or alms, which in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first form; the child should pay back its previous living expenses after reaching maturity and earning a livelihood. Bu as for the second form, it does not have to pay back the expenses.</w:t>
      </w:r>
      <w:r>
        <w:rPr>
          <w:rStyle w:val="FootnoteAnchor"/>
        </w:rPr>
        <w:footnoteReference w:id="308"/>
      </w:r>
      <w:r>
        <w:rPr>
          <w:rFonts w:eastAsia="Times New Roman" w:cs="Times New Roman" w:ascii="Times New Roman" w:hAnsi="Times New Roman"/>
          <w:color w:val="111111"/>
          <w:sz w:val="28"/>
          <w:szCs w:val="28"/>
          <w:lang w:val="en-US"/>
        </w:rPr>
        <w:t>)In contrast, some jurists have suggested that the government has no duty in paying for the living expenses of such children and their expenses have to be provided for through non-governmental sources.</w:t>
      </w:r>
      <w:r>
        <w:rPr>
          <w:rStyle w:val="FootnoteAnchor"/>
        </w:rPr>
        <w:footnoteReference w:id="309"/>
      </w:r>
      <w:r>
        <w:rPr>
          <w:rFonts w:eastAsia="Times New Roman" w:cs="Times New Roman" w:ascii="Times New Roman" w:hAnsi="Times New Roman"/>
          <w:color w:val="111111"/>
          <w:sz w:val="28"/>
          <w:szCs w:val="28"/>
          <w:lang w:val="en-US"/>
        </w:rPr>
        <w:t>To this end, three ways have been suggested: granting a loan; using the budget at the disposal of the Imam; and provision by the one who is taking care of the child (multaqit).)Apart from the option of granting loan, which has no legal foundation, raising the issue of the budget at the disposal of the Imam is based on the notion that we consider a specific budget for the Infallible Imam (A.S. other than the public treasury, as he is the heir to the people who have no heir and as he receives certain share of the khums (one fifth tax); but the Imam's treasury seems to be no different from the public treasury, but this dichotomy is resulting from the fact that after the demise of the Holy Prophet (S.A.W.) some illegally took over the rule and prevented the Infallible Imams from involving in running the state's affairs.</w:t>
      </w:r>
      <w:r>
        <w:rPr>
          <w:rStyle w:val="FootnoteAnchor"/>
        </w:rPr>
        <w:footnoteReference w:id="310"/>
      </w:r>
      <w:r>
        <w:rPr>
          <w:rFonts w:eastAsia="Times New Roman" w:cs="Times New Roman" w:ascii="Times New Roman" w:hAnsi="Times New Roman"/>
          <w:color w:val="111111"/>
          <w:sz w:val="28"/>
          <w:szCs w:val="28"/>
          <w:lang w:val="en-US"/>
        </w:rPr>
        <w:t>)Similarly, obliging the person who is taking care of the abandoned child (multaqit to provide for its living expenses does not sound right, because, in order to undertake the provision of other people's living expenses there must)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exist a kinship bond or marital relation between them, which are characterized in tradition texts as father, mother, spouse, and children, none of which applies to an abandoned child whom someone has found in public places.Besides, compelling the finder of the child to pay for its living expenses causes reluctance in people to collect abandoned children because this will double their commitment, i.e., both undertaking the child's custody (hidhanat and providing for its living expenses (nafaqa).)It is obvious that with the increase of responsibility, people's participation in such tasks will decrease, which in turn would lead to inflicting harm on such children and in case we suspect obligatoriness of infaq on the finder of the child, we can repudiate its probable obligatoriness by implementing the practical principle of legal exemption.</w:t>
      </w:r>
      <w:r>
        <w:rPr>
          <w:rStyle w:val="FootnoteAnchor"/>
        </w:rPr>
        <w:footnoteReference w:id="311"/>
      </w:r>
      <w:r>
        <w:rPr>
          <w:rFonts w:eastAsia="Times New Roman" w:cs="Times New Roman" w:ascii="Times New Roman" w:hAnsi="Times New Roman"/>
          <w:color w:val="111111"/>
          <w:sz w:val="28"/>
          <w:szCs w:val="28"/>
          <w:lang w:val="en-US"/>
        </w:rPr>
        <w:t>)To our opinion, in order to determine whose duty it is to pay for the living expenses of abandoned (unattended children, we should see what motivation lies behind picking up (iltiqat) the child from the public passageways.)If the motivation behind picking up abandoned children is merely protecting their health and after picking up they will be handed over to the police centers or establishments dedicated to this purpose (e.g., orphanage, the duty of providing for their living expenses rests with the Islamic state and no one else has any commitment in this respect, irrespective of the child being a Muslim or a non-Muslim.</w:t>
      </w:r>
      <w:r>
        <w:rPr>
          <w:rStyle w:val="FootnoteAnchor"/>
        </w:rPr>
        <w:footnoteReference w:id="312"/>
      </w:r>
      <w:r>
        <w:rPr>
          <w:rFonts w:eastAsia="Times New Roman" w:cs="Times New Roman" w:ascii="Times New Roman" w:hAnsi="Times New Roman"/>
          <w:color w:val="111111"/>
          <w:sz w:val="28"/>
          <w:szCs w:val="28"/>
          <w:lang w:val="en-US"/>
        </w:rPr>
        <w:t>)However, if the finders of the child have undertaken the child's custody and adopted it as their</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stepchild with the coordination of the supervisory establishments – as explained during previous discussions – then providing for the living expenses of that child would be upon the finders; for if not logically, but normally and conventionally it is upon them to provide for the living expenses of the child they have agreed to adopt.</w:t>
      </w:r>
      <w:r>
        <w:rPr>
          <w:rStyle w:val="FootnoteAnchor"/>
        </w:rPr>
        <w:footnoteReference w:id="313"/>
      </w:r>
      <w:r>
        <w:rPr>
          <w:rFonts w:eastAsia="Times New Roman" w:cs="Times New Roman" w:ascii="Times New Roman" w:hAnsi="Times New Roman"/>
          <w:color w:val="111111"/>
          <w:sz w:val="28"/>
          <w:szCs w:val="28"/>
          <w:lang w:val="en-US"/>
        </w:rPr>
        <w:t>)For this reason, when someone picks up a child from the streets or takes it over from the center for collecting these children in order to adopt it as a stepchild, they implicitly accept all exigencies and consequences of such an undertaking, which include providing for the food, clothing, hygiene, and medical treatment as well as the education and marriage of that child, just like any father and mother who normally undertake such tasks for their children in ordinary circumstances, without having any right to refund their expenses in the future.</w:t>
      </w:r>
      <w:r>
        <w:rPr>
          <w:rStyle w:val="FootnoteAnchor"/>
        </w:rPr>
        <w:footnoteReference w:id="314"/>
      </w:r>
      <w:r>
        <w:rPr>
          <w:rFonts w:eastAsia="Times New Roman" w:cs="Times New Roman" w:ascii="Times New Roman" w:hAnsi="Times New Roman"/>
          <w:color w:val="111111"/>
          <w:sz w:val="28"/>
          <w:szCs w:val="28"/>
          <w:lang w:val="en-US"/>
        </w:rPr>
        <w:t>)The exception is that, since accepting the responsibility of taking care of a child is a primitive commitment and the finder of the child can, depending on their ability or willingness, refuse to accept some of the exigencies and consequences, they restrict fulfilling their responsibility to a specific time or task, in which case they are obliged to fulfill their commitment proportionate to the extent of their responsibility.In this case, the finder can accept only the supportive aspects of custody provided that the child's expenses are undertaken by someone else; or, supposing that the finder is paying the expenses too, they may reserve the right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refund it after the child reaches maturity and is able to pay back those expenses.</w:t>
      </w:r>
      <w:r>
        <w:rPr>
          <w:rStyle w:val="FootnoteAnchor"/>
        </w:rPr>
        <w:footnoteReference w:id="315"/>
      </w:r>
      <w:r>
        <w:rPr>
          <w:rFonts w:eastAsia="Times New Roman" w:cs="Times New Roman" w:ascii="Times New Roman" w:hAnsi="Times New Roman"/>
          <w:color w:val="111111"/>
          <w:sz w:val="28"/>
          <w:szCs w:val="28"/>
          <w:lang w:val="en-US"/>
        </w:rPr>
        <w:t>)In any case, to prove the permissibility of refunding the expenses of taking care of the child in this latter presumption (intention of recourse, we can rely on the traditions related by ʿAzrami, Mada’ini, Muthanna, and Muhammad b. Ahmad.</w:t>
      </w:r>
      <w:r>
        <w:rPr>
          <w:rStyle w:val="FootnoteAnchor"/>
        </w:rPr>
        <w:footnoteReference w:id="316"/>
      </w:r>
      <w:r>
        <w:rPr>
          <w:rFonts w:eastAsia="Times New Roman" w:cs="Times New Roman" w:ascii="Times New Roman" w:hAnsi="Times New Roman"/>
          <w:color w:val="111111"/>
          <w:sz w:val="28"/>
          <w:szCs w:val="28"/>
          <w:lang w:val="en-US"/>
        </w:rPr>
        <w:t>)#### Disagreement in Expenses for the Custody of Abandoned ChildrenIf we suppose that we cannot supply for the expenses of such children through any governmental or non-governmental sources and the finder of the child is ready to undertake to pay for these expenses provided that they are refunded, then it is argued that if the abandoned child, after achieving financial means and ability to pay back what the finder had spent for it, disagrees with the finder over the amount of refund, what has to be done to resolve the disagreement?The disagreement of the finder and the found is to be viewed in two ways:First, disagreement over the expenditure itself: If the finder of the child (multaqit claims to have spent a sum of money for its livelihood but the abandoned child (laqit) denies such expenses, the claims of the finder is accepted, since it is obvious that the child's growth would not have been possible without expenditure, whether this disagreement is over the spending from the child's own property or from the finder's property.</w:t>
      </w:r>
      <w:r>
        <w:rPr>
          <w:rStyle w:val="FootnoteAnchor"/>
        </w:rPr>
        <w:footnoteReference w:id="317"/>
      </w:r>
      <w:r>
        <w:rPr>
          <w:rFonts w:eastAsia="Times New Roman" w:cs="Times New Roman" w:ascii="Times New Roman" w:hAnsi="Times New Roman"/>
          <w:color w:val="111111"/>
          <w:sz w:val="28"/>
          <w:szCs w:val="28"/>
          <w:lang w:val="en-US"/>
        </w:rPr>
        <w:t>)Second, disagreement over the amount of expenditure: If the amount of money that the finder reports to have spent for the child is not accepted by the found (laqit but this amount)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 equivalent to the conventional expenditure of taking care of a child, then the finder's report will be accepted because it is assumed that since the finder of the child has been a trustworthy person, the child's custody has been entrusted to him or her; thus his claim in this respect is accepted.</w:t>
      </w:r>
      <w:r>
        <w:rPr>
          <w:rStyle w:val="FootnoteAnchor"/>
        </w:rPr>
        <w:footnoteReference w:id="318"/>
      </w:r>
      <w:r>
        <w:rPr>
          <w:rFonts w:eastAsia="Times New Roman" w:cs="Times New Roman" w:ascii="Times New Roman" w:hAnsi="Times New Roman"/>
          <w:color w:val="111111"/>
          <w:sz w:val="28"/>
          <w:szCs w:val="28"/>
          <w:lang w:val="en-US"/>
        </w:rPr>
        <w:t>)However, if the finder demands an amount higher than the conventional or claims to have spent from the child's own property and the child, after reaching maturity, disclaims that amount of expenditure, the child's claim is accepted, because the finder of the child himself admits having gone to excess and the practical principle necessitates the child (laqit's non-commitment (non-indebtedness) to the expenditure excessive to the convention.</w:t>
      </w:r>
      <w:r>
        <w:rPr>
          <w:rStyle w:val="FootnoteAnchor"/>
        </w:rPr>
        <w:footnoteReference w:id="319"/>
      </w:r>
      <w:r>
        <w:rPr>
          <w:rFonts w:eastAsia="Times New Roman" w:cs="Times New Roman" w:ascii="Times New Roman" w:hAnsi="Times New Roman"/>
          <w:color w:val="111111"/>
          <w:sz w:val="28"/>
          <w:szCs w:val="28"/>
          <w:lang w:val="en-US"/>
        </w:rPr>
        <w:t>)To our opinion, since entrusting a child's custody to its finder has to be supervised by the Islamic state, the supervisory institution would monitor the way the living expenses of the child are provided for, just as it keeps under its surveillance the finder's moral soundness and the child's psychophysical health.Therefore, if the finder of the child, who also undertakes the child's custody, is an honest and trustworthy person and the supervisory institution would approve his actions as right, then his claiming as to the amount of the child's living expenses will be accepted, whether supplied from the child's properties or from his own; otherwise, the child's finder has to present trustworthy documents to prove his claim. Of course, it is obvious that the child's claiming no expenses have been paid for its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maintenance is triable only when there has been another source for providing its living expenses.### Penal Problems of Abandoned Children#### pointPenal problems of the abandoned (unattended children are examinable from two perspectives:)#### Crime against Abandoned ChildrenAmong the problems discussed in Islamic jurisprudence is the crime against the abandoned (unattended children and the examination of its penal and legal aspects.)This discussion is brought up since in Islamic law physical injuries to other people are divided into two parts of deliberate and erroneous, depending on the perpetrator's intention. In deliberate crimes, the one who is the victim of a crime (mujanna ʿalay and in case of death, his or her inheritors have the right to inflict the same criminal act (qisas) with the same degree and intensity on the criminal (jani), or receive damages (diya) in case it is done mistakenly and without premeditation, depending on the intensity and the place of injury.)As for the crime against children, if the child has a natural guardian (father or paternal grandfather, its guardian can, depending on the type of crime and the observance of his or the child's expedience, retaliate by qisas, receive diya, or forgive the criminal without receiving money or by receiving money as much as he deems appropriate. In case the criminal act results in the murder of the child, he can ask for qisas or be content with receiving diya.)The question is raised by the jurists that if a child does not have a guardian, who will make decisions on the above cases?We will examine the juridical and penal aspects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this issue in regard to the type of the crime and the punishment in the following four forms:First, deliberate crime leading to death: If someone kills a human being on purpose and with criminal premeditation, his/her inheritor or inheritors (blood avengers can punish and kill the murderer in retaliation (qisas) on the conditions explained in legal books:)Do not kill a soul [whose life] Allah has made inviolable, except with due cause, and whoever is killed wrongfully, We have certainly given his heir an authority</w:t>
      </w:r>
      <w:r>
        <w:rPr>
          <w:rStyle w:val="FootnoteAnchor"/>
        </w:rPr>
        <w:footnoteReference w:id="320"/>
      </w:r>
      <w:r>
        <w:rPr>
          <w:rFonts w:eastAsia="Times New Roman" w:cs="Times New Roman" w:ascii="Times New Roman" w:hAnsi="Times New Roman"/>
          <w:color w:val="111111"/>
          <w:sz w:val="28"/>
          <w:szCs w:val="28"/>
          <w:lang w:val="en-US"/>
        </w:rPr>
        <w:t>Now, if someone killed an abandoned (unattended child, whose responsibility would it be to make decision about qisas or forgiveness of the criminal? And in case of forgiveness, who would the money taken thereby belong to?)Some jurists believe that making decision in this respect rests with the Infallible Imam (A.S., who can have the criminal killed through qisas as he can forgive him and receive the blood money, which he will spend on what is in the Muslims' interests,</w:t>
      </w:r>
      <w:r>
        <w:rPr>
          <w:rStyle w:val="FootnoteAnchor"/>
        </w:rPr>
        <w:footnoteReference w:id="321"/>
      </w:r>
      <w:r>
        <w:rPr>
          <w:rFonts w:eastAsia="Times New Roman" w:cs="Times New Roman" w:ascii="Times New Roman" w:hAnsi="Times New Roman"/>
          <w:color w:val="111111"/>
          <w:sz w:val="28"/>
          <w:szCs w:val="28"/>
          <w:lang w:val="en-US"/>
        </w:rPr>
        <w:t>)But if one is granted any extenuation by his brother, let the follow up [for the blood-money] be honorable, and let the payment to him be with kindness. That is a remission from your Lord and a mercy.</w:t>
      </w:r>
      <w:r>
        <w:rPr>
          <w:rStyle w:val="FootnoteAnchor"/>
        </w:rPr>
        <w:footnoteReference w:id="322"/>
      </w:r>
      <w:r>
        <w:rPr>
          <w:rFonts w:eastAsia="Times New Roman" w:cs="Times New Roman" w:ascii="Times New Roman" w:hAnsi="Times New Roman"/>
          <w:color w:val="111111"/>
          <w:sz w:val="28"/>
          <w:szCs w:val="28"/>
          <w:lang w:val="en-US"/>
        </w:rPr>
        <w:t>)A group of jurists also believe that the Imam (A.S. is the successor to the inheritor and to the guardian of the murdered person and like the guardian can forgive the murderer by receiving some money; or forgive him without receiving any money; so, the Infallible Imam (A.S.) has the)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right to show Islamic affection to the murderer without receiving any money.</w:t>
      </w:r>
      <w:r>
        <w:rPr>
          <w:rStyle w:val="FootnoteAnchor"/>
        </w:rPr>
        <w:footnoteReference w:id="323"/>
      </w:r>
      <w:r>
        <w:rPr>
          <w:rFonts w:eastAsia="Times New Roman" w:cs="Times New Roman" w:ascii="Times New Roman" w:hAnsi="Times New Roman"/>
          <w:color w:val="111111"/>
          <w:sz w:val="28"/>
          <w:szCs w:val="28"/>
          <w:lang w:val="en-US"/>
        </w:rPr>
        <w:t>)Muhaqqiq Hilli and some of the Shafiʿi jurists believe that the Imam can – like in other instances – only punish the murderer in qisas, because forgiveness of the criminal is contrary to the Muslim's interest.</w:t>
      </w:r>
      <w:r>
        <w:rPr>
          <w:rStyle w:val="FootnoteAnchor"/>
        </w:rPr>
        <w:footnoteReference w:id="324"/>
      </w:r>
      <w:r>
        <w:rPr>
          <w:rFonts w:eastAsia="Times New Roman" w:cs="Times New Roman" w:ascii="Times New Roman" w:hAnsi="Times New Roman"/>
          <w:color w:val="111111"/>
          <w:sz w:val="28"/>
          <w:szCs w:val="28"/>
          <w:lang w:val="en-US"/>
        </w:rPr>
        <w:t>)Second, erroneous crime leading to death: If someone causes another's death in a non-criminal act and without predetermination (erroneous murder, he has to pay blood money.</w:t>
      </w:r>
      <w:r>
        <w:rPr>
          <w:rStyle w:val="FootnoteAnchor"/>
        </w:rPr>
        <w:footnoteReference w:id="325"/>
      </w:r>
      <w:r>
        <w:rPr>
          <w:rFonts w:eastAsia="Times New Roman" w:cs="Times New Roman" w:ascii="Times New Roman" w:hAnsi="Times New Roman"/>
          <w:color w:val="111111"/>
          <w:sz w:val="28"/>
          <w:szCs w:val="28"/>
          <w:lang w:val="en-US"/>
        </w:rPr>
        <w:t>Therefore, the one who causes the death of abandoned (unattended) children has to pay the blood money; and according to the Sunni jurists this blood money is to be deposited to the public treasury, and according to the Shiʿa jurists it is handed over to the Infallible Imam (A.S.) to spend it wherever he deems necessary.</w:t>
      </w:r>
      <w:r>
        <w:rPr>
          <w:rStyle w:val="FootnoteAnchor"/>
        </w:rPr>
        <w:footnoteReference w:id="326"/>
      </w:r>
      <w:r>
        <w:rPr>
          <w:rFonts w:eastAsia="Times New Roman" w:cs="Times New Roman" w:ascii="Times New Roman" w:hAnsi="Times New Roman"/>
          <w:color w:val="111111"/>
          <w:sz w:val="28"/>
          <w:szCs w:val="28"/>
          <w:lang w:val="en-US"/>
        </w:rPr>
        <w:t>)Third, premeditated crime leading to bodily retaliation (qisas on the body: if someone by means of a criminal act causes maiming, fracture, rupture, and the like to a person's body, they have to be retaliated (by qisas), unless the one to whom the crime has been inflicted consents to forgive without compensation or with compensation.)Now, what should be done if someone inflicts such a crime on an abandoned (unattended child?)Some jurists maintain that since making decision in this respect is left with the very person who had been the victim of the crime, we must wait for the child to reach maturity so that he or she may decide accordingly, since one of the purposes of qisas is to pacify the anger of</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person who has been the victim of a crime and this purpose is fulfilled through qisas or receiving blood money by the blood avenger.Therefore, as the father cannot retaliate or forgive the criminal before his child reaches maturity, so also is the Imam (A.S. not permitted to do so, either.</w:t>
      </w:r>
      <w:r>
        <w:rPr>
          <w:rStyle w:val="FootnoteAnchor"/>
        </w:rPr>
        <w:footnoteReference w:id="327"/>
      </w:r>
      <w:r>
        <w:rPr>
          <w:rFonts w:eastAsia="Times New Roman" w:cs="Times New Roman" w:ascii="Times New Roman" w:hAnsi="Times New Roman"/>
          <w:color w:val="111111"/>
          <w:sz w:val="28"/>
          <w:szCs w:val="28"/>
          <w:lang w:val="en-US"/>
        </w:rPr>
        <w:t>)Since such a view requires imprisonment of the criminal until the child reaches maturity and there is no permit for imprisonment which in itself is an independent punishment, this view has been criticized.</w:t>
      </w:r>
      <w:r>
        <w:rPr>
          <w:rStyle w:val="FootnoteAnchor"/>
        </w:rPr>
        <w:footnoteReference w:id="328"/>
      </w:r>
      <w:r>
        <w:rPr>
          <w:rFonts w:eastAsia="Times New Roman" w:cs="Times New Roman" w:ascii="Times New Roman" w:hAnsi="Times New Roman"/>
          <w:color w:val="111111"/>
          <w:sz w:val="28"/>
          <w:szCs w:val="28"/>
          <w:lang w:val="en-US"/>
        </w:rPr>
        <w:t>)Muhaqqiq Tusi believes that if a child has reason and power of discrimination, we must wait for the child to reach maturity, since it is the child’s right to wish to revenge. However, if the child is feeble-minded and insolvent (muʿsir, his or her guardian shall take blood money instead of retaliation (qisas); and if the child is well-to-do (mawsir), blood money cannot be received for him/her.</w:t>
      </w:r>
      <w:r>
        <w:rPr>
          <w:rStyle w:val="FootnoteAnchor"/>
        </w:rPr>
        <w:footnoteReference w:id="329"/>
      </w:r>
      <w:r>
        <w:rPr>
          <w:rFonts w:eastAsia="Times New Roman" w:cs="Times New Roman" w:ascii="Times New Roman" w:hAnsi="Times New Roman"/>
          <w:color w:val="111111"/>
          <w:sz w:val="28"/>
          <w:szCs w:val="28"/>
          <w:lang w:val="en-US"/>
        </w:rPr>
        <w:t>)The reason for this distinction is the difference made between the child and the insane concerning qisas in legal texts. According to some jurists, a guardian (wali can make decision about crime against an insane person, but he is not permitted to do so in relation to a child; he has to wait for the child to reach maturity. It is because the length of time to wait for the child to reach maturity is specified, but this time is not distinct for the insane person, as it is not clear when he/she would recover his/her mental health.</w:t>
      </w:r>
      <w:r>
        <w:rPr>
          <w:rStyle w:val="FootnoteAnchor"/>
        </w:rPr>
        <w:footnoteReference w:id="330"/>
      </w:r>
      <w:r>
        <w:rPr>
          <w:rFonts w:eastAsia="Times New Roman" w:cs="Times New Roman" w:ascii="Times New Roman" w:hAnsi="Times New Roman"/>
          <w:color w:val="111111"/>
          <w:sz w:val="28"/>
          <w:szCs w:val="28"/>
          <w:lang w:val="en-US"/>
        </w:rPr>
        <w:t>)It is also mentioned in</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legal texts that since the Infallible Imam is the guardian (wali of the unattended children and the guardian can ask for qisas on behalf of the one over whom he practices wilaya (muwalla ʿalayh), the Imam or his deputy can retaliate the criminal in qisas in the best interest of the child or forgive him in lieu of diya. There is no reason postponing this for the child to reach maturity, especially when this postponement may remove the conditions for qisas or receiving diya.</w:t>
      </w:r>
      <w:r>
        <w:rPr>
          <w:rStyle w:val="FootnoteAnchor"/>
        </w:rPr>
        <w:footnoteReference w:id="331"/>
      </w:r>
      <w:r>
        <w:rPr>
          <w:rFonts w:eastAsia="Times New Roman" w:cs="Times New Roman" w:ascii="Times New Roman" w:hAnsi="Times New Roman"/>
          <w:color w:val="111111"/>
          <w:sz w:val="28"/>
          <w:szCs w:val="28"/>
          <w:lang w:val="en-US"/>
        </w:rPr>
        <w:t>)Fourth, erroneous or deliberate crime not leading to bodily retaliation (qisas on the body: If someone does something unintentionally resulting in damaging another’s body or deliberately inflict an injury on another person whose retaliation (qisas) is not possible, he/she has to pay diya for this infliction.)As for crime against a child, this diya shall go to the child’s guardian, and as the abandoned (unattended child’s guardian is the Infallible Imam (A.S.), he shall receive the diya for the crime against the child.</w:t>
      </w:r>
      <w:r>
        <w:rPr>
          <w:rStyle w:val="FootnoteAnchor"/>
        </w:rPr>
        <w:footnoteReference w:id="332"/>
      </w:r>
      <w:r>
        <w:rPr>
          <w:rFonts w:eastAsia="Times New Roman" w:cs="Times New Roman" w:ascii="Times New Roman" w:hAnsi="Times New Roman"/>
          <w:color w:val="111111"/>
          <w:sz w:val="28"/>
          <w:szCs w:val="28"/>
          <w:lang w:val="en-US"/>
        </w:rPr>
        <w:t>)It is to be noted that in all these four instances performing qisas or receiving diya for the deliberate or erroneous crime, if in the best interest of the child, rests with the Imam (A.S.. However, the finder or the person who takes care of the child (multaqit) does not have any rights and cannot make any decision in this respect, since they have no guardianship over the child.</w:t>
      </w:r>
      <w:r>
        <w:rPr>
          <w:rStyle w:val="FootnoteAnchor"/>
        </w:rPr>
        <w:footnoteReference w:id="333"/>
      </w:r>
      <w:r>
        <w:rPr>
          <w:rFonts w:eastAsia="Times New Roman" w:cs="Times New Roman" w:ascii="Times New Roman" w:hAnsi="Times New Roman"/>
          <w:color w:val="111111"/>
          <w:sz w:val="28"/>
          <w:szCs w:val="28"/>
          <w:lang w:val="en-US"/>
        </w:rPr>
        <w:t>)#### Abandoned Children’s OffensesAmong the most important issues, concerning the abandoned (unattended children is the offenses committed by them and the)</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legal and penal responsibilities that ensue.Although this issue is not restricted to the abandoned (unattended children and includes all children, since someone must undertake their responsibility, the issue becomes doubly important.)First, erroneous offenses: If the child erroneously commits an offense that entails diya as punishment, such as murder, beating, and injuring, its paternal kinsmen (ʿaqila are obliged to undertake to pay off.)Since what is meant by “paternal kinsmen” is the father as well as the mature, wise, and wealthy men among the paternal relatives of an individual,</w:t>
      </w:r>
      <w:r>
        <w:rPr>
          <w:rStyle w:val="FootnoteAnchor"/>
        </w:rPr>
        <w:footnoteReference w:id="334"/>
      </w:r>
      <w:r>
        <w:rPr>
          <w:rFonts w:eastAsia="Times New Roman" w:cs="Times New Roman" w:ascii="Times New Roman" w:hAnsi="Times New Roman"/>
          <w:color w:val="111111"/>
          <w:sz w:val="28"/>
          <w:szCs w:val="28"/>
          <w:lang w:val="en-US"/>
        </w:rPr>
        <w:t>and there exist no such people for the abandoned (unattended) children, thus someone has to substitute for the child’s paternal kinsmen.)According to the Sunnis an unattended child’s ʿaqila is the government; however, to the Shiʿa jurists it is the Infallible Imam (A.S.</w:t>
      </w:r>
      <w:r>
        <w:rPr>
          <w:rStyle w:val="FootnoteAnchor"/>
        </w:rPr>
        <w:footnoteReference w:id="335"/>
      </w:r>
      <w:r>
        <w:rPr>
          <w:rFonts w:eastAsia="Times New Roman" w:cs="Times New Roman" w:ascii="Times New Roman" w:hAnsi="Times New Roman"/>
          <w:color w:val="111111"/>
          <w:sz w:val="28"/>
          <w:szCs w:val="28"/>
          <w:lang w:val="en-US"/>
        </w:rPr>
        <w:t>, unless when the Infallible Imam is also in charge of the state, then the government would undertake such a duty.)Second, deliberate offenses: If committing an offense is after the child reaches maturity, then he will be punished in qisas like other people and in case of the victim’s consent, he may pay diya.But, if the child commits an offense before reaching maturity, since the child’s deliberate offense amounts to mere erroneous offense, paying diya is upon its ʿaqila, i.e., the Infallible Imam (A.S..</w:t>
      </w:r>
      <w:r>
        <w:rPr>
          <w:rStyle w:val="FootnoteAnchor"/>
        </w:rPr>
        <w:footnoteReference w:id="336"/>
      </w:r>
      <w:r>
        <w:rPr>
          <w:rFonts w:eastAsia="Times New Roman" w:cs="Times New Roman" w:ascii="Times New Roman" w:hAnsi="Times New Roman"/>
          <w:color w:val="111111"/>
          <w:sz w:val="28"/>
          <w:szCs w:val="28"/>
          <w:lang w:val="en-US"/>
        </w:rPr>
        <w:t>)Of course, the possibility is brought up in some legal texts that the payment of diya will rest upon the child until after maturity to pay it himself.</w:t>
      </w:r>
      <w:r>
        <w:rPr>
          <w:rStyle w:val="FootnoteAnchor"/>
        </w:rPr>
        <w:footnoteReference w:id="337"/>
      </w:r>
      <w:r>
        <w:rPr>
          <w:rFonts w:eastAsia="Times New Roman" w:cs="Times New Roman" w:ascii="Times New Roman" w:hAnsi="Times New Roman"/>
          <w:color w:val="111111"/>
          <w:sz w:val="28"/>
          <w:szCs w:val="28"/>
          <w:lang w:val="en-US"/>
        </w:rPr>
        <w:t>)Third, quasi-deliberate offense: What is meant by quasi-deliberate, also known as ʿamd</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al-khata’ (intentional blunder, is a state in which a person intentionally does something but what ensues is not what he had intended (intentional in action and erroneous in purpose). For instance, he beats someone intentionally with a tool, which is mostly not a killing tool but the victim dies thereby.)According to the Shiʿa jurists, diya in qausi-deliberate offense will be paid for through the criminal’s own property; therefore, by this presumption, the damage resulted from the criminal act of the abandoned child is to be paid for through his own property.</w:t>
      </w:r>
      <w:r>
        <w:rPr>
          <w:rStyle w:val="FootnoteAnchor"/>
        </w:rPr>
        <w:footnoteReference w:id="338"/>
      </w:r>
      <w:r>
        <w:rPr>
          <w:rFonts w:eastAsia="Times New Roman" w:cs="Times New Roman" w:ascii="Times New Roman" w:hAnsi="Times New Roman"/>
          <w:color w:val="111111"/>
          <w:sz w:val="28"/>
          <w:szCs w:val="28"/>
          <w:lang w:val="en-US"/>
        </w:rPr>
        <w:t>)### Disagreement on the Custody of Abandoned ChildrenIf we accept that finding and collecting a child from the public places create a right for the finder (multaqit to undertake its custody, then the question arises as to if there are two or more finders who claim such a right, who can be entitled to take its custody?)There are three criteria presented in legal books to answer this question.First criterion, examining the evidence (bayyina: A group of jurists believe that in order to verify the claim of those who claim having found the child and having priority for its custody, their documentary evidence has to be examined.)If we presume that only one of the two persons has a document or evidence for his/her claim, the child’s custody is to be entrusted to that same person. However, if both of them are able to present evidence to prove their claim, it is to be verified whether their evidence points to the time of finding the</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child or without referring to the time, it just asserts that the child has been found by a particular person.In case the documents each one of them presents does not refer to the time of the finding or if both refer to a specific time, these documents will lose their legal value and will be rejected. Nevertheless, if any of these documents report a different time for the finding of the child by an individual, the child’s custody will be entrusted to the one who declare an earlier time.It is obvious that if the content of the documents are different, with one reporting a specific time for finding the child and the other just pointing out the finding of the child by an individual without referring to the time, the child’s custody will be entrusted to the one whose documents determine a specific time.Naturally, if none of the claimants of finding the child can present supporting documents to prove their claim, then the Islamic ruler will, as he deems it advisable, determine someone to undertake the custody.</w:t>
      </w:r>
      <w:r>
        <w:rPr>
          <w:rStyle w:val="FootnoteAnchor"/>
        </w:rPr>
        <w:footnoteReference w:id="339"/>
      </w:r>
      <w:r>
        <w:rPr>
          <w:rFonts w:eastAsia="Times New Roman" w:cs="Times New Roman" w:ascii="Times New Roman" w:hAnsi="Times New Roman"/>
          <w:color w:val="111111"/>
          <w:sz w:val="28"/>
          <w:szCs w:val="28"/>
          <w:lang w:val="en-US"/>
        </w:rPr>
        <w:t>)Second criterion, examining the individuals’ features: According to some jurists, in order to solve this disagreement the claimants’ differences in four features of religion, wealth, justice, and type of residence are to be examined.In case of their equality in these features, lots must be drawn to decide who would take the child’s custody, since leaving the child’s custody to both of them would cause detriment to the child.</w:t>
      </w:r>
      <w:r>
        <w:rPr>
          <w:rStyle w:val="FootnoteAnchor"/>
        </w:rPr>
        <w:footnoteReference w:id="340"/>
      </w:r>
      <w:r>
        <w:rPr>
          <w:rFonts w:eastAsia="Times New Roman" w:cs="Times New Roman" w:ascii="Times New Roman" w:hAnsi="Times New Roman"/>
          <w:color w:val="111111"/>
          <w:sz w:val="28"/>
          <w:szCs w:val="28"/>
          <w:lang w:val="en-US"/>
        </w:rPr>
        <w:t>However, in case of inequality, a)</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Muslim has priority over a non-Muslim, a trustworthy (just Muslim over an impious Muslim, rich over poor, and a townsman over a villager.</w:t>
      </w:r>
      <w:r>
        <w:rPr>
          <w:rStyle w:val="FootnoteAnchor"/>
        </w:rPr>
        <w:footnoteReference w:id="341"/>
      </w:r>
      <w:r>
        <w:rPr>
          <w:rFonts w:eastAsia="Times New Roman" w:cs="Times New Roman" w:ascii="Times New Roman" w:hAnsi="Times New Roman"/>
          <w:color w:val="111111"/>
          <w:sz w:val="28"/>
          <w:szCs w:val="28"/>
          <w:lang w:val="en-US"/>
        </w:rPr>
        <w:t>)It is to be remembered that from the viewpoint of most jurists the gender of the claimants of picking up the child accords them no privilege and neither a man nor a woman have priority over each other in this respect. Although a woman is more successful than a man in managing the child’s affairs and her emotional aspects are stronger, the man has more ability in maintaining the child’s life.</w:t>
      </w:r>
      <w:r>
        <w:rPr>
          <w:rStyle w:val="FootnoteAnchor"/>
        </w:rPr>
        <w:footnoteReference w:id="342"/>
      </w:r>
      <w:r>
        <w:rPr>
          <w:rFonts w:eastAsia="Times New Roman" w:cs="Times New Roman" w:ascii="Times New Roman" w:hAnsi="Times New Roman"/>
          <w:color w:val="111111"/>
          <w:sz w:val="28"/>
          <w:szCs w:val="28"/>
          <w:lang w:val="en-US"/>
        </w:rPr>
        <w:t>)Third criterion, examining the child’s situation: The proponents of this theory believe that if none of the two claimants did anything for picking up and taking care of the child, making decision about the child’s custody would rest with the Islamic ruler.</w:t>
      </w:r>
      <w:r>
        <w:rPr>
          <w:rStyle w:val="FootnoteAnchor"/>
        </w:rPr>
        <w:footnoteReference w:id="343"/>
      </w:r>
      <w:r>
        <w:rPr>
          <w:rFonts w:eastAsia="Times New Roman" w:cs="Times New Roman" w:ascii="Times New Roman" w:hAnsi="Times New Roman"/>
          <w:color w:val="111111"/>
          <w:sz w:val="28"/>
          <w:szCs w:val="28"/>
          <w:lang w:val="en-US"/>
        </w:rPr>
        <w:t>)But if both have attempted to pick up the child, the child’s custody would be entrusted to the one who is sufficiently qualified to undertake this task and if both are equally qualified, the decision as to who should the child be entrusted to is made by means of drawing lots, the judge’s decision, or letting the child to decide. Since entrusting the child to both of them or taking turns (muhayat in taking care of the child, would inflict harm on it.</w:t>
      </w:r>
      <w:r>
        <w:rPr>
          <w:rStyle w:val="FootnoteAnchor"/>
        </w:rPr>
        <w:footnoteReference w:id="344"/>
      </w:r>
      <w:r>
        <w:rPr>
          <w:rFonts w:eastAsia="Times New Roman" w:cs="Times New Roman" w:ascii="Times New Roman" w:hAnsi="Times New Roman"/>
          <w:color w:val="111111"/>
          <w:sz w:val="28"/>
          <w:szCs w:val="28"/>
          <w:lang w:val="en-US"/>
        </w:rPr>
        <w:t>)In our opinion and as we previously mentioned, finding a child and picking it up from public places does not entail any right for the fonder. Therefore, the one who finds a child</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has to hand it over to the institutions in charge of undertaking the life of such children.After examining the individual and social competence of the person who asks for a child’s custody and considering the child’s interests, the institution hands over the child’s custody to that person temporarily or for a limited period whether that same person has found the child or someone else has.Of course, the child’s desire to live with a certain person when it has found power of discrimination can also be one of the factors effective in the child’s interests.Thus, presenting documents as to who has first found the child or examining the features of the individuals claiming to have found the child alone do not have any impact on entrusting the child to an individual, just as the finder’s gender has no effect in this respect.### Kinship Relationship with the Abandoned Children#### pointA child being left in public places provides an opportunity for a number of people with different motivations to claim the found child to be theirs.Since this claim can have an impressive impact on the life process of the child, its verification is one of the most important issues concerning the unattended children.#### Claiming a Blood Relation to the Child##### pointTalking about blood relation to a child is examinable in three ways:##### 1. Claiming paternal relationship with the childIf someone who has found the child claims that the child is his or hers, a group of the jurists maintain that their claim suffices to prove paternal relation. The reason is that this confession does not harm anybody, as it is helpful to the child</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that someone undertakes its responsibility, and it is a natural course of events (in agreement to the apparent state of affairs as in normal circumstances no one takes care of another’s child.</w:t>
      </w:r>
      <w:r>
        <w:rPr>
          <w:rStyle w:val="FootnoteAnchor"/>
        </w:rPr>
        <w:footnoteReference w:id="345"/>
      </w:r>
      <w:r>
        <w:rPr>
          <w:rFonts w:eastAsia="Times New Roman" w:cs="Times New Roman" w:ascii="Times New Roman" w:hAnsi="Times New Roman"/>
          <w:color w:val="111111"/>
          <w:sz w:val="28"/>
          <w:szCs w:val="28"/>
          <w:lang w:val="en-US"/>
        </w:rPr>
        <w:t>In contrast, some Sunni jurists have been quoted to say that such a claim is not acceptable, since in normal conditions no one abandons one’s own child in public places to require picking it up later.</w:t>
      </w:r>
      <w:r>
        <w:rPr>
          <w:rStyle w:val="FootnoteAnchor"/>
        </w:rPr>
        <w:footnoteReference w:id="346"/>
      </w:r>
      <w:r>
        <w:rPr>
          <w:rFonts w:eastAsia="Times New Roman" w:cs="Times New Roman" w:ascii="Times New Roman" w:hAnsi="Times New Roman"/>
          <w:color w:val="111111"/>
          <w:sz w:val="28"/>
          <w:szCs w:val="28"/>
          <w:lang w:val="en-US"/>
        </w:rPr>
        <w:t>)However, some jurists, relying on the fact that the child does not enjoy a recognized parentage and adopting it does not do any harm to others, believe that if someone other than the finder of the child claims that the found child belongs to him, such a claim is acceptable although no evidence (bayyina is available to prove it, in case the age of the child and that of the claimant is such that the child can normally be regarded as his or her child.</w:t>
      </w:r>
      <w:r>
        <w:rPr>
          <w:rStyle w:val="FootnoteAnchor"/>
        </w:rPr>
        <w:footnoteReference w:id="347"/>
      </w:r>
      <w:r>
        <w:rPr>
          <w:rFonts w:eastAsia="Times New Roman" w:cs="Times New Roman" w:ascii="Times New Roman" w:hAnsi="Times New Roman"/>
          <w:color w:val="111111"/>
          <w:sz w:val="28"/>
          <w:szCs w:val="28"/>
          <w:lang w:val="en-US"/>
        </w:rPr>
        <w:t>)In contrast, Muhaqqiq al-Hilli maintains that this claim is not accepted unless the child itself accepts the existence of such a relation. On that basis, proving the paternal relation between an individual and the abandoned (unattended child will depend on two factors: the claim of the claimant and the acceptance of this claim by the child after reaching maturity.</w:t>
      </w:r>
      <w:r>
        <w:rPr>
          <w:rStyle w:val="FootnoteAnchor"/>
        </w:rPr>
        <w:footnoteReference w:id="348"/>
      </w:r>
      <w:r>
        <w:rPr>
          <w:rFonts w:eastAsia="Times New Roman" w:cs="Times New Roman" w:ascii="Times New Roman" w:hAnsi="Times New Roman"/>
          <w:color w:val="111111"/>
          <w:sz w:val="28"/>
          <w:szCs w:val="28"/>
          <w:lang w:val="en-US"/>
        </w:rPr>
        <w:t>)In the third case, two individuals – none of whom has had any role in picking up the child from public places as well as taking care of it – may claim to have a paternal relation to the</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child.It is clear that in this case, only the confession of the one who can present evidence (bayyina to prove his claim will be taken into consideration. If we presume that both of them can present evidence for such a claim, there are other ways in earlier Shiʿi and Sunni jurisprudential texts that can be referred to, such as physical resemblance between the man claiming to be the father and the child or drawing lots.</w:t>
      </w:r>
      <w:r>
        <w:rPr>
          <w:rStyle w:val="FootnoteAnchor"/>
        </w:rPr>
        <w:footnoteReference w:id="349"/>
      </w:r>
      <w:r>
        <w:rPr>
          <w:rFonts w:eastAsia="Times New Roman" w:cs="Times New Roman" w:ascii="Times New Roman" w:hAnsi="Times New Roman"/>
          <w:color w:val="111111"/>
          <w:sz w:val="28"/>
          <w:szCs w:val="28"/>
          <w:lang w:val="en-US"/>
        </w:rPr>
        <w:t>)Finally, this may be claimed by the finder of the child on one hand and another person on the other, in which case, if they have contradicting documents, as in the previous case, there will be two ways for the Shiʿi and Sunni jurists to tackle the problem.</w:t>
      </w:r>
      <w:r>
        <w:rPr>
          <w:rStyle w:val="FootnoteAnchor"/>
        </w:rPr>
        <w:footnoteReference w:id="350"/>
      </w:r>
      <w:r>
        <w:rPr>
          <w:rFonts w:eastAsia="Times New Roman" w:cs="Times New Roman" w:ascii="Times New Roman" w:hAnsi="Times New Roman"/>
          <w:color w:val="111111"/>
          <w:sz w:val="28"/>
          <w:szCs w:val="28"/>
          <w:lang w:val="en-US"/>
        </w:rPr>
        <w:t>)In any case, wherever a man claims to have a blood relation to a child and his claim is also accepted, the child will be regarded as his; but such a claim does not mean that the man’s wife is the child’s mother, too, even though that man claims such a relation, unless his wife accepts this claim as well.</w:t>
      </w:r>
      <w:r>
        <w:rPr>
          <w:rStyle w:val="FootnoteAnchor"/>
        </w:rPr>
        <w:footnoteReference w:id="351"/>
      </w:r>
      <w:r>
        <w:rPr>
          <w:rFonts w:eastAsia="Times New Roman" w:cs="Times New Roman" w:ascii="Times New Roman" w:hAnsi="Times New Roman"/>
          <w:color w:val="111111"/>
          <w:sz w:val="28"/>
          <w:szCs w:val="28"/>
          <w:lang w:val="en-US"/>
        </w:rPr>
        <w:t>)##### 2. Claiming maternal relationship with the childIndependent study of this issue despite its close similarity to the previous one, i.e., proving a paternal relationship with a child, is because some jurists believe that there is no difference between a man and a woman in proving to have a blood relation with the child. As the man’s confession is accepted, so also is the woman’s, and the child is joined by her.</w:t>
      </w:r>
      <w:r>
        <w:rPr>
          <w:rStyle w:val="FootnoteAnchor"/>
        </w:rPr>
        <w:footnoteReference w:id="352"/>
      </w:r>
      <w:r>
        <w:rPr>
          <w:rFonts w:eastAsia="Times New Roman" w:cs="Times New Roman" w:ascii="Times New Roman" w:hAnsi="Times New Roman"/>
          <w:color w:val="111111"/>
          <w:sz w:val="28"/>
          <w:szCs w:val="28"/>
          <w:lang w:val="en-US"/>
        </w:rPr>
        <w:t>In contrast, however, some contend)</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the method for proving the claim of a man and a woman to have a parental (paternal and maternal relationship with the child is different for each.)Although a man’s confession and claim suffices for the child to join him, a woman’s confession to this end is not sufficient and she has to present evidence for her claim. That’s because knowledge about the existence of a maternal-filial relation between a woman and a man is something which can be proved by observation since there are always some people present at the child-birth who can bear witness; but for a man’s claim as to being a child’s father such a witnessing is not possible.</w:t>
      </w:r>
      <w:r>
        <w:rPr>
          <w:rStyle w:val="FootnoteAnchor"/>
        </w:rPr>
        <w:footnoteReference w:id="353"/>
      </w:r>
      <w:r>
        <w:rPr>
          <w:rFonts w:eastAsia="Times New Roman" w:cs="Times New Roman" w:ascii="Times New Roman" w:hAnsi="Times New Roman"/>
          <w:color w:val="111111"/>
          <w:sz w:val="28"/>
          <w:szCs w:val="28"/>
          <w:lang w:val="en-US"/>
        </w:rPr>
        <w:t>)Therefore, if the woman can provide evidence for her claim, the child would be regarded as hers and her husband’s, provided that it would be likely for her to have given birth to that child and the evidence can prove that the child has been born to her while she had been that man’s wife.</w:t>
      </w:r>
      <w:r>
        <w:rPr>
          <w:rStyle w:val="FootnoteAnchor"/>
        </w:rPr>
        <w:footnoteReference w:id="354"/>
      </w:r>
      <w:r>
        <w:rPr>
          <w:rFonts w:eastAsia="Times New Roman" w:cs="Times New Roman" w:ascii="Times New Roman" w:hAnsi="Times New Roman"/>
          <w:color w:val="111111"/>
          <w:sz w:val="28"/>
          <w:szCs w:val="28"/>
          <w:lang w:val="en-US"/>
        </w:rPr>
        <w:t>)And finally, the possibility has also been set forth that if the woman has a husband, her claim that the child is hers is not accepted; but if she does not have a husband, her claim is accepted because it is not possible for the child to belong to the woman but not to her husband; in other words, it is not possible for the woman to be the child’s mother but her husband would not.</w:t>
      </w:r>
      <w:r>
        <w:rPr>
          <w:rStyle w:val="FootnoteAnchor"/>
        </w:rPr>
        <w:footnoteReference w:id="355"/>
      </w:r>
      <w:r>
        <w:rPr>
          <w:rFonts w:eastAsia="Times New Roman" w:cs="Times New Roman" w:ascii="Times New Roman" w:hAnsi="Times New Roman"/>
          <w:color w:val="111111"/>
          <w:sz w:val="28"/>
          <w:szCs w:val="28"/>
          <w:lang w:val="en-US"/>
        </w:rPr>
        <w:t>)In any case, if two women claim that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each of them is the abandoned child’s mother, genealogically the child belongs to the woman who can present evidence for her calim, and if both of them have evidence for their claims, then due to contradiction the mother will be determined through casting lots.</w:t>
      </w:r>
      <w:r>
        <w:rPr>
          <w:rStyle w:val="FootnoteAnchor"/>
        </w:rPr>
        <w:footnoteReference w:id="356"/>
      </w:r>
      <w:r>
        <w:rPr>
          <w:rFonts w:eastAsia="Times New Roman" w:cs="Times New Roman" w:ascii="Times New Roman" w:hAnsi="Times New Roman"/>
          <w:color w:val="111111"/>
          <w:sz w:val="28"/>
          <w:szCs w:val="28"/>
          <w:lang w:val="en-US"/>
        </w:rPr>
        <w:t>)##### 3. Claiming parental relationship with the childIf a couple, (a man and a woman claim that the abandoned (unattended) child is theirs; the child genealogically belongs to both of them, since there is no incompatibility between these two claims.</w:t>
      </w:r>
      <w:r>
        <w:rPr>
          <w:rStyle w:val="FootnoteAnchor"/>
        </w:rPr>
        <w:footnoteReference w:id="357"/>
      </w:r>
      <w:r>
        <w:rPr>
          <w:rFonts w:eastAsia="Times New Roman" w:cs="Times New Roman" w:ascii="Times New Roman" w:hAnsi="Times New Roman"/>
          <w:color w:val="111111"/>
          <w:sz w:val="28"/>
          <w:szCs w:val="28"/>
          <w:lang w:val="en-US"/>
        </w:rPr>
        <w:t>)#### Denial of Blood Relation by the ChildAmong the issues set forth about kinship relationship with unattended children is the child’s acceptance or denial of kinship after reaching maturity.The question is raised by the jurists as to what has to be done if after reaching maturity this child denies having any blood relation with the person who has had a parental claim on the child.Some Shiʿi jurists contend that the child’s rejection (denial after reaching maturity has no legal effect, unless he/she can provide some evidence for his/her claim.</w:t>
      </w:r>
      <w:r>
        <w:rPr>
          <w:rStyle w:val="FootnoteAnchor"/>
        </w:rPr>
        <w:footnoteReference w:id="358"/>
      </w:r>
      <w:r>
        <w:rPr>
          <w:rFonts w:eastAsia="Times New Roman" w:cs="Times New Roman" w:ascii="Times New Roman" w:hAnsi="Times New Roman"/>
          <w:color w:val="111111"/>
          <w:sz w:val="28"/>
          <w:szCs w:val="28"/>
          <w:lang w:val="en-US"/>
        </w:rPr>
        <w:t>)So far, we brought up the views of Shiʿi jurists and lawyers concerning the claim to have kinship relation with unattended children based on admitting or rejecting to admit the existence of kinship relation with the child.To our opinion, however, there is no reason for the validity of claiming (admitting about proof of parental relation with the child, whether the claimant is the finder of the child or someone else, just as it makes no difference whether the finder is a man or a woman.)At present, since a physician or a midwife in the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hospital or a health care center carries out any childbirth in a city or village, the identity of the parents would be confirmed by means of the report provided by that center. Besides, in normal conditions, the child’s national identity specifications based on the report presented by the center in which the childbirth is carried out is registered in the parents’ national identity cards; and, in return, the specifications of the child’s parents are registered in a national identity card that is issued for the child, as well.Therefore, if a person – whether a man or a woman has found the child or someone else has – claims that the child is theirs, they have to present the required documents to prove their claim. Moreover, if we suppose that for any reason it is not possible to present such documents, their claim can be verified according to the child’s blood group and that of the claimant, as well as through genetic tests and DNA information.Therefore, if there are more than one person – two men, two women, or a man and a woman – claiming such a relation to the child, the required documents are to be scrutinized as explained above.Conclusion: Proving the paternal or maternal relation to the child is in itself a proof of the maternal or paternal relation to it, too. That is to say, if it is clarified that a man is the child’s father, it can be readily perceived whether his wife is the child’s</w:t>
      </w:r>
    </w:p>
    <w:p>
      <w:pPr>
        <w:pStyle w:val="BookText"/>
        <w:bidi w:val="0"/>
        <w:rPr/>
      </w:pPr>
      <w:r>
        <w:rPr>
          <w:rFonts w:eastAsia="Times New Roman" w:cs="Times New Roman" w:ascii="Times New Roman" w:hAnsi="Times New Roman"/>
          <w:color w:val="111111"/>
          <w:sz w:val="28"/>
          <w:szCs w:val="28"/>
          <w:lang w:val="en-US"/>
        </w:rPr>
        <w:t>mother or not. The child’s claim after reaching maturity to accept or reject the above-mentioned relation is similarly examinable; the claimant’s religion or beliefs do not have any impact on the process of examining his or her relation to the child.### Figurative Kinship with Abandoned ChildrenThere is no doubt that the legal rights resulting from kinship is to be fulfilled only when there is a type of blood relation or a relation by marriage between the individuals, that is why adoption as asserted by the Qur’an lacks any legal impacts –… nor has he made your adopted sons your sons. These are mere utterances of your mouths. But Allah speaks the truth and He guides to the way.</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w:t>
      </w:r>
      <w:r>
        <w:rPr>
          <w:rStyle w:val="FootnoteAnchor"/>
        </w:rPr>
        <w:footnoteReference w:id="359"/>
      </w:r>
      <w:r>
        <w:rPr>
          <w:rFonts w:eastAsia="Times New Roman" w:cs="Times New Roman" w:ascii="Times New Roman" w:hAnsi="Times New Roman"/>
          <w:color w:val="111111"/>
          <w:sz w:val="28"/>
          <w:szCs w:val="28"/>
          <w:lang w:val="en-US"/>
        </w:rPr>
        <w:t xml:space="preserve"> however, according to Islamic jurisprudence in order to enjoy some of the legal rights, a kind of figurative kinship can be established between individuals without any blood relation or a relation by marriage existing between them, known as wila’ (alliance).</w:t>
      </w:r>
    </w:p>
    <w:p>
      <w:pPr>
        <w:pStyle w:val="BookText"/>
        <w:bidi w:val="0"/>
        <w:jc w:val="both"/>
        <w:rPr/>
      </w:pPr>
      <w:r>
        <w:rPr>
          <w:rFonts w:eastAsia="Times New Roman" w:cs="Times New Roman" w:ascii="Times New Roman" w:hAnsi="Times New Roman"/>
          <w:color w:val="111111"/>
          <w:sz w:val="28"/>
          <w:szCs w:val="28"/>
          <w:lang w:val="en-US"/>
        </w:rPr>
        <w:t>The contract of figurative kinship (wila’) has two reciprocal legal impacts: 1. Inheritance, 2. Compensation of inadvertent financial damages. A person who lacks relations would agree that after their death their properties be transferred to another person (inheritance), provided that if in their lifetime they cause damage to others inadvertently, the other party would undertake to pay for it (alliance guarantee of offense - wila’ dhiman jarira).</w:t>
      </w:r>
      <w:r>
        <w:rPr>
          <w:rStyle w:val="FootnoteAnchor"/>
        </w:rPr>
        <w:footnoteReference w:id="36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of wila’ is brought up along with the issues concerning the abandoned (unattended children) in order to determine whether they would involuntarily and in their own rights achieve figurative</w:t>
      </w:r>
    </w:p>
    <w:p>
      <w:pPr>
        <w:pStyle w:val="BookText"/>
        <w:bidi w:val="0"/>
        <w:rPr/>
      </w:pPr>
      <w:r>
        <w:rPr>
          <w:rFonts w:eastAsia="Times New Roman" w:cs="Times New Roman" w:ascii="Times New Roman" w:hAnsi="Times New Roman"/>
          <w:color w:val="111111"/>
          <w:sz w:val="28"/>
          <w:szCs w:val="28"/>
          <w:lang w:val="en-US"/>
        </w:rPr>
        <w:t>kinship when they reach maturity, since they have no identified kinship and have no clear kinship with anyone.</w:t>
      </w:r>
    </w:p>
    <w:p>
      <w:pPr>
        <w:pStyle w:val="BookText"/>
        <w:bidi w:val="0"/>
        <w:jc w:val="both"/>
        <w:rPr/>
      </w:pPr>
      <w:r>
        <w:rPr>
          <w:rFonts w:eastAsia="Times New Roman" w:cs="Times New Roman" w:ascii="Times New Roman" w:hAnsi="Times New Roman"/>
          <w:color w:val="111111"/>
          <w:sz w:val="28"/>
          <w:szCs w:val="28"/>
          <w:lang w:val="en-US"/>
        </w:rPr>
        <w:t>Naturally, this issue is raised in case such a person [the abandoned child] is not voluntarily concluding a contract of figurative kinship (wila’ dhiman jarira) with another person, since, like everybody else, he/she too can conclude such a contract with whomever he/she wishes and impart his/her alliance to that person,</w:t>
      </w:r>
      <w:r>
        <w:rPr>
          <w:rStyle w:val="FootnoteAnchor"/>
        </w:rPr>
        <w:footnoteReference w:id="361"/>
      </w:r>
      <w:r>
        <w:rPr>
          <w:rFonts w:eastAsia="Times New Roman" w:cs="Times New Roman" w:ascii="Times New Roman" w:hAnsi="Times New Roman"/>
          <w:color w:val="111111"/>
          <w:sz w:val="28"/>
          <w:szCs w:val="28"/>
          <w:lang w:val="en-US"/>
        </w:rPr>
        <w:t>even though that person (multaqit) is the one who had found him/her in childhood and had undertaken his/her custody up to the age of maturity.</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The important question, however, is whether the finder of the child and the one who is undertaking the child’s custody is naturally undertaking its guardianship, too.</w:t>
      </w:r>
    </w:p>
    <w:p>
      <w:pPr>
        <w:pStyle w:val="BookText"/>
        <w:bidi w:val="0"/>
        <w:jc w:val="both"/>
        <w:rPr/>
      </w:pPr>
      <w:r>
        <w:rPr>
          <w:rFonts w:eastAsia="Times New Roman" w:cs="Times New Roman" w:ascii="Times New Roman" w:hAnsi="Times New Roman"/>
          <w:color w:val="111111"/>
          <w:sz w:val="28"/>
          <w:szCs w:val="28"/>
          <w:lang w:val="en-US"/>
        </w:rPr>
        <w:t>Referring to the traditions related by ʿAzrami and the prophetic tradition, some jurists contend that the child’s guardianship (wila’) after maturity would be upon its finder, unless they wish to leave their guardianship to another person, in which case they have to pay back all the expenses that the finder had spent for them since finding them up to the time they reached maturity.</w:t>
      </w:r>
      <w:r>
        <w:rPr>
          <w:rStyle w:val="FootnoteAnchor"/>
        </w:rPr>
        <w:footnoteReference w:id="363"/>
      </w:r>
      <w:r>
        <w:rPr>
          <w:rFonts w:eastAsia="Times New Roman" w:cs="Times New Roman" w:ascii="Times New Roman" w:hAnsi="Times New Roman"/>
          <w:color w:val="111111"/>
          <w:sz w:val="28"/>
          <w:szCs w:val="28"/>
          <w:lang w:val="en-US"/>
        </w:rPr>
        <w:t>The result of such an issue, as related by Ibn Junayd, is that if they cannot pay pack the expenses that the finder had paid for them, their guardianship and the inheritance would belong to the person who had found them at childhood and taken care of.</w:t>
      </w:r>
      <w:r>
        <w:rPr>
          <w:rStyle w:val="FootnoteAnchor"/>
        </w:rPr>
        <w:footnoteReference w:id="36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our opinion, the finder of the child does not have any natural guardianship over the child,</w:t>
      </w:r>
      <w:r>
        <w:rPr>
          <w:rStyle w:val="FootnoteAnchor"/>
        </w:rPr>
        <w:footnoteReference w:id="365"/>
      </w:r>
      <w:r>
        <w:rPr>
          <w:rFonts w:eastAsia="Times New Roman" w:cs="Times New Roman" w:ascii="Times New Roman" w:hAnsi="Times New Roman"/>
          <w:color w:val="111111"/>
          <w:sz w:val="28"/>
          <w:szCs w:val="28"/>
          <w:lang w:val="en-US"/>
        </w:rPr>
        <w:t>because we explained before that the custody</w:t>
      </w:r>
      <w:bookmarkStart w:id="93" w:name="pg2430_16724"/>
    </w:p>
    <w:p>
      <w:pPr>
        <w:pStyle w:val="BookText"/>
        <w:bidi w:val="0"/>
        <w:rPr/>
      </w:pPr>
      <w:bookmarkEnd w:id="93"/>
      <w:r>
        <w:rPr>
          <w:rFonts w:eastAsia="Times New Roman" w:cs="Times New Roman" w:ascii="Times New Roman" w:hAnsi="Times New Roman"/>
          <w:color w:val="111111"/>
          <w:sz w:val="28"/>
          <w:szCs w:val="28"/>
          <w:lang w:val="en-US"/>
        </w:rPr>
        <w:t>of an abandoned child with unlimited responsibility would normally require the payment of its living expenses as well. If this acceptance of responsibility is restricted to and contingent on some conditions including the refunding of the expenses spent for the child, it is upon the Islamic government to provide for those expenses; thus, there remains no right for the finder of the child to undertake the found child’s guardianship accordingly.</w:t>
      </w:r>
    </w:p>
    <w:p>
      <w:pPr>
        <w:pStyle w:val="BookText"/>
        <w:bidi w:val="0"/>
        <w:jc w:val="both"/>
        <w:rPr/>
      </w:pPr>
      <w:r>
        <w:rPr>
          <w:rFonts w:eastAsia="Times New Roman" w:cs="Times New Roman" w:ascii="Times New Roman" w:hAnsi="Times New Roman"/>
          <w:color w:val="111111"/>
          <w:sz w:val="28"/>
          <w:szCs w:val="28"/>
          <w:lang w:val="en-US"/>
        </w:rPr>
        <w:t>However, after maturity, the abandoned children (laqit) had better leave their guardianship to the person who had taken care of them for years.</w:t>
      </w:r>
    </w:p>
    <w:p>
      <w:pPr>
        <w:pStyle w:val="Heading2"/>
        <w:numPr>
          <w:ilvl w:val="1"/>
          <w:numId w:val="1"/>
        </w:numPr>
        <w:bidi w:val="0"/>
        <w:jc w:val="left"/>
        <w:rPr/>
      </w:pPr>
      <w:bookmarkStart w:id="94" w:name="__RefHeading___Toc3283447_3804643083"/>
      <w:bookmarkStart w:id="95" w:name="_Toc39"/>
      <w:bookmarkEnd w:id="94"/>
      <w:r>
        <w:rPr/>
        <w:t>Bibliography</w:t>
      </w:r>
      <w:bookmarkEnd w:id="95"/>
    </w:p>
    <w:p>
      <w:pPr>
        <w:pStyle w:val="BookText"/>
        <w:bidi w:val="0"/>
        <w:jc w:val="both"/>
        <w:rPr/>
      </w:pPr>
      <w:r>
        <w:rPr>
          <w:rFonts w:eastAsia="Times New Roman" w:cs="Times New Roman" w:ascii="Times New Roman" w:hAnsi="Times New Roman"/>
          <w:color w:val="111111"/>
          <w:sz w:val="28"/>
          <w:szCs w:val="28"/>
          <w:lang w:val="en-US"/>
        </w:rPr>
        <w:t>The Qur’an, with an English Paraphrase, tr. Sayyid ‘Ali Quli Qara’i, the Center for Translation of the Holy Qur’an, Qum, 2003.</w:t>
      </w:r>
    </w:p>
    <w:p>
      <w:pPr>
        <w:pStyle w:val="BookText"/>
        <w:bidi w:val="0"/>
        <w:jc w:val="both"/>
        <w:rPr/>
      </w:pPr>
      <w:r>
        <w:rPr>
          <w:rFonts w:eastAsia="Times New Roman" w:cs="Times New Roman" w:ascii="Times New Roman" w:hAnsi="Times New Roman"/>
          <w:color w:val="111111"/>
          <w:sz w:val="28"/>
          <w:szCs w:val="28"/>
          <w:lang w:val="en-US"/>
        </w:rPr>
        <w:t>Abi Dawud Sajistani, Sulayman b. Ashʿath, Sunan Abi Dawud, ed. Saʿid Muhammad al-Lahham, 2 vols. 1st edition, Dar al-Fikr, Beirut, 1410/1990.</w:t>
      </w:r>
    </w:p>
    <w:p>
      <w:pPr>
        <w:pStyle w:val="BookText"/>
        <w:bidi w:val="0"/>
        <w:jc w:val="both"/>
        <w:rPr/>
      </w:pPr>
      <w:r>
        <w:rPr>
          <w:rFonts w:eastAsia="Times New Roman" w:cs="Times New Roman" w:ascii="Times New Roman" w:hAnsi="Times New Roman"/>
          <w:color w:val="111111"/>
          <w:sz w:val="28"/>
          <w:szCs w:val="28"/>
          <w:lang w:val="en-US"/>
        </w:rPr>
        <w:t>Abu Jayb Saʿdi, Al-Qamus al-Fiqhi, 2nd edition, Dar al-Fikr, Damascus, 1408/1988.</w:t>
      </w:r>
    </w:p>
    <w:p>
      <w:pPr>
        <w:pStyle w:val="BookText"/>
        <w:bidi w:val="0"/>
        <w:jc w:val="both"/>
        <w:rPr/>
      </w:pPr>
      <w:r>
        <w:rPr>
          <w:rFonts w:eastAsia="Times New Roman" w:cs="Times New Roman" w:ascii="Times New Roman" w:hAnsi="Times New Roman"/>
          <w:color w:val="111111"/>
          <w:sz w:val="28"/>
          <w:szCs w:val="28"/>
          <w:lang w:val="en-US"/>
        </w:rPr>
        <w:t>ʿAlawi Husayni, Muhammad Karim, Kashf al-Haqa’iq ʿan Nukat al-Ayat wa al-Daqa’iq, 3 vols. 3rd edition, Haj ʿAbd al-Majid - Sadiq Nowbari Publication, Tehran, 1396/1976.</w:t>
      </w:r>
    </w:p>
    <w:p>
      <w:pPr>
        <w:pStyle w:val="BookText"/>
        <w:bidi w:val="0"/>
        <w:jc w:val="both"/>
        <w:rPr/>
      </w:pPr>
      <w:r>
        <w:rPr>
          <w:rFonts w:eastAsia="Times New Roman" w:cs="Times New Roman" w:ascii="Times New Roman" w:hAnsi="Times New Roman"/>
          <w:color w:val="111111"/>
          <w:sz w:val="28"/>
          <w:szCs w:val="28"/>
          <w:lang w:val="en-US"/>
        </w:rPr>
        <w:t>Ali Bahr al-ʿUlum, Sayyid Muhammad, Bulghat al-Faqih, 4th edition, Maktabat al-Sadiq, 1403/1984.</w:t>
      </w:r>
    </w:p>
    <w:p>
      <w:pPr>
        <w:pStyle w:val="BookText"/>
        <w:bidi w:val="0"/>
        <w:jc w:val="both"/>
        <w:rPr/>
      </w:pPr>
      <w:r>
        <w:rPr>
          <w:rFonts w:eastAsia="Times New Roman" w:cs="Times New Roman" w:ascii="Times New Roman" w:hAnsi="Times New Roman"/>
          <w:color w:val="111111"/>
          <w:sz w:val="28"/>
          <w:szCs w:val="28"/>
          <w:lang w:val="en-US"/>
        </w:rPr>
        <w:t>ʿAllama Hilli, Mukhtalaf al-Shiʿa, 9 vols. 1st edition, Muʿassisa-yi Nashr-i Islami, Qum, 1412/1992.</w:t>
      </w:r>
    </w:p>
    <w:p>
      <w:pPr>
        <w:pStyle w:val="BookText"/>
        <w:bidi w:val="0"/>
        <w:jc w:val="both"/>
        <w:rPr/>
      </w:pPr>
      <w:r>
        <w:rPr>
          <w:rFonts w:eastAsia="Times New Roman" w:cs="Times New Roman" w:ascii="Times New Roman" w:hAnsi="Times New Roman"/>
          <w:color w:val="111111"/>
          <w:sz w:val="28"/>
          <w:szCs w:val="28"/>
          <w:lang w:val="en-US"/>
        </w:rPr>
        <w:t>ʿAllama Hilli, Irshad al-Adhhan ila Ahkam al-Iman, ed. Shaykh Faris al-Hassun, Nashr Islami Publication.</w:t>
      </w:r>
    </w:p>
    <w:p>
      <w:pPr>
        <w:pStyle w:val="BookText"/>
        <w:bidi w:val="0"/>
        <w:jc w:val="both"/>
        <w:rPr/>
      </w:pPr>
      <w:r>
        <w:rPr>
          <w:rFonts w:eastAsia="Times New Roman" w:cs="Times New Roman" w:ascii="Times New Roman" w:hAnsi="Times New Roman"/>
          <w:color w:val="111111"/>
          <w:sz w:val="28"/>
          <w:szCs w:val="28"/>
          <w:lang w:val="en-US"/>
        </w:rPr>
        <w:t>ʿAllama Hilli, Qawaʿid al-Ahkam fi Maʿrifat al-Halal wa al-Haram, 3 vols. 1st edition, Nashr-i Islami Publicatrion, Qum, 1413/1992.</w:t>
      </w:r>
    </w:p>
    <w:p>
      <w:pPr>
        <w:pStyle w:val="BookText"/>
        <w:bidi w:val="0"/>
        <w:jc w:val="both"/>
        <w:rPr/>
      </w:pPr>
      <w:r>
        <w:rPr>
          <w:rFonts w:eastAsia="Times New Roman" w:cs="Times New Roman" w:ascii="Times New Roman" w:hAnsi="Times New Roman"/>
          <w:color w:val="111111"/>
          <w:sz w:val="28"/>
          <w:szCs w:val="28"/>
          <w:lang w:val="en-US"/>
        </w:rPr>
        <w:t>ʿAllama Hilli, Tabsirat al-Mutiʿallimin fi Ahkam al-Din, ed. Sayyid Ahmad Husayni, 1st edition, Faqih Publication, Tehran, 1410/1989.</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ʿAllama Hilli, Tadhkirat al-Fuqaha, 2 vols. Makyabat al-Radhawiyya li Ihya’ al-Athar al-Jaʿfariyya,</w:t>
      </w:r>
    </w:p>
    <w:p>
      <w:pPr>
        <w:pStyle w:val="BookText"/>
        <w:bidi w:val="0"/>
        <w:rPr/>
      </w:pPr>
      <w:r>
        <w:rPr>
          <w:rFonts w:eastAsia="Times New Roman" w:cs="Times New Roman" w:ascii="Times New Roman" w:hAnsi="Times New Roman"/>
          <w:color w:val="111111"/>
          <w:sz w:val="28"/>
          <w:szCs w:val="28"/>
          <w:lang w:val="en-US"/>
        </w:rPr>
        <w:t>n.d.</w:t>
      </w:r>
    </w:p>
    <w:p>
      <w:pPr>
        <w:pStyle w:val="BookText"/>
        <w:bidi w:val="0"/>
        <w:jc w:val="both"/>
        <w:rPr/>
      </w:pPr>
      <w:r>
        <w:rPr>
          <w:rFonts w:eastAsia="Times New Roman" w:cs="Times New Roman" w:ascii="Times New Roman" w:hAnsi="Times New Roman"/>
          <w:color w:val="111111"/>
          <w:sz w:val="28"/>
          <w:szCs w:val="28"/>
          <w:lang w:val="en-US"/>
        </w:rPr>
        <w:t>ʿAllama Hilli, Tahrir al-Ahkam, 2 vols. Al al-Bayt Institute, Mashhad lithography, n.d.</w:t>
      </w:r>
    </w:p>
    <w:p>
      <w:pPr>
        <w:pStyle w:val="BookText"/>
        <w:bidi w:val="0"/>
        <w:jc w:val="both"/>
        <w:rPr/>
      </w:pPr>
      <w:r>
        <w:rPr>
          <w:rFonts w:eastAsia="Times New Roman" w:cs="Times New Roman" w:ascii="Times New Roman" w:hAnsi="Times New Roman"/>
          <w:color w:val="111111"/>
          <w:sz w:val="28"/>
          <w:szCs w:val="28"/>
          <w:lang w:val="en-US"/>
        </w:rPr>
        <w:t>ʿAmili al-Faqʿani, Zayn al-Din Abu al-Qasim, Al-Durr al-Mandhud fi Maʿrifat Siyagh al-Niyyat wa al-Iqaʿat wa al-ʿUqud, ed. Muhammad Barakat, Maktibat al-Imam al-ʿAsr, Shiraz, 1st edition, 1418/1997.</w:t>
      </w:r>
    </w:p>
    <w:p>
      <w:pPr>
        <w:pStyle w:val="BookText"/>
        <w:bidi w:val="0"/>
        <w:jc w:val="both"/>
        <w:rPr/>
      </w:pPr>
      <w:r>
        <w:rPr>
          <w:rFonts w:eastAsia="Times New Roman" w:cs="Times New Roman" w:ascii="Times New Roman" w:hAnsi="Times New Roman"/>
          <w:color w:val="111111"/>
          <w:sz w:val="28"/>
          <w:szCs w:val="28"/>
          <w:lang w:val="en-US"/>
        </w:rPr>
        <w:t>ʿAmili, ʿAli b, Husayn (b. Muhyi al-Din Abi al-Jamiʿ), Al-Wajiz fi Tafsir al-Qur'an al-ʿAziz, 1st edition, Dar al-Qur’an al-Karim, Qum, 1413/1993.</w:t>
      </w:r>
    </w:p>
    <w:p>
      <w:pPr>
        <w:pStyle w:val="BookText"/>
        <w:bidi w:val="0"/>
        <w:jc w:val="both"/>
        <w:rPr/>
      </w:pPr>
      <w:r>
        <w:rPr>
          <w:rFonts w:eastAsia="Times New Roman" w:cs="Times New Roman" w:ascii="Times New Roman" w:hAnsi="Times New Roman"/>
          <w:color w:val="111111"/>
          <w:sz w:val="28"/>
          <w:szCs w:val="28"/>
          <w:lang w:val="en-US"/>
        </w:rPr>
        <w:t>ʿAmili, Muhammad, Nihayat al-Maram fi Sharh-i Mukhtasar Shara’iʿ al-Islam, ed. Mujtaba ʿIraqi, 2 vols. 1st edition, Nashr-i Islami Publication, Qum, 1413/1993.</w:t>
      </w:r>
    </w:p>
    <w:p>
      <w:pPr>
        <w:pStyle w:val="BookText"/>
        <w:bidi w:val="0"/>
        <w:jc w:val="both"/>
        <w:rPr/>
      </w:pPr>
      <w:r>
        <w:rPr>
          <w:rFonts w:eastAsia="Times New Roman" w:cs="Times New Roman" w:ascii="Times New Roman" w:hAnsi="Times New Roman"/>
          <w:color w:val="111111"/>
          <w:sz w:val="28"/>
          <w:szCs w:val="28"/>
          <w:lang w:val="en-US"/>
        </w:rPr>
        <w:t>ʿAmili, Shaykh Baha al-Din, Al-Jamiʿ al-ʿAbbasi, Farahani Publication, Tehran, n.d.</w:t>
      </w:r>
    </w:p>
    <w:p>
      <w:pPr>
        <w:pStyle w:val="BookText"/>
        <w:bidi w:val="0"/>
        <w:jc w:val="both"/>
        <w:rPr/>
      </w:pPr>
      <w:r>
        <w:rPr>
          <w:rFonts w:eastAsia="Times New Roman" w:cs="Times New Roman" w:ascii="Times New Roman" w:hAnsi="Times New Roman"/>
          <w:color w:val="111111"/>
          <w:sz w:val="28"/>
          <w:szCs w:val="28"/>
          <w:lang w:val="en-US"/>
        </w:rPr>
        <w:t>Ansari, Kitab al-Tahara, 2 vols. 1st edition, Mu’assisa-yi Al-Hadi, Qum, 1415/1994.</w:t>
      </w:r>
    </w:p>
    <w:p>
      <w:pPr>
        <w:pStyle w:val="BookText"/>
        <w:bidi w:val="0"/>
        <w:jc w:val="both"/>
        <w:rPr/>
      </w:pPr>
      <w:r>
        <w:rPr>
          <w:rFonts w:eastAsia="Times New Roman" w:cs="Times New Roman" w:ascii="Times New Roman" w:hAnsi="Times New Roman"/>
          <w:color w:val="111111"/>
          <w:sz w:val="28"/>
          <w:szCs w:val="28"/>
          <w:lang w:val="en-US"/>
        </w:rPr>
        <w:t>Ansari, Muhammad ʿAli, Al-Mawsuʿat al-Fiqhiyyat al Maysara, 3 vols. 1st edition, Islamic Thought</w:t>
      </w:r>
    </w:p>
    <w:p>
      <w:pPr>
        <w:pStyle w:val="BookText"/>
        <w:bidi w:val="0"/>
        <w:jc w:val="both"/>
        <w:rPr/>
      </w:pPr>
      <w:r>
        <w:rPr>
          <w:rFonts w:eastAsia="Times New Roman" w:cs="Times New Roman" w:ascii="Times New Roman" w:hAnsi="Times New Roman"/>
          <w:color w:val="111111"/>
          <w:sz w:val="28"/>
          <w:szCs w:val="28"/>
          <w:lang w:val="en-US"/>
        </w:rPr>
        <w:t>Ansari, Shaykh Murtadha, Kitab al-Makasib, 6 vols. 3rd edition, Majmaʿ al-Fikr al-Islami, Qum, 1420/2000.</w:t>
      </w:r>
    </w:p>
    <w:p>
      <w:pPr>
        <w:pStyle w:val="BookText"/>
        <w:bidi w:val="0"/>
        <w:jc w:val="both"/>
        <w:rPr/>
      </w:pPr>
      <w:r>
        <w:rPr>
          <w:rFonts w:eastAsia="Times New Roman" w:cs="Times New Roman" w:ascii="Times New Roman" w:hAnsi="Times New Roman"/>
          <w:color w:val="111111"/>
          <w:sz w:val="28"/>
          <w:szCs w:val="28"/>
          <w:lang w:val="en-US"/>
        </w:rPr>
        <w:t>Ansari, Shaykh Murtadha, Al-Wasaya wa al-Mawarith, 1st edition, Baqiri Publication, Qum, 1415/1995.</w:t>
      </w:r>
    </w:p>
    <w:p>
      <w:pPr>
        <w:pStyle w:val="BookText"/>
        <w:bidi w:val="0"/>
        <w:jc w:val="both"/>
        <w:rPr/>
      </w:pPr>
      <w:r>
        <w:rPr>
          <w:rFonts w:eastAsia="Times New Roman" w:cs="Times New Roman" w:ascii="Times New Roman" w:hAnsi="Times New Roman"/>
          <w:color w:val="111111"/>
          <w:sz w:val="28"/>
          <w:szCs w:val="28"/>
          <w:lang w:val="en-US"/>
        </w:rPr>
        <w:t>Ansari, Shaykh Murtadha, Kitab al-Nikah, Baqiri Publication, Qum, 1415/1995.</w:t>
      </w:r>
    </w:p>
    <w:p>
      <w:pPr>
        <w:pStyle w:val="BookText"/>
        <w:bidi w:val="0"/>
        <w:jc w:val="both"/>
        <w:rPr/>
      </w:pPr>
      <w:r>
        <w:rPr>
          <w:rFonts w:eastAsia="Times New Roman" w:cs="Times New Roman" w:ascii="Times New Roman" w:hAnsi="Times New Roman"/>
          <w:color w:val="111111"/>
          <w:sz w:val="28"/>
          <w:szCs w:val="28"/>
          <w:lang w:val="en-US"/>
        </w:rPr>
        <w:t>Ardabili, Mulla Ahmad, Majmaʿ al-Fa’ida wa al-Burhan fi Sharh-i Irshad al-Adhhan, ed. Ishtahardi, 14 vols. Jamiʿa-yi Mudarrisin, Qum, 1403/1983.</w:t>
      </w:r>
    </w:p>
    <w:p>
      <w:pPr>
        <w:pStyle w:val="BookText"/>
        <w:bidi w:val="0"/>
        <w:jc w:val="both"/>
        <w:rPr/>
      </w:pPr>
      <w:r>
        <w:rPr>
          <w:rFonts w:eastAsia="Times New Roman" w:cs="Times New Roman" w:ascii="Times New Roman" w:hAnsi="Times New Roman"/>
          <w:color w:val="111111"/>
          <w:sz w:val="28"/>
          <w:szCs w:val="28"/>
          <w:lang w:val="en-US"/>
        </w:rPr>
        <w:t>ʿAskari, Abu al-Hilal, et al, Muʿjam al-Furuq al-Lughawiyya, ed. Al-Shaykh Baytullah Bayat, 1st edition, Mu’assisat al-Nashr al-Islamiyya, Qum, 1412/1991.</w:t>
      </w:r>
    </w:p>
    <w:p>
      <w:pPr>
        <w:pStyle w:val="BookText"/>
        <w:bidi w:val="0"/>
        <w:jc w:val="both"/>
        <w:rPr/>
      </w:pPr>
      <w:r>
        <w:rPr>
          <w:rFonts w:eastAsia="Times New Roman" w:cs="Times New Roman" w:ascii="Times New Roman" w:hAnsi="Times New Roman"/>
          <w:color w:val="111111"/>
          <w:sz w:val="28"/>
          <w:szCs w:val="28"/>
          <w:lang w:val="en-US"/>
        </w:rPr>
        <w:t>ʿAyyashi, Muhammad b. Masʿud, Tafsir al-ʿAyyashi, ed. Hashim Rasuli Mahallati, 2 vols. ʿIlmiyya Islamiyya Publication, Tehran, nd.</w:t>
      </w:r>
    </w:p>
    <w:p>
      <w:pPr>
        <w:pStyle w:val="BookText"/>
        <w:bidi w:val="0"/>
        <w:jc w:val="both"/>
        <w:rPr/>
      </w:pPr>
      <w:r>
        <w:rPr>
          <w:rFonts w:eastAsia="Times New Roman" w:cs="Times New Roman" w:ascii="Times New Roman" w:hAnsi="Times New Roman"/>
          <w:color w:val="111111"/>
          <w:sz w:val="28"/>
          <w:szCs w:val="28"/>
          <w:lang w:val="en-US"/>
        </w:rPr>
        <w:t>Bahrani, Yusuf, Al-Hada’iq al-Nadhira fi Ahkam al-ʿItrat al-Tahira, ed. Muhammad Taqi Iravani, 20 vols. Nanshr-i Islami Publication, Qum, 14014/1984.</w:t>
      </w:r>
    </w:p>
    <w:p>
      <w:pPr>
        <w:pStyle w:val="BookText"/>
        <w:bidi w:val="0"/>
        <w:jc w:val="both"/>
        <w:rPr/>
      </w:pPr>
      <w:r>
        <w:rPr>
          <w:rFonts w:eastAsia="Times New Roman" w:cs="Times New Roman" w:ascii="Times New Roman" w:hAnsi="Times New Roman"/>
          <w:color w:val="111111"/>
          <w:sz w:val="28"/>
          <w:szCs w:val="28"/>
          <w:lang w:val="en-US"/>
        </w:rPr>
        <w:t>Balaghi, Sayyid ʿAbd al-Hamid, Hujjat al-Tafasir wa Balagh al-Iksir, 10 vols. 1st edition, Hikmat, Qum, 1386/1966.</w:t>
      </w:r>
    </w:p>
    <w:p>
      <w:pPr>
        <w:pStyle w:val="BookText"/>
        <w:bidi w:val="0"/>
        <w:jc w:val="both"/>
        <w:rPr/>
      </w:pPr>
      <w:r>
        <w:rPr>
          <w:rFonts w:eastAsia="Times New Roman" w:cs="Times New Roman" w:ascii="Times New Roman" w:hAnsi="Times New Roman"/>
          <w:color w:val="111111"/>
          <w:sz w:val="28"/>
          <w:szCs w:val="28"/>
          <w:lang w:val="en-US"/>
        </w:rPr>
        <w:t>Albani, Muhammad Nasir al-Din, Irwa’ al-Ghalil fi Takhrij Ahadith Minar al-Sabil, 8 vol., Al-Maktab al-Islami,</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Bayhaqi, Ahmad b. Husayn, Al-Sunan al-Kubra, 10 vols. Dar al-Fikr,</w:t>
      </w:r>
    </w:p>
    <w:p>
      <w:pPr>
        <w:pStyle w:val="BookText"/>
        <w:bidi w:val="0"/>
        <w:rPr/>
      </w:pPr>
      <w:r>
        <w:rPr>
          <w:rFonts w:eastAsia="Times New Roman" w:cs="Times New Roman" w:ascii="Times New Roman" w:hAnsi="Times New Roman"/>
          <w:color w:val="111111"/>
          <w:sz w:val="28"/>
          <w:szCs w:val="28"/>
          <w:lang w:val="en-US"/>
        </w:rPr>
        <w:t>Beirut, n.d.</w:t>
      </w:r>
    </w:p>
    <w:p>
      <w:pPr>
        <w:pStyle w:val="BookText"/>
        <w:bidi w:val="0"/>
        <w:jc w:val="both"/>
        <w:rPr/>
      </w:pPr>
      <w:r>
        <w:rPr>
          <w:rFonts w:eastAsia="Times New Roman" w:cs="Times New Roman" w:ascii="Times New Roman" w:hAnsi="Times New Roman"/>
          <w:color w:val="111111"/>
          <w:sz w:val="28"/>
          <w:szCs w:val="28"/>
          <w:lang w:val="en-US"/>
        </w:rPr>
        <w:t>Bukhari, Abu ʿAbdullah Muhammad b. Ismaʿil, Sahih al-Bukhari, 8 vol. Dar al-Fikr li al-Tibaʿat wa al-Nashr wa al-Towziʿ, 1401/1981.</w:t>
      </w:r>
    </w:p>
    <w:p>
      <w:pPr>
        <w:pStyle w:val="BookText"/>
        <w:bidi w:val="0"/>
        <w:jc w:val="both"/>
        <w:rPr/>
      </w:pPr>
      <w:r>
        <w:rPr>
          <w:rFonts w:eastAsia="Times New Roman" w:cs="Times New Roman" w:ascii="Times New Roman" w:hAnsi="Times New Roman"/>
          <w:color w:val="111111"/>
          <w:sz w:val="28"/>
          <w:szCs w:val="28"/>
          <w:lang w:val="en-US"/>
        </w:rPr>
        <w:t>Damad, Muhammad Baqir, Al-Rawashih al-Samawiyya, Ayatollah Marʿshi Library, Qum, 1405/1985.</w:t>
      </w:r>
    </w:p>
    <w:p>
      <w:pPr>
        <w:pStyle w:val="BookText"/>
        <w:bidi w:val="0"/>
        <w:jc w:val="both"/>
        <w:rPr/>
      </w:pPr>
      <w:r>
        <w:rPr>
          <w:rFonts w:eastAsia="Times New Roman" w:cs="Times New Roman" w:ascii="Times New Roman" w:hAnsi="Times New Roman"/>
          <w:color w:val="111111"/>
          <w:sz w:val="28"/>
          <w:szCs w:val="28"/>
          <w:lang w:val="en-US"/>
        </w:rPr>
        <w:t>Dar Qutni, ʿAli b. ʿUmar, Sunan Dar Qutni, 4 vols. 1st edition, Dar al-Kutub al-ʿIlmiyya, Beirut, 1417/1996.</w:t>
      </w:r>
    </w:p>
    <w:p>
      <w:pPr>
        <w:pStyle w:val="BookText"/>
        <w:bidi w:val="0"/>
        <w:jc w:val="both"/>
        <w:rPr/>
      </w:pPr>
      <w:r>
        <w:rPr>
          <w:rFonts w:eastAsia="Times New Roman" w:cs="Times New Roman" w:ascii="Times New Roman" w:hAnsi="Times New Roman"/>
          <w:color w:val="111111"/>
          <w:sz w:val="28"/>
          <w:szCs w:val="28"/>
          <w:lang w:val="en-US"/>
        </w:rPr>
        <w:t>Darimi, ʿAbd Allah b. Bahram, Sunan al-Darimi, 2 vols. Matbaʿt al-Iʿtidal, Damascus, n.d.</w:t>
      </w:r>
    </w:p>
    <w:p>
      <w:pPr>
        <w:pStyle w:val="BookText"/>
        <w:bidi w:val="0"/>
        <w:jc w:val="both"/>
        <w:rPr/>
      </w:pPr>
      <w:r>
        <w:rPr>
          <w:rFonts w:eastAsia="Times New Roman" w:cs="Times New Roman" w:ascii="Times New Roman" w:hAnsi="Times New Roman"/>
          <w:color w:val="111111"/>
          <w:sz w:val="28"/>
          <w:szCs w:val="28"/>
          <w:lang w:val="en-US"/>
        </w:rPr>
        <w:t>Daylami, Hamzat b. ʿAbd al-ʿAziz, Al-Marasim al-ʿAlawiyya fi Ahkam al-Nabuwwiyya, ed. Muhsin Husayni Amini, Ahl al-Bayt World Association, Qum, 1414/1993.</w:t>
      </w:r>
    </w:p>
    <w:p>
      <w:pPr>
        <w:pStyle w:val="BookText"/>
        <w:bidi w:val="0"/>
        <w:jc w:val="both"/>
        <w:rPr/>
      </w:pPr>
      <w:r>
        <w:rPr>
          <w:rFonts w:eastAsia="Times New Roman" w:cs="Times New Roman" w:ascii="Times New Roman" w:hAnsi="Times New Roman"/>
          <w:color w:val="111111"/>
          <w:sz w:val="28"/>
          <w:szCs w:val="28"/>
          <w:lang w:val="en-US"/>
        </w:rPr>
        <w:t>Fadhil Hindi, Muhammad b. Husayn, Kashf al-Litham, 2 vols. Ayatollah Marʿashi Library, Qum, 1405/1984.</w:t>
      </w:r>
    </w:p>
    <w:p>
      <w:pPr>
        <w:pStyle w:val="BookText"/>
        <w:bidi w:val="0"/>
        <w:jc w:val="both"/>
        <w:rPr/>
      </w:pPr>
      <w:r>
        <w:rPr>
          <w:rFonts w:eastAsia="Times New Roman" w:cs="Times New Roman" w:ascii="Times New Roman" w:hAnsi="Times New Roman"/>
          <w:color w:val="111111"/>
          <w:sz w:val="28"/>
          <w:szCs w:val="28"/>
          <w:lang w:val="en-US"/>
        </w:rPr>
        <w:t>Fadhlullah, Muhammad Husayn, Min Wahy al-Qur'an, 25 vols. 3rd edition, Dar al-Zahra, 1405/1985.</w:t>
      </w:r>
    </w:p>
    <w:p>
      <w:pPr>
        <w:pStyle w:val="BookText"/>
        <w:bidi w:val="0"/>
        <w:jc w:val="both"/>
        <w:rPr/>
      </w:pPr>
      <w:r>
        <w:rPr>
          <w:rFonts w:eastAsia="Times New Roman" w:cs="Times New Roman" w:ascii="Times New Roman" w:hAnsi="Times New Roman"/>
          <w:color w:val="111111"/>
          <w:sz w:val="28"/>
          <w:szCs w:val="28"/>
          <w:lang w:val="en-US"/>
        </w:rPr>
        <w:t>Fathullah, Dr. Ahmad, Muʿjam-i Alfadh al-Fiqh al-Jaʿfari, 1st edition, Mtabiʿ al-Madukhal, 1415/1995.</w:t>
      </w:r>
    </w:p>
    <w:p>
      <w:pPr>
        <w:pStyle w:val="BookText"/>
        <w:bidi w:val="0"/>
        <w:jc w:val="both"/>
        <w:rPr/>
      </w:pPr>
      <w:r>
        <w:rPr>
          <w:rFonts w:eastAsia="Times New Roman" w:cs="Times New Roman" w:ascii="Times New Roman" w:hAnsi="Times New Roman"/>
          <w:color w:val="111111"/>
          <w:sz w:val="28"/>
          <w:szCs w:val="28"/>
          <w:lang w:val="en-US"/>
        </w:rPr>
        <w:t>Faydh Kashani, Mulla (Mawla) Muhsin, Al-Safi fi Tafsir Kalam Allah, Dar al-Murtadha li al-Nashr, n. d.</w:t>
      </w:r>
    </w:p>
    <w:p>
      <w:pPr>
        <w:pStyle w:val="BookText"/>
        <w:bidi w:val="0"/>
        <w:jc w:val="both"/>
        <w:rPr/>
      </w:pPr>
      <w:r>
        <w:rPr>
          <w:rFonts w:eastAsia="Times New Roman" w:cs="Times New Roman" w:ascii="Times New Roman" w:hAnsi="Times New Roman"/>
          <w:color w:val="111111"/>
          <w:sz w:val="28"/>
          <w:szCs w:val="28"/>
          <w:lang w:val="en-US"/>
        </w:rPr>
        <w:t>Faydh, ʿAli Ridha, Mabadi-yi Fiqh wa Usul, 4th edition, Tehran University Publication, 1410/1990.</w:t>
      </w:r>
    </w:p>
    <w:p>
      <w:pPr>
        <w:pStyle w:val="BookText"/>
        <w:bidi w:val="0"/>
        <w:jc w:val="both"/>
        <w:rPr/>
      </w:pPr>
      <w:r>
        <w:rPr>
          <w:rFonts w:eastAsia="Times New Roman" w:cs="Times New Roman" w:ascii="Times New Roman" w:hAnsi="Times New Roman"/>
          <w:color w:val="111111"/>
          <w:sz w:val="28"/>
          <w:szCs w:val="28"/>
          <w:lang w:val="en-US"/>
        </w:rPr>
        <w:t>Fayyumi, Ahmad b. Muhammad, Al-Misbah al-Munir, ed. Muhammad Muhi al-Din ʿAbd al-Hamid, 1347/1927.</w:t>
      </w:r>
    </w:p>
    <w:p>
      <w:pPr>
        <w:pStyle w:val="BookText"/>
        <w:bidi w:val="0"/>
        <w:jc w:val="both"/>
        <w:rPr/>
      </w:pPr>
      <w:r>
        <w:rPr>
          <w:rFonts w:eastAsia="Times New Roman" w:cs="Times New Roman" w:ascii="Times New Roman" w:hAnsi="Times New Roman"/>
          <w:color w:val="111111"/>
          <w:sz w:val="28"/>
          <w:szCs w:val="28"/>
          <w:lang w:val="en-US"/>
        </w:rPr>
        <w:t>Ghaffari, ʿAli Akbar, Dirasat fi ʿIlm al-Diraya (Summary of Miqbas al-Hidaya), 1st edition, Imam Sadiq (A.S.) University, Tehran, 1369 sh./1990.</w:t>
      </w:r>
    </w:p>
    <w:p>
      <w:pPr>
        <w:pStyle w:val="BookText"/>
        <w:bidi w:val="0"/>
        <w:jc w:val="both"/>
        <w:rPr/>
      </w:pPr>
      <w:r>
        <w:rPr>
          <w:rFonts w:eastAsia="Times New Roman" w:cs="Times New Roman" w:ascii="Times New Roman" w:hAnsi="Times New Roman"/>
          <w:color w:val="111111"/>
          <w:sz w:val="28"/>
          <w:szCs w:val="28"/>
          <w:lang w:val="en-US"/>
        </w:rPr>
        <w:t>Gharawi Tabrizi, al-Mirza ʿAli, Al-Tanqih fi Sharh al-ʿUrwat al-Wuthqa (Kitab al-Tahara), 10 vols. Dar al-Hadi li al-Matbuʿat, Qum, 1410/1989.</w:t>
      </w:r>
    </w:p>
    <w:p>
      <w:pPr>
        <w:pStyle w:val="BookText"/>
        <w:bidi w:val="0"/>
        <w:jc w:val="both"/>
        <w:rPr/>
      </w:pPr>
      <w:r>
        <w:rPr>
          <w:rFonts w:eastAsia="Times New Roman" w:cs="Times New Roman" w:ascii="Times New Roman" w:hAnsi="Times New Roman"/>
          <w:color w:val="111111"/>
          <w:sz w:val="28"/>
          <w:szCs w:val="28"/>
          <w:lang w:val="en-US"/>
        </w:rPr>
        <w:t>Ha’iri Tehrani, Mir Sayyid ʿAli, Muqtaniyat al-Durar wa Multaqatat al-Thamar, 12 vols. Dar al-Kutub al-Islamiyya, Tehran, 1378/1959.</w:t>
      </w:r>
    </w:p>
    <w:p>
      <w:pPr>
        <w:pStyle w:val="BookText"/>
        <w:bidi w:val="0"/>
        <w:jc w:val="both"/>
        <w:rPr/>
      </w:pPr>
      <w:r>
        <w:rPr>
          <w:rFonts w:eastAsia="Times New Roman" w:cs="Times New Roman" w:ascii="Times New Roman" w:hAnsi="Times New Roman"/>
          <w:color w:val="111111"/>
          <w:sz w:val="28"/>
          <w:szCs w:val="28"/>
          <w:lang w:val="en-US"/>
        </w:rPr>
        <w:t>Hakim, Sayyid Muhsin, Mustamsik al-ʿUrwat al-Wuthqa, 14 vols. 4th edition, Dar Ihya’ al-Turath al-ʿArabi, Beirut, 1391/1971.</w:t>
      </w:r>
    </w:p>
    <w:p>
      <w:pPr>
        <w:pStyle w:val="BookText"/>
        <w:bidi w:val="0"/>
        <w:jc w:val="both"/>
        <w:rPr/>
      </w:pPr>
      <w:r>
        <w:rPr>
          <w:rFonts w:eastAsia="Times New Roman" w:cs="Times New Roman" w:ascii="Times New Roman" w:hAnsi="Times New Roman"/>
          <w:color w:val="111111"/>
          <w:sz w:val="28"/>
          <w:szCs w:val="28"/>
          <w:lang w:val="en-US"/>
        </w:rPr>
        <w:t>Halabi, Abu al-Salah, Al-Kafi fi al-Fiqh, ed. Ridha Ustadi, Maktaba Amir al-Mu’minin, Isfahan, 1403/1983.</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Hilli, Jaʿfar b. Hasan, Al-Mukhtasar al-Nafiʿ fi Fiqh al-Imamiyya, ed. ʿAli Akbar Ghaffari, 7 vols, 2nd edition,</w:t>
      </w:r>
    </w:p>
    <w:p>
      <w:pPr>
        <w:pStyle w:val="BookText"/>
        <w:bidi w:val="0"/>
        <w:rPr/>
      </w:pPr>
      <w:r>
        <w:rPr>
          <w:rFonts w:eastAsia="Times New Roman" w:cs="Times New Roman" w:ascii="Times New Roman" w:hAnsi="Times New Roman"/>
          <w:color w:val="111111"/>
          <w:sz w:val="28"/>
          <w:szCs w:val="28"/>
          <w:lang w:val="en-US"/>
        </w:rPr>
        <w:t>Tehran, Saduq Publication, 1397/1977.</w:t>
      </w:r>
    </w:p>
    <w:p>
      <w:pPr>
        <w:pStyle w:val="BookText"/>
        <w:bidi w:val="0"/>
        <w:jc w:val="both"/>
        <w:rPr/>
      </w:pPr>
      <w:r>
        <w:rPr>
          <w:rFonts w:eastAsia="Times New Roman" w:cs="Times New Roman" w:ascii="Times New Roman" w:hAnsi="Times New Roman"/>
          <w:color w:val="111111"/>
          <w:sz w:val="28"/>
          <w:szCs w:val="28"/>
          <w:lang w:val="en-US"/>
        </w:rPr>
        <w:t>Hilli, Muhammad b. Hasan, Idhah al-Fawa’id fi Sharh Ishkalat al-Qawaʿid, 4 vols. 1st edition, ʿIlmiyya Publications, Qum, 1387/1967.</w:t>
      </w:r>
    </w:p>
    <w:p>
      <w:pPr>
        <w:pStyle w:val="BookText"/>
        <w:bidi w:val="0"/>
        <w:jc w:val="both"/>
        <w:rPr/>
      </w:pPr>
      <w:r>
        <w:rPr>
          <w:rFonts w:eastAsia="Times New Roman" w:cs="Times New Roman" w:ascii="Times New Roman" w:hAnsi="Times New Roman"/>
          <w:color w:val="111111"/>
          <w:sz w:val="28"/>
          <w:szCs w:val="28"/>
          <w:lang w:val="en-US"/>
        </w:rPr>
        <w:t>Hilli, Yahya b. Saʿid, Al-Jamiʿ li al-Shara’iʿ, Sayyid al-Shuhada Publication, Qum. 1405/1985.</w:t>
      </w:r>
    </w:p>
    <w:p>
      <w:pPr>
        <w:pStyle w:val="BookText"/>
        <w:bidi w:val="0"/>
        <w:jc w:val="both"/>
        <w:rPr/>
      </w:pPr>
      <w:r>
        <w:rPr>
          <w:rFonts w:eastAsia="Times New Roman" w:cs="Times New Roman" w:ascii="Times New Roman" w:hAnsi="Times New Roman"/>
          <w:color w:val="111111"/>
          <w:sz w:val="28"/>
          <w:szCs w:val="28"/>
          <w:lang w:val="en-US"/>
        </w:rPr>
        <w:t>Himyari, ʿAbd Alla b. Jaʿfar, Qurb al-Isnad, 1st edition, Al al-Bayt Institute, Qum, 1413/199.</w:t>
      </w:r>
    </w:p>
    <w:p>
      <w:pPr>
        <w:pStyle w:val="BookText"/>
        <w:bidi w:val="0"/>
        <w:jc w:val="both"/>
        <w:rPr/>
      </w:pPr>
      <w:r>
        <w:rPr>
          <w:rFonts w:eastAsia="Times New Roman" w:cs="Times New Roman" w:ascii="Times New Roman" w:hAnsi="Times New Roman"/>
          <w:color w:val="111111"/>
          <w:sz w:val="28"/>
          <w:szCs w:val="28"/>
          <w:lang w:val="en-US"/>
        </w:rPr>
        <w:t>Hurr ʿAmili. Muhammad Hasan, Wasa’il al-Shiʿa ila Tahsil Masa’il al-Shariʿa, ed. Rabbani, 20 vols. Dar Ihya’ al-Turath al-ʿArabi, Beirut, n.d.</w:t>
      </w:r>
    </w:p>
    <w:p>
      <w:pPr>
        <w:pStyle w:val="BookText"/>
        <w:bidi w:val="0"/>
        <w:jc w:val="both"/>
        <w:rPr/>
      </w:pPr>
      <w:r>
        <w:rPr>
          <w:rFonts w:eastAsia="Times New Roman" w:cs="Times New Roman" w:ascii="Times New Roman" w:hAnsi="Times New Roman"/>
          <w:color w:val="111111"/>
          <w:sz w:val="28"/>
          <w:szCs w:val="28"/>
          <w:lang w:val="en-US"/>
        </w:rPr>
        <w:t>Ibn Abi Jumhur Ahsa’i, Muhammad b. ʿAli, ʿAwali al-Li’ali, ed. Mujtaba ʿIraqi, 4 vols. 1st edition, Sayyid al-Shuhada Publication, 1403/1983.</w:t>
      </w:r>
    </w:p>
    <w:p>
      <w:pPr>
        <w:pStyle w:val="BookText"/>
        <w:bidi w:val="0"/>
        <w:jc w:val="both"/>
        <w:rPr/>
      </w:pPr>
      <w:r>
        <w:rPr>
          <w:rFonts w:eastAsia="Times New Roman" w:cs="Times New Roman" w:ascii="Times New Roman" w:hAnsi="Times New Roman"/>
          <w:color w:val="111111"/>
          <w:sz w:val="28"/>
          <w:szCs w:val="28"/>
          <w:lang w:val="en-US"/>
        </w:rPr>
        <w:t>Ibn al-ʿArabi, Muhammad b. ʿAbd Allah, Ahkam al-Qur'an, Dar al-Maʿrifa, Beirut, n.d.</w:t>
      </w:r>
    </w:p>
    <w:p>
      <w:pPr>
        <w:pStyle w:val="BookText"/>
        <w:bidi w:val="0"/>
        <w:jc w:val="both"/>
        <w:rPr/>
      </w:pPr>
      <w:r>
        <w:rPr>
          <w:rFonts w:eastAsia="Times New Roman" w:cs="Times New Roman" w:ascii="Times New Roman" w:hAnsi="Times New Roman"/>
          <w:color w:val="111111"/>
          <w:sz w:val="28"/>
          <w:szCs w:val="28"/>
          <w:lang w:val="en-US"/>
        </w:rPr>
        <w:t>Ibn Babuwayh Qummi, Al-Muqniʿ, Imam Hadi Publication, Qum, 1415/1995.</w:t>
      </w:r>
    </w:p>
    <w:p>
      <w:pPr>
        <w:pStyle w:val="BookText"/>
        <w:bidi w:val="0"/>
        <w:jc w:val="both"/>
        <w:rPr/>
      </w:pPr>
      <w:r>
        <w:rPr>
          <w:rFonts w:eastAsia="Times New Roman" w:cs="Times New Roman" w:ascii="Times New Roman" w:hAnsi="Times New Roman"/>
          <w:color w:val="111111"/>
          <w:sz w:val="28"/>
          <w:szCs w:val="28"/>
          <w:lang w:val="en-US"/>
        </w:rPr>
        <w:t>Ibn Babuwayh Qummi, ʿIlal al-Shara’iʿ, 2 vols. Maktabat Haydariyya, 1386/1966.</w:t>
      </w:r>
    </w:p>
    <w:p>
      <w:pPr>
        <w:pStyle w:val="BookText"/>
        <w:bidi w:val="0"/>
        <w:jc w:val="both"/>
        <w:rPr/>
      </w:pPr>
      <w:r>
        <w:rPr>
          <w:rFonts w:eastAsia="Times New Roman" w:cs="Times New Roman" w:ascii="Times New Roman" w:hAnsi="Times New Roman"/>
          <w:color w:val="111111"/>
          <w:sz w:val="28"/>
          <w:szCs w:val="28"/>
          <w:lang w:val="en-US"/>
        </w:rPr>
        <w:t>Ibn Babuwayh Qummi, Man la Yahdhuruhu al-Faqih, Man la Yahdhuruhu al-Faqih, ed. ʿAli Akbar Ghaffari, Jamiʿa-yi Mudarrisin, Qum, 1404/1984.</w:t>
      </w:r>
    </w:p>
    <w:p>
      <w:pPr>
        <w:pStyle w:val="BookText"/>
        <w:bidi w:val="0"/>
        <w:jc w:val="both"/>
        <w:rPr/>
      </w:pPr>
      <w:r>
        <w:rPr>
          <w:rFonts w:eastAsia="Times New Roman" w:cs="Times New Roman" w:ascii="Times New Roman" w:hAnsi="Times New Roman"/>
          <w:color w:val="111111"/>
          <w:sz w:val="28"/>
          <w:szCs w:val="28"/>
          <w:lang w:val="en-US"/>
        </w:rPr>
        <w:t>Ibn Babuwayh Qummi, ʿUyun Akhbar al-Ridha (A.S.), 2 vols. 1st edition, Mu’assisat al-Aʿlami li al-Matbuʿat, 1404/1984.</w:t>
      </w:r>
    </w:p>
    <w:p>
      <w:pPr>
        <w:pStyle w:val="BookText"/>
        <w:bidi w:val="0"/>
        <w:jc w:val="both"/>
        <w:rPr/>
      </w:pPr>
      <w:r>
        <w:rPr>
          <w:rFonts w:eastAsia="Times New Roman" w:cs="Times New Roman" w:ascii="Times New Roman" w:hAnsi="Times New Roman"/>
          <w:color w:val="111111"/>
          <w:sz w:val="28"/>
          <w:szCs w:val="28"/>
          <w:lang w:val="en-US"/>
        </w:rPr>
        <w:t>Ibn Barraj Tarablusi, Qadhi ʿAbd al-ʿAziz, Al-Muhadhdhab, 2 vols. ed. Jaʿfar Subhani, Jamiʿa-yi Mudarrisin, Qum, 1406/1986.</w:t>
      </w:r>
    </w:p>
    <w:p>
      <w:pPr>
        <w:pStyle w:val="BookText"/>
        <w:bidi w:val="0"/>
        <w:jc w:val="both"/>
        <w:rPr/>
      </w:pPr>
      <w:r>
        <w:rPr>
          <w:rFonts w:eastAsia="Times New Roman" w:cs="Times New Roman" w:ascii="Times New Roman" w:hAnsi="Times New Roman"/>
          <w:color w:val="111111"/>
          <w:sz w:val="28"/>
          <w:szCs w:val="28"/>
          <w:lang w:val="en-US"/>
        </w:rPr>
        <w:t>Ibn Barraj Tarablusi, Qadhi ʿAbd al-ʿAziz, Jawahir al-Fiqh, ed. Ibrahim Bahaduri. 1st edition, Muʿassisa-yi Nashr-i Islami, Qum, 1411/1990.</w:t>
      </w:r>
    </w:p>
    <w:p>
      <w:pPr>
        <w:pStyle w:val="BookText"/>
        <w:bidi w:val="0"/>
        <w:jc w:val="both"/>
        <w:rPr/>
      </w:pPr>
      <w:r>
        <w:rPr>
          <w:rFonts w:eastAsia="Times New Roman" w:cs="Times New Roman" w:ascii="Times New Roman" w:hAnsi="Times New Roman"/>
          <w:color w:val="111111"/>
          <w:sz w:val="28"/>
          <w:szCs w:val="28"/>
          <w:lang w:val="en-US"/>
        </w:rPr>
        <w:t>Ibn Fahd Hilli, Al-Muhadhdhab al-Bariʿ fi Sharh al-Mukhtasar al-Nafiʿ, ed. Mujtaba ʿIraqi, 5 vols. Nashr-i Islami Publication, Qum, 1407/1987.</w:t>
      </w:r>
    </w:p>
    <w:p>
      <w:pPr>
        <w:pStyle w:val="BookText"/>
        <w:bidi w:val="0"/>
        <w:jc w:val="both"/>
        <w:rPr/>
      </w:pPr>
      <w:r>
        <w:rPr>
          <w:rFonts w:eastAsia="Times New Roman" w:cs="Times New Roman" w:ascii="Times New Roman" w:hAnsi="Times New Roman"/>
          <w:color w:val="111111"/>
          <w:sz w:val="28"/>
          <w:szCs w:val="28"/>
          <w:lang w:val="en-US"/>
        </w:rPr>
        <w:t>Ibn Hajar ʿAsqalani, Fath al-Bari Sharh Sahih al-Bukhari, Dar al-Maʿrifa, Beirut.</w:t>
      </w:r>
    </w:p>
    <w:p>
      <w:pPr>
        <w:pStyle w:val="BookText"/>
        <w:bidi w:val="0"/>
        <w:jc w:val="both"/>
        <w:rPr/>
      </w:pPr>
      <w:r>
        <w:rPr>
          <w:rFonts w:eastAsia="Times New Roman" w:cs="Times New Roman" w:ascii="Times New Roman" w:hAnsi="Times New Roman"/>
          <w:color w:val="111111"/>
          <w:sz w:val="28"/>
          <w:szCs w:val="28"/>
          <w:lang w:val="en-US"/>
        </w:rPr>
        <w:t>Ibn Hajar ʿAsqalani, Subul al-Salam, Mustata al-Albabi Halabi, 1379/1959.</w:t>
      </w:r>
    </w:p>
    <w:p>
      <w:pPr>
        <w:pStyle w:val="BookText"/>
        <w:bidi w:val="0"/>
        <w:jc w:val="both"/>
        <w:rPr/>
      </w:pPr>
      <w:r>
        <w:rPr>
          <w:rFonts w:eastAsia="Times New Roman" w:cs="Times New Roman" w:ascii="Times New Roman" w:hAnsi="Times New Roman"/>
          <w:color w:val="111111"/>
          <w:sz w:val="28"/>
          <w:szCs w:val="28"/>
          <w:lang w:val="en-US"/>
        </w:rPr>
        <w:t>Ibn Hamza, Muhammad b. ʿAli, Al-Wasila ila Nayl al-Fadhila, ed. Muhammad al-Hassun, 1st edition, Ayatollah Marʿashi Library, Qum, 1408/1988.</w:t>
      </w:r>
    </w:p>
    <w:p>
      <w:pPr>
        <w:pStyle w:val="BookText"/>
        <w:bidi w:val="0"/>
        <w:jc w:val="both"/>
        <w:rPr/>
      </w:pPr>
      <w:r>
        <w:rPr>
          <w:rFonts w:eastAsia="Times New Roman" w:cs="Times New Roman" w:ascii="Times New Roman" w:hAnsi="Times New Roman"/>
          <w:color w:val="111111"/>
          <w:sz w:val="28"/>
          <w:szCs w:val="28"/>
          <w:lang w:val="en-US"/>
        </w:rPr>
        <w:t>Ibn Hanbal, Ahmad, Musnad, Dar Sadir Beitut.n. d.</w:t>
      </w:r>
    </w:p>
    <w:p>
      <w:pPr>
        <w:pStyle w:val="BookText"/>
        <w:bidi w:val="0"/>
        <w:jc w:val="both"/>
        <w:rPr/>
      </w:pPr>
      <w:r>
        <w:rPr>
          <w:rFonts w:eastAsia="Times New Roman" w:cs="Times New Roman" w:ascii="Times New Roman" w:hAnsi="Times New Roman"/>
          <w:color w:val="111111"/>
          <w:sz w:val="28"/>
          <w:szCs w:val="28"/>
          <w:lang w:val="en-US"/>
        </w:rPr>
        <w:t>Ibn Jawzi, ʿAbd al-Rahman, Nawasikh al-Qur'an, Dar al-Kutub al-ʿIlmiyya, Beirut, n.d.</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w:t>
      </w:r>
    </w:p>
    <w:p>
      <w:pPr>
        <w:pStyle w:val="BookText"/>
        <w:bidi w:val="0"/>
        <w:rPr/>
      </w:pPr>
      <w:r>
        <w:rPr>
          <w:rFonts w:eastAsia="Times New Roman" w:cs="Times New Roman" w:ascii="Times New Roman" w:hAnsi="Times New Roman"/>
          <w:color w:val="111111"/>
          <w:sz w:val="28"/>
          <w:szCs w:val="28"/>
          <w:lang w:val="en-US"/>
        </w:rPr>
        <w:t>Jawzi, ʿAbd al-Rahman, Zad al-Masir fi ʿIlm al-Tafsir, 8 vols. 1st edition, Dar al-Fikr, Beirut, 1407/1986.</w:t>
      </w:r>
    </w:p>
    <w:p>
      <w:pPr>
        <w:pStyle w:val="BookText"/>
        <w:bidi w:val="0"/>
        <w:jc w:val="both"/>
        <w:rPr/>
      </w:pPr>
      <w:r>
        <w:rPr>
          <w:rFonts w:eastAsia="Times New Roman" w:cs="Times New Roman" w:ascii="Times New Roman" w:hAnsi="Times New Roman"/>
          <w:color w:val="111111"/>
          <w:sz w:val="28"/>
          <w:szCs w:val="28"/>
          <w:lang w:val="en-US"/>
        </w:rPr>
        <w:t>Ibn Kathir Qurashi, Ismaʿil, Tafsir al-Qur'an al-ʿAzim, 4 vols. Dar al-Maʿrifa, Beirut. 1412/1992.</w:t>
      </w:r>
    </w:p>
    <w:p>
      <w:pPr>
        <w:pStyle w:val="BookText"/>
        <w:bidi w:val="0"/>
        <w:jc w:val="both"/>
        <w:rPr/>
      </w:pPr>
      <w:r>
        <w:rPr>
          <w:rFonts w:eastAsia="Times New Roman" w:cs="Times New Roman" w:ascii="Times New Roman" w:hAnsi="Times New Roman"/>
          <w:color w:val="111111"/>
          <w:sz w:val="28"/>
          <w:szCs w:val="28"/>
          <w:lang w:val="en-US"/>
        </w:rPr>
        <w:t>Ibn Manzur, Lisan al-ʿArab, 15 vols. 1st edition, Adab al-Howza, Qum, 1405/1985</w:t>
      </w:r>
    </w:p>
    <w:p>
      <w:pPr>
        <w:pStyle w:val="BookText"/>
        <w:bidi w:val="0"/>
        <w:jc w:val="both"/>
        <w:rPr/>
      </w:pPr>
      <w:r>
        <w:rPr>
          <w:rFonts w:eastAsia="Times New Roman" w:cs="Times New Roman" w:ascii="Times New Roman" w:hAnsi="Times New Roman"/>
          <w:color w:val="111111"/>
          <w:sz w:val="28"/>
          <w:szCs w:val="28"/>
          <w:lang w:val="en-US"/>
        </w:rPr>
        <w:t>Ibn Qudama al-Muqaddisi, Abu al-Faraj ʿAbdulrahman, Al-Sharh al-Kabir ʿAla Matn al-Muqniʿ, 12 vols. Dar al-Kitab al-ʿArabi li al-Nashr wa al-Towziʿ, n.d.</w:t>
      </w:r>
    </w:p>
    <w:p>
      <w:pPr>
        <w:pStyle w:val="BookText"/>
        <w:bidi w:val="0"/>
        <w:jc w:val="both"/>
        <w:rPr/>
      </w:pPr>
      <w:r>
        <w:rPr>
          <w:rFonts w:eastAsia="Times New Roman" w:cs="Times New Roman" w:ascii="Times New Roman" w:hAnsi="Times New Roman"/>
          <w:color w:val="111111"/>
          <w:sz w:val="28"/>
          <w:szCs w:val="28"/>
          <w:lang w:val="en-US"/>
        </w:rPr>
        <w:t>Ibn Qudama, ʿAbd Allah b. Ahmad, Al-Mughni, 12 vols. Dar al-Kutub al-ʿArabiyya, Beirut, n.d.</w:t>
      </w:r>
    </w:p>
    <w:p>
      <w:pPr>
        <w:pStyle w:val="BookText"/>
        <w:bidi w:val="0"/>
        <w:jc w:val="both"/>
        <w:rPr/>
      </w:pPr>
      <w:r>
        <w:rPr>
          <w:rFonts w:eastAsia="Times New Roman" w:cs="Times New Roman" w:ascii="Times New Roman" w:hAnsi="Times New Roman"/>
          <w:color w:val="111111"/>
          <w:sz w:val="28"/>
          <w:szCs w:val="28"/>
          <w:lang w:val="en-US"/>
        </w:rPr>
        <w:t>Ibn Tamimi, Ahmad b. ʿAli, Musnad Abi Yaʿla Musili, ed. Husayn Salim Hasan, 13 vols. Dar al-Ma’mun li al-Turath, n.d.</w:t>
      </w:r>
    </w:p>
    <w:p>
      <w:pPr>
        <w:pStyle w:val="BookText"/>
        <w:bidi w:val="0"/>
        <w:jc w:val="both"/>
        <w:rPr/>
      </w:pPr>
      <w:r>
        <w:rPr>
          <w:rFonts w:eastAsia="Times New Roman" w:cs="Times New Roman" w:ascii="Times New Roman" w:hAnsi="Times New Roman"/>
          <w:color w:val="111111"/>
          <w:sz w:val="28"/>
          <w:szCs w:val="28"/>
          <w:lang w:val="en-US"/>
        </w:rPr>
        <w:t>Ibn Zuhra Hilli, Ghunyat al-Nuzuʿ ila ʿIlmiya al-Usul wa al-Furuʿ, ed. Ibrahim Bahaduri, 1st edition, Imam Sadiq Institute, Qum, 1417/1996.</w:t>
      </w:r>
    </w:p>
    <w:p>
      <w:pPr>
        <w:pStyle w:val="BookText"/>
        <w:bidi w:val="0"/>
        <w:jc w:val="both"/>
        <w:rPr/>
      </w:pPr>
      <w:r>
        <w:rPr>
          <w:rFonts w:eastAsia="Times New Roman" w:cs="Times New Roman" w:ascii="Times New Roman" w:hAnsi="Times New Roman"/>
          <w:color w:val="111111"/>
          <w:sz w:val="28"/>
          <w:szCs w:val="28"/>
          <w:lang w:val="en-US"/>
        </w:rPr>
        <w:t>Isfahani, Muhammad Husayn, Hashiyat al-Makasib, ed. ʿAbbas Muhammad Al-i Sabaʿ, 1st edition, Matbaʿa ʿIlmiyya, Qum, 1418/1997.</w:t>
      </w:r>
    </w:p>
    <w:p>
      <w:pPr>
        <w:pStyle w:val="BookText"/>
        <w:bidi w:val="0"/>
        <w:jc w:val="both"/>
        <w:rPr/>
      </w:pPr>
      <w:r>
        <w:rPr>
          <w:rFonts w:eastAsia="Times New Roman" w:cs="Times New Roman" w:ascii="Times New Roman" w:hAnsi="Times New Roman"/>
          <w:color w:val="111111"/>
          <w:sz w:val="28"/>
          <w:szCs w:val="28"/>
          <w:lang w:val="en-US"/>
        </w:rPr>
        <w:t>Ishtahardi, Shaykh ʿAli Panah, Fatawi-yi Ibn Junayd, Muʿassisa-yi Nashr-i Islami, Qum, 1416/1996.</w:t>
      </w:r>
    </w:p>
    <w:p>
      <w:pPr>
        <w:pStyle w:val="BookText"/>
        <w:bidi w:val="0"/>
        <w:jc w:val="both"/>
        <w:rPr/>
      </w:pPr>
      <w:r>
        <w:rPr>
          <w:rFonts w:eastAsia="Times New Roman" w:cs="Times New Roman" w:ascii="Times New Roman" w:hAnsi="Times New Roman"/>
          <w:color w:val="111111"/>
          <w:sz w:val="28"/>
          <w:szCs w:val="28"/>
          <w:lang w:val="en-US"/>
        </w:rPr>
        <w:t>Janabadhi, Sultan Muhammad, Bayan al-Saʿada fi Maqamat al-ʿIbada, 4 vols, Tehran University, Tehran, 1385/1965.</w:t>
      </w:r>
    </w:p>
    <w:p>
      <w:pPr>
        <w:pStyle w:val="BookText"/>
        <w:bidi w:val="0"/>
        <w:jc w:val="both"/>
        <w:rPr/>
      </w:pPr>
      <w:r>
        <w:rPr>
          <w:rFonts w:eastAsia="Times New Roman" w:cs="Times New Roman" w:ascii="Times New Roman" w:hAnsi="Times New Roman"/>
          <w:color w:val="111111"/>
          <w:sz w:val="28"/>
          <w:szCs w:val="28"/>
          <w:lang w:val="en-US"/>
        </w:rPr>
        <w:t>Jassas, Ahkam al-Qur'an, ed. ʿAbd al-Salam Muhammad ʿAli Shahin, 3 vols. 1st edition, Dar al-Kutub al-ʿIlmiyya, Beirut, 1415/1994.</w:t>
      </w:r>
    </w:p>
    <w:p>
      <w:pPr>
        <w:pStyle w:val="BookText"/>
        <w:bidi w:val="0"/>
        <w:jc w:val="both"/>
        <w:rPr/>
      </w:pPr>
      <w:r>
        <w:rPr>
          <w:rFonts w:eastAsia="Times New Roman" w:cs="Times New Roman" w:ascii="Times New Roman" w:hAnsi="Times New Roman"/>
          <w:color w:val="111111"/>
          <w:sz w:val="28"/>
          <w:szCs w:val="28"/>
          <w:lang w:val="en-US"/>
        </w:rPr>
        <w:t>Jawahiri, Ismaʿil b. Hammad, Al-Sihah (Taj al-Lugh wa Sihah al-ʿArabiyya), ed. Ahmad b. ʿAbd al-Ghafur ʿAttar, 6 vols. 4th edition, Dar al-ʿIlm li al-Mala’in, Beirut, 1407/1987.</w:t>
      </w:r>
    </w:p>
    <w:p>
      <w:pPr>
        <w:pStyle w:val="BookText"/>
        <w:bidi w:val="0"/>
        <w:jc w:val="both"/>
        <w:rPr/>
      </w:pPr>
      <w:r>
        <w:rPr>
          <w:rFonts w:eastAsia="Times New Roman" w:cs="Times New Roman" w:ascii="Times New Roman" w:hAnsi="Times New Roman"/>
          <w:color w:val="111111"/>
          <w:sz w:val="28"/>
          <w:szCs w:val="28"/>
          <w:lang w:val="en-US"/>
        </w:rPr>
        <w:t>Jaza’iri, Sayyid ʿAbd Allah, Al-Tuhfat al-Saniyya fi Sharh Nukhbat al-Muhsiniyya, manuscript, Astan Quds Razavi.</w:t>
      </w:r>
    </w:p>
    <w:p>
      <w:pPr>
        <w:pStyle w:val="BookText"/>
        <w:bidi w:val="0"/>
        <w:jc w:val="both"/>
        <w:rPr/>
      </w:pPr>
      <w:r>
        <w:rPr>
          <w:rFonts w:eastAsia="Times New Roman" w:cs="Times New Roman" w:ascii="Times New Roman" w:hAnsi="Times New Roman"/>
          <w:color w:val="111111"/>
          <w:sz w:val="28"/>
          <w:szCs w:val="28"/>
          <w:lang w:val="en-US"/>
        </w:rPr>
        <w:t>Karaki, ʿAli b. Husayn, Jamiʿ al-Maqasid fi Sharh al-Qawaʿid, 13 vols. 1st edition, Al al-Bayt Institute, Qum, 1408/1987.</w:t>
      </w:r>
    </w:p>
    <w:p>
      <w:pPr>
        <w:pStyle w:val="BookText"/>
        <w:bidi w:val="0"/>
        <w:jc w:val="both"/>
        <w:rPr/>
      </w:pPr>
      <w:r>
        <w:rPr>
          <w:rFonts w:eastAsia="Times New Roman" w:cs="Times New Roman" w:ascii="Times New Roman" w:hAnsi="Times New Roman"/>
          <w:color w:val="111111"/>
          <w:sz w:val="28"/>
          <w:szCs w:val="28"/>
          <w:lang w:val="en-US"/>
        </w:rPr>
        <w:t>Karrami, Muhammad, Al-Tafsir li Kitab Allah al-Munir, 7 vols. Matbaʿa ʿIlmiyya, Qum, 1402/1982.</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Kashani, Abu Bakr b. Masʿud, Bada’iʿ al-Sana’iʿ fi Tartib al-Shara’iʿ, 7 vols. 1st edition,</w:t>
      </w:r>
    </w:p>
    <w:p>
      <w:pPr>
        <w:pStyle w:val="BookText"/>
        <w:bidi w:val="0"/>
        <w:rPr/>
      </w:pPr>
      <w:r>
        <w:rPr>
          <w:rFonts w:eastAsia="Times New Roman" w:cs="Times New Roman" w:ascii="Times New Roman" w:hAnsi="Times New Roman"/>
          <w:color w:val="111111"/>
          <w:sz w:val="28"/>
          <w:szCs w:val="28"/>
          <w:lang w:val="en-US"/>
        </w:rPr>
        <w:t>Al-Maktibat al-Habibiyya, Pakistan, 1409/1989.</w:t>
      </w:r>
    </w:p>
    <w:p>
      <w:pPr>
        <w:pStyle w:val="BookText"/>
        <w:bidi w:val="0"/>
        <w:jc w:val="both"/>
        <w:rPr/>
      </w:pPr>
      <w:r>
        <w:rPr>
          <w:rFonts w:eastAsia="Times New Roman" w:cs="Times New Roman" w:ascii="Times New Roman" w:hAnsi="Times New Roman"/>
          <w:color w:val="111111"/>
          <w:sz w:val="28"/>
          <w:szCs w:val="28"/>
          <w:lang w:val="en-US"/>
        </w:rPr>
        <w:t>Kashani, Mulla Fath Allah, Manhaj al-Sadiqin fi Ilzam al-Mukhalifin, 10 vols. 2nd edition, Islamiyya Bookstore, Tehran, 1388/1968.</w:t>
      </w:r>
    </w:p>
    <w:p>
      <w:pPr>
        <w:pStyle w:val="BookText"/>
        <w:bidi w:val="0"/>
        <w:jc w:val="both"/>
        <w:rPr/>
      </w:pPr>
      <w:r>
        <w:rPr>
          <w:rFonts w:eastAsia="Times New Roman" w:cs="Times New Roman" w:ascii="Times New Roman" w:hAnsi="Times New Roman"/>
          <w:color w:val="111111"/>
          <w:sz w:val="28"/>
          <w:szCs w:val="28"/>
          <w:lang w:val="en-US"/>
        </w:rPr>
        <w:t>Khomeini, Ruhullah, Kitab al-Bayʿ, 5 vols. 4th edition, Ismaʿiliyan Institute, 1410/1989.</w:t>
      </w:r>
    </w:p>
    <w:p>
      <w:pPr>
        <w:pStyle w:val="BookText"/>
        <w:bidi w:val="0"/>
        <w:jc w:val="both"/>
        <w:rPr/>
      </w:pPr>
      <w:r>
        <w:rPr>
          <w:rFonts w:eastAsia="Times New Roman" w:cs="Times New Roman" w:ascii="Times New Roman" w:hAnsi="Times New Roman"/>
          <w:color w:val="111111"/>
          <w:sz w:val="28"/>
          <w:szCs w:val="28"/>
          <w:lang w:val="en-US"/>
        </w:rPr>
        <w:t>Khomeini, Ruhullah, Kitab al-Tahara, 3 vols. Ismaʿiliyan Institute, Qum, 1410/1989.</w:t>
      </w:r>
    </w:p>
    <w:p>
      <w:pPr>
        <w:pStyle w:val="BookText"/>
        <w:bidi w:val="0"/>
        <w:jc w:val="both"/>
        <w:rPr/>
      </w:pPr>
      <w:r>
        <w:rPr>
          <w:rFonts w:eastAsia="Times New Roman" w:cs="Times New Roman" w:ascii="Times New Roman" w:hAnsi="Times New Roman"/>
          <w:color w:val="111111"/>
          <w:sz w:val="28"/>
          <w:szCs w:val="28"/>
          <w:lang w:val="en-US"/>
        </w:rPr>
        <w:t>Khuzaʿi Nayshaburi, Husayn b. ʿAli b. Muhammad, Rawdh al-Jinan wa Rawh al-Janan fi Tafsir al-Qur'an, Islamic Research Foundation of Asan Quds Razavi, Mashhad, 1408/1987.</w:t>
      </w:r>
    </w:p>
    <w:p>
      <w:pPr>
        <w:pStyle w:val="BookText"/>
        <w:bidi w:val="0"/>
        <w:jc w:val="both"/>
        <w:rPr/>
      </w:pPr>
      <w:r>
        <w:rPr>
          <w:rFonts w:eastAsia="Times New Roman" w:cs="Times New Roman" w:ascii="Times New Roman" w:hAnsi="Times New Roman"/>
          <w:color w:val="111111"/>
          <w:sz w:val="28"/>
          <w:szCs w:val="28"/>
          <w:lang w:val="en-US"/>
        </w:rPr>
        <w:t>Khwansari, Sayyid Ahmad, Jamiʿ al-Madarik fi Sharh al-Mukhtasar al-Nafiʿ, ed. ʿAli Akbar Ghaffari, 7 vols, 2nd edition, Tehran, Saduq Publication, 1397/1977.</w:t>
      </w:r>
    </w:p>
    <w:p>
      <w:pPr>
        <w:pStyle w:val="BookText"/>
        <w:bidi w:val="0"/>
        <w:jc w:val="both"/>
        <w:rPr/>
      </w:pPr>
      <w:r>
        <w:rPr>
          <w:rFonts w:eastAsia="Times New Roman" w:cs="Times New Roman" w:ascii="Times New Roman" w:hAnsi="Times New Roman"/>
          <w:color w:val="111111"/>
          <w:sz w:val="28"/>
          <w:szCs w:val="28"/>
          <w:lang w:val="en-US"/>
        </w:rPr>
        <w:t>Kufi, Ibn Abi Shayba, Al-Musannaf, ed. Saʿid Muhammad al-Liham, 8 vols. 1st edition, Dar al-Fikr, Qum, 1409/1988.</w:t>
      </w:r>
    </w:p>
    <w:p>
      <w:pPr>
        <w:pStyle w:val="BookText"/>
        <w:bidi w:val="0"/>
        <w:jc w:val="both"/>
        <w:rPr/>
      </w:pPr>
      <w:r>
        <w:rPr>
          <w:rFonts w:eastAsia="Times New Roman" w:cs="Times New Roman" w:ascii="Times New Roman" w:hAnsi="Times New Roman"/>
          <w:color w:val="111111"/>
          <w:sz w:val="28"/>
          <w:szCs w:val="28"/>
          <w:lang w:val="en-US"/>
        </w:rPr>
        <w:t>Kulayni, Muhammad b. Yaʿqub, Usul al-Kafi, ed. ʿAli Akbar Ghaffari, 8 vols. 3rd edition, Dar al-Kutub al-Islamiyya, Tehran, 1388/1968.</w:t>
      </w:r>
    </w:p>
    <w:p>
      <w:pPr>
        <w:pStyle w:val="BookText"/>
        <w:bidi w:val="0"/>
        <w:jc w:val="both"/>
        <w:rPr/>
      </w:pPr>
      <w:r>
        <w:rPr>
          <w:rFonts w:eastAsia="Times New Roman" w:cs="Times New Roman" w:ascii="Times New Roman" w:hAnsi="Times New Roman"/>
          <w:color w:val="111111"/>
          <w:sz w:val="28"/>
          <w:szCs w:val="28"/>
          <w:lang w:val="en-US"/>
        </w:rPr>
        <w:t>Kulayni, Muhammad b. Yaʿqub, Usul al-Kafi, ed. ʿAli Akbar Ghaffari, 8 vols. 3rd edition, Dar al-Kutub al-Islamiyya, Tehran, 1388/1968.</w:t>
      </w:r>
    </w:p>
    <w:p>
      <w:pPr>
        <w:pStyle w:val="BookText"/>
        <w:bidi w:val="0"/>
        <w:jc w:val="both"/>
        <w:rPr/>
      </w:pPr>
      <w:r>
        <w:rPr>
          <w:rFonts w:eastAsia="Times New Roman" w:cs="Times New Roman" w:ascii="Times New Roman" w:hAnsi="Times New Roman"/>
          <w:color w:val="111111"/>
          <w:sz w:val="28"/>
          <w:szCs w:val="28"/>
          <w:lang w:val="en-US"/>
        </w:rPr>
        <w:t>Maghniyya, Muhammad Jawad, Al-Kashif, 7 vols. 3rd edition, Dar al-ʿIlm li al-Mala’in, Beirut, 1401/1981.</w:t>
      </w:r>
    </w:p>
    <w:p>
      <w:pPr>
        <w:pStyle w:val="BookText"/>
        <w:bidi w:val="0"/>
        <w:jc w:val="both"/>
        <w:rPr/>
      </w:pPr>
      <w:r>
        <w:rPr>
          <w:rFonts w:eastAsia="Times New Roman" w:cs="Times New Roman" w:ascii="Times New Roman" w:hAnsi="Times New Roman"/>
          <w:color w:val="111111"/>
          <w:sz w:val="28"/>
          <w:szCs w:val="28"/>
          <w:lang w:val="en-US"/>
        </w:rPr>
        <w:t>Makki, Muhammad b. Mansur, Al-Sara’ir al-Hawi li Tahrir al-Fatawi, 3 vols. 2nd ed, Muʿassisa-yi Nashr-i Islami, Qum, 1410/1990.</w:t>
      </w:r>
    </w:p>
    <w:p>
      <w:pPr>
        <w:pStyle w:val="BookText"/>
        <w:bidi w:val="0"/>
        <w:jc w:val="both"/>
        <w:rPr/>
      </w:pPr>
      <w:r>
        <w:rPr>
          <w:rFonts w:eastAsia="Times New Roman" w:cs="Times New Roman" w:ascii="Times New Roman" w:hAnsi="Times New Roman"/>
          <w:color w:val="111111"/>
          <w:sz w:val="28"/>
          <w:szCs w:val="28"/>
          <w:lang w:val="en-US"/>
        </w:rPr>
        <w:t>Maraghi, Mir ʿAbd al-Fattah, Al-ʿAnawin al-Fiqhiyya, 2 vols. 1st edition, Nashr-i Islami Publication, Qum, 1417/1997.</w:t>
      </w:r>
    </w:p>
    <w:p>
      <w:pPr>
        <w:pStyle w:val="BookText"/>
        <w:bidi w:val="0"/>
        <w:jc w:val="both"/>
        <w:rPr/>
      </w:pPr>
      <w:r>
        <w:rPr>
          <w:rFonts w:eastAsia="Times New Roman" w:cs="Times New Roman" w:ascii="Times New Roman" w:hAnsi="Times New Roman"/>
          <w:color w:val="111111"/>
          <w:sz w:val="28"/>
          <w:szCs w:val="28"/>
          <w:lang w:val="en-US"/>
        </w:rPr>
        <w:t>Mashhadi, Mirza Muhammad, Kanz al-Daqa’iq wa Bahr al-Al-Ghara’ib, 14 vols. 1st edition, Ministry of Islamic Culture and Guidance, Tehran, 1404/1988.</w:t>
      </w:r>
    </w:p>
    <w:p>
      <w:pPr>
        <w:pStyle w:val="BookText"/>
        <w:bidi w:val="0"/>
        <w:jc w:val="both"/>
        <w:rPr/>
      </w:pPr>
      <w:r>
        <w:rPr>
          <w:rFonts w:eastAsia="Times New Roman" w:cs="Times New Roman" w:ascii="Times New Roman" w:hAnsi="Times New Roman"/>
          <w:color w:val="111111"/>
          <w:sz w:val="28"/>
          <w:szCs w:val="28"/>
          <w:lang w:val="en-US"/>
        </w:rPr>
        <w:t>Mazandarani, Mowla Muhammad Salih, Sharh-i Usul al-Kafi, with additional notes by Mirza Abulhasan Shaʿrani, 12 vols. n.d.</w:t>
      </w:r>
    </w:p>
    <w:p>
      <w:pPr>
        <w:pStyle w:val="BookText"/>
        <w:bidi w:val="0"/>
        <w:jc w:val="both"/>
        <w:rPr/>
      </w:pPr>
      <w:r>
        <w:rPr>
          <w:rFonts w:eastAsia="Times New Roman" w:cs="Times New Roman" w:ascii="Times New Roman" w:hAnsi="Times New Roman"/>
          <w:color w:val="111111"/>
          <w:sz w:val="28"/>
          <w:szCs w:val="28"/>
          <w:lang w:val="en-US"/>
        </w:rPr>
        <w:t>Minhaji Asuyuti, Muhammad b. Ahmad, Jawahir al-ʿUqud wa Mu‘in al-Qudhat wa al-Muqiʿin wa al-Shuhud, 2 vols. 1st edition, Dar al-Kutub al-ʿIlmiyya, Beirut, 1417/1996.</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Miqdad Suyuri, Nadhd al-Qawaʿid al-Fiqhiyya ʿala Madhhab al-Imamiyya, ed. ʿAbdul Latif Kuhkamari, Ayatollah</w:t>
      </w:r>
    </w:p>
    <w:p>
      <w:pPr>
        <w:pStyle w:val="BookText"/>
        <w:bidi w:val="0"/>
        <w:rPr/>
      </w:pPr>
      <w:r>
        <w:rPr>
          <w:rFonts w:eastAsia="Times New Roman" w:cs="Times New Roman" w:ascii="Times New Roman" w:hAnsi="Times New Roman"/>
          <w:color w:val="111111"/>
          <w:sz w:val="28"/>
          <w:szCs w:val="28"/>
          <w:lang w:val="en-US"/>
        </w:rPr>
        <w:t>Marʿashi Library, Qum, 1403/1982.</w:t>
      </w:r>
    </w:p>
    <w:p>
      <w:pPr>
        <w:pStyle w:val="BookText"/>
        <w:bidi w:val="0"/>
        <w:jc w:val="both"/>
        <w:rPr/>
      </w:pPr>
      <w:r>
        <w:rPr>
          <w:rFonts w:eastAsia="Times New Roman" w:cs="Times New Roman" w:ascii="Times New Roman" w:hAnsi="Times New Roman"/>
          <w:color w:val="111111"/>
          <w:sz w:val="28"/>
          <w:szCs w:val="28"/>
          <w:lang w:val="en-US"/>
        </w:rPr>
        <w:t>Montesquieu, The Spirit of Laws (Ruh al-Qawanin), trans. Ali Akbar Muhtadi, Amir Kabir Publication, 1390/1970.</w:t>
      </w:r>
    </w:p>
    <w:p>
      <w:pPr>
        <w:pStyle w:val="BookText"/>
        <w:bidi w:val="0"/>
        <w:jc w:val="both"/>
        <w:rPr/>
      </w:pPr>
      <w:r>
        <w:rPr>
          <w:rFonts w:eastAsia="Times New Roman" w:cs="Times New Roman" w:ascii="Times New Roman" w:hAnsi="Times New Roman"/>
          <w:color w:val="111111"/>
          <w:sz w:val="28"/>
          <w:szCs w:val="28"/>
          <w:lang w:val="en-US"/>
        </w:rPr>
        <w:t>Mufid, Muhammad b. Muhammad, Al-Muqniʿa, 2nd edition, Muʿassisa-yi Nashr-i Islami, Qum, 1410/1990.</w:t>
      </w:r>
    </w:p>
    <w:p>
      <w:pPr>
        <w:pStyle w:val="BookText"/>
        <w:bidi w:val="0"/>
        <w:jc w:val="both"/>
        <w:rPr/>
      </w:pPr>
      <w:r>
        <w:rPr>
          <w:rFonts w:eastAsia="Times New Roman" w:cs="Times New Roman" w:ascii="Times New Roman" w:hAnsi="Times New Roman"/>
          <w:color w:val="111111"/>
          <w:sz w:val="28"/>
          <w:szCs w:val="28"/>
          <w:lang w:val="en-US"/>
        </w:rPr>
        <w:t>Mufid, Muhammad b. Nuʿman, Al-Irshad fi Maʿrifat-i Hujaj Allah ʿala al-ʿIbad, Al al-Bayt (ed.), Qum, Dar al-Mufid, 1413/1992.</w:t>
      </w:r>
    </w:p>
    <w:p>
      <w:pPr>
        <w:pStyle w:val="BookText"/>
        <w:bidi w:val="0"/>
        <w:jc w:val="both"/>
        <w:rPr/>
      </w:pPr>
      <w:r>
        <w:rPr>
          <w:rFonts w:eastAsia="Times New Roman" w:cs="Times New Roman" w:ascii="Times New Roman" w:hAnsi="Times New Roman"/>
          <w:color w:val="111111"/>
          <w:sz w:val="28"/>
          <w:szCs w:val="28"/>
          <w:lang w:val="en-US"/>
        </w:rPr>
        <w:t>Muhaqqiq Hilli, Shara’iʿ al-Islam fi Masa’il al-Halal wa al-Haram, 4 vols. 2nd edition, Istiqlal Publication, 1409/1988.</w:t>
      </w:r>
    </w:p>
    <w:p>
      <w:pPr>
        <w:pStyle w:val="BookText"/>
        <w:bidi w:val="0"/>
        <w:jc w:val="both"/>
        <w:rPr/>
      </w:pPr>
      <w:r>
        <w:rPr>
          <w:rFonts w:eastAsia="Times New Roman" w:cs="Times New Roman" w:ascii="Times New Roman" w:hAnsi="Times New Roman"/>
          <w:color w:val="111111"/>
          <w:sz w:val="28"/>
          <w:szCs w:val="28"/>
          <w:lang w:val="en-US"/>
        </w:rPr>
        <w:t>Muntaziri, Husayn ʿAli, Dirasat fi Wilayat al-Faqih wa Fiqh al-Dawlat al-Islamiyya, 2nd edition, Al-Markaz al-ʿAlimi li al-Dirasat al-Islamiyya, 1409/1988.</w:t>
      </w:r>
    </w:p>
    <w:p>
      <w:pPr>
        <w:pStyle w:val="BookText"/>
        <w:bidi w:val="0"/>
        <w:jc w:val="both"/>
        <w:rPr/>
      </w:pPr>
      <w:r>
        <w:rPr>
          <w:rFonts w:eastAsia="Times New Roman" w:cs="Times New Roman" w:ascii="Times New Roman" w:hAnsi="Times New Roman"/>
          <w:color w:val="111111"/>
          <w:sz w:val="28"/>
          <w:szCs w:val="28"/>
          <w:lang w:val="en-US"/>
        </w:rPr>
        <w:t>Muqaddas Ardabili, Zubdat al-Bayan fi Ahkam al-Qur'an, ed. Muhammad Baqir, Bihbudi, Al-Maktibat al-Murtazawiyya, n.d.</w:t>
      </w:r>
    </w:p>
    <w:p>
      <w:pPr>
        <w:pStyle w:val="BookText"/>
        <w:bidi w:val="0"/>
        <w:jc w:val="both"/>
        <w:rPr/>
      </w:pPr>
      <w:r>
        <w:rPr>
          <w:rFonts w:eastAsia="Times New Roman" w:cs="Times New Roman" w:ascii="Times New Roman" w:hAnsi="Times New Roman"/>
          <w:color w:val="111111"/>
          <w:sz w:val="28"/>
          <w:szCs w:val="28"/>
          <w:lang w:val="en-US"/>
        </w:rPr>
        <w:t>Musawi Sabziwari, ʿAbd al-ʿAli, Mawahib al-Rahman fi Tafsir al-Qur'an, 4-vols. Matbaʿat al-Adab, 1404/1983.</w:t>
      </w:r>
    </w:p>
    <w:p>
      <w:pPr>
        <w:pStyle w:val="BookText"/>
        <w:bidi w:val="0"/>
        <w:jc w:val="both"/>
        <w:rPr/>
      </w:pPr>
      <w:r>
        <w:rPr>
          <w:rFonts w:eastAsia="Times New Roman" w:cs="Times New Roman" w:ascii="Times New Roman" w:hAnsi="Times New Roman"/>
          <w:color w:val="111111"/>
          <w:sz w:val="28"/>
          <w:szCs w:val="28"/>
          <w:lang w:val="en-US"/>
        </w:rPr>
        <w:t>Muslim, Sahih, see Nawawi, Sahih Muslim bi Sharh al-Nawawi (Sharh-i Muslim), 18 vols. Dar al-Kutub al-ʿArabiyya, Beirut, 1407/1987.</w:t>
      </w:r>
    </w:p>
    <w:p>
      <w:pPr>
        <w:pStyle w:val="BookText"/>
        <w:bidi w:val="0"/>
        <w:jc w:val="both"/>
        <w:rPr/>
      </w:pPr>
      <w:r>
        <w:rPr>
          <w:rFonts w:eastAsia="Times New Roman" w:cs="Times New Roman" w:ascii="Times New Roman" w:hAnsi="Times New Roman"/>
          <w:color w:val="111111"/>
          <w:sz w:val="28"/>
          <w:szCs w:val="28"/>
          <w:lang w:val="en-US"/>
        </w:rPr>
        <w:t>Muzni, Ismaʿil b. Yahya, Mukhtasar al-Muzni, Dar al-Maʿrifa, Beirut, n.d.</w:t>
      </w:r>
    </w:p>
    <w:p>
      <w:pPr>
        <w:pStyle w:val="BookText"/>
        <w:bidi w:val="0"/>
        <w:jc w:val="both"/>
        <w:rPr/>
      </w:pPr>
      <w:r>
        <w:rPr>
          <w:rFonts w:eastAsia="Times New Roman" w:cs="Times New Roman" w:ascii="Times New Roman" w:hAnsi="Times New Roman"/>
          <w:color w:val="111111"/>
          <w:sz w:val="28"/>
          <w:szCs w:val="28"/>
          <w:lang w:val="en-US"/>
        </w:rPr>
        <w:t>Nahhas, Abi Jaʿfar, Maʿani al-Qur'an, ed. Muhammad ʿAli Sabuni, 6 vols. 1st edition, Umm al-Qura University, Saudi Arabia, 1408/1988.</w:t>
      </w:r>
    </w:p>
    <w:p>
      <w:pPr>
        <w:pStyle w:val="BookText"/>
        <w:bidi w:val="0"/>
        <w:jc w:val="both"/>
        <w:rPr/>
      </w:pPr>
      <w:r>
        <w:rPr>
          <w:rFonts w:eastAsia="Times New Roman" w:cs="Times New Roman" w:ascii="Times New Roman" w:hAnsi="Times New Roman"/>
          <w:color w:val="111111"/>
          <w:sz w:val="28"/>
          <w:szCs w:val="28"/>
          <w:lang w:val="en-US"/>
        </w:rPr>
        <w:t>Najafi, Muhammad Hasan, Jawahir al-Kalam fi Sharh Shara’iʿ al-Islam, ed. Shaykh ʿAbbas Quchani, 43 vols. 3rd edition, Dar al-Kutub al-Islamiyya, Tehran, 1409/1988.</w:t>
      </w:r>
    </w:p>
    <w:p>
      <w:pPr>
        <w:pStyle w:val="BookText"/>
        <w:bidi w:val="0"/>
        <w:jc w:val="both"/>
        <w:rPr/>
      </w:pPr>
      <w:r>
        <w:rPr>
          <w:rFonts w:eastAsia="Times New Roman" w:cs="Times New Roman" w:ascii="Times New Roman" w:hAnsi="Times New Roman"/>
          <w:color w:val="111111"/>
          <w:sz w:val="28"/>
          <w:szCs w:val="28"/>
          <w:lang w:val="en-US"/>
        </w:rPr>
        <w:t>Naraqi, Ahmad, ʿAwa’id al-Ayyam fi Qawaʿid al-Ahkam wa Muhimmat Masa’il al-Halal wa al-Haram, 3rd edition, Qum, Basirati Library, 1408/1987.</w:t>
      </w:r>
    </w:p>
    <w:p>
      <w:pPr>
        <w:pStyle w:val="BookText"/>
        <w:bidi w:val="0"/>
        <w:jc w:val="both"/>
        <w:rPr/>
      </w:pPr>
      <w:r>
        <w:rPr>
          <w:rFonts w:eastAsia="Times New Roman" w:cs="Times New Roman" w:ascii="Times New Roman" w:hAnsi="Times New Roman"/>
          <w:color w:val="111111"/>
          <w:sz w:val="28"/>
          <w:szCs w:val="28"/>
          <w:lang w:val="en-US"/>
        </w:rPr>
        <w:t>Naraqi, Ahmad, Mustanad al-Shiʿa fi Ahkam al-Shariʿa, 19 vols. 1st edition, Al al-Bayt Institute, Mashhad, 1415/1995.</w:t>
      </w:r>
    </w:p>
    <w:p>
      <w:pPr>
        <w:pStyle w:val="BookText"/>
        <w:bidi w:val="0"/>
        <w:jc w:val="both"/>
        <w:rPr/>
      </w:pPr>
      <w:r>
        <w:rPr>
          <w:rFonts w:eastAsia="Times New Roman" w:cs="Times New Roman" w:ascii="Times New Roman" w:hAnsi="Times New Roman"/>
          <w:color w:val="111111"/>
          <w:sz w:val="28"/>
          <w:szCs w:val="28"/>
          <w:lang w:val="en-US"/>
        </w:rPr>
        <w:t>Nasr, Sayyid Hasan, Nihayat al-Diraya, ed. Majid al-Gharbawi, Mashʿar Publication, 1935/1975.</w:t>
      </w:r>
    </w:p>
    <w:p>
      <w:pPr>
        <w:pStyle w:val="BookText"/>
        <w:bidi w:val="0"/>
        <w:jc w:val="both"/>
        <w:rPr/>
      </w:pPr>
      <w:r>
        <w:rPr>
          <w:rFonts w:eastAsia="Times New Roman" w:cs="Times New Roman" w:ascii="Times New Roman" w:hAnsi="Times New Roman"/>
          <w:color w:val="111111"/>
          <w:sz w:val="28"/>
          <w:szCs w:val="28"/>
          <w:lang w:val="en-US"/>
        </w:rPr>
        <w:t>Nawawi, Sahih Muslim bi Sharh al-Nawawi (Sharh-i Muslim), 18 vols. Dar al-Kutub al-ʿArabiyya, Beirut, 1407/1987.</w:t>
      </w:r>
    </w:p>
    <w:p>
      <w:pPr>
        <w:pStyle w:val="BookText"/>
        <w:bidi w:val="0"/>
        <w:jc w:val="both"/>
        <w:rPr/>
      </w:pPr>
      <w:r>
        <w:rPr>
          <w:rFonts w:eastAsia="Times New Roman" w:cs="Times New Roman" w:ascii="Times New Roman" w:hAnsi="Times New Roman"/>
          <w:color w:val="111111"/>
          <w:sz w:val="28"/>
          <w:szCs w:val="28"/>
          <w:lang w:val="en-US"/>
        </w:rPr>
        <w:t>Nawawi, Yahya b. Sharaf, Al-Majmuʿ fi Sharh al-Muhadhdhab, 20 vols. Dar al-Fikr, n.d.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Nawawi, Yahya b. Sharaf, Rawdhat al-Talibin, ed. ʿAdil Ahmad</w:t>
      </w:r>
    </w:p>
    <w:p>
      <w:pPr>
        <w:pStyle w:val="BookText"/>
        <w:bidi w:val="0"/>
        <w:rPr/>
      </w:pPr>
      <w:r>
        <w:rPr>
          <w:rFonts w:eastAsia="Times New Roman" w:cs="Times New Roman" w:ascii="Times New Roman" w:hAnsi="Times New Roman"/>
          <w:color w:val="111111"/>
          <w:sz w:val="28"/>
          <w:szCs w:val="28"/>
          <w:lang w:val="en-US"/>
        </w:rPr>
        <w:t>ʿAbd al-Mawjud, 8 vols. Dar al-Kutub al-ʿIlmiyya, n.d.,</w:t>
      </w:r>
    </w:p>
    <w:p>
      <w:pPr>
        <w:pStyle w:val="BookText"/>
        <w:bidi w:val="0"/>
        <w:jc w:val="both"/>
        <w:rPr/>
      </w:pPr>
      <w:r>
        <w:rPr>
          <w:rFonts w:eastAsia="Times New Roman" w:cs="Times New Roman" w:ascii="Times New Roman" w:hAnsi="Times New Roman"/>
          <w:color w:val="111111"/>
          <w:sz w:val="28"/>
          <w:szCs w:val="28"/>
          <w:lang w:val="en-US"/>
        </w:rPr>
        <w:t>Nuri, Sayyid Muhammad Ridha, Taghdhiya-yi Madar wa Kudak, Shahidipur Publication, Mashhad, 1423/2002.</w:t>
      </w:r>
    </w:p>
    <w:p>
      <w:pPr>
        <w:pStyle w:val="BookText"/>
        <w:bidi w:val="0"/>
        <w:jc w:val="both"/>
        <w:rPr/>
      </w:pPr>
      <w:r>
        <w:rPr>
          <w:rFonts w:eastAsia="Times New Roman" w:cs="Times New Roman" w:ascii="Times New Roman" w:hAnsi="Times New Roman"/>
          <w:color w:val="111111"/>
          <w:sz w:val="28"/>
          <w:szCs w:val="28"/>
          <w:lang w:val="en-US"/>
        </w:rPr>
        <w:t>Paknejad, Sayyid Ridha, Avvalin Danishgah va Akhirin Payambar, Shahid Dr. Paknizhad Cultural Foundation, Yazd, 1405/1985.</w:t>
      </w:r>
    </w:p>
    <w:p>
      <w:pPr>
        <w:pStyle w:val="BookText"/>
        <w:bidi w:val="0"/>
        <w:jc w:val="both"/>
        <w:rPr/>
      </w:pPr>
      <w:r>
        <w:rPr>
          <w:rFonts w:eastAsia="Times New Roman" w:cs="Times New Roman" w:ascii="Times New Roman" w:hAnsi="Times New Roman"/>
          <w:color w:val="111111"/>
          <w:sz w:val="28"/>
          <w:szCs w:val="28"/>
          <w:lang w:val="en-US"/>
        </w:rPr>
        <w:t>Qalʿaji, Muhammad, Muʿjam Lughat al-Fuqaha, 2nd edition, Dar al-Nafaʿis, Riyadh, 1408/1988.</w:t>
      </w:r>
    </w:p>
    <w:p>
      <w:pPr>
        <w:pStyle w:val="BookText"/>
        <w:bidi w:val="0"/>
        <w:jc w:val="both"/>
        <w:rPr/>
      </w:pPr>
      <w:r>
        <w:rPr>
          <w:rFonts w:eastAsia="Times New Roman" w:cs="Times New Roman" w:ascii="Times New Roman" w:hAnsi="Times New Roman"/>
          <w:color w:val="111111"/>
          <w:sz w:val="28"/>
          <w:szCs w:val="28"/>
          <w:lang w:val="en-US"/>
        </w:rPr>
        <w:t>Qatifi, Ibrahim b. Sulayman, Al-Siraj al-Wahhaj li Dafʿ ʿIjaj Qatiʿa al-Lijaj, 1st edition, Muʿassisa-yi Nashr-i Islami, Qum, 1413/1990</w:t>
      </w:r>
    </w:p>
    <w:p>
      <w:pPr>
        <w:pStyle w:val="BookText"/>
        <w:bidi w:val="0"/>
        <w:jc w:val="both"/>
        <w:rPr/>
      </w:pPr>
      <w:r>
        <w:rPr>
          <w:rFonts w:eastAsia="Times New Roman" w:cs="Times New Roman" w:ascii="Times New Roman" w:hAnsi="Times New Roman"/>
          <w:color w:val="111111"/>
          <w:sz w:val="28"/>
          <w:szCs w:val="28"/>
          <w:lang w:val="en-US"/>
        </w:rPr>
        <w:t>Qazvini, Muhammad b. Yazid, Sunan-i Ibn Majja, ed. Muhammad Fu’ad ʿAbd al-Baqi, 2 vols. Dar al-Fikr, Beirut, n.d.</w:t>
      </w:r>
    </w:p>
    <w:p>
      <w:pPr>
        <w:pStyle w:val="BookText"/>
        <w:bidi w:val="0"/>
        <w:jc w:val="both"/>
        <w:rPr/>
      </w:pPr>
      <w:r>
        <w:rPr>
          <w:rFonts w:eastAsia="Times New Roman" w:cs="Times New Roman" w:ascii="Times New Roman" w:hAnsi="Times New Roman"/>
          <w:color w:val="111111"/>
          <w:sz w:val="28"/>
          <w:szCs w:val="28"/>
          <w:lang w:val="en-US"/>
        </w:rPr>
        <w:t>Qummi Sabziwari, Shaykh ʿAli, Jamiʿ al-Khilaf wa al-Wifaq bayn al-Imamiyya wa bayn al-Aʿimmat al-Hijaz wa al-ʿIraq, ed. Husayn Husayni Birjandi, 1st edition, Zamina Sazan-i Ẓuhur-i Imam-i ʿAsr (A.S.), 1421/2001.</w:t>
      </w:r>
    </w:p>
    <w:p>
      <w:pPr>
        <w:pStyle w:val="BookText"/>
        <w:bidi w:val="0"/>
        <w:jc w:val="both"/>
        <w:rPr/>
      </w:pPr>
      <w:r>
        <w:rPr>
          <w:rFonts w:eastAsia="Times New Roman" w:cs="Times New Roman" w:ascii="Times New Roman" w:hAnsi="Times New Roman"/>
          <w:color w:val="111111"/>
          <w:sz w:val="28"/>
          <w:szCs w:val="28"/>
          <w:lang w:val="en-US"/>
        </w:rPr>
        <w:t>Qummi, ʿAli b. Ibrahim, Tafsir al-Qummi, ed. Sayyid Tayyib Musawi Jaza’iri, 2 vol. 3rd edition, Dar al-Kutub li al-Tibaʿa wa al-Nashr, Qum, 1404/1984.</w:t>
      </w:r>
    </w:p>
    <w:p>
      <w:pPr>
        <w:pStyle w:val="BookText"/>
        <w:bidi w:val="0"/>
        <w:jc w:val="both"/>
        <w:rPr/>
      </w:pPr>
      <w:r>
        <w:rPr>
          <w:rFonts w:eastAsia="Times New Roman" w:cs="Times New Roman" w:ascii="Times New Roman" w:hAnsi="Times New Roman"/>
          <w:color w:val="111111"/>
          <w:sz w:val="28"/>
          <w:szCs w:val="28"/>
          <w:lang w:val="en-US"/>
        </w:rPr>
        <w:t>Qurashi, ʿAli Akbar, Ahsan al-Hadith, 12 vols. 1st edition, Bunyad Biʿthat, Tehran, 1407/1987.</w:t>
      </w:r>
    </w:p>
    <w:p>
      <w:pPr>
        <w:pStyle w:val="BookText"/>
        <w:bidi w:val="0"/>
        <w:jc w:val="both"/>
        <w:rPr/>
      </w:pPr>
      <w:r>
        <w:rPr>
          <w:rFonts w:eastAsia="Times New Roman" w:cs="Times New Roman" w:ascii="Times New Roman" w:hAnsi="Times New Roman"/>
          <w:color w:val="111111"/>
          <w:sz w:val="28"/>
          <w:szCs w:val="28"/>
          <w:lang w:val="en-US"/>
        </w:rPr>
        <w:t>Qurtubi al-Andulusi, Abu Walid Muhammad b. Ahmad (Ibn Rashid al-Hafid) Bidayat al-Mujtahid wa Nahayat al-Muqtasid, ed. Khalid ʿAttar, 2 vols. Dar al-Fikr, Beirut, 1415/1995.</w:t>
      </w:r>
    </w:p>
    <w:p>
      <w:pPr>
        <w:pStyle w:val="BookText"/>
        <w:bidi w:val="0"/>
        <w:jc w:val="both"/>
        <w:rPr/>
      </w:pPr>
      <w:r>
        <w:rPr>
          <w:rFonts w:eastAsia="Times New Roman" w:cs="Times New Roman" w:ascii="Times New Roman" w:hAnsi="Times New Roman"/>
          <w:color w:val="111111"/>
          <w:sz w:val="28"/>
          <w:szCs w:val="28"/>
          <w:lang w:val="en-US"/>
        </w:rPr>
        <w:t>Qurtubi Ansari, Abu ʿAbd Allah Muhammad b. Ahmad, Tafsir-i Qurtubi (Al-Jamiʿ li-Ahkam al-Qur’an), 20 vols. Dar Ihya’ al-Turath al-ʿArabi, Beirut, 1405/1985.</w:t>
      </w:r>
    </w:p>
    <w:p>
      <w:pPr>
        <w:pStyle w:val="BookText"/>
        <w:bidi w:val="0"/>
        <w:jc w:val="both"/>
        <w:rPr/>
      </w:pPr>
      <w:r>
        <w:rPr>
          <w:rFonts w:eastAsia="Times New Roman" w:cs="Times New Roman" w:ascii="Times New Roman" w:hAnsi="Times New Roman"/>
          <w:color w:val="111111"/>
          <w:sz w:val="28"/>
          <w:szCs w:val="28"/>
          <w:lang w:val="en-US"/>
        </w:rPr>
        <w:t>Qurtubi, Muhammad b. Ahmad, Al-Jamiʿ li-Ahkam al-Qur'an, 20 vols. 2nd edition, Mu’assisat al-Ta’rikh al-ʿArabi, 1405/1985.</w:t>
      </w:r>
    </w:p>
    <w:p>
      <w:pPr>
        <w:pStyle w:val="BookText"/>
        <w:bidi w:val="0"/>
        <w:jc w:val="both"/>
        <w:rPr/>
      </w:pPr>
      <w:r>
        <w:rPr>
          <w:rFonts w:eastAsia="Times New Roman" w:cs="Times New Roman" w:ascii="Times New Roman" w:hAnsi="Times New Roman"/>
          <w:color w:val="111111"/>
          <w:sz w:val="28"/>
          <w:szCs w:val="28"/>
          <w:lang w:val="en-US"/>
        </w:rPr>
        <w:t>Raghib Isfahani, Al-Mufradat fi Gharib al-Qur'an, 1st edition, Daftar-i Nashr-i Kitab, 14704/1984.</w:t>
      </w:r>
    </w:p>
    <w:p>
      <w:pPr>
        <w:pStyle w:val="BookText"/>
        <w:bidi w:val="0"/>
        <w:jc w:val="both"/>
        <w:rPr/>
      </w:pPr>
      <w:r>
        <w:rPr>
          <w:rFonts w:eastAsia="Times New Roman" w:cs="Times New Roman" w:ascii="Times New Roman" w:hAnsi="Times New Roman"/>
          <w:color w:val="111111"/>
          <w:sz w:val="28"/>
          <w:szCs w:val="28"/>
          <w:lang w:val="en-US"/>
        </w:rPr>
        <w:t>Rawandi, Fadhlullah, al-Nawadir, ed. Saʿid Ridha ʿAli ʿAskari, 1st edition, Dar al-Hadith, 1407/1987.</w:t>
      </w:r>
    </w:p>
    <w:p>
      <w:pPr>
        <w:pStyle w:val="BookText"/>
        <w:bidi w:val="0"/>
        <w:jc w:val="both"/>
        <w:rPr/>
      </w:pPr>
      <w:r>
        <w:rPr>
          <w:rFonts w:eastAsia="Times New Roman" w:cs="Times New Roman" w:ascii="Times New Roman" w:hAnsi="Times New Roman"/>
          <w:color w:val="111111"/>
          <w:sz w:val="28"/>
          <w:szCs w:val="28"/>
          <w:lang w:val="en-US"/>
        </w:rPr>
        <w:t>Rawandi, Qutb al-Din, Fiqh al-Qur'an, 2 vols. 2nd edition, Ayatollah Mar‘ashi Library, Qum, 1405/1984.</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Ruhani, Sayyid Muhammad Sadiq, Fiqh al-Sadiq fi Sharh al-Tabsira, 26 vols. 3rd edition, Mu’assisa-yi Dar al-Kitab, Qum,</w:t>
      </w:r>
    </w:p>
    <w:p>
      <w:pPr>
        <w:pStyle w:val="BookText"/>
        <w:bidi w:val="0"/>
        <w:rPr/>
      </w:pPr>
      <w:r>
        <w:rPr>
          <w:rFonts w:eastAsia="Times New Roman" w:cs="Times New Roman" w:ascii="Times New Roman" w:hAnsi="Times New Roman"/>
          <w:color w:val="111111"/>
          <w:sz w:val="28"/>
          <w:szCs w:val="28"/>
          <w:lang w:val="en-US"/>
        </w:rPr>
        <w:t>1412/1991.</w:t>
      </w:r>
    </w:p>
    <w:p>
      <w:pPr>
        <w:pStyle w:val="BookText"/>
        <w:bidi w:val="0"/>
        <w:jc w:val="both"/>
        <w:rPr/>
      </w:pPr>
      <w:r>
        <w:rPr>
          <w:rFonts w:eastAsia="Times New Roman" w:cs="Times New Roman" w:ascii="Times New Roman" w:hAnsi="Times New Roman"/>
          <w:color w:val="111111"/>
          <w:sz w:val="28"/>
          <w:szCs w:val="28"/>
          <w:lang w:val="en-US"/>
        </w:rPr>
        <w:t>Sabziwari, Muhammad, Al-Jadid fi Tafsir al-Qur'an, 1st edition, 7 vols. Dar al-Hadith, Beirut, 1415/1995.</w:t>
      </w:r>
    </w:p>
    <w:p>
      <w:pPr>
        <w:pStyle w:val="BookText"/>
        <w:bidi w:val="0"/>
        <w:jc w:val="both"/>
        <w:rPr/>
      </w:pPr>
      <w:r>
        <w:rPr>
          <w:rFonts w:eastAsia="Times New Roman" w:cs="Times New Roman" w:ascii="Times New Roman" w:hAnsi="Times New Roman"/>
          <w:color w:val="111111"/>
          <w:sz w:val="28"/>
          <w:szCs w:val="28"/>
          <w:lang w:val="en-US"/>
        </w:rPr>
        <w:t>Sabziwari, Muhammad Baqir b. Mu’min, Kifayat al-Ahkam, Isfahan, n.d</w:t>
      </w:r>
    </w:p>
    <w:p>
      <w:pPr>
        <w:pStyle w:val="BookText"/>
        <w:bidi w:val="0"/>
        <w:jc w:val="both"/>
        <w:rPr/>
      </w:pPr>
      <w:r>
        <w:rPr>
          <w:rFonts w:eastAsia="Times New Roman" w:cs="Times New Roman" w:ascii="Times New Roman" w:hAnsi="Times New Roman"/>
          <w:color w:val="111111"/>
          <w:sz w:val="28"/>
          <w:szCs w:val="28"/>
          <w:lang w:val="en-US"/>
        </w:rPr>
        <w:t>Sanʿani, ʿAbd al-Razzaq, Al-Musannaf, ed. Habib al-Rahman Aʿzami, 11 vols. 2nd edition, Jamiʿa-yi Mudarrisin, Qum, 1404/1984.</w:t>
      </w:r>
    </w:p>
    <w:p>
      <w:pPr>
        <w:pStyle w:val="BookText"/>
        <w:bidi w:val="0"/>
        <w:jc w:val="both"/>
        <w:rPr/>
      </w:pPr>
      <w:r>
        <w:rPr>
          <w:rFonts w:eastAsia="Times New Roman" w:cs="Times New Roman" w:ascii="Times New Roman" w:hAnsi="Times New Roman"/>
          <w:color w:val="111111"/>
          <w:sz w:val="28"/>
          <w:szCs w:val="28"/>
          <w:lang w:val="en-US"/>
        </w:rPr>
        <w:t>Sayyid Sabiq, Fiqh al-Sunna, 3-vols. Dar al-Kutub al-ʿArabiyya, Berut, n.d.</w:t>
      </w:r>
    </w:p>
    <w:p>
      <w:pPr>
        <w:pStyle w:val="BookText"/>
        <w:bidi w:val="0"/>
        <w:jc w:val="both"/>
        <w:rPr/>
      </w:pPr>
      <w:r>
        <w:rPr>
          <w:rFonts w:eastAsia="Times New Roman" w:cs="Times New Roman" w:ascii="Times New Roman" w:hAnsi="Times New Roman"/>
          <w:color w:val="111111"/>
          <w:sz w:val="28"/>
          <w:szCs w:val="28"/>
          <w:lang w:val="en-US"/>
        </w:rPr>
        <w:t>Shafiʿi, Abu ʿAbd Allah Muhammad b. Idris, Al-Umm, 8 vols. 2nd edition, Dar al-Fikr, Beirut, 1403/1983.</w:t>
      </w:r>
    </w:p>
    <w:p>
      <w:pPr>
        <w:pStyle w:val="BookText"/>
        <w:bidi w:val="0"/>
        <w:jc w:val="both"/>
        <w:rPr/>
      </w:pPr>
      <w:r>
        <w:rPr>
          <w:rFonts w:eastAsia="Times New Roman" w:cs="Times New Roman" w:ascii="Times New Roman" w:hAnsi="Times New Roman"/>
          <w:color w:val="111111"/>
          <w:sz w:val="28"/>
          <w:szCs w:val="28"/>
          <w:lang w:val="en-US"/>
        </w:rPr>
        <w:t>Shahid Awwal, Muhammad b. Makki ʿAmili, Al-Lumʿat al-Damishqiyya, 1st edition, Dar al-Fikr, Qum, 1411/1990.</w:t>
      </w:r>
    </w:p>
    <w:p>
      <w:pPr>
        <w:pStyle w:val="BookText"/>
        <w:bidi w:val="0"/>
        <w:jc w:val="both"/>
        <w:rPr/>
      </w:pPr>
      <w:r>
        <w:rPr>
          <w:rFonts w:eastAsia="Times New Roman" w:cs="Times New Roman" w:ascii="Times New Roman" w:hAnsi="Times New Roman"/>
          <w:color w:val="111111"/>
          <w:sz w:val="28"/>
          <w:szCs w:val="28"/>
          <w:lang w:val="en-US"/>
        </w:rPr>
        <w:t>Shahid Awwal, Muhammad b. Makki ʿAmili, Al-Qawaʿid wa al-Fawa’id fi al-Fiqh wa al-Usul wa al-ʿArabiyya, ed. Sayyid ʿAbd al-Hadi Hakim, 2 vols. Maktibat al-Mufid, n.d.</w:t>
      </w:r>
    </w:p>
    <w:p>
      <w:pPr>
        <w:pStyle w:val="BookText"/>
        <w:bidi w:val="0"/>
        <w:jc w:val="both"/>
        <w:rPr/>
      </w:pPr>
      <w:r>
        <w:rPr>
          <w:rFonts w:eastAsia="Times New Roman" w:cs="Times New Roman" w:ascii="Times New Roman" w:hAnsi="Times New Roman"/>
          <w:color w:val="111111"/>
          <w:sz w:val="28"/>
          <w:szCs w:val="28"/>
          <w:lang w:val="en-US"/>
        </w:rPr>
        <w:t>Shahid Thani, Zayn al-Din b. ʿAli ʿAmili, Al-Durus al-Shar‘iyya fi Fiqh al-Imamiyya, 3 vols. 1st edition, al-Nashr al-Islamiyya Publication, Qum, 1412/1991.</w:t>
      </w:r>
    </w:p>
    <w:p>
      <w:pPr>
        <w:pStyle w:val="BookText"/>
        <w:bidi w:val="0"/>
        <w:jc w:val="both"/>
        <w:rPr/>
      </w:pPr>
      <w:r>
        <w:rPr>
          <w:rFonts w:eastAsia="Times New Roman" w:cs="Times New Roman" w:ascii="Times New Roman" w:hAnsi="Times New Roman"/>
          <w:color w:val="111111"/>
          <w:sz w:val="28"/>
          <w:szCs w:val="28"/>
          <w:lang w:val="en-US"/>
        </w:rPr>
        <w:t>Shahid Thani, Zayn al-Din b. ʿAli ʿAmili, Al-Rawdhat al-Bihiyya fi Sharh al-Lumʿat al-Damishqiyya, 10 vols., 2nd edition, Dawudi Publication, Qum, 1398/1978.</w:t>
      </w:r>
    </w:p>
    <w:p>
      <w:pPr>
        <w:pStyle w:val="BookText"/>
        <w:bidi w:val="0"/>
        <w:jc w:val="both"/>
        <w:rPr/>
      </w:pPr>
      <w:r>
        <w:rPr>
          <w:rFonts w:eastAsia="Times New Roman" w:cs="Times New Roman" w:ascii="Times New Roman" w:hAnsi="Times New Roman"/>
          <w:color w:val="111111"/>
          <w:sz w:val="28"/>
          <w:szCs w:val="28"/>
          <w:lang w:val="en-US"/>
        </w:rPr>
        <w:t>Shahid Thani, Zayn al-Din b. ʿAli ʿAmili, Masalik al-Afham ila Tanqih Shara’iʿ al-Islam, Mu’assisa Maarif Islami, Qum, 1413/1993.</w:t>
      </w:r>
    </w:p>
    <w:p>
      <w:pPr>
        <w:pStyle w:val="BookText"/>
        <w:bidi w:val="0"/>
        <w:jc w:val="both"/>
        <w:rPr/>
      </w:pPr>
      <w:r>
        <w:rPr>
          <w:rFonts w:eastAsia="Times New Roman" w:cs="Times New Roman" w:ascii="Times New Roman" w:hAnsi="Times New Roman"/>
          <w:color w:val="111111"/>
          <w:sz w:val="28"/>
          <w:szCs w:val="28"/>
          <w:lang w:val="en-US"/>
        </w:rPr>
        <w:t>Sharbini, Muhammad, Mughni al-Muhtaj ila Maʿrifat Maʿani Alfaz al-Minhaj, 4 vols. Dar Ihya’ al-Turath al-ʿArabi, Beirut, 1377/1958.</w:t>
      </w:r>
    </w:p>
    <w:p>
      <w:pPr>
        <w:pStyle w:val="BookText"/>
        <w:bidi w:val="0"/>
        <w:jc w:val="both"/>
        <w:rPr/>
      </w:pPr>
      <w:r>
        <w:rPr>
          <w:rFonts w:eastAsia="Times New Roman" w:cs="Times New Roman" w:ascii="Times New Roman" w:hAnsi="Times New Roman"/>
          <w:color w:val="111111"/>
          <w:sz w:val="28"/>
          <w:szCs w:val="28"/>
          <w:lang w:val="en-US"/>
        </w:rPr>
        <w:t>Sharif Lahiji, Shaykh ʿAli, Tafsir-i Sharif-i Lahiji, Mu’assisa Matbuʿati ʿIlmi, 1363 sh/1984.</w:t>
      </w:r>
    </w:p>
    <w:p>
      <w:pPr>
        <w:pStyle w:val="BookText"/>
        <w:bidi w:val="0"/>
        <w:jc w:val="both"/>
        <w:rPr/>
      </w:pPr>
      <w:r>
        <w:rPr>
          <w:rFonts w:eastAsia="Times New Roman" w:cs="Times New Roman" w:ascii="Times New Roman" w:hAnsi="Times New Roman"/>
          <w:color w:val="111111"/>
          <w:sz w:val="28"/>
          <w:szCs w:val="28"/>
          <w:lang w:val="en-US"/>
        </w:rPr>
        <w:t>Shashi, Muhammad b. Ahmad, Hilyat al-ʿUlama fi Maʿrifat Madhahib al-Fuqaha, Risalat Institute, Beirut, 1400/1980.</w:t>
      </w:r>
    </w:p>
    <w:p>
      <w:pPr>
        <w:pStyle w:val="BookText"/>
        <w:bidi w:val="0"/>
        <w:jc w:val="both"/>
        <w:rPr/>
      </w:pPr>
      <w:r>
        <w:rPr>
          <w:rFonts w:eastAsia="Times New Roman" w:cs="Times New Roman" w:ascii="Times New Roman" w:hAnsi="Times New Roman"/>
          <w:color w:val="111111"/>
          <w:sz w:val="28"/>
          <w:szCs w:val="28"/>
          <w:lang w:val="en-US"/>
        </w:rPr>
        <w:t>Shawkani, Muhammad b. ʿAli, Fath al-Qadir al-Jamiʿ bayn Fanni al-Riwaya wa al-Diraya min ʿIlm al-Tafsir, 5 vols. ʿAlam al-Kutub, Beyrut, n.d.</w:t>
      </w:r>
    </w:p>
    <w:p>
      <w:pPr>
        <w:pStyle w:val="BookText"/>
        <w:bidi w:val="0"/>
        <w:jc w:val="both"/>
        <w:rPr/>
      </w:pPr>
      <w:r>
        <w:rPr>
          <w:rFonts w:eastAsia="Times New Roman" w:cs="Times New Roman" w:ascii="Times New Roman" w:hAnsi="Times New Roman"/>
          <w:color w:val="111111"/>
          <w:sz w:val="28"/>
          <w:szCs w:val="28"/>
          <w:lang w:val="en-US"/>
        </w:rPr>
        <w:t>Shawkani, Muhammad b. ʿAli, Nayl al-Awtar min Hadith Sayyid al-Akhyar, 9 vols. Dar al-Jil, Beirut, 1393/1973.</w:t>
      </w:r>
    </w:p>
    <w:p>
      <w:pPr>
        <w:pStyle w:val="BookText"/>
        <w:bidi w:val="0"/>
        <w:jc w:val="both"/>
        <w:rPr/>
      </w:pPr>
      <w:r>
        <w:rPr>
          <w:rFonts w:eastAsia="Times New Roman" w:cs="Times New Roman" w:ascii="Times New Roman" w:hAnsi="Times New Roman"/>
          <w:color w:val="111111"/>
          <w:sz w:val="28"/>
          <w:szCs w:val="28"/>
          <w:lang w:val="en-US"/>
        </w:rPr>
        <w:t>Shaybani, Muhammad b. Hasan, Nahj al-Bayan ʿan Kashf-i Maʿani al-Qur’an, 1st edition, Da’irat al-Maʿarif al-Islamiyya Publication, Tehran, 1413/1993.</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Shirazi, Sayyid</w:t>
      </w:r>
    </w:p>
    <w:p>
      <w:pPr>
        <w:pStyle w:val="BookText"/>
        <w:bidi w:val="0"/>
        <w:rPr/>
      </w:pPr>
      <w:r>
        <w:rPr>
          <w:rFonts w:eastAsia="Times New Roman" w:cs="Times New Roman" w:ascii="Times New Roman" w:hAnsi="Times New Roman"/>
          <w:color w:val="111111"/>
          <w:sz w:val="28"/>
          <w:szCs w:val="28"/>
          <w:lang w:val="en-US"/>
        </w:rPr>
        <w:t>Muhammad Husayn, Taqrib al-Quran ila al-Adhhan, al-Wafa’ Publication, Beirut, 1400/1980.</w:t>
      </w:r>
    </w:p>
    <w:p>
      <w:pPr>
        <w:pStyle w:val="BookText"/>
        <w:bidi w:val="0"/>
        <w:jc w:val="both"/>
        <w:rPr/>
      </w:pPr>
      <w:r>
        <w:rPr>
          <w:rFonts w:eastAsia="Times New Roman" w:cs="Times New Roman" w:ascii="Times New Roman" w:hAnsi="Times New Roman"/>
          <w:color w:val="111111"/>
          <w:sz w:val="28"/>
          <w:szCs w:val="28"/>
          <w:lang w:val="en-US"/>
        </w:rPr>
        <w:t>Shubbar, Sayyid ʿAbd Allah, Al-Jawhar al-Thamin fi Tafsir al-Kitab al-Mubin, 6 vols., 1st edition, Maktibat al-Alfayn, 1407/1987.</w:t>
      </w:r>
    </w:p>
    <w:p>
      <w:pPr>
        <w:pStyle w:val="BookText"/>
        <w:bidi w:val="0"/>
        <w:jc w:val="both"/>
        <w:rPr/>
      </w:pPr>
      <w:r>
        <w:rPr>
          <w:rFonts w:eastAsia="Times New Roman" w:cs="Times New Roman" w:ascii="Times New Roman" w:hAnsi="Times New Roman"/>
          <w:color w:val="111111"/>
          <w:sz w:val="28"/>
          <w:szCs w:val="28"/>
          <w:lang w:val="en-US"/>
        </w:rPr>
        <w:t>Suyuti, Jalal al-Din, Al-Jamiʿ al-Saqir fi Ahadith al-Bashir al-Nadhir, 2 vols. 1st edition, Dar al-Fikr, Beirut, 1401/1981.</w:t>
      </w:r>
    </w:p>
    <w:p>
      <w:pPr>
        <w:pStyle w:val="BookText"/>
        <w:bidi w:val="0"/>
        <w:jc w:val="both"/>
        <w:rPr/>
      </w:pPr>
      <w:r>
        <w:rPr>
          <w:rFonts w:eastAsia="Times New Roman" w:cs="Times New Roman" w:ascii="Times New Roman" w:hAnsi="Times New Roman"/>
          <w:color w:val="111111"/>
          <w:sz w:val="28"/>
          <w:szCs w:val="28"/>
          <w:lang w:val="en-US"/>
        </w:rPr>
        <w:t>Suyuti, Jalal al-Din, Al-Durr al-Manthur fi Tafsir bi al-Ma’thur, Dar al-Fikr, 1403.</w:t>
      </w:r>
    </w:p>
    <w:p>
      <w:pPr>
        <w:pStyle w:val="BookText"/>
        <w:bidi w:val="0"/>
        <w:jc w:val="both"/>
        <w:rPr/>
      </w:pPr>
      <w:r>
        <w:rPr>
          <w:rFonts w:eastAsia="Times New Roman" w:cs="Times New Roman" w:ascii="Times New Roman" w:hAnsi="Times New Roman"/>
          <w:color w:val="111111"/>
          <w:sz w:val="28"/>
          <w:szCs w:val="28"/>
          <w:lang w:val="en-US"/>
        </w:rPr>
        <w:t>Tabari, Muhammad b. Jarir, Jamiʿ al-Bayan ʿan Ta’wil Aya al-Qur'an, ed. Sidqi Jamil al-ʿAttar, 30 vols. Dar al-Fikr, Beirut, 1379/1960.</w:t>
      </w:r>
    </w:p>
    <w:p>
      <w:pPr>
        <w:pStyle w:val="BookText"/>
        <w:bidi w:val="0"/>
        <w:jc w:val="both"/>
        <w:rPr/>
      </w:pPr>
      <w:r>
        <w:rPr>
          <w:rFonts w:eastAsia="Times New Roman" w:cs="Times New Roman" w:ascii="Times New Roman" w:hAnsi="Times New Roman"/>
          <w:color w:val="111111"/>
          <w:sz w:val="28"/>
          <w:szCs w:val="28"/>
          <w:lang w:val="en-US"/>
        </w:rPr>
        <w:t>Tabarsi, Fadhl b. Husayn, Majmaʿ al-Bayan fi Tafsir al-Qur’an, 10 vols. Dar Ihya al-Turath al-ʿArabi, 1379/1960.</w:t>
      </w:r>
    </w:p>
    <w:p>
      <w:pPr>
        <w:pStyle w:val="BookText"/>
        <w:bidi w:val="0"/>
        <w:jc w:val="both"/>
        <w:rPr/>
      </w:pPr>
      <w:r>
        <w:rPr>
          <w:rFonts w:eastAsia="Times New Roman" w:cs="Times New Roman" w:ascii="Times New Roman" w:hAnsi="Times New Roman"/>
          <w:color w:val="111111"/>
          <w:sz w:val="28"/>
          <w:szCs w:val="28"/>
          <w:lang w:val="en-US"/>
        </w:rPr>
        <w:t>Tabataba’i, Muhammad Husayn, Al-Mizan fi Tafsir al-Qur'an, Ismaʿiliyan Institute, Qum, 1393/1973.</w:t>
      </w:r>
    </w:p>
    <w:p>
      <w:pPr>
        <w:pStyle w:val="BookText"/>
        <w:bidi w:val="0"/>
        <w:jc w:val="both"/>
        <w:rPr/>
      </w:pPr>
      <w:r>
        <w:rPr>
          <w:rFonts w:eastAsia="Times New Roman" w:cs="Times New Roman" w:ascii="Times New Roman" w:hAnsi="Times New Roman"/>
          <w:color w:val="111111"/>
          <w:sz w:val="28"/>
          <w:szCs w:val="28"/>
          <w:lang w:val="en-US"/>
        </w:rPr>
        <w:t>Tabataba’i, Sayyid ʿAli, Riyadh al-Masa’il fi Bayan al-Ahkam bi al-Dala’il, 2 vols. Al al-Bayt Institute, Qum, 1404/1983.</w:t>
      </w:r>
    </w:p>
    <w:p>
      <w:pPr>
        <w:pStyle w:val="BookText"/>
        <w:bidi w:val="0"/>
        <w:jc w:val="both"/>
        <w:rPr/>
      </w:pPr>
      <w:r>
        <w:rPr>
          <w:rFonts w:eastAsia="Times New Roman" w:cs="Times New Roman" w:ascii="Times New Roman" w:hAnsi="Times New Roman"/>
          <w:color w:val="111111"/>
          <w:sz w:val="28"/>
          <w:szCs w:val="28"/>
          <w:lang w:val="en-US"/>
        </w:rPr>
        <w:t>Tabataba’i, Sayyid Muhammad Kazim, Al-ʿUrwat al-Wuthqa wa Takmilatuha, 2 vols. 2nd edition, Mu’assisa-yi Aʿlami, Beirut, 1409/1988.</w:t>
      </w:r>
    </w:p>
    <w:p>
      <w:pPr>
        <w:pStyle w:val="BookText"/>
        <w:bidi w:val="0"/>
        <w:jc w:val="both"/>
        <w:rPr/>
      </w:pPr>
      <w:r>
        <w:rPr>
          <w:rFonts w:eastAsia="Times New Roman" w:cs="Times New Roman" w:ascii="Times New Roman" w:hAnsi="Times New Roman"/>
          <w:color w:val="111111"/>
          <w:sz w:val="28"/>
          <w:szCs w:val="28"/>
          <w:lang w:val="en-US"/>
        </w:rPr>
        <w:t>Taliqani, Sayyid Mahmud, Partuwi az Qur'an, Shirkat Sihami Intishar, 1399/1979.</w:t>
      </w:r>
    </w:p>
    <w:p>
      <w:pPr>
        <w:pStyle w:val="BookText"/>
        <w:bidi w:val="0"/>
        <w:jc w:val="both"/>
        <w:rPr/>
      </w:pPr>
      <w:r>
        <w:rPr>
          <w:rFonts w:eastAsia="Times New Roman" w:cs="Times New Roman" w:ascii="Times New Roman" w:hAnsi="Times New Roman"/>
          <w:color w:val="111111"/>
          <w:sz w:val="28"/>
          <w:szCs w:val="28"/>
          <w:lang w:val="en-US"/>
        </w:rPr>
        <w:t>Tamimi Maghribi, Qadhi Abu Hanifa Nuʿman b. Muhammad, Sharh al-Akhbar fi Fadha’il al-A’immat al-Athar, ed. Sayyid Muhammad Husayni, 3 vols. Muʿassisat al-Nashr al-Islami, Qum, n.d.</w:t>
      </w:r>
    </w:p>
    <w:p>
      <w:pPr>
        <w:pStyle w:val="BookText"/>
        <w:bidi w:val="0"/>
        <w:jc w:val="both"/>
        <w:rPr/>
      </w:pPr>
      <w:r>
        <w:rPr>
          <w:rFonts w:eastAsia="Times New Roman" w:cs="Times New Roman" w:ascii="Times New Roman" w:hAnsi="Times New Roman"/>
          <w:color w:val="111111"/>
          <w:sz w:val="28"/>
          <w:szCs w:val="28"/>
          <w:lang w:val="en-US"/>
        </w:rPr>
        <w:t>Tamimi, Nuʿman b. Muhammad, Daʿa’im al-Islam wa Dhikr Halal wa al-Haram wa al-Qadhaya wa al-Ahkam ʿan Ahl-i Bayt Rasul Allah ʿAlyhi wa ʿAlayhim Afdhal al-Salam, 2 vols. Dar al-Maʿarif, Egypt, 1383/1963.</w:t>
      </w:r>
    </w:p>
    <w:p>
      <w:pPr>
        <w:pStyle w:val="BookText"/>
        <w:bidi w:val="0"/>
        <w:jc w:val="both"/>
        <w:rPr/>
      </w:pPr>
      <w:r>
        <w:rPr>
          <w:rFonts w:eastAsia="Times New Roman" w:cs="Times New Roman" w:ascii="Times New Roman" w:hAnsi="Times New Roman"/>
          <w:color w:val="111111"/>
          <w:sz w:val="28"/>
          <w:szCs w:val="28"/>
          <w:lang w:val="en-US"/>
        </w:rPr>
        <w:t>Tawhidi Tabeizi, Muhammad ʿAli, Misbah al-Fiqaha, 7 vols. 3rd edition, Qum, Matbaʿa al-Sayyid al-Shuhada, 1412/1992.</w:t>
      </w:r>
    </w:p>
    <w:p>
      <w:pPr>
        <w:pStyle w:val="BookText"/>
        <w:bidi w:val="0"/>
        <w:jc w:val="both"/>
        <w:rPr/>
      </w:pPr>
      <w:r>
        <w:rPr>
          <w:rFonts w:eastAsia="Times New Roman" w:cs="Times New Roman" w:ascii="Times New Roman" w:hAnsi="Times New Roman"/>
          <w:color w:val="111111"/>
          <w:sz w:val="28"/>
          <w:szCs w:val="28"/>
          <w:lang w:val="en-US"/>
        </w:rPr>
        <w:t>Thaʿalibi, ʿAbd al-Rahman, Al-Jawahir al-Hisan fi Tafsir al-Qur’an, ed. ʿAbd al-Fattah Abu Sunna, 1st edition, Dar Ihya’ al-Turath al-ʿArabi, Beirut, 1415/1994.</w:t>
      </w:r>
    </w:p>
    <w:p>
      <w:pPr>
        <w:pStyle w:val="BookText"/>
        <w:bidi w:val="0"/>
        <w:jc w:val="both"/>
        <w:rPr/>
      </w:pPr>
      <w:r>
        <w:rPr>
          <w:rFonts w:eastAsia="Times New Roman" w:cs="Times New Roman" w:ascii="Times New Roman" w:hAnsi="Times New Roman"/>
          <w:color w:val="111111"/>
          <w:sz w:val="28"/>
          <w:szCs w:val="28"/>
          <w:lang w:val="en-US"/>
        </w:rPr>
        <w:t>Turayhi, Fakhar al-Din, Majmaʿ al-Bahrayn, ed. Sayyid Ahmad Husayni, 4 vols. 2nd edition, Maktab al-Nashr al-Thiqafat al-Islamitta, 1405/1985.</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Tusi, Abu Jaʿfar</w:t>
      </w:r>
    </w:p>
    <w:p>
      <w:pPr>
        <w:pStyle w:val="BookText"/>
        <w:bidi w:val="0"/>
        <w:rPr/>
      </w:pPr>
      <w:r>
        <w:rPr>
          <w:rFonts w:eastAsia="Times New Roman" w:cs="Times New Roman" w:ascii="Times New Roman" w:hAnsi="Times New Roman"/>
          <w:color w:val="111111"/>
          <w:sz w:val="28"/>
          <w:szCs w:val="28"/>
          <w:lang w:val="en-US"/>
        </w:rPr>
        <w:t>Muhammad b. Hasan, Al-Istibsar fi Makhtalafa min al-Akhbar, ed. Sayyid Hasan al-Khirsan, 4 vols. 4th edition, Dar al-Kutub al-Islamiyya, Tehran, 1405/1985.</w:t>
      </w:r>
    </w:p>
    <w:p>
      <w:pPr>
        <w:pStyle w:val="BookText"/>
        <w:bidi w:val="0"/>
        <w:jc w:val="both"/>
        <w:rPr/>
      </w:pPr>
      <w:r>
        <w:rPr>
          <w:rFonts w:eastAsia="Times New Roman" w:cs="Times New Roman" w:ascii="Times New Roman" w:hAnsi="Times New Roman"/>
          <w:color w:val="111111"/>
          <w:sz w:val="28"/>
          <w:szCs w:val="28"/>
          <w:lang w:val="en-US"/>
        </w:rPr>
        <w:t>Tusi, Abu Jaʿfar Muhammad b. Hasan, Al-Khilaf, ed. Sayyid ‘Ali al-Khurasani, 6 vols. 1st edition, Nashr-i Islami Publication Qum, 1407/1987.</w:t>
      </w:r>
    </w:p>
    <w:p>
      <w:pPr>
        <w:pStyle w:val="BookText"/>
        <w:bidi w:val="0"/>
        <w:jc w:val="both"/>
        <w:rPr/>
      </w:pPr>
      <w:r>
        <w:rPr>
          <w:rFonts w:eastAsia="Times New Roman" w:cs="Times New Roman" w:ascii="Times New Roman" w:hAnsi="Times New Roman"/>
          <w:color w:val="111111"/>
          <w:sz w:val="28"/>
          <w:szCs w:val="28"/>
          <w:lang w:val="en-US"/>
        </w:rPr>
        <w:t>Tusi, Abu Jaʿfar Muhammad b. Hasan, Al-Mabsut fi fiqh al-Imamiyya, ed. Muhammad Tqi Kashfi, 8vols, Al-Maktabat al-Murtadhawiyya, Tehran, 1387/1967.</w:t>
      </w:r>
    </w:p>
    <w:p>
      <w:pPr>
        <w:pStyle w:val="BookText"/>
        <w:bidi w:val="0"/>
        <w:jc w:val="both"/>
        <w:rPr/>
      </w:pPr>
      <w:r>
        <w:rPr>
          <w:rFonts w:eastAsia="Times New Roman" w:cs="Times New Roman" w:ascii="Times New Roman" w:hAnsi="Times New Roman"/>
          <w:color w:val="111111"/>
          <w:sz w:val="28"/>
          <w:szCs w:val="28"/>
          <w:lang w:val="en-US"/>
        </w:rPr>
        <w:t>Tusi, Abu Jaʿfar Muhammad b. Hasan, Al-Nihaya fi Mujarrad al-Fiqh wa al-Fatawa, Dar al-Andulus, Beirut, n.d.</w:t>
      </w:r>
    </w:p>
    <w:p>
      <w:pPr>
        <w:pStyle w:val="BookText"/>
        <w:bidi w:val="0"/>
        <w:jc w:val="both"/>
        <w:rPr/>
      </w:pPr>
      <w:r>
        <w:rPr>
          <w:rFonts w:eastAsia="Times New Roman" w:cs="Times New Roman" w:ascii="Times New Roman" w:hAnsi="Times New Roman"/>
          <w:color w:val="111111"/>
          <w:sz w:val="28"/>
          <w:szCs w:val="28"/>
          <w:lang w:val="en-US"/>
        </w:rPr>
        <w:t>Tusi, Abu Jaʿfar Muhammad b. Hasan, Al-Tibyan fi Tafsir al-Qur'an, ed. Ahmad Habib Qaysar ʿAmili, 10 vol. 1st edition, Dar Ihya’ al-Turath al-ʿArabi, Beirut, 1409/1989.</w:t>
      </w:r>
    </w:p>
    <w:p>
      <w:pPr>
        <w:pStyle w:val="BookText"/>
        <w:bidi w:val="0"/>
        <w:jc w:val="both"/>
        <w:rPr/>
      </w:pPr>
      <w:r>
        <w:rPr>
          <w:rFonts w:eastAsia="Times New Roman" w:cs="Times New Roman" w:ascii="Times New Roman" w:hAnsi="Times New Roman"/>
          <w:color w:val="111111"/>
          <w:sz w:val="28"/>
          <w:szCs w:val="28"/>
          <w:lang w:val="en-US"/>
        </w:rPr>
        <w:t>Tusi, Abu Jaʿfar Muhammad b. Hasan, Tahdhib al-Ahkam fi Sharh al-Muqniʿa, ed. Akhundi, 10 vols. 4th edition, Al-Maktabat al-Murtadhawiyya, Tehran, 1387/1967.</w:t>
      </w:r>
    </w:p>
    <w:p>
      <w:pPr>
        <w:pStyle w:val="BookText"/>
        <w:bidi w:val="0"/>
        <w:jc w:val="both"/>
        <w:rPr/>
      </w:pPr>
      <w:r>
        <w:rPr>
          <w:rFonts w:eastAsia="Times New Roman" w:cs="Times New Roman" w:ascii="Times New Roman" w:hAnsi="Times New Roman"/>
          <w:color w:val="111111"/>
          <w:sz w:val="28"/>
          <w:szCs w:val="28"/>
          <w:lang w:val="en-US"/>
        </w:rPr>
        <w:t>Tusi, Abu Jaʿfar Muhammad b. Hasan, Tusi, Al-Amali, ed. Biʿthat Institute, 1st edition Dar al-Thiqafa, Qum, 1414/1993.</w:t>
      </w:r>
    </w:p>
    <w:p>
      <w:pPr>
        <w:pStyle w:val="BookText"/>
        <w:bidi w:val="0"/>
        <w:jc w:val="both"/>
        <w:rPr/>
      </w:pPr>
      <w:r>
        <w:rPr>
          <w:rFonts w:eastAsia="Times New Roman" w:cs="Times New Roman" w:ascii="Times New Roman" w:hAnsi="Times New Roman"/>
          <w:color w:val="111111"/>
          <w:sz w:val="28"/>
          <w:szCs w:val="28"/>
          <w:lang w:val="en-US"/>
        </w:rPr>
        <w:t>Wahid Bihbahani, Muhammad Baqir, Hashiya Majmaʿ al-Fa’ida wa al-Burhan, 1st edition, ʿAllama Wahid Bihbahani Institute, 1417/1996.</w:t>
      </w:r>
    </w:p>
    <w:p>
      <w:pPr>
        <w:pStyle w:val="BookText"/>
        <w:bidi w:val="0"/>
        <w:jc w:val="both"/>
        <w:rPr/>
      </w:pPr>
      <w:r>
        <w:rPr>
          <w:rFonts w:eastAsia="Times New Roman" w:cs="Times New Roman" w:ascii="Times New Roman" w:hAnsi="Times New Roman"/>
          <w:color w:val="111111"/>
          <w:sz w:val="28"/>
          <w:szCs w:val="28"/>
          <w:lang w:val="en-US"/>
        </w:rPr>
        <w:t>Waʿiz Kashifi, Husayn, Tafsir-i Mawahibun ʿAlayh, 4 vols. 1st edition, Iqbal Bookstore, Tehran, 1357/1938.</w:t>
      </w:r>
    </w:p>
    <w:p>
      <w:pPr>
        <w:pStyle w:val="BookText"/>
        <w:bidi w:val="0"/>
        <w:jc w:val="both"/>
        <w:rPr/>
      </w:pPr>
      <w:r>
        <w:rPr>
          <w:rFonts w:eastAsia="Times New Roman" w:cs="Times New Roman" w:ascii="Times New Roman" w:hAnsi="Times New Roman"/>
          <w:color w:val="111111"/>
          <w:sz w:val="28"/>
          <w:szCs w:val="28"/>
          <w:lang w:val="en-US"/>
        </w:rPr>
        <w:t>Williams, Pregnancy and Childbirth, tras. Bahram Qadhi Jahani, 21st ed, Golban Publication.</w:t>
      </w:r>
    </w:p>
    <w:p>
      <w:pPr>
        <w:pStyle w:val="BookText"/>
        <w:bidi w:val="0"/>
        <w:jc w:val="both"/>
        <w:rPr/>
      </w:pPr>
      <w:r>
        <w:rPr>
          <w:rFonts w:eastAsia="Times New Roman" w:cs="Times New Roman" w:ascii="Times New Roman" w:hAnsi="Times New Roman"/>
          <w:color w:val="111111"/>
          <w:sz w:val="28"/>
          <w:szCs w:val="28"/>
          <w:lang w:val="en-US"/>
        </w:rPr>
        <w:t>Yazdi, Sayyid Muhammad Kazim, Hashiyat al-Makasib, 2 vol. Ismaʿiliyan Institute, Qum, 1378/1956.</w:t>
      </w:r>
    </w:p>
    <w:p>
      <w:pPr>
        <w:pStyle w:val="BookText"/>
        <w:bidi w:val="0"/>
        <w:jc w:val="both"/>
        <w:rPr/>
      </w:pPr>
      <w:r>
        <w:rPr>
          <w:rFonts w:eastAsia="Times New Roman" w:cs="Times New Roman" w:ascii="Times New Roman" w:hAnsi="Times New Roman"/>
          <w:color w:val="111111"/>
          <w:sz w:val="28"/>
          <w:szCs w:val="28"/>
          <w:lang w:val="en-US"/>
        </w:rPr>
        <w:t>Yusufi, Hasan b. Abi Talib, Kashf al-Rumuz fi Sharh al-Mukhtasar al-Nafiʿ, ed. Ishtahardi, 2 vols. 1st edition, Nashr-i Islami Publication, Qum, 1410/1989.</w:t>
      </w:r>
    </w:p>
    <w:p>
      <w:pPr>
        <w:pStyle w:val="BookText"/>
        <w:bidi w:val="0"/>
        <w:jc w:val="both"/>
        <w:rPr/>
      </w:pPr>
      <w:r>
        <w:rPr>
          <w:rFonts w:eastAsia="Times New Roman" w:cs="Times New Roman" w:ascii="Times New Roman" w:hAnsi="Times New Roman"/>
          <w:color w:val="111111"/>
          <w:sz w:val="28"/>
          <w:szCs w:val="28"/>
          <w:lang w:val="en-US"/>
        </w:rPr>
        <w:t>Zarandi Hanafi, Muhammad, Nazm al-Durar al-Simtayn fi Fadha’il al-Mustafa wa al-Murtadha wa al-Batul wa al-Sibtayn, Imam Amir al-Mu’minin (A.S.) Library Publication, 1377/1959.</w:t>
      </w:r>
    </w:p>
    <w:p>
      <w:pPr>
        <w:pStyle w:val="BookText"/>
        <w:bidi w:val="0"/>
        <w:jc w:val="both"/>
        <w:rPr/>
      </w:pPr>
      <w:r>
        <w:rPr>
          <w:rFonts w:eastAsia="Times New Roman" w:cs="Times New Roman" w:ascii="Times New Roman" w:hAnsi="Times New Roman"/>
          <w:color w:val="111111"/>
          <w:sz w:val="28"/>
          <w:szCs w:val="28"/>
          <w:lang w:val="en-US"/>
        </w:rPr>
        <w:t>Ziʿali, Jamal al-Din, Nasb al-Rayat al-Ahadith al-Hidaya, 6 vols. 1st edition, Dar al-Hadith, Cairo, 1415/1995.</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Zubaydi, Muhammad Murtaza, Taj al-ʿArus min Jawahir</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al-Qamus, 10 vols Maktibat al-Ihya, Beirut, n.d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with an English Paraphrase, tr. Sayyid ‘Ali Quli Qara’i, the Center for Translation of the Holy Qur’an, Qum, 2003 (= Q.), 2: 233; 31:14; 46: 15; 65: 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to be pointed out that there are other definitions of mother's milk, too, such as: The liquid that is secreted from mammals' mammary gland and used by their newborn. It is a whitish liquid, slightly sweet, and with a specific odor. It is a serum containing fat, organic materials, diastase, and white globules.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noteworthy, of course, that since the mother's milk fats are secreted more at the end of each breastfeeding period she had better feed her baby in each period with all the milk of her breasts.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worth mentioning that all vitamins except vitamin k are found in mother's milk; however, their amount is varied and mother's complementary nutrition would further increase their excretion. See: Williams, Pregnancy and Childbirth, tras. Bahram Qadhi Jahani, 21st edition, Golban Publication 1/411.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see: Williams, Pregnancy and Childbirth, 1/413; Nuri, Sayyid Muhammad Ridha, Taghdhiya-yi Madar wa Kudak, Shahidipur Publication, Mashhad, 1423/2002, pp. 38-47.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Barraj Tarablusi, Qadhi ʿAbd al-ʿAziz, Al-Muhadhdhab, 2 vols. ed. Jaʿfar Subhani, Jamiʿa-yi Mudarrisin, Qum, 1406/1986, 2/261; Makki, Makki, Muhammad b. Mansur, Al-Sara’ir al-Hawi li Tahrir al-Fatawi, 3 vols. 2nd ed, Muʿassisa-yi Nashr-i Islami, Qum, 1410/1990., 2/648; Hilli, Jaʿfar b. Hasan, Al-Mukhtasar al-Nafiʿ fi Fiqh al-Imamiyya, Hilli, Jaʿfar b. Hasan, Al-Mukhtasar al-Nafiʿ fi Fiqh al-Imamiyya, ed. ʿAli Akbar Ghaffari, 7 vols, 2nd edition, Tehran, Saduq Publication, 1397/1977, p. 194; Yusufi, Hasan b. Abi Talib, Kashf al-Rumuz fi Sharh al-Mukhtasar al-Nafiʿ, ed. Ishtahardi, 2 vols. 1st edition, Nashr-i Islami Publication, Qum, 1410/1989, 2/200; ʿAllama Hilli, Qawaʿid al-Ahkam fi Maʿrifat al-Halal wa al-Haram, 3 vols. 1st edition, Nashr-i Islami Publicatrion, Qum, 1413/1992., 3/101; Tusi, Abu Jaʿfar Muhammad b. Hasan, Al-Nihaya fi Mujarrad al-Fiqh wa al-Fatawa, Dar al-Andulus, Beirut, n.d., p. 503; Ibn Fahd Hilli, Al-Muhadhdhab al-Bariʿ fi Sharh al-Mukhtasar al-Nafiʿ, ed. Mujtaba ʿIraqi, 5 vols. Nashr-i Islami Publication, Qum, 1407/1987, 3/424; ʿAmili, Muhammad, Nihayat al-Maram fi Sharh-i Mukhtasar Shara’iʿ al-Islam, ed. Mujtaba ʿIraqi, 2 vols. 1st edition, Nashr-i Islami Publication, Qum, 1413/1993, 1/460; Fadhil Hindi, Muhammad b. Husayn, Kashf al-Litham, 2vols. Ayatollah Marʿashi Library, Qum, 1405/1984, 2/105; Bahrani, Yusuf, Al-Hada’iq al-Nadhira fi Ahkam al-ʿItrat al-Tahira, ed. Muhammad Taqi Iravani, 20 vols. Nanshr-i Islami Publication, Qum, 14014/1984, 25/71; Tabataba’i, Sayyid ʿAli, Riyadh al-Masa’il fi Bayan al-Ahkam bi al-Dala’il, 2 vols. Al al-Bayt Institute, Qum, 1404/1983, 2/160; Khwansari, Sayyid Ahmad, Jamiʿ al-Madarik fi Sharh al-Mukhtasar al-Nafiʿ, ed. ʿAli Akbar Ghaffari, 7 vols, 2nd edition, Tehran, Saduq Publication, 1397/1977, 4/468.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Babuwayh Qummi, ʿUyun Akhbar al-Ridha (A.S.), 2 vols. 1st edition, Mu’assisat al-Aʿlami li al-Matbuʿat, 1404/1984, 1/38, No. 69.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Usul al-Kafi, ed. ʿAli Akbar Ghaffari, 8 vols. 3rd edition, Dar al-Kutub al-Islamiyya, Tehran, 1388/1968.6/40, No. 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Muhaqqiq Hilli, Shara’iʿ al-Islam fi Masa’il al-Halal wa al-Haram, 4 vols. 2nd edition, Istiqlal Publication, 1409/1988, 2/566; ʿAllama Hilli, Irshad al-Adhhan ila Ahkam al-Iman, ed. Shaykh Faris al-Hassun, Nashr Islami Publication, 2/40; Shahid Awwal, Muhammad b. Makki ʿAmili, Al-Lumʿat al-Damishqiyya, 1st edition, Dar al-Fikr, Qum, 1411/1990, p. 176; ʿ Shahid Thani, Zayn al-Din b. ʿAli ʿAmili, Masalik al-Afham ila Tanqih Shara’iʿ al-Islam, Mu’assisa Maarif Islami, Qum, 1413/1993., 8/420.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Williams, Pregnancy and Childbirth, 1/410; also, see: Paknejad, Sayyid Ridha, Avvalin Danishgah va Akhirin Payambar, Shahid Dr. Paknizhad Cultural Foundation, Yazd, 1405/1985. 6/82-83.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Al-Rawdhat al-Bihiyya fi Sharh al-Lumʿat al-Damishqiyya, 10 vols., 2nd edition, Dawudi Publication, Qum, 1398/1978, 5/452; ʿAllama Hilli, Qawaʿid al-Ahkam ʿ, 3/103; idem, Idhah al-Fawa’id, 3/262.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Sabziwari, Muhammad Baqir b. Mu’min, Kifayat al-Ahkam, Isfahan, n.d., p. 193; Najafi, Muhammad Hasan, Jawahir al-Kalam fi Sharh Shara’iʿ al-Islam, ed. Shaykh ʿAbbas Quchani, 43 vols. 3rd edition, Dar al-Kutub al-Islamiyya, Tehran, 1409/1988, 31/273; Ardabili, Mulla Ahmad, Majmaʿ al-Fa’ida wa al-Burhan fi Sharh-i Irshad al-Adhhan, ed. Ishtahardi, 14 vols. Jamiʿa-yi Mudarrisin, Qum, 1403/1983., 8/260; Bahrani, Yusuf, Al-Hada’iq al-Nadhira ʿal-Tahira, 19/424.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Al-Rawdha al-Bihiyya ʿ, 5/454; idem, Masalik al-Afham ila Tanqih Shara’iʿ al-Islam, 8/413; Fadhil Hindi, Muhammad b. Hasan, Kashf, 2/105.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Karaki, ʿAli b. Husayn, Jamiʿ al-Maqasid fi Sharh al-Qawaʿid, 13 vols. 1st edition, Al al-Bayt Institute, Qum, 1408/1987. 4/158; Tabataba’i, Sayyid ʿAli Riyadh, al-Masa’il 1/565; Shahid Thani, Zayn al-Din b. ʿAli ʿAmili, Al-Rawdhat al-Bihiyya, 10/100; Shahid Thani, Zayn al-Din b. ʿAli ʿAmili, Masalik al-Afham Shara’iʿ al-Islam, 15/252.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Qawaʿid al-Ahkamʿ, 3/628; Hilli, Muhammad b. Hasan, Idhah al-Fawa’id fi Sharh Ishkalat al-Qawaʿid, 4 vols. 1st edition, ʿIlmiyya Publications, Qum, 1387/1967, 4/629; Shahid Thani, Zayn al-Din b. ʿAli ʿAmili, Shara’iʿ al-Islam Tusi, Abu Jaʿfar Muhammad b. Hasan, Al-Mabsut, 5/224.</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7/185, No. 1; Ibn Babuwayh Qummi, Man la Yahdhuruhu al-Faqih, Man la Yahdhuruhu al-Faqih, ed. ʿAli Akbar Ghaffari, Jamiʿa-yi Mudarrisin, Qum, 1404/1984, 4/32; Tusi, Abu Jaʿfar Muhammad b. Hasan, Tahdhib al-Ahkam fi Sharh al-Muqniʿa, ed. Akhundi, 10 vols. 4th edition, Al-Maktabat al-Murtadhawiyya, Tehran, 1387/1967, 10/9, No. 23; Darimi, ʿAbd Allah b. Bahram, Sunan al-Darimi, 2 vols. Matbaʿt al-Iʿtidal, Damascus, n.d., 2/179; Ibn Hanbal, Ahmad Musnad, Dar Sadir Beitut, n. d., 5/348; Muslim, Sahih, 3/1323, No. 23, Abi Dawud Sajistani, Sulayman b. Ashʿath, Sunan Abi Dawud, ed. Saʿid Muhammad al-Lahham, 2 vols. 1st edition, Dar al-Fikr, Beirut, 1410/1990, 4/152, No. 4442.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Al-Rawdhat al-Bihiyya, 5/452.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Babuwayh Qummi, Man la Yahdhuruhu al-Faqih, 4/413-414, No. 5901.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6/40, No. 2; Ibn Babuwayh Qummi, Man la Yahdhuruhu al-Faqih, 3/475, No. 4664; Tusi, Abu Jaʿfar Muhammad b. Hasan, Tahdhib al-Ahkam, 8/108, No. 366.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see: Q. 2:83; 4: 36; 6: 151; 17: 23; 29: 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5/563, No. 32 and 6/82, No. 3; Tusi, Abu Jaʿfar Muhammad b. Hasan, Tahdhib al-Ahkam, 8/115, No. 394.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Mufid, Muhammad b. Nuʿman, Al-Irshad fi Maʿrifat-i Hujaj Allah ʿala al-ʿIbad, Al al-Bayt (ed.), Qum, Dar al-Mufid, 1413, 1/206; Tamimi, Nuʿman b. Muhammad, Daʿa’im al-Islam wa Dhikr Halal wa al-Haram wa al-Qadhaya wa al-Ahkam ʿan Ahl-i Bayt Rasul Allah ʿAlyhi wa ʿAlayhim Afdhal al-Salam, 2 vols. Dar al-Maʿarif, Egypt, 1383/1963, 1/86; Hurr ʿAmili. Muhammad Hasan, Wasa’il al-Shiʿa ila Tahsil Masa’il al-Shariʿa, ed. Rabbani, 20 vols. Dar Ihya’ al-Turath al-ʿArabi, Beirut, n.d., 15/117; Bayhaqqi, Ahmad b. Husayn, Al-Sunan al-Kubra, 10 vols. Dar al-Fikr, Beirut, n.d., 7/442; Sanʿani, ʿAbd al-Razzaq, Al-Musannaf, ed. Habib al-Rahman Aʿzami, 11 vols. 2nd edition, Jamiʿa-yi Mudarrisin, Qum, 1404/1984, 7/350, No. 13444 and 352, No. 13449; Zarandi Hanafi, Muhammad, Nazm al-Durar al-Simtayn fi Fadha’il al-Mustafa wa al-Murtadha wa al-Batul wa al-Sibtayn, Imam Amir al-Mu’minin (A.S.) Library Publication, 1377/1959, p. 131.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6/52, No. 2; Tusi, Abu Jaʿfar Muhammad b. Hasan, Tahdhib al-Ahkam, 8/115, No. 394.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Tahdhib al-Ahkam, 8/106, No. 357-358.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Bahrani, Yusuf, Al-Hada’iq al-Nadhira ʿal-ʿItrat , 25/79.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Fadhl b. Husayn, Majmaʿ al-Bayan fi Tafsir al-Qur'an, 10 vols. Dar Ihya al-Turath al-ʿArabi, 1379/1960, 2/113.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Fahd Hilli, Al-Muhadhdhab al-Bariʿ ʿʿ 3/424; ʿAmili, Sayyid Muhammad, Nihayat al-Maram, 1/462; ʿAllama Hilli, Tadhkirat, 2/627; Shahid Thani, Zayn al-Din b. ʿAli ʿAmili, Al-Rawdhat al-Bihiyya, 5/456; Fadhil Hindi, Muhammad b. Hasan Kashf al-Litham, 2/105; Tabataba’i, Sayyid ʿAli, Riyadh al-Masa’il, 2/160; Najafi, Muhammad Hasan, Jawahir, 31/277.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6/41, No. 8; Tusi, Abu Jaʿfar Muhammad b. Hasan, Tahdhib al-Ahkam, 8/107, No. 363, 105, and 355.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Mufid, Muhammad b. Muhammad, Al-Muqniʿa, Muʿassisa Nashr Islami, 1410, p. 530; Tusi, Abu Jaʿfar Muhammad b. Hasan, Al-Nihaya, p.503; Ibn Barraj Trablusi, Qazi ʿAbd al-ʿAziz, Al-Muhadhdhab, 2/263; Makki, Muhammad b. Mansur, Al-Sara’ir, 2/648; Muhaqqiq Hilli, Shara’iʿ al-Islam, 2/566; Hilli, Jaʿfar b. Hasan, Al-Mukhtasaral-Nafiʿ , p. 194; Yusufi, Hasan b. Abi Talib, Kashf al-Rumuz 2/200; ʿAllama Hilli, Qawaʿid al-Ahkam ʿ, 3/101; idem, Tahrir al-Ahkam, 2 vols. Al al-Bayt Institute, Mashhad lithography, n.d. 2/43.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ʿAmili, Sayyid Muhammad Nihayat al-Maram, 1/464; Fadhil Hindi, Muhammad b. Hasan, Kashf al-Litham, 2/106.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31: 14; 46: 15.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 233; 65: 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Tabataba’i, Muhammad Husayn, Al-Mizan fi Tafsir al-Qur'an, Ismaʿiliyan Institute, Qum, 1393/1973, 2/251; Taliqani, Sayyid Mahmud, Partuwi az Qur'an, Shirkat Sihami Intishar, 1399/1979, 2/156.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Musawi Sabzwari, ʿAbd al-ʿAli, Mawahib al-Rahman fi Tafsir al-Qur'an, 4 vols. Matbaʿat al-Adab, 1404/1983, 4/58; Raghib Isfahani, Al-Mufradat fi Gharib al-Qur'an, 1st edition, Daftar-i Nashr-i Kitab, 14704/1984, p. 532; Turayhi, Fakhar al-Din, Majm-ʿal-Bahrayn, Murtadhawi, Publication, 1365, 3/164.</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Bayhaqi, Ahmad b. Husayn, Sunan, 7/442; Ibn Jawzi, ʿAbd al-Rahman, Zad al-Masir fi ʿIlm al-Tafsir, 8 vols. 1st edition, Dar al-Fikr, Beirut, 1407/1986, 1/240; Suyuti, Jalal al-Din, Al-Durr al-Manthur fi Tafsir bi al-Ma’thur, 6 vols. 1st edition, Dar al-Fikr, Beirut, 1365/1946, 1/287; Ibn Hajar ʿAsqalani, Fath al-Bari Sharh Sahih al-Bukhari, Dar al-Maʿrifa, Beirut, n.d., 9/417; Tabari, Muhammad b. Jarir, Jamiʿ al-Bayan ʿan Ta’wil Aya al-Qur'an, ed. Sidqi Jamil al-ʿAttar, 30 vols. Dar al-Fikr, Beirut, 1379/1960, 2/664; Sanʿani, Al-Musnaf, 7/57, No. 12173. For more information on other views in this respect as well as about the objections toward it, see: 1. All breastfeeding mothers in general: Sabzwari, Muhammad, Al-Jadid fi Tafsir al-Qur'an, 1st edition, 7 vols., Dar al-Hadith, Beirut, 1415/1995, 1/286; Mashhadi, Mirza Muhammad, Kanz al-Daqa’iq wa Bahr al-Al-Ghara’ib, 14 vols. 1st edition, Ministry of Islamic Culture and Guidance, Tehran, 1404/1988, 2/352; Shubbar, Sayyid ʿAbd Allah, Al-Jawhar al-Thamin fi Tafsir al-Kitab al-Mubin, 6 vols., 1st edition, Maktibat al-Alfayn, 1407/1987, 1/235; Muqaddas Ardabili, Zubdat al-Bayan fi Ahkam al-Qur'an, ed. Muhammad Baqir, Bihbudi, Al-Maktibat al-Murtazawiyya, n.d., p. 557; Maghniyya, Muhammad Jawad, Al-Kashif, 7 vols. 3rd edition, Dar al-ʿIlm li al-Mala’in, Beirut, 1401/1981, 1/355; Kashani, Mulla Fath Allah, Manhaj al-Sadiqin fi Ilzam al-Mukhalifin, 10 vols. 2nd edition, Islamiyya Bookstore, Tehran, 1388/1968, 2/29; 2. Married mothers in particular: Qurtubi, Muhammad b. Ahmad, Al-Jamiʿ li-Ahkam al-Qur'an, 20 vols. 2nd edition, Mu’assisat al-Ta’rikh al-ʿArabi, 1405/1985, 3/160.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Jassas, Ahkam al-Qur'an, ed. ʿAbd al-Salam Muhammad ʿAli Shahin, 3 vols. 1st edition, Dar al-Kutub al-ʿIlmiyya, Beirut, 1415/1994, 1/488.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Al-Tibyan fi Tafsir al-Qur'an, ed. Ahmad Habib Qaysar ʿAmili, 10 vol. 1st edition, Dar Ihya’ al-Turath al-ʿArabi, Beirut, 1409/1989, 1/333.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Jassas, Ahkam al-Qur'an, 1/488; Tusi, Abu Jaʿfar Muhammad b. Hasan, Al-Tibyan, 2/255.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Nahhas, Abi Jaʿfar, Maʿani al-Qur'an, ed. Muhammad ʿAli Sabuni, 6 vols. 1st edition, Umm al-Qura University, Saudi Arabia, 1408/1988 , 1/214; Ibn Hajar ʿAsqalani, Fath al-Bari, 9/416; Ibn Jawzi, ʿAbd al-Rahman, Zad al-Masirʿ, 1/240; for more information about other views brought up in this regard, see: 1. indicative statement: Shubbar, Sayyid ʿAbd Allah, Al-Jawhar al-Thamin, 1/235; Qurtubi Ansari, Abu ʿAbd Allah Muhammad b. Ahmad, Tafsir-i Qurtubi (Al-Jamiʿ li-Ahkam al-Qur’an), 20 vols. Dar Ihya’ al-Turath al-ʿArabi, Beirut, 1405/1985., 3/161; 2. preference of breastfeeding: Musawi Sabzwari, ʿAbd al-ʿAli, Mawahib al-Rahman, 4/58; Sabziwari, Muhammad Al-Jadid, 1/286; Kashani, Mulla Fath Allah, Manhaj al-Sadiqin, 2/29; Tabrisi, Fadhl b. Hasan ʿMajmaʿ al-Bayan , 1/333; Ha’iri Tehrani, Mir Sayyid ʿAli, Muqtaniyat al-Durar wa Multaqatat al-Thamar, 12 vols. Dar al-Kutub al-Islamiyya, Tehran, 1378/1959. 2/76; Jassas, Ahkam al-Qur'an, 1/488; Tabari, Muhammad b. Jarir, ʿJamiʿ al-Bayan ʿ, 2/664; Maghniyya, Muhammad Jawad Al-Kashif, 1/365; ʿAmili, Sayyid Muhammad, Nihayat al-MaramShara’iʿ al-Islam, 1/460; Shahid Thani, Zayn al-Din b. ʿAli ʿAmili, Al-Rawdhat al-Bihiyya, 5/456; 3. mother's priority in breastfeeding: Jassas, Ahkam al-Qur'an, 1/490; Muqaddas Ardabili, Zubdat al-Bayan, p. 556-557; Fadhil Hindi, Muhammad b. Hasan Kashf al-Litham, 2/105.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Faydh Kashani, Mulla (Mawla) Muhsin, Al-Safi fi Tafsir Kalam Allah, Dar al-Murtadha li al-Nashr, n. d., 1/239; Shahid Thani, Zayn al-Din b. ʿAli ʿAmili, Masalik al-AfhamShara’iʿ al-Islam, 8/412; Bahrani, Yusuf, Al-Hada’iq al-Nadhiraʿ, 19/424.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Muhammad b. Jarir, ʿJamiʿ al-Bayanʿ, 2/665; Tusi, Abu Jaʿfar Muhammad b. Hasan, Al-Tibyan, 2/255; Muqaddas Ardabili, Zubdat al-Bayan, p. 557.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Raghib Isfahani, Al-Mufradat, p. 441; Kashani, Mulla Fath Allah, Manhaj al-Sadiqin, 2/29.</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Tabari, Muhammad b. Jarir, ʿJamiʿ al-Bayanʿ, 2/666; Kashani, Mulla Fath Allah, Manhaj al-Sadiqin, 2/29; Shahid Thani, Zayn al-Din b. ʿAli ʿAmili, Masalik AfhamShara’iʿ al-Islam, 8/417; Tusi, Abu Jaʿfar Muhammad b. Hasan Al-Tibyan, 2/256; Tabrisi, Fadhl b. Hasan, ʿMajmaʿ al-Bayan, 1/333; Tabari, Muhammad b. Jarir, ʿJamiʿ al-Bayanʿ, 2/665; also for more information on other possibilities see: 1. a measure for being mahram (one who </w:t>
      </w:r>
      <w:r>
        <w:rPr>
          <w:rFonts w:ascii="IRNazanin" w:hAnsi="IRNazanin" w:eastAsia="IRNazanin"/>
          <w:b w:val="false"/>
          <w:b w:val="false"/>
          <w:bCs w:val="false"/>
          <w:i w:val="false"/>
          <w:i w:val="false"/>
          <w:iCs w:val="false"/>
          <w:color w:val="333333"/>
          <w:sz w:val="20"/>
          <w:sz w:val="20"/>
          <w:szCs w:val="20"/>
          <w:rtl w:val="true"/>
        </w:rPr>
        <w:t>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is within a prohibited degree of </w:t>
      </w:r>
      <w:r>
        <w:rPr>
          <w:rFonts w:ascii="IRNazanin" w:hAnsi="IRNazanin" w:eastAsia="IRNazanin"/>
          <w:b w:val="false"/>
          <w:b w:val="false"/>
          <w:bCs w:val="false"/>
          <w:i w:val="false"/>
          <w:i w:val="false"/>
          <w:iCs w:val="false"/>
          <w:color w:val="333333"/>
          <w:sz w:val="20"/>
          <w:sz w:val="20"/>
          <w:szCs w:val="20"/>
          <w:rtl w:val="true"/>
        </w:rPr>
        <w:t>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marriage) as a result of breastfeeding: Ibn Qudama, ʿAbd Allah b. Ahmad, Al-Mughni, 12 vols. Dar al-Kutub al-ʿArabiyya, Beirut, n.d., 9/202; 2. a measure for the necessity of provision of maintenance by the father: Jassas, Ahkam al-Qur'an, 1/488, 1/496.</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Muhammad b. Jarir, ʿJamiʿ al-Bayanʿ, 2/672; Ibn Hajar ʿAsqalani, Fath al-Bari, 9/416.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Sabziwari, Muhammad, Al-Jadid, 1/286; Sanʿani, Al-Musannaf, 7/57, No. 12173; Shawkani, Muhammad b. ʿAli, Fath al-Qadir al-Jamiʿ bayn Fanni al-Riwaya wa al-Diraya min ʿIlm al-Tafsir, 5 vols. ʿAlam al-Kutub, Beyrut, n.d., 1/245; Qurtubi, Al-Jamiʿ li-Ahkam al-Qur’an, 3/161; Najafi, Muhammad Hasan, Jawahir Shara’iʿ al-Islam, 31/273; Tabataba’i, Sayyid ʿAli, Riyadh al-Masa’il, 2/160; Tusi, Abu Jaʿfar Muhammad b. Hasan, Al-Khilaf, ed. Sayyid ʿAli al-Khurasani, 6 vols. 1st edition, Nashr-i Islami Publication Qum, 1407/1987.07, 5/130.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31: 14.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46: 15.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Masalik al-Afham, 8/412.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6/40, No. 4; Tusi, Abu Jaʿfar Muhammad b. Hasan, Tahdhib al-Ahkam, 8/107, No. 362; Ibn Babuwayh Qummi, Man la Yahdhuruhu al-Faqih, 3/139, No, 3510; also for more information on other evidences expressed for non-permissibility of forcing the mother to breastfeed her baby and their criticisms, see: Tabataba’i, Sayyid ʿAli, Riyadh al-Masa’il, 2/160; ʿAllama Hilli, Tadhkirat al-Fuqaha, 2 vols. Makyabat al-Radhawiyya li Ihya’ al-Athar al-Jaʿfariyya, n.d., 2/627; Tusi, Abu Jaʿfar Muhammad b. Hasan Al-Khilaf, 5/130; ʿAmili, Sayyid Muhammad, Nihayat al-MaramShara’iʿ al-Islam, 1/461; Tusi, Abu Jaʿfar Muhammad b. Hasan, Al-Mabsut fi fiqh al-Imamiyya, ed. Muhammad Tqi Kashfi, 8vols, Al-Maktabat al-Murtadhawiyya, Tehran, 1387/1967, 3/239; Makki, Muhammad b. Mansur, Al-Sara’ir, 2/471; Ruhani, Sayyid Muhammad Sadiq, Fiqh al-Sadiq fi Sharh al-Tabsira, 26 vols. 3rd edition, Mu’assisa-yi Dar al-Kitab, Qum, 1412/1991, 22/296.</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Makki, Muhammad b. Mansur, Al-Sara’ir, 2/648; Muhaqqiq Hilli, Shara’iʿ al-Islam, 2/566; Yusufi, Hasan b. Abi Talib, Kashf al-Rumuz, 2/200; Qummi Sabziwari, Shaykh ʿAli, Jamiʿ al-Khilaf wa al-Wifaq bayn al-Imamiyya wa bayn al-Aʿimmat al-Hijaz wa al-ʿIraq, ed. Husayn Husayni Birjandi, 1st edition, Zamina Sazan-i Ẓuhur-i Imam-i ʿAsr (A.S.), 1421/2001, p. 510; ʿAllama Hilli, Qawaʿid al-Ahkamʿ, 3/101; idem, Irshad al-Adhhan, 2/40; idem, Tahrir al-Ahkam, 1/248; Mihaji Asuyuti, Muhammad b. Ahmad, Jawahir al-ʿUqud wa Muin al-Qudhat wa al-Muqiʿin wa al-Shuhud, 2 vols. 1st edition, Dar al-Kutub al-ʿIlmiyya, Beirut, 1417/1996, 2/174; Ibn Hajar ʿAsqalani, Fath al-Bari, 9/417; Ibn Zuhra Hilli, Ghunyat al-Nuzuʿ ila ʿIlmiya al-Usul wa al-Furuʿ, ed. Ibrahim Bahaduri, 1st edition Imam Sadiq Institute, Qum, 1417/1996, p. 387; Ibn Fahd Hilli, Al-Muhadhdhab al-Bariʿ, 3/424; Kashani, Abu Bakr b. Masʿud, Bada’iʿ al-Sana’iʿ fi Tartib al-Shara’iʿ, 7 vols. 1st edition, Al-Maktibat al-Habibiyya, Pakistan, 1409/1989, 4/40; Nawawi, Yahya b. Sharaf, Al-Majmuʿ fi Sharh al-Muhadhdhab, 20 vols. Dar al-Fikr, nd., 18/312.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Mufid, Muhammad b. Muhammad al-, ʿAl-Muqniʿa, Nashr Islami Publication, 1410, p.531; Tusi, Abu Jaʿfar Muhammad b. Hasan, Al-Nihaya, p. 503; Ibn Barraj Trablusi, Qazi ʿAbd al-ʿAziz Al-Muhadhdhab, 2/261; Hilli, Jaʿfar b. Hasan, Al-Mukhtasar al-Nafiʿ, p. 194; ʿAllama Hilli, Tahrir al-Ahkam, 2/43; idem, Tabsirat al-Mutiʿallimin fi Ahkam al-Din, ed. Sayyid Ahmad Husayni, 1st edition, Faqih Publication, Tehran, 1410/1989, p. 187; ʿAllama Hilli, Idhah al-Fawa’id, 3/263; Shahid Thani, Zayn al-Din b. ʿAli ʿAmili, Masalik Shara’iʿ al-Islam, 8/416; also see: Tabrisi, Fadhl b. Hasan, ʿMajmaʿ al-Bayan, 2/113; Tusi, Abu Jaʿfar Muhammad b. Hasan, Al-Tibyan, 2/255; Rawandi, Qutb al-Din, Fiqh al-Qur'an, 2 vols. 2nd edition, Ayatollah Marʿashi Library, Qum, 1405/1984, 2/120.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ʿAmili, ʿAli b, Husayn (b. Muhyi al-Din Abi al-Jamiʿ), Al-Wajiz fi Tafsir al-Qur’an al-Aziz, Dar al-Qur’an al-Karim, 1413, 1/191; Qummi Mashhadi, Kanz al-Daqa’iq, 2/352. For more information about the other possibilities in the meaning of mawludi lahu and their criticisms, see: 1. genetic or juridical dependence of the baby on the father: Faydh Kashani, Al-Safi, 1/239; Sabziwari, Muhammad, Al-Jadid, 1/286; Shahid Thani, Zayn al-Din b. ʿAli ʿAmili, Masalik al-Afham Shara’iʿ al-Islam, 8/414; Shawkani, Muhammad b. ʿAli b. Muhammad, Fath al-Qadir, 1/245; Montesquieu, The Spirit of Laws (Ruh al-Qawanin), trans. Ali Akbar Muhtadi, Amir Kabir Publication, 1390/1970, p. 630; 2. paying attention to emotional aspects: Shirazi, Sayyid Muhammad Husayn, Taqrib al-Quran ila al-Adhhan, al-Wafa’ Publication, Beirut, 1400/1980, 2/86; 3. paying attention to the social conventions: Tabataba’i, Muhammad Husayn, Al-Mizan, 2/251; Musawi Sabzwari, ʿAbd al-ʿAli, Mawahib al-Rahman, 4/58.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Qurtubi, Muhammad b. Ahmad, Al-Jamiʿ li-Ahkam al-Qur'an, 20 vols. 2nd edition, Mu’assisat al-Ta’rikh al-ʿArabi, 1405/1985, 3/16; Thaʿalibi, ʿAbd al-Rahman, Al-Jawahir al-Hisan fi Tafsir al-Qur’an, ed. ʿAbd al-Fattah Abu Sunna, 1st edition, Dar Ihya’ al-Turath al-ʿArabi, Beirut, 1415/1994, 1/467.</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Farahidi, Khalil b. Ahmad, Al-ʿAyn, ed. Mahdi al-Makhzumi, 8 vols. 2nd edition, Dar al-Hujra, Qum, 1409/1989, 15/223; Turayhi, Fakhar al-Din, Majm-ʿal-Bahrayn, 3/164; Zubaydi, Muhammad Murtaza, Taj al-ʿArus min Jawahir al-Qamus, 10 vols. Maktibat al-Ihya, Beirut, n.d. 10/315.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Jawahiri, Ismaʿil b. Hammad, Al-Sihah (Taj al-Lugh wa Sihah al-ʿArabiyya), ed. Ahmad b. ʿAbd al-Ghafur ʿAttar, 6 vols. 4/1481; Ibn Manzur, Lisan al-ʿArab, 15 vols. 1st edition, Adab al-Howza, Qum, 1405/1985, 10/115; Turayhi, Fakhar al-Din, Majmaʿ al-Bahrayn, ed. Sayyid Ahmad Husayni, 4 vols. 2nd edition, Maktab al-Nashr al-Thiqafat al-Islamitta, 1405/1985, 1/87 &amp; 131; ʿAskari, Abu al-Hilal, et al, Muʿjam al-Furuq al-Lughawiyya, ed. Al-Shaykh Baytullah Bayat, 1st edition, Mu’assisat al-Nashr al-Islamiyya, Qum, 1412/1991, p. 254, No. 999-1000; also see: Fadhlullah, Muhammad Husayn, Min Wahy al-Qur'an, 25 vols. 3rd edition, Dar al-Zahra, 1405/1985, 4/184.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Tabrisi, Fadhl b. Hasan, Majmaʿ al-Bayan, 1/333; Sabziwari, Muhammad, Al-Jadid, 1/286; Shawkani, Muhammad b. ʿAli b. Muhammad, Fath al-Qadir, 1/245; for more information about the other possibilities brought up about this part of the verse and their criticisms, see: 1. expenses of the wife, whether still married or divorced: Jassas, Ahkam al-Qur'an, 1/489; Maghniyya, Muhammad Jawad, Al-Kashif, 1/365; Tabrisi, Fadhl b. Hasan, Majmaʿ al-Bayan , 1/333; Shirazi, Sayyid Muhammad Husayn, Taqrib al-Quran, 2/86; 2. the baby's expenses: Qurtubi, Al-Jamiʿ li-Ahkam al-Qur’an, 3/163; ʿAllama Hilli, Idhah al-Fawa’id, 3/282.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perhaps for this reason that some interpreters have claimed that this part of the verse denotes the permissibility of hiring a foster suckling-mother in exchange for food and clothing; for more information, see: Jassas, Ahkam al-Qur'an, 1/488.</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Qurashi, ʿAli Akbar, Ahsan al-Hadith, 12 vols. 1st edition, Bunyad Biʿthat, Tehran, 1407/1987. 1/435.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see: Muqaddas Ardabili, Zubdat al-Bayan , p. 557; Khuzaʿi Nayshaburi, Husayn b. ʿAli b. Muhammad, Rawdh al-Jinan wa Rawh al-Janan fi Tafsir al-Qur'an, Islamic Research Foundation of Asan Quds Razavi, Mashhad, 1408/1987, 3/286; Kashani, Mulla Fath Allah, Manhaj al-Sadiqin, 2/29; Balaghi, Sayyid ʿAbd al-Hamid, Hujjat al-Tafasir wa Balagh al-Iksir, 10 vols. 1st edition, Hikmat, Qum, 1386/1966, 1/181; Taliqani, Sayyid Mahmud, Partuwi az Qur'an, 2/156; Qurtubi, Al-Jamiʿ li-Ahkam al-Qur’an, 3/163, and 18/170-171; Ibn Kathir Qurashi, Ismaʿil, Tafsir al-Qur'an al-ʿAzim, 4 vols. Dar al-Maʿrifa, Beirut. 1412/1992, 1/291; Jassas, Ahkam al-Qur'an, 1/489; Ibn Jawzi, ʿAbd al-Rahman, Zad al-Masir, 1/241; Thaʿalibi, ʿAbd al-Rahman, Al-Jawahir al-Hisan, 1/468; Tabari, Muhammad b. Jarir, Jamiʿ al-Bayan, 2/672; Nahhas, Abi Jaʿfar, Maʿani al-Qur'an, ed. Muhammad ʿAli Sabuni, 6 vols. 1st edition, Umm al-Qura University, Saudi Arabia, 1408/1988, 1/217.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Tabrisi, Fadhl b. Hasan, ʿMajmaʿ al-Bayan, 1/333; Sabziwari, Muhammad, Al-Jadid, 2/286; Ibn Jawzi, ʿAbd al-Rahman, Zad al-Masir, 8/45; Tabari, Muhammad b. Jarir, Jamiʿ al-Bayan, 28/190-191, No. 26625-26628; Jassas, Ahkam al-Qur'an, 3/619; Qurtubi, Al-Jamiʿ li-Ahkam al-Qur’an, 8/172.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 233.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6/30; Makki, Muhammad b. Mansur, Al-Sara’ir, 2/649; Muhaqqiq Hilli, Shara’iʿ al-Islam, 2/566.</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Tadhkirat al-Fuqaha, 2/298; Tusi, Abu Jaʿfar Muhammad b. Hasan, Al-Mabsut, 5/239; Nawawi Yahya b. Sharaf, Rawdhat al-Talibin, ed. ʿAdil Ahmad ʿAbd al-Mawjud, 8 vols. Dar al-Kutub al-ʿIlmiyya, n.d., p.882; Ibn Qudama, Al-Mughni, 6/85; ʿAllama Hilli, Mukhtalaf al-Shiʿa, 9 vols. 1st edition, Nashr-i Islami Publication, Qum, 1412/1992, 7/305; Makki, Muhammad b. Mansur, Al-Sara’ir, 2/649; Shahid Thani, Zayn al-Din b. ʿAli ʿAmili, Masalik al-Afham, 8/413; ʿAllama Hilli, Tahrir al-Ahkam, 1/247 and 2/43; Ibn Barraj Trablusi, Qazi ʿAbd al-ʿAziz Al-Muhadhdhab, 2/262.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Tadhkirat al-Fuqaha, 2/298; idem, Tahrir al-Ahkam, 1/247; Makki, Muhammad b. Mansur, Al-Sara’ir, 2/472; Tusi, Abu Jaʿfar Muhammad b. Hasan, Al-Khilaf, 3/485; idem, Al-Mabsut, 5/238; ʿAllama Hilli, Mukhtalaf al-Shiʿa, 6/160-161 and 7/304; idem, Idhah al-Fawa’id, 3/262; Fadhil Hindi, Muhammad b. Hasan, Kashf al-Litham, 7/546; Shahid Thani, Zayn al-Din b. ʿAli ʿAmili, Masalik al-Afham, 8/413; Sabziwari, Muhammad Baqir b. Mu’min, Kifayat al-Ahkam, p. 193; Bahrani, Yusuf, Al-Hada’iq al-Nadhiraʿ, 12/605.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Mukhtalaf al-Shiʿa, 6/160 (in principle we regard it as permissible); Tabataba’i, Sayyid ʿAli, Riyadh al-Masa’il, 2/160; Shahid Thani, Zayn al-Din b. ʿAli ʿAmili, Masalik al-Afham, 8/413; Bahrani, Yusuf, Al-Hada’iq al-Nadhiraʿ, 25/74.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Tadhkirat al-Fuqaha, 2/299.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about the views on issue, see: 1. permit for wet-nursing: ʿAllama Hilli, Idhah al-Fawa’id, 3/262; Shahid Awwal, Muhammad b. Makki ʿAmili, Al-Lumʿat al-Damishqiyya, p. 176; ʿAllama Hilli, Qawaʿid al-Ahkamʿ, 3/101; idem, Tahrir al-Ahkam, 2/43; 2. concerning the quality of contract between the father and the mother: Ibn Barraj Trablusi, Qazi ʿAbd al-ʿAziz Al-Muhadhdhab, 1/481; ʿAmili, Sayyid Muhammad, Nihayat al-Maram, 1/462; Bahrani, Yusuf, Al-Hada’iq al-Nadhiraʿ, 25/74; Shahid Thani, Zayn al-Din b. ʿAli ʿAmili, Masalik al-Afham, 8/415.</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Barraj Trablusi, Qazi ʿAbd al-ʿAziz, Al-Muhadhdhab, 2/262; Hilli, Jaʿfar b. Hasan, Al-Mukhtasar al-Nafiʿ, p. 194; ʿJamiʿ al-Khilaf wa al-Wifaq, p. 510; Tusi, Abu Jaʿfar Muhammad b. Hasan, Al-Nihaya, p. 503; Ibn Zuhra Hilli, Ghunyat al-Nuzuʿ ila ʿIlmiya al-Usul wa al-Furuʿ, ed. Ibrahim Bahaduri, 1st edition, Imam Sadiq Institute, Qum, 1417/1996. p. 387; Khwansari, Sayyid Ahmad, Jamiʿ al-Madarik, 22/293; Tusi, Muhammad b. Hasan, Tahdhib al-Ahkam, 9/244, No. 946-947.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Al-Sara’ir, 2/471; Shara’iʿ al-Islam, 8/419; ʿAllama Hilli, Qawaʿid al-Ahkam, 3/101; ʿAllama Hilli, Irshad al-Adhhan, 2/40; Najafi, Muhammad Hasan, Jawahir, 31/274; Al-Hada’iq al-Nadhira, 25/74-75.</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Masalik al-Afham, 8/419; Tusi, Abu Jaʿfar Muhammad b. Hasan, Al-Khilaf, 3/489; Ibn Zuhra Hilli, Ghunyat al-Nuzuʿ, p. 286.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Jassas, Ahkam al-Qur'an, 3/619.</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Al-Basa’ir, 47/275; ʿAmili, ʿAli b, Husayn (b. Muhyi al-Din Abi al-Jamiʿ), Al-Wajiz fi Tafsir al-Qur'an al-ʿAziz, 1st edition, Dar al-Qur’an al-KArim, Qum, 1413/1993, 2/116; Al-Majmuʿ fi Sharh al-Muhadhdhab, 18/313.</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65: 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6/45, No. 4, 2 and 6/103, No. 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ʿAmili, Sayyid Muhammad, Nihayat al-Maram fi Sharh-i Mukhtasar Shara’iʿ al-Islam, 1/464; Sabziwari, Muhammad Baqir b. Mu’min, Kifayat al-Ahkam, p. 193; Fadhil Hindi, Muhammad b. Hasan, Kashf al-Litham, 2/105.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ʿAl-Muqniʿa, p. 530; Tusi, Abu Jaʿfar Muhammad b. Hasan, Al-Nihaya, p. 503; Ibn Barraj Trablusi, Qazi ʿAbd al-ʿAziz, Al-Muhadhdhab, 2/262; Makki, Muhammad b. Mansur, Al-Sara’ir, 2/650; Najafi, Muhammad Hasan, Jawahir, 13/281; Ahkam al-Nisa, p. 50; Halabi, Abu al-Salah, Al-Kafi fi al-Fiqh, ed. Ridha Ustadi, Maktaba Amir al-Mu’minin, Isfahan, 1403/1983, , p. 316; Hilli, Jaʿfar b. Hasan, Al-Mukhtasar al-Nafiʿ, p. 194. Yusufi, Hasan b. Abi Talib, Kashf al-Rumuz, 2/200.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ʿShahid Awwal, Muhammad b. Makki ʿAmili, Al-Lumʿat al-Damishqiyya, p. 176; ʿAllama Hilli, Qawaʿid al-Ahkamʿ, 3/101; ʿAllama Hilli, Irshad al-Adhhan, 2/40; ʿJamiʿ al-Khilaf wa al-Wifaq, p. 510; Fadhil Hindi, Muhammad b. Hasan, Kashf al-Litham, 2/105; Muhaqqiq Hilli, Shara’iʿ al-Islam, 2/566; Tusi, Abu Jaʿfar Muhammad b. Hasan, Al-Khilaf, 5/130.</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Muhammad b. Jarir, Jamiʿ al-Bayan, 2/677, No. 3938; Tusi, Abu Jaʿfar Muhammad b. Hasan, Al-Tibyan, 2/257.</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Bayhaqi, Ahmad b. Husayn, Sunan, 7/478; Sanʿani, Al-Musannaf, 7/59, No. 12178; Ha’iri Tehrani, Muqtaniyat al-Durar, 2/76; ʿAmili, ʿAli b, Husayn, Al-Wajiz fi Tafsir al-Qur'an al-ʿAziz, 1/191.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Sabziwari, Muhammad, Al-Jadid, 1/286; Tabrisi, Fadhl b. Hasan, ʿMajmaʿ al-Bayan, 1/333; Shirazi, Sayyid Muhammad Husayn, Taqrib al-Quran, 2/86.</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Tamimi, Nuʿman b. Muhammad, Daʿa’im al-Islam, 2/256, No. 975; Maghniyya, Muhammad Jawad, Al-Kashif, 1/365; Tabari, Muhammad b. Jarir, ʿJamiʿ al-Bayanʿ, 2/674-675, No. 3932-3937.</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Shirazi, Sayyid Muhammad Husayn, Taqrib al-Quran, 2/86; Tabataba’i, Muhammad Husayn Al-Mizan, 2/251; Qurtubi, Al-Jamiʿ li-Ahkam al-Qur’an, 3/167; Bayhaqi, Ahmad b. Husayn, Sunan, 7/478.</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Muhammad b. Jarir, ʿJamiʿ al-Bayanʿ, 2/657, No. 33.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Tabrisi, Fadhl b. Hasan, Majmaʿ al-Bayan, 1/333; Tusi, Abu Jaʿfar Muhammad b. Hasan, Al-Tibyan, 2/255.</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6/41, No. 6; also, see: Muqaddas Ardabili, Zubdat al-Bayan, p. 558.</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Babuwayh Qummi, Man la Yahdhuruhu al-Faqih, 3/509, No, 4788.</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Faydh Kashani, Al-Safi, 1/239; Muqaddas Ardabili, Zubdat al-Bayan, p. 557 and 559; Nahhas, Maʿani al-Qur'an, 1/219-220; Shaybani, Muhammad b. Hasan, Nahj al-Bayan ʿan Kashf-i Maʿani al-Qur’an, 1st edition, Da’irat al-Maʿarif al-Islamiyya Publication, Tehran, 1413/1993, 1/306; Kashani, Mulla Fath Allah, Manhaj al-Sadiqin, 2/29; 2/29; ʿAmili, ʿAli b, Husayn, Al-Wajiz fi Tafsir al-Qur'an al-ʿAziz, 1/191; Musawi Sabzwari, ʿAbd al-ʿAli, Mawahib al-Rahman, 2/255-258; Sanʿani, Al-Musannaf, 7/59-60, No. 12178-12184.</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Jawzi, ʿAbd al-Rahman, Nawasikh al-Qur'an, Dar al-Kutub al-ʿIlmiyya, Beirut, n.d., p. 90; Ibn al-ʿArabi, Muhammad b. ʿAbd Allah, Ahkam al-Qur'an, Dar al-Maʿrifa, Beirut, n.d., 1/205.</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Kufi, Ibn Abi Shayba, Al-Musannaf, ed. Saʿid Muhammad al-Liham, 8 vols. 1st edition, Dar al-Fikr, Qum, 1409/1988, 4/166, No. 1-4 and No. 165 and 167, No. 10; Tabari, Muhammad b. Jarir, ʿJamiʿ al-Bayanʿ, 2/681, No. 3956-3958 and 684; Tusi, Abu Jaʿfar Muhammad b. Hasan, Al-Tibyan, 2/255; Nahhas, Maʿani al-Qur'an, 1/218 and 216; Qummi Mashhadi, Kanz al-Daqa’iq, 2/352; Bayhaqi, Ahmad b. Husayn, Sunan, 7/478; Ibn Hajar ʿAsqalani, Fath al-Bari, 9/424; Thaʿalibi, ʿAbd al-Rahman, Al-Jawahir al-Hisan, 1/470; Shubbar, Sayyid ʿAbd Allah, Al-Jawhar al-Thamin, 1/235; Qummi, ʿAli b. Ibrahim, Tafsir al-Qummi, ed. Sayyid Tayyib Musawi Jaza’iri, 2 vol. 3rd edition, Dar al-Kutub li al-Ttibʿa wa al-Nashr, Qum, 1404/1984. 1/76; Jassas, Ahkam al-Qur'an, 1/492; Ibn Jawzi, ʿAbd al-Rahman, Zad al-Masirʿ, 1/242; Tabrisi, Fadhl b. Hasan, ʿMajmaʿ al-Bayan, 1/333; Tamimi, Nuʿman b. Muhammad, Daʿa’im al-Islam, 2/256, No. 975; Qurtubi, Al-Jamiʿ li-Ahkam al-Qur’an, 3/170; Shawkani, Muhammad b. ʿAli b. Muhammad, Fath al-Qadir, 1/246.</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Fadhlullah, Muhammad Husayn, Min Wahy al-Qur'an, 25 vols. 3rd edition, Dar al-Zahra, 1405/1985.</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Kufi, Al-Musannaf, 4/165, No. 4 and 166, No. 7; Sanʿani, Al-Musannaf, 7/60, No. 12186; Shirazi, Sayyid Muhammad Husayn, Taqrib al-Quran, 2/86; Janabadhi, Sultan Muhammad, Bayan al-Saʿada fi Maqamat al-ʿIbada, 4 vols, Tehran University, Tehran, 1385/1965.</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ʿAyyashi, Muhammad b. Masʿud, Tafsir al-ʿAyyashi, ed. Hashim Rasuli Mahallati, 2 vols. ʿIlmiyya Islamiyya Publication, Tehran, n.d., 1/12, No. 383; Tamimi, Nuʿman b. Muhammad, Daʿa’im al-Islam, 2/290, No. 1109.</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Karrami, Muhammad, Al-Tafsir li Kitab Allah al-Munir, 7 vols. Matbaʿa ʿIlmiyya, Qum, 1402/1982.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Muhammad b. Hasan, Tahdhib al-Ahkam, 9/244, No. 946-947.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6/41, No. 6 and 103, No. 3; Ibn Babuwayh Qummi, Man la Yahdhuruhu al-Faqih, 3/510, No.4788; Tamimi, Nuʿman b. Muhammad, Daʿa’im al-Islam, 2/290, No. 1109; Ayyashi, Muhammad b. Masʿud, Tafsir al-ʿAyyashi, 1/120, No. 384.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Qummi, ʿAli b. Ibrahim, Tafsir al-Qummi, 1/76; also see: Jassas, Ahkam al-Qur'an, 1/492.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Qurashi, Ismaʿil, Tafsir al-Qur'an al-ʿAzim, 1/291; Thaʿalibi, ʿAbd al-Rahman, Al-Jawahir al-Hisan, 1/470; Khuzaʿi Nayshaburi, Husayn b. ʿAli b. Muhammad, Rawdh al-Jinan wa Rawh al-Janan, 3/286; Waʿiz Kashifi, Husayn, Tafsir-i Mawahibun ʿAlayh, 4 vols. 1st edition, Iqbal Bookstore, Tehran, 1357/1938; Kashani, Mulla Fath Allah, Manhaj al-Sadiqin, 2/29; Sharif Lahiji, Shaykh ʿAli, Tafsir-i Sharif-i Lahiji, Mu’assisa Matbuʿati ʿIlmi, 1363 sh/1984; Tabrisi, Fadhl b. Hasan, Majmaʿ al-Bayan, 1/333; Shubbar, Sayyid ʿAbd Allah, Al-Jawhar al-Thamin, 1/235; Ha’iri Tehrani, Muqtaniyat al-Durar, 2/76; Shirazi, Sayyid Muhammad Husayn, Taqrib al-Quran, 2/86; Maghniyya, Muhammad Jawad, Al-Kashif, 1/356.</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Qummi, ʿAli b. Ibrahim, Tafsir al-Qummi, 1/76; Musawi Sabzwari, ʿAbd al-ʿAli, Mawahib al-Rahman, 4/58.</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Jawzi, ʿAbd al-Rahman, Zad al-Masir, 1/242.</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Qummi, ʿAli b. Ibrahim, Tafsir al-Qummi, 1/76; Tabari, Muhammad b. Jarir, ʿJamiʿ al-Bayanʿ, 2/686; Tusi, Abu Jaʿfar Muhammad b. Hasan, Al-Tibyan, 2/255; Ibn Hajar ʿAsqalani, Fath al-Bari, 9/416.</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ʿAsqalani, Fath al-Bari, 9/416; Taliqani, Sayyid Mahmud, Partuwi az Qur'an, 2/156.</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Muhammad b. Hasan, Tahdhib al-Ahkam, 8/105 No. 355; Kulayni, Muhammad b. Yaʿqub, Al-Kafi, /443, No. 2-3 and 6/103, No. 3; Tamimi, Nuʿman b. Muhammad, Daʿa’im al-Islam, 2/241, No. 903 and 290, No.1109; Ibn Babuwayh Qummi, Man la Yahdhuruhu al-Faqih, 3/509, No. 4788.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Muhammad b. Jarir, ʿJamiʿ al-Bayanʿ, 2/686; Sanʿani, Al-Musannaf, 7/57, No. 12174; Tusi, Abu Jaʿfar Muhammad b. Hasan, Al-Tibyan, 2/255; Janabadhi, Sultan Muhammad, Bayan al-Saʿada fi Maqamat al-ʿIbada, 1/205.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Muhammad b. Jarir, ʿJamiʿ al-Bayanʿ, 2/667; Kashani, Mulla Fath Allah, Manhaj al-Sadiqin, 2/29; Faydh Kashani, Al-Safi, 1/239; ʿAmili, ʿAli b, Husayn, Al-Wajiz fi Tafsir al-Qur'an al-ʿAziz, 1/191.</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Tabrisi, Fadhl b. Hasan, ʿMajmaʿ al-Bayan, 1/333.</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Musawi Sabzwari, ʿAbd al-ʿAli, Mawahib al-Rahman, 4/58.</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Kashani, Mulla Fath Allah, Manhaj al-Sadiqin, 2/29; Tabataba’i, Muhammad Husayn, Al-Mizan, 2/251.</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Muhammad Hasan, Jawahir, 31/280.</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6/43, No. 10.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Himyari, ʿAbd Alla b. Jaʿfar, Qurb al-Isnad, 1st edition, Al al-Bayt Institute, Qum, 1413/199, p. 93, No, 312.</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ʿAli b. Jaʿfar, al-Imam al-Sadiq, Masa’il ʿAli b. Jaʿfar wa Mustadrakatiha, ed. Al al-Bayt Institute, 1st edition, Imam Reza World Congress, Mashhad, 1409/1989, p. 282, No. 711.</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Babwayhh, ʿUyun Akhbar al-Ridha (A.S.), 1/37, No. 67.</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6/44, No. 12.</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6/44, No. 13.</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Himyari, Qurb al-Isnad, p. 93, No, 312.</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Qurtubi, Al-Jamiʿ li-Ahkam al-Qur’an, 3/172; Thaʿalibi, ʿAbd al-Rahman, Al-Jawahir al-Hisan, 1/471; Ibn Kathir Qurashi, Ismaʿil, Tafsir al-Qur'an al-ʿAzim, 1/291.</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ʿAlawi Husayni, Muhammad Karim, Kashf al-Haqa’iq ʿan Nukat al-Ayat wa al-Daqa’iq, 3 vols. 3rd edition, Haj ʿAbd al-Majid - Sadiq Nowbari Publication, Tehran, 1396/1976. 1/167; Tabrisi, Fadhl b. Hasan, ʿMajmaʿ al-Bayan , 1/333; Ha’iri Tehrani, Muqtaniyat al-Durar, 2/76; Shirazi, Sayyid Muhammad Husayn, Taqrib al-Quran, 2/86; Sabziwari, Muhammad, Al-Jadid, 1/286.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Jalal al-Din, Al-Durr al-Manthur, 1/287; Taliqani, Sayyid Mahmud, Partuwi az Qur'an, 2/156.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Bayhaqi, Ahmad b. Husayn, Sunan, 7/478; Tabari, Muhammad b. Jarir, ʿJamiʿ al-Bayanʿ, 2/688-689 Khuzaʿi Nayshaburi, Husayn b. ʿAli b. Muhammad, Rawdh al-Jinan wa Rawh al-Janan, 3/286.</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about other implications of this statement, see: 1. Paying wages to the foster suckling-mother: Ibn Jawzi, ʿAbd al-Rahman, Zad al-Masirʿ, 1/243; Thaʿalibi, ʿAbd al-Rahman, Al-Jawahir al-Hisan, 1/471; Tusi, Abu Jaʿfar Muhammad b. Hasan, Al-Tibyan, 2/255; Kashani, Mulla Fath Allah, Manhaj al-Sadiqin, 2/29; 2. Accepting to leave the baby with a foster suckling-mother: Shawkani, Muhammad b. ʿAli b. Muhammad, Fath al-Qadir, 1/247; Tabrisi, Fadhl b. Hasan, ʿMajmaʿ al-Bayan , 1/333; Qurtubi, Al-Jamiʿ li-Ahkam al-Qur’an, 3/173; 3. Surrendering to Allah's command: Suyuti, Jalal al-Din, Al-Durr al-Manthur, 1/287; 4. Pledging not to inflict harm.</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Shawkani, Muhammad b. ʿAli b. Muhammad, Fath al-Qadir, 1/24; Tabari, Muhammad b. Jarir, ʿJamiʿ al-Bayanʿ, 2/689-690; Tusi, Abu Jaʿfar Muhammad b. Hasan, Al-Tibyan, 2/255; Tusi, Abu Jaʿfar Muhammad b. Hasan, Al-Khilaf, 1/365.</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20: 40.</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28: 12.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3: 37.</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3: 44.</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Al-Tibyan, 2/459-460; Tabrisi, Fadhl b. Hasan, Majmaʿ al-Bayan, 283; Shawkani, Muhammad b. ʿAli b. Muhammad, Fath al-Qadir, 1/339.</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Muhammad b. Jarir, ʿJamiʿ al-Bayanʿ, 3/331; Faydh Kashani, Al-Safi, 1/336; Qummi Mashhadi, Kanz al-Daqa’iq, 2/87; Tabrisi, Fadhl b. Hasan, ʿMajmaʿ al-Bayan, 2/292.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ʿAsqalani, Subul al-Salam, Mustata al-Albabi Halabi, 1379/1959,3/227; Fayyumi, Ahmad b. Muhammad, Al-Misbah al-Munir, ed. Muhammad Muhi al-Din ʿAbd al-Hamid, 1347/1927, 1/193.</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Jawahiri, Ismaʿil b. Hammad, Al-Sihah, 5/2101; ʿLisan al-ʿArab, 13/122-124; Zubaydi, Muhammad Murtaza, Taj al-ʿArus, 9/180-181.</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Tadhkirat al-Fuqaha, 2/295 and 311; idem, Tahrir al-Ahkam, 1/247; idem, Idhah al-Fawa’id, 3/273; Karaki, ʿAli b. Husayn, Jamiʿ al-Maqasid, 7/129 and 246; Najafi, Muhammad Hasan, Jawahir, 27/293; Sayyid Sabiq, Fiqh al-Sunna, 3 vols. Dar al-Kutub al-ʿArabiyya, Berut, n.d., 2/388.</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ʿAllama Hilli, Tahrir al-Ahkam, 2/43; idem, Qawaʿid al-Ahkamʿ, 3/101; idem, Idhah al-Fawa’id, 3/263; Fadhil Hindi, Muhammad b. Hasan, Kashf al-Litham, 2/106; ʿAmili al-Faqʿani, Zayn al-Din Abu al-Qasim, Al-Durr al-Mandhud fi Maʿrifat Siyagh al-Niyyat wa al-Iqaʿat wa al-ʿUqud, ed. Muhammad Barakat, Maktibat al-Imam al-ʿAsr, Shiraz, 1st edition, 1418/1997, p. 204; ʿAllama Hilli, Idhah al-Fawa’id, 2/139; ʿAmili, Sayyid Muhammad, Nihayat al-Maram, 1/460; Sabziwari, Muhammad Baqir b. Mu’min, Kifayat al-Ahkam, p. 193; Shahid Thani, Zayn al-Din b. ʿAli ʿAmili, Al-Rawdhat al-Bihiyya, 5/458; Shahid Thani, Zayn al-Din b. ʿAli ʿAmili, Masalik al-Afham, 8/421; Bahrani, Yusuf, Al-Hada’iq al-Nadhira, 25/83; Tabataba’i, Sayyid ʿAli, Riyadh al-Masa’il, 2/160; Fathullah, Dr. Ahmad, Muʿjam-i Alfadh al-Fiqh al-Jaʿfari, 1st edition, Mtabiʿ al-Madukhal, 1415/1995, p. 162.</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Tawhidi, Muhammad ʿAli, Misbah al-Fiqaha, 7 vols. 3rd edition, Qum, Matbaʿa al-Sayyid al-Shuhada, 1412/1992., 2/47; Ruhani, Sayyid Muhammad Sadiq, Fiqh al-Sadiq, 15/206-204.</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Muhammad Hasan, Jawahir, 31/284; Khwansari, Sayyid Ahmad, Jamiʿ al-Madarik, 4/472-473.</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by this same consideration that in relation to establishing the principle of guardianship (wilaya) it is stated that the principle is (taken to be based on) the non-guardianship and non-authority of a human ruling over another human being, because every human being is created free and independent and, in terms of creation and nature, is dominant over their own life, property, and mind. See: Muntaziri, Husayn ʿAli, Dirasat fi Wilayat al-Faqih wa Fiqh al-Dawlat al-Islamiyya, 2nd edition, Al-Markaz al-ʿAlimi li al-Dirasat al-Islamiyya, 1409/1988, 1/27.</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Sabiq, Fiqh al-Sunna, 2/338-339; also, for more information about the reasons of those who regard custody as an unrelinquishable right and criticism of them, see: Shahid Thani, Zayn al-Din b. ʿAli ʿAmili, Al-Rawdhat al-Bihiyya, 5/464; Najafi, Muhammad Hasan, Jawahir, 31/284; Tabataba’i, Sayyid ʿAli, Riyadh al-Masa’il, 2/163; Ruhani, Sayyid Muhammad Sadiq, Fiqh al-Sadiq, 22/305; Fadhil Hindi, Muhammad b. Hasan, Kashf al-Litham, 2/107; Jaza’iri, Sayyid ʿAbd Allah, Al-Tuhfat al-Saniyya fi Sharh Nukhbat al-Muhsiniyya, manuscript, Astan Quds Razavi, p.296.</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6/103, No. 1 and 45, No. 3; Ibn Babuwayh Qummi, Man la Yahdhuruhu al-Faqih, 3/509, No. 4788 and 275, No. 1303 and 1305; Hurr ʿAmili, Muhammad Hasan,Wasa’il al-Shiʿa, 15/191, No. 2-3, and 192, No. 7; Yusufi, Hasan b. Abi Talib, Kashf al-Rumuz, 2/201.</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Muhammad b. Hasan, Tahdhib al-Ahkam, 8/105, No. 353; Ibn Babuwayh Qummi, Man la Yahdhuruhu al-Faqih, 3/275, No. 1304. For more information, see: Fadhil Hindi, Muhammad b. Hasan, Kashf al-Litham, 2/106-107; Makki, Muhammad b. Mansur, Al-Sara’ir, 2/652; Jaza’iri, Sayyid ʿAbd Allah, Al-Tuhfat al-Saniyya, p.295.</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Awwal, Muhammad b. Makki ʿAmili, Al-Qawaʿid wa al-Fawa’id fi al-Fiqh wa al-Usul wa al-ʿArabiyya, ed. Sayyid ʿAbd al-Hadi Hakim, 2 vols. Maktibat al-Mufid, n.d., 1/395; Miqdad Suyuri, Nadhd al-Qawaʿid al-Fiqhiyya ʿala Madhhab al-Imamiyya, ed. ʿAbdul Latif Kuhkamari, Ayatollah Marʿashi Library, Qum, 1403/1982, 433; Sabziwari, Muhammad Baqir b. Mu’min, Kifayat al-Ahkam, p. 193.</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Fahd Hilli, Al-Muhadhdhab al-Bariʿ, 3/426; also, to learn about its criticism, see: ʿAmili, Sayyid Muhammad, Nihayat al-Maram, 1/466; Tabataba’i, Sayyid ʿAli, Riyadh al-Masa’il, 2/162.</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Najafi, Muhammad Hasan, Jawahir, 31/285; Kulayni, Muhammad b. Yaʿqub, Al-Kafi, 5/492, No. 1; Tusi, Abu Jaʿfar Muhammad b. Hasan, Tusi, Al-Amali, ed. Biʿthat Institute, 1st edition, Dar al-Thiqafa, Qum, 1414/1993., p. 342, No. 700.</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6/45, No. 4.</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6/103, No. 3 and 41, No. 6 and 44, No. 1; Ibn Babuwayh Qummi, Man la Yahdhuruhu al-Faqih, 3/509, No. 4788; Tamimi, Nuʿman b. Muhammad, Daʿa’im al-Islam, 2/256, No. 976.</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Babuwayh Qummi, Man la Yahdhuruhu al-Faqih, 3/275, No. 1303, 1305; Kulayni, Muhammad b. Yaʿqub, Al-Kafi, 6/45, No. 3; Hurr ʿAmili, Muhammad Hasan,Wasa’il al-Shiʿa, 15/192, No. 7.</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Masalik al-Afham, 8/421; Ruhani, Sayyid Muhammad Sadiq, Fiqh al-Sadiq, 22/302-303.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Masalik al-Afham, 8/105, No. 353; Ibn Babuwayh Qummi, Man la Yahdhuruhu al-Faqih, 3/275, No. 1304.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other alternatives in explaining this statement, such as: 1. the parents both share in the child custody, 2. the child is equally related to both the mother and the father; and none of them is superior [in this respect] to the other one, 3. the mother is obliged to breastfeed (ridha) and the father is obliged to pay the wage; this way reaning of the child is equally shared between the father and the mother; see: Tabataba’i, Sayyid ʿAli, Riyadh al-Masa’il, 2/162; Najafi, Muhammad Hasan, Jawahir, 31/286.</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Tabataba’i, Sayyid ʿAli, Riyadh al-Masa’il, 2/162; Ruhani, Sayyid Muhammad Sadiq, Fiqh al-Sadiq, 22/304; ʿAmili, Sayyid Muhammad, Nihayat al-Maram, 1/466; Bahrani, Yusuf, Al-Hada’iq al-Nadhiraʿ, 25/86.</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Masalik al-Afham, 8/421; Ruhani, Sayyid Muhammad Sadiq, Fiqh al-Sadiq, 22/304.</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see: Muhaqqiq Hilli, Shara’iʿ al-Islam, 2/567; Hilli, Jaʿfar b. Hasan, Al-Mukhtasar al-Nafiʿ, p. 194; Yusufi, Hasan b. Abi Talib, Kashf al-Rumuz, 2/200; Najafi, Muhammad Hasan, Jawahir, 31/273.</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Bahrani, Yusuf, Al-Hada’iq al-Nadhiraʿ, 25/87; Muhaqqiq Hilli, Shara’iʿ al-Islam, 2/566 and 568; Ibn Barraj Trablusi, Qazi ʿAbd al-ʿAziz, Al-Muhadhdhab, 2/262; Makki, Muhammad b. Mansur, Al-Sara’ir, 2/651; Hilli, Jaʿfar b. Hasan, Al-Mukhtasar al-Nafiʿ, p. 194; Yusufi, Hasan b. Abi Talib, Kashf al-Rumuz, 2/200.</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worth mentioning that in order to prove the annulment of the mother's right to custody, some jurists have referred to such reasons as: distress and constriction, correlation between custody (hidhanat) and suckling (ridhaʿ, the emergence of the term nazʿ (death agony) in the tradition related by Dawud b. Husayn in the child's separation from its mother, and the concept of ahaqq (more rightfull); as some have claimed – with reference to the practical principle, directing attention in judgment to the dominant case, and the non-correlation between custody and suckling – that the mother's right to custody of her child will not be annulled through her refusing to breastfeed it, which are all criticizable in their context. For more information, see: Jaza’iri, Sayyid ʿAbd Allah, Al-Tuhfat al-Saniyya, p.295; Shahid Thani, Zayn al-Din b. ʿAli ʿAmili, Al-Rawdhat al-Bihiyya, 5/457; Najafi, Muhammad Hasan, Jawahir, 31/290-300, and 285; ʿAmili, Sayyid Muhammad, Nihayat al-Maram, 1/466; Shahid Thani, Zayn al-Din b. ʿAli ʿAmili, Masalik al-Afham, 8/436; Sabziwari, Muhammad Baqir b. Mu’min, Kifayat al-Ahkam, p. 194; ʿAllama Hilli, Idhah al-Fawa’id, 3/263; ʿAllama Hilli, Tahrir al-Ahkam, 1/247 and 2/43; Makki, Muhammad b. Mansur, Al-Sara’ir, 2/652; Qurtubi, Al-Jamiʿ li-Ahkam al-Qur’an, 3/169.</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Barraj Trablusi, Qazi ʿAbd al-ʿAziz, Al-Muhadhdhab, 2/262; Muhaqqiq Hilli, Shara’iʿ al-Islam, 2/567; Hilli, Jaʿfar b. Hasan, Al-Mukhtasar al-Nafiʿ, p. 194; Yusufi, Hasan b. Abi Talib, Kashf al-Rumuz, 2/200; ʿAllama Hilli, Tahrir al-Ahkam, 1/247 and 2/43; ʿAllama Hilli, Tabsirat al-Mutiʿallimin, p. 187; Shahid Awwal, Muhammad b. Makki ʿAmili, Al-Lumʿat al-Damishqiyya, p. 176; Fadhil Hindi, Muhammad b. Hasan, Kashf al-Litham, 2/106; ʿAmili, Sayyid Muhammad, Nihayat al-Maram, 1/466; ʿAllama Hilli, Mukhtalaf al-Shiʿa, 7/308; Najafi, Muhammad Hasan, Jawahir, 31/291; Shahid Thani, Zayn al-Din b. ʿAli ʿAmili, Masalik al-Afham, 8/421-422.</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Bahrani, Yusuf, Al-Hada’iq al-Nadhiraʿ, 25-88; Sabziwari, Muhammad Baqir b. Mu’min, Kifayat al-Ahkam, p. 194; Khwansari, Sayyid Ahmad, Jamiʿ al-Madarikʿ, 4/474; Tabataba’i, Sayyid ʿAli, Riyadh al-Masa’il, 2/162.</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3/207, chapters on wiladat; Jaza’iri, Sayyid ʿAbd Allah, Al-Tuhfat al-Saniyya, p.296; ʿAllama Hilli, Tahrir al-Ahkam, 1/247 and 2/44; Tusi, Abu Jaʿfar Muhammad b. Hasan, Al-Khilaf, 5/131, problem 36; Tusi, Abu Jaʿfar Muhammad b. Hasan, Al-Mabsut, 6/39; Ruhani, Sayyid Muhammad Sadiq, Fiqh al-Sadiq, 22/304.</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Babuwayh Qummi, Man la Yahdhuruhu al-Faqih, 3/435, No. 4504.</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6/45, No. 4 and 1; Ibn Babuwayh Qummi, Man la Yahdhuruhu al-Faqih, 3/275, No, 1304.</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Other views have also been brought up in Islamic jurisprudence in this respect, such as: mother's priority in custody of her child until the latter's marriage; priority of mother in custody of her son up to the age of two and the daughter up to the age of nine; mother's priority in the custody of her son until the age of seven and the daughter until the mother gets married; mother's priority in the custody of her son until maturity and the daughter until she [the daughter] gets married; mother's priority in the custody of her son until he can eat and dress by himself and the daughter until she gets married; mother's priority in the custody of her son until the age of two in case there is a clash and until the age of seven in case there is no clash; the preference of leaving the son's custody to the mother until the age of seven. For more information concerning the reasons for these views and their criticism, see: Al-Muqni, p. 360; ʿAllama Hilli, Mukhtalaf al-Shiʿa, 7/306, 308, and 313; Ibn Fahd Hilli, Ibn Fahd Hilli, Al-Muhadhdhab al-Bariʿ, 3/426-427 and 429; Ibn Barraj Trablusi, Qazi ʿAbd al-ʿAziz, Al-Muhadhdhab, 2/352; Muhaqqiq Hilli, Shara’iʿ al-Islam, 2/567; Hilli, Jaʿfar b. Hasan, Al-Mukhtasar al-Nafiʿ, p. 194; ʿAllama Hilli, Qawaʿid al-Ahkamʿ, 3/102; ʿAllama Hilli, Tahrir al-Ahkam, 2/44; Al-Marasim, p. 166; ʿAl-Muqniʿa, p. 531; Shahid Thani, Zayn al-Din b. ʿAli ʿAmili, Masalik al-Afham, 8/420; Fadhil Hindi, Muhammad b. Hasan, Kashf al-Litham, 2/106; Najafi, Muhammad Hasan, Jawahir, 31/291; Tabataba’i, Sayyid ʿAli, Riyadh al-Masa’il, Riyadh al-Masa’il, 2/162; Bahrani, Yusuf, Al-Hada’iq al-Nadhira, 25/89; Tusi, Abu Jaʿfar Muhammad b. Hasan, Al-Khilaf, 5/131, issue 35-36; Makki, Muhammad b. Mansur, Al-Sara’ir, 3/653; ʿAmili, Sayyid Muhammad, Nihayat al-Maram, 1/467-468; Sabziwari, Muhammad Baqir b. Mu’min, Kifayat al-Ahkam, p. 194; Tusi, Abu Jaʿfar Muhammad b. Hasan, Al-Mabsut, 6/39; Khwansari, Sayyid Ahmad, Jamiʿ al-Madarik, 4/474.</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Muhammad Hasan, Jawahir al-Kalam fi Sharh Shara’iʿ al-Islam, 31/293.</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Barraj Trablusi, Qazi ʿAbd al-ʿAziz, Al-Muhadhdhab, 2/353-354 and 318; Fadhil Hindi, Muhammad b. Hasan, Kashf al-Litham, 2/106; Jawahir al-ʿUqud, 2/189.</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8: 75; 33: 6.</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 233.</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of how these evidences have been alluded to as well as their criticism, see: Makki, Muhammad b. Mansur, Al-Sara’ir, 2/652; Najafi, Muhammad Hasan, Jawahir, 31/293; Fadhil Hindi, Muhammad b. Hasan, Kashf al-Litham, 2/106-107; Ruhani, Sayyid Muhammad Sadiq, Fiqh al-Sadiq, 22/308-309; Tabataba’i, Sayyid ʿAli, Riyadh al-Masa’il, 2/162; ʿAllama Hilli, Qawaʿid al-Ahkamʿ, 3/102; idem, Irshad al-Adhhan, 2/40; Muhaqqiq Hilli, Shara’iʿ al-Islam, 2/567; Hilli, Jaʿfar b. Hasan, Al-Mukhtasar al-Nafiʿ, p. 194; Ibn Barraj Trablusi, Qazi ʿAbd al-ʿAziz, Al-Muhadhdhab, 2/262; ʿAllama Hilli, Tahrir al-Ahkam, 1/247 and 2/44; Kulayni, Muhammad b. Yaʿqub, Al-Kafi, 6/45, No. 4 and 41, No. 7.</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ʿAllama Hilli, Tadhkirat al-Fuqaha, 2/510; Shahid Thani, Zayn al-Din b. ʿAli ʿAmili, Al-Rawdhat al-Bihiyya, 5/66.</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ʿAl-Muqniʿa, p. 531.</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in regard to custody, none of the jurists have brought up the above possibility, it is asked in the book of inheritance whether one can after his death hand over his child to a stranger to take care of while the child's grandfather is still alive. Giving a negative answer to this question, the Shiʿa jurists – contrary to the Sunnis – have brought up some matters from which it can be concluded that the custody of the child after its father's death rests with its paternal grandfather in case the parents have already divorced and the child is over seven years of age. For more information, see: Tusi, Abu Jaʿfar Muhammad b. Hasan Al-Khilaf, 4/161-162, issue 40-41; idem, Al-Mabsut, 4/54-55 and 6/154-155; ʿAllama Hilli, Tadhkirat al-Fuqaha, 2/586, 510, 460, and 80; Ali Bahr al-ʿUlum, Sayyid Muhammad, Bulghat al-Faqih, 4th edition, Maktabat al-Sadiq, 1403/1984, 4/72-73; Ruhani, Sayyid Muhammad Sadiq, Fiqh al-Sadiq, 20/398; Shahid Thani, Zayn al-Din b. ʿAli ʿAmili, Masalik al-Afham, 6/144 and 268, and 7/195; ʿAllama Hilli, Mukhtalaf al-Shiʿa, 6/378; Makki, Muhammad b. Mansur, Al-Sara’ir, 3/204; Bahrani, Yusuf, Al-Hada’iq al-Nadhiraʿ, 19/94-95 and 22/16; Muhaqqiq Hilli, Shara’iʿ al-Islam, 2/470 and 506; Ansari, Shaykh Murtadha, Al-Wasaya wa al-Mawarith, 1st edition, Baqiri Publication, Qum, 1415/1995, p. 61; ʿAllama Hilli, Tahrir al-Ahkam, 1/219 and 2/541 and 7 and 7/418; ʿAllama Hilli, Idhah al-Fawa’id, 2/52; Yusufi, Hasan b. Abi Talib, Kashf al-Rumuz, 3/229; ʿAllama Hilli, Tabsirat al-Mutiʿallimin, p. 173; Shahid Thani, Zayn al-Din b. ʿAli ʿAmili, Al-Rawdhat al-Bihiyya, 5/151; Shahid Thani, Zayn al-Din b. ʿAli ʿAmili, Al-Durus al-Sharʿiyya fi Fiqh al-Imamiyya, 3 vols. 1st edition, al-Nashr al-Islamiyya Publication, Qum, 1412/1991 2/323; Hakim, Sayyid Muhsin, Mustamsik al-ʿUrwat al-Wuthqa, 14 vols. 4th edition, Dar Ihya’ al-Turath al-ʿArabi, Beirut, 1391/1971, 14/593; Najafi, Muhammad Hasan, Jawahir, 28/277.</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prove this view some arguments have been presented which are not free from dispute. For more information, see: Fadhil Hindi, Muhammad b. Hasan, Kashf al-Litham, 2/106; Najafi, Muhammad Hasan, Jawahir, 31/295; Shahid Thani, Zayn al-Din b. ʿAli ʿAmili, Masalik al-Afham, 8/430-431; Muhaqqiq Hilli, Shara’iʿ al-Islam, 2/567; ʿAllama Hilli, Qawaʿid al-Ahkamʿ, 3/102; ʿAllama Hilli, Idhah al-Fawa’id, 3/256; Shahid Thani, Zayn al-Din b. ʿAli ʿAmili, Al-Rawdhat al-Bihiyya, 5/459-460; ʿAmili, Sayyid Muhammad, Nihayat al-Maram, 1/472.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Muhammad Hasan, Jawahir, 31/296.</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worth mentioning that the legal texts maintain that in case of the grandfather's death there are other possibilities such as transfer of the child's custody to the nearest of kin, the child's probable legatees in the order of their inheriting from the child, and to the Islamic ruler. For more information of the reasons for these views and their criticisms, see: Shahid Awwal, Muhammad b. Makki ʿAmili, Al-Lumʿat al-Damishqiyya, p. 176; ʿAllama Hilli, Irshad al-Adhhan, 2/40; Qawaʿid al-Ahkam fi Maʿrifat al-Halal wa al-Haram, 3/102; Fadhil Hindi, Muhammad b. Hasan, Kashf al-Litham, 2/106-107; Shahid Thani, Zayn al-Din b. ʿAli ʿAmili, Masalik al-Afham, 8/431; Najafi, Muhammad Hasan, Jawahir, 31/296; Muhaqqiq Hilli, Shara’iʿ al-Islam, 2/567; ʿAmili, Sayyid Muhammad, Nihayat al-Maram, 1/472; Sabziwari, Muhammad Baqir b. Mu’min, Kifayat al-Ahkam, p. 194; Bahrani, Yusuf, Al-Hada’iq al-Nadhira, 25/97.</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about the reasons set forth by the proponents of this view, their criticisms, as well as the criterion for selecting one of the kin, see: Shafiʿi, Abu ʿAbd Allah Muhammad b. Idris, Al-Umm, 8 vols. 2nd edition, Dar al-Fikr, Beirut, 1403/1983, 5/92; Al-Tuhfat al-Saniyya, p. 295; Al-Hada’iq al-Nadhira, 25/96-97; Tusi, Abu Jaʿfar Muhammad b. Hasan Al-Khilaf, 5/134-137; Al-Sara’ir, 2/653-654; Qatifi, Ibrahim b. Sulayman, Al-Siraj al-Wahhaj li Dafʿ ʿIjaj Qatiʿa al-Lijaj, 1st edition, Muʿassisa-yi Nashr-i Islami, Qum, 1413/1990474; Al-Muqniʿa, p. 531; Ibn Barraj Trablusi, Qazi ʿAbd al-ʿAziz, Al-Muhadhdhab, 2/353; Al-Wafi, 2/119; Al-Wasila, p.288; Qurtubi al-Andulusi, Abu Walid Muhammad b. Ahmad (Ibn Rashid al-Hafid) Bidayat al-Mujtahid wa Nahayat al-Muqtasid, ed. Khalid ʿAttar, 2 vols. Dar al-Fikr, Beirut, 1415/1995, 2/46; Qurtubi al-Andulusi, Bidayat al-Mujtahid, 2/43-44; Jawahir al-ʿUqud, 2/188; Najafi, Muhammad Hasan, Jawahir, 31/296-300; Shashi, Muhammad b. Ahmad, Hilyat al-ʿUlama fi Maʿrifat Madhahib al-Fuqaha, Risalat Institute, Beirut, 1400/1980. , 7/437; Shara’iʿ al-Islam, 2/567-568; Sharh al-Akhbar, 3/201-202, No. 1130; Shahid Thani, Zayn al-Din b. ʿAli ʿAmili, Al-Rawdhat al-Bihiyya, 5/461-462; Ishtahardi, Shaykh ʿAli Panah, Fatawi-yi Ibn Junayd, Muʿassisa-yi Nashr-i Islami, Qum, 1416/1996. p. 264; Fiqh al-Sadiq, 22/ 311; ʿAllama Hilli, Qawaʿid al-Ahkam, 3/102; Fadhil Hindi, Muhammad b. Hasan, Kashf al-Litham, 2/107; Muzni, Ismaʿil b. Yahya, Mukhtasar al-Muzni, Dar al-Maʿrifa, Beirut, n.d. p. 235; ʿAllama Hilli, Mukhtalaf al-Shiʿa, 7/310, and 314-315; Shahid Thani, Zayn al-Din b. ʿAli ʿAmili, Masalik al-Afham, 8/430-431 and 435; Mughni al-Muhtaj, 3/452; ʿAmili, Sayyid Muhammad, Nihayat al-Maram, 1/472-471.</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Al-Khilaf, 5/137-138; Makki, Muhammad b. Mansur, Al-Sara’ir, 2/654.</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Makki, Muhammad b. Mansur, Al-Sara’ir, 2/654; Ruhani, Sayyid Muhammad Sadiq, Fiqh al-Sadiq, 22/296.</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Masalik al-Afham, 8/422; Sabziwari, Muhammad Baqir b. Mu’min, Kifayat al-Ahkam, p. 194; Fadhil Hindi, Muhammad b. Hasan, Kashf al-Litham, 2/106; ʿAmili, Sayyid Muhammad, Nihayat al-Maram, 1/468; Ruhani, Sayyid Muhammad Sadiq, Fiqh al-Sadiq, 22/306;</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4: 141.</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Khu’i, Muhammad Taqi, Kitab al-Nikah (Mabani ʿUrwat al-Wuthqa), 2 vols. Dar al-ʿIlm School, 1407/1986, 2/311; Khwansari, Sayyid Ahmad, Jamiʿ al-Madarik, 4/476.</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Babuwayh Qummi, Man la Yahdhuruhu al-Faqih, 4/344, No. 5717-5718, Awali al-Li’ali, 3/496, No. 15; Kulayni, Muhammad b. Yaʿqub, Al-Kafi, 7/143, No. 5.</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Babuwayh Qummi, Man la Yahdhuruhu al-Faqih, 4/334, No. 5719.</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to be noted that there are other possibilities brought up in the meaning of this tradition: 1. Islam will dominate all other religions, 2. Islam is the best of religions, 3. The truth of Islam is based on clear evidence and evident proofs, 4. The non-superiority of a non-Muslim over a Muslim, 5. Encouraging the Muslims to develop the scholarly global prevalence of Islam, 6. Islam will not be abrogated, 7. Devising legal ordinances that lead to the Muslims' superiority, 8. The license for the precedence of the Muslims over non-Muslims, and 9. Not legislating ordinances that lead to the non-Muslims' superiority over the Muslims. For more information, see: Shahid Thani, Zayn al-Din b. ʿAli ʿAmili, Masalik al-Afham, 13/20; Yazdi, Sayyid Muhammad Kazim, Hashiyat al-Makasib, 2 vol. Ismaʿiliyan Institute, Qum, 1378/1956., 2/446; Tawhidi, Muhammad ʿAli, Misbah al-Fiqaha, 1/490 and 5/90; Ruhani, Sayyid Muhammad Sadiq, Fiqh al-Sadiq, 13/75 and 14/157 and 15/40; Khu’i, Kitab al-Tahara, 8/91; Khomeini, Ruhullah, Kitab al-Tahara, 3 vols. Ismaʿiliyan Institute, Qum, 1410/1989, 3/311; idem, Kitab al-Bayʿ, 5 vols. 4th edition, Ismaʿiliyan Institute, 1410/1989.2/545; Isfahani, Muhammad Husayn, Hashiyat al-Makasib, ed. ʿAbbas Muhammad Al-i Sabaʿ, 1st edition, Matbaʿa ʿIlmiyya, Qum, 1418/1997., 2/446; Ansari, Muhammad ʿAli, Al-Mawsuʿat al-Fiqhiyyat al Maysara, 3 vols. 1st edition, Islamic Thought Association, Qum, 1415/1995, 3283.</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Muhammad Hasan, Jawahir, 31/273.</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Masalik al-Afham, 8/423; Sabziwari, Muhammad Baqir b. Mu’min, Kifayat al-Ahkam, p. 194; Sayyid Sabiq, Fiqh al-Sunna, 2/342; ʿAllama Hilli, Qawaʿid al-Ahkam, 3/102.</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Muhammad Hasan, Jawahir, 31/287; for more information about the criticism of this issue, see: Ruhani, Sayyid Muhammad Sadiq, Fiqh al-Sadiq, 22/307.</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Sabziwari, Muhammad Baqir b. Mu’min, Kifayat al-Ahkam, p. 194; Shahid Thani, Zayn al-Din b. ʿAli ʿAmili, Masalik al-Afham, 8/423; for more information of its criticism, see: Najafi, Muhammad Hasan, Jawahir, 31/287.</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Sabziwari, Muhammad Baqir b. Mu’min, Kifayat al-Ahkam, p. 194.</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about the reasons proposed for the validity of this condition, i.e., contradiction of guardianship with slavery, contradiction of custody with ownership and traditions, as well as their criticism, see: Shahid Thani, Zayn al-Din b. ʿAli ʿAmili, Masalik al-Afham, 8/422; Sabziwari, Muhammad Baqir b. Mu’min, Kifayat al-Ahkam, p. 194; ʿAmili, Sayyid Muhammad, Nihayat al-Maram, 1/468; Ibn Hajar ʿAsqalani, Subul al-Salam, 3/229; Fadhil Hindi, Muhammad b. Hasan, Kashf al-Litham, 2/106; Khwansari, Sayyid Ahmad, Jamiʿ al-Madarik, 4/475-476; Bahrani, Yusuf, Al-Hada’iq al-Nadhiraʿ, 25/91; Ibn Babuwayh Qummi, Man la Yahdhuruhu al-Faqih, 3/275, No, 1304; Tusi, Muhammad b. Hasan, Tahdhib al-Ahkam, 8/107, No. 361; Kulayni, Muhammad b. Yaʿqub, Al-Kafi, 5/492, No. 1.</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Masalik al-Afham, 8/424; Fadhil Hindi, Muhammad b. Hasan, Kashf al-Litham, 2/106; Najafi, Muhammad Hasan, Jawahir, 31/290; Ruhani, Sayyid Muhammad Sadiq, Fiqh al-Sadiq, 22/305-306; ʿAmili, Sayyid Muhammad, Nihayat al-Maram, 1/469; Ibn Babuwayh Qummi, Al-Muqniʿ, Imam Hadi Publication, Qum, 1415/1995, p. 360; ʿAllama Hilli, Mukhtalaf al-Shiʿa, 7/306; Ibn Fahd Hilli, Al-Muhadhdhab al-Bariʿ, 3/426.</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Sulayman b. Dawud b. Minqari from Hafs b. Qiyath or other than him.</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6/45, No. 5; Ibn Babuwayh Qummi, Man la Yahdhuruhu al-Faqih, 3/435, No. 4502; Tusi, Muhammad b. Hasan, Tahdhib al-Ahkam, 8/105, No. 354; Abi Dawud, Sunan 4/508, No. 2276; Ibn Abi Jumhur Ahsa’i, Muhammad b. ʿAli, ʿAwali al-Li’ali, ed. Mujtaba ʿIraqi, 4 vols. 1st edition, Sayyid al-Shuhada Publication, 1403/1983., 3/369-370, No. 346.</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Muhaqqiq Hilli, Shara’iʿ al-Islam, 2/567; ʿAllama Hilli, Qawaʿid al-Ahkamʿ, 3/102; Al-Wasila ila Nail al-Fadhila, p. 288; Makki, Muhammad b. Mansur, Al-Sara’ir, 2/651; Hilli, Jaʿfar b. Hasan, Al-Mukhtasar al-Nafiʿ, p. 194; ʿAllama Hilli, Tabsirat al-Mutiʿallimin, p. 187; Shahid Awwal, Muhammad b. Makki ʿAmili, Al-Lumʿat al-Damishqiyya, p. 176; Tusi, Abu Jaʿfar Muhammad b. Hasan Al-Khilaf, 5/132; Shahid Thani, Zayn al-Din b. ʿAli ʿAmili, Al-Rawdhat al-Bihiyya, 5/463.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to be pointed out that some of the Sunni jurists claim that if the mother gets married to her child's paternal uncle, her right to custody is not lost and she will keep on taking her child's custody: Minhaji Asyuti, Muhammad b. Ahmad, Jawahir al-ʿUqud, 2/189; Sayyid Sabiq, Fiqh al-Sunna, 2/344; Shawkani, Muhammad b. ʿAli, Nayl al-Awtar min Hadith Sayyid al-Akhyar, 9 vols. Dar al-Jil, Beirut, 1393/1973, 7/139.</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Sabziwari, Muhammad Baqir b. Mu’min, Kifayat al-Ahkam, p. 194; Najafi, Muhammad Hasan, Jawahir al-Kalam fi Sharh Shara’iʿ al-Islam, 31/295; Jaza’iri, Sayyid ʿAbd Allah, Al-Tuhfat al-Saniyya fi Sharh Nukhbat al-Muhsiniyya, p.296.</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al-ʿUqudud, 2/189; Shahid Thani, Zayn al-Din b. ʿAli ʿAmili, Masalik al-Afham, 8/424.</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Al-Khilaf, 5/133; Shahid Awwal, Muhammad b. Makki ʿAmili, Al-Lumʿat al-Damishqiyya, p. 176; Muhaqqiq Hilli, Shara’iʿ al-Islam, 2/568; ʿAllama Hilli, Irshad al-Adhhan, 2/40; Jawahir al-ʿUqudud, 2/190; Ibn Hamza, Muhammad b. ʿAli, Al-Wasila ila Nayl al-Fadhila, ed. Muhammad al-Hassun, 1st edition, Ayatollah Marʿashi Library, Qum, 1408/1988, p. 288.</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Revocable divorce is one after which a man has the right to go back to his wife up until the end of her ʿidda period and re-establish the marital bond. Since this type of divorce is characterized by a specific inconsistency, the woman enjoys all the rights she used to enjoy before divorce until the end of her ʿidda period; in the irrevocable divorce, however, the man does not have the right to return to his ex-wife, unless after her ʿidda period when he can marry her again observing all the marriage rules such as the woman's consent and payment of bridal gift. Naturally, during the ʿidda period the woman does not enjoy any of the matrimonial rights.</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Al-Khilaf, 5/134; ʿAllama Hilli, Qawaʿid al-Ahkamʿ, 3/102; Makki, Muhammad b. Mansur, Al-Sara’ir, 2/651.</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Bahrani, Yusuf, Al-Hada’iq al-Nadhiraʿ, 19/93; Fadhil Hindi, Muhammad b. Hasan, Kashf al-Litham, 2/106.</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Shawkani, Muhammad b. ʿAli, Nayl al-Awtar, 7/138; Abi Dawud, Sunan 1/508, No. 2276; Tusi, Abu Jaʿfar Muhammad b. Hasan Al-Khilaf, 5/134; Makki, Muhammad b. Mansur, Al-Sara’ir, 2/651; Shahid Thani, Zayn al-Din b. ʿAli ʿAmili, Masalik al-Afham, 8/437.</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existence of an obstacle is effective in lack of emergence of a ruling rather than the lack of it to be effective in the existence of the ruling.</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Awwal, Muhammad b. Makki ʿAmili, Al-Qawaʿid wa al-Fawa’id fi al-Fiqh wa al-Usul wa al-ʿArabiyya, 2/40; Nadh al-Qawaʿid al-Fiqhiyya, p. 95; Shahid Thani, Zayn al-Din b. ʿAli ʿAmili, Al-Rawdhat al-Bihiyya, 5/463; ʿAllama Hilli, Mukhtalaf al-Shiʿa, 7/310.</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Masalik al-Afham, 8/424; Sabziwari, Muhammad Baqir b. Mu’min, Kifayat al-Ahkam, p. 194.</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definition of justice in Islamic Jurisprudence terminology and various viewpoints about it see: Tabataba’i, Sayyid ʿAli, Riyadh al-Masa’il, 2/324; Fadhil Hindi, Muhammad b. Hasan, Kashf al-Litham, 2/107; ʿAllama Hilli, Idhah al-Fawa’id, 1/149; Ardabili, Mawla Ahmad, Majmaʿ al-Fa’ida, 12/311; Al-Wasila ila Nail al-Fadhila, p. 230; Makki, Muhammad b. Mansur, Al-Sara’ir, 1/280; Al-ʿUrwat al-Wuthqa, 1/10; Ansari, Kitab al-Tahara, 2 vols. 1st edition, Mu’assisa-yi Al-Hadi, Qum, 1415/1994, p. 402; Tusi, Abu Jaʿfar Muhammad b. Hasan, Al-Mabsut, 8/217; ʿAl-Muqniʿa, p. 725.</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Al-Wasila ila Nail al-Fadhila, p. 288; Jaza’iri, Sayyid ʿAbd Allah, Al-Tuhfat al-Saniyya, p.296; ʿAmili, Sayyid Muhammad, Nihayat al-Maram, 1/469; Bahrani, Yusuf, Al-Hada’iq al-Nadhiraʿ, 25/93.</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Masalik al-Afham ila Tanqih Shara’iʿ al-Islam, 8/424; Tusi, Abu Jaʿfar Muhammad b. Hasan, Al-Mabsut fi fiqh al-Imamiyya, 6/40; ʿAmili, Sayyid Muhammad, Nihayat al-Maram fi Sharh-i Mukhtasar Shara’iʿ al-Islam, 1/469; Fadhil Hindi, Muhammad b. Hasan, Kashf al-Litham, 2/107.</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Najafi, Muhammad Hasan, Jawahir, 31/289.</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Idhah al-Fawa’id, 3/265; Fadhil Hindi, Muhammad b. Hasan, Kashf al-Litham, 2/107.</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Al-Majmuʿ fi Sharh al-Muhadhdhab, 18/341; Sharbini, Muhammad, Mughni al-Muhtaj ila Maʿrifat Maʿani Alfaz al-Minhaj, 4 vols. Dar Ihya’ al-Turath al-ʿArabi, Beirut, 1377/1958, 3/452; Bada’iʿ al-Sana’iʿ fi Tartib al-Shara’iʿ, 4/45; Ibn Qudama, Al-Mughni,9/307.</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6/40; Shahid Thani, Zayn al-Din b. ʿAli ʿAmili, Masalik al-Afham, 8/425; Tusi, Abu Jaʿfar Muhammad b. Hasan, b. Al-Khilaf, 5/132, problem No. 37; ʿAmili, Sayyid Muhammad, Nihayat al-Maram, 1/469; Najafi, Muhammad Hasan, Jawahir, 31/289.</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Kashani, Abu Bakr b. Masʿud, Bada’iʿ al-Sana’iʿ fi Tartib al-Shara’iʿ, 4/45; Ibn Qudama, Al-Mughni,9/307; Al-Majmuʿ fi Sharh al-Muhadhdhab, 18/342; Ghazali, Al-Wajiz fi Tafsir al-Qur'an al-ʿAzim, 2/71; Jawahir al-ʿUqudud, 2/190; also, see: Shahid Thani, Zayn al-Din b. ʿAli ʿAmili, Masalik al-Afham, 8/425; Shahid Awwal, Muhammad b. Makki ʿAmili, Al-Qawaʿid wa al-Fawa’id, 1/396; ʿAmili, Sayyid Muhammad, Nihayat al-Maram, 1/469; and for more information about other possibilities on this problem, see: Tusi, Abu Jaʿfar Muhammad b. Hasan, Al-Mabsut, 6/40; Fadhil Hindi, Muhammad b. Hasan, Kashf al-Litham, 2/107.</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Bahrani, Yusuf, Al-Hada’iq al-Nadhiraʿ, 19/94.</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Sabiq, Fiqh al-Sunna, 2/352.</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early legal texts, given the knowledge of the time, mention has been made of such diseases as leprosy, scadies, anthrax, and plague (cholera); for more information, see: Jaza’iri, Sayyid ʿAbd Allah, Al-Tuhfat al-Saniyya, p.296; Shahid Thani, Zayn al-Din b. ʿAli ʿAmili, Masalik al-Afham, 8/423 and 425; ʿAmili, Sayyid Muhammad, Nihayat al-Maram, 1/469.</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Babuwayh Qummi, Man la Yahdhuruhu al-Faqih, 3/557, No. 4914 and 4/357; Ahmad, Musnad, 2/406; Bukhari, Abu ʿAbdullah Muhammad b. Ismaʿil, Sahih al-Bukhari, 8 vol. Dar al-Fikr li al-Tibaʿat wa al-Nashr wa al-Towziʿ, 1401/1981 , 7/31; Muslim, Sahih, 7/31; Abi Dawud, Sunan 2/231, No. 3911; Bayhaqi, Ahmad b. Husayn, Sunan, 7/135; also see: Shahid Thani, Zayn al-Din b. ʿAli ʿAmili, Masalik al-Afham, 8/425; ʿAmili, Sayyid Muhammad, Nihayat al-Maram, 1/469; Shahid Awwal, Muhammad b. Makki ʿAmili, Al-Qawaʿid wa al-Fawa’id, 1/394; Damad, Muhammad Baqir, Al-Rawashih al-Samawiyya, Ayatollah Marʿshi Library, Qum, 1405/1985, p. 165.</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6/40, No. 134; Mazandarani, Mowla Muhammad Salih, Sharh-i Usul al-Kafi, with additional notes by Mirza Abulhasan Shaʿrani, 12 vols. n.d., 12/259; Muslim, Sahih (Nawawi, Sahih Muslim bi Sharh al-Nawawi (Sharh-i Muslim), 18 vols. Dar al-Kutub al-ʿArabiyya, Beirut, 1407/1987.) 1/35; Ghaffari, ʿAli Akbar, Dirasat fi ʿIlm al-Diraya (Summary of Miqbas al-Hidaya), 1st edition, Imam Sadiq (A.S.) University, Tehran, 1369 sh. p.49; Nasr, Sayyid Hasan, Nihayat al-Diraya, ed. Majid al-Gharbawi, Mashʿar Publication, 1935/1975, pp. 168-169; Shahid Awwal, Muhammad b. Makki ʿAmili, Al-Qawaʿid wa al-Fawa’id, 1/397.</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ʿAmili, Sayyid Muhammad, Nihayat al-Maram, 1/468; Sabziwari, Muhammad Baqir b. Mu’min, Kifayat al-Ahkam, p. 194; Bahrani, Yusuf, Al-Hada’iq al-Nadhiraʿ, 25/91; Tabataba’i, Sayyid ʿAli, Riyadh al-Masa’il, 2/162; Ruhani, Sayyid Muhammad Sadiq, Fiqh al-Sadiq, 22/307; Najafi, Muhammad Hasan, Jawahir, 31/288; Jaza’iri, Sayyid ʿAbd Allah, Al-Tuhfat al-Saniyya, p.296.</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Tabataba’i, Sayyid ʿAli, Riyadh al-Masa’il, 2/162.</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Jaza’iri, Sayyid ʿAbd Allah, Al-Tuhfat al-Saniyya, p. 296.</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Fadhil Hindi, Muhammad b. Hasan, Kashf al-Litham, 2/106; Najafi, Muhammad Hasan, Jawahir, 31/284.</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Idem, Jawahir, 31/289.</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Idem, Jawahir, 31/295; ʿAllama Hilli, Tahrir al-Ahkam, 2/43-44; Ibn Barraj Trablusi, Qazi ʿAbd al-ʿAziz, Al-Muhadhdhab, 2/262 and 352-353; Tusi, Abu Jaʿfar Muhammad b. Hasan, Al-Khilaf, 5/131; ʿJamiʿ al-Khilaf wa al-Wifaq, p. 510; ʿAllama Hilli, Qawaʿid al-Ahkam, 3/102.</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Awwal, Muhammad b. Makki ʿAmili, Al-Qawaʿid wa al-Fawa’id, 1/396.</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Barraj Trablusi, Qazi ʿAbd al-ʿAziz, Al-Muhadhdhab, 2/353; Fadhil Hindi, Muhammad b. Hasan, Kashf al-Litham, 2/106.</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Masalik al-Afham, 8/429; Najafi, Muhammad Hasan, Jawahir, 31/295.</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Babuwayh Qummi, Man la Yahdhuruhu al-Faqih, 3/275, No, 1304; Tusi, Muhammad b. Hasan, Tahdhib al-Ahkam, 8/107, No. 361.</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Barraj Trablusi, Qazi ʿAbd al-ʿAziz, Al-Muhadhdhab, 2/262 and 353; Makki, Muhammad b. Mansur, Al-Sara’ir, 2/652; ʿAmili, Sayyid Muhammad, Nihayat al-Maram, 1/470-471; Shahid Thani, Zayn al-Din b. ʿAli ʿAmili, Masalik al-Afham, 8/428; Muhaqqiq Hilli, Shara’iʿ al-Islam, 2/567; Hilli, Jaʿfar b. Hasan, Al-Mukhtasar al-Nafiʿ, p. 194; ʿAllama Hilli, Tahrir al-Ahkam, 2/44; ʿAllama Hilli, Qawaʿid al-Ahkamʿ, 3/102; ʿAllama Hilli, Tabsirat al-Mutiʿallimin, p. 187; Fadhil Hindi, Muhammad b. Hasan, Kashf al-Litham, 2/106; Bahrani, Yusuf, Al-Hada’iq al-Nadhira, 24/210.</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ʿAllama Hilli, Tahrir al-Ahkam, 2/44.</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see: ʿAllama Hilli, Tahrir al-Ahkam, 2/44; Shahid Thani, Zayn al-Din b. ʿAli ʿAmili, Masalik al-Afham, 8/426-427; Sayyid Sabiq, Fiqh al-Sunna, 2/351.</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to be noted that some jurists while emphasizing the mother's presence at her child's preparation for burial, enshrouding, and burial service, have stressed according to some traditions that the mother is not to attend her child's funeral procession, which from the viewpoint of the Shiʿi jurists is not true; see: Abi Dawud, Sunan 2/72, No. 3167; Qazvini, Muhammad b. Yazid, Sunan-i Ibn Majja, ed. Muhammad Fu’ad ʿAbd al-Baqi, 2 vols. Dar al-Fikr, Beirut, n.d. 1/501, No. 1574-1578; Ahmad, Musnad, 6/408-409; Hurr ʿAmili. Muhammad Hasan,Wasa’il al-Shiʿa, 2/817-819.</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worth mentioning that in some Sunni legal texts there are phrases that include both the father and mother: "If either of the parents gets sick or dies and the child is with the other one, it would not prevent the child to visit him or her or attend his or her funeral." Sayyid Sabiq, Fiqh al-Sunna, 2/351.</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Faydh, ʿAli Ridha, Mabadi-yi Fiqh wa Usul, 4th edition, Tehran University Publication, 1410/1990, p. 338.</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three words are used with the same meaning, but perhaps these names are applied to babies in their different states of being, because first they are abandoned in a public place, hence called manbudh, and then found by someone, thus called laqit. For more information, see: Tusi, Abu Jaʿfar Muhammad b. Hasan, Al-Mabsut, 3/336; Shahid Thani, Zayn al-Din b. ʿAli ʿAmili, Al-Durus, 3/73.</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ʿAmili, Shaykh Baha al-Din, Al-Jamiʿ al-ʿAbbasi, Farahani Publication, Tehran, n.d., p. 251; it is to be noted that other definitions have also been given for laqit in legal texts as follows: Muhaqqiq Hilli, Shara’iʿ al-Islam, 4/799; Yusufi, Hasan b. Abi Talib, Kashf al-Rumuz, 2/406; ʿAllama Hilli, Tadhkirat al-Fuqaha, 2/270; idem, Tahrir al-Ahkam, 1/247 and 2/123; idem, Idhah al-Fawa’id, 2/135; Khwansari, Sayyid Ahmad, Jamiʿ al-Madarik, 5/249; ʿAmili al-Fuqʿani, Zayn al-Din Abu al-Qasim, Al-Durr al-Mandhud fi Maʿrifat Sigh al-Niyyat wa al-Iqaʿat wa al-ʿUqud, ed. Muhammad Barakat, Maktibat al-Imam al-ʿAsr, Shiraz, 1st edition, 1418/1997; Shahid Thani, Zayn al-Din b. ʿAli ʿAmili, Al-Durus, 3/73; Shahid Awwal, Muhammad b. Makki ʿAmili, Al-Lumʿat al-Damishqiyya, p. 206; Sabziwari, Muhammad Baqir b. Mu’min, Kifayat al-Ahkam, p. 234; Shahid Thani, Zayn al-Din b. ʿAli ʿAmili, Al-Rawdhat al-Bihiyya, 7/66; Tabataba’i, Sayyid ʿAli, Riyadh al-Masa’il, 2/323.</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laqit does not solely apply to babies (infants), it includes all the children in various age groups. However, the question has been raised in legal texts as to whether or not this title includes the discerning children (mumayyiz) and the adolescents who have approached maturity (marahiq), as well. For more information, see: Shahid Thani, Zayn al-Din b. ʿAli ʿAmili, Masalik al-Afham, 8/462; Ardabili, Mawla Ahmad, Majmaʿ al-Fa’ida, 1/393-394; Karaki, ʿAli b. Husayn, Jamiʿ al-Maqasid, 6/97.</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ʿAllama Hilli, Tadhkirat al-Fuqaha, 2/270.</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Irshad al-Adhhan, 2/441; ʿAllama Hilli, Tahrir al-Ahkam, 1/247 and 2/123; ʿAllama Hilli, Tabsirat al-Mutiʿallimin, p. 142; ʿAmili al-Fuqʿani, Zayn al-Din Abu al-Qasim, Al-Durr al-Mandhud fi Maʿrifat Sigh al-Niyyat wa al-Iqaʿat wa al-ʿUqud, ed. Muhammad Barakat, Maktibat al-Imam al-ʿAsr, Shiraz, 1st edition, 1418/1997; Al-Jamiʿ li al-Shara’iʿ, p. 356.</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5: 2.</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22: 77.</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5: 32.</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on how to refer to these issues as evidence as well as the criticism on them, see: Shahid Thani, Zayn al-Din b. ʿAli ʿAmili, Al-Durus, 3/76; Tusi, Abu Jaʿfar Muhammad b. Hasan, Al-Mabsut, 3/336; Tabataba’i, Sayyid ʿAli, Riyadh al-Masa’il, 2/323-324; Shahid Thani, Zayn al-Din b. ʿAli ʿAmili, Masalik al-Afham, 12/471; Shahid Thani, Zayn al-Din b. ʿAli ʿAmili, Al-Rawdhat al-Bihiyya, 7/77; Ardabili, Mawla Ahmad, Majmaʿ al-Fa’ida, 10/409.</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Tadhkirat al-Fuqaha, 2/270.</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issue has been examined in two books: first, Kitab-i Jihad (Siyar), explaining the difference between learning sciences and making jihad despite the fact that both are communal duties; second: the Kitab-i Luqata explaining what we are currently discussing. See: ʿAllama Hilli, Tadhkirat al-Fuqaha, 1/408 and 2/271; idem, Idhah al-Fawa’id, 11/123 and 38/175.</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5: 2.</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Muhaqqiq Hilli, Shara’iʿ al-Islam, 4/800; Ibn Fahd Hilli, Al-Muhadhdhab al-Bariʿ, 4/297; Khwansari, Sayyid Ahmad, Jamiʿ al-Madarik, 5/249; Shahid Thani, Zayn al-Din b. ʿAli ʿAmili, Al-Rawdhat al-Bihiyya,ʿ7/77; Shahid Thani, Zayn al-Din b. ʿAli ʿAmili, Masalik al-Afham, 12/472.</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21: 73.</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Ardabili, Mawla Ahmad, Majmaʿ al-Fa’ida, 10/409; Sabziwari, Muhammad Baqir b. Mu’min, Kifayat al-Ahkam, p. 234; Tabataba’i, Sayyid ʿAli, Riyadh al-Masa’il, 2/324.</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Al-Durus, 3/76; ʿAmili (Shahid idem, Al-Rawdhat al-Bihiyya, 7/75; ʿAllama Hilli, Tadhkirat al-Fuqaha, 2/271; idem, Idhah al-Fawa’id, 2/139.</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2/140; Karaki, ʿAli b. Husayn, Jamiʿ al-Maqasid, 7/139..</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ʿAllama Hilli, Tadhkirat al-Fuqaha, 2/270.</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Idem, Tahrir al-Ahkam, 1/247 and 2/123; Shahid Thani, Zayn al-Din b. ʿAli ʿAmili, Masalik al-Afham, 12/473; Shahid Thani, Zayn al-Din b. ʿAli ʿAmili, Al-Rawdhat al-Bihiyya, 7/78; Muhaqqiq Hilli, Shara’iʿ al-Islam, 4/801.</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Tadhkirat al-Fuqaha, 2/627.</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Awwal, Muhammad b. Makki ʿAmili, Al-Lumʿat al-Damishqiyya, p. 206; Shahid Thani, Zayn al-Din b. ʿAli ʿAmili, Al-Durus, 3/76.</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Muhaqqiq Hilli, Shara’iʿ al-Islam, 4/799; Shahid Thani, Zayn al-Din b. ʿAli ʿAmili, Al-Durus, 3/75; ʿAmili al-Fuqʿani, Zayn al-Din Abu al-Qasim, Al-Durr al-Mandhud fi Maʿrifat Sigh al-Niyyat wa al-Iqaʿat wa al-ʿUqud, ed. Muhammad Barakat, Maktibat al-Imam al-ʿAsr, Shiraz, 1st edition, 1418/1997; Shahid Thani, Zayn al-Din b. ʿAli ʿAmili, Al-Rawdhat al-Bihiyya, 7/69; Yusufi, Hasan b. Abi Talib, Kashf al-Rumuz, 2/406; ʿAllama Hilli, Tadhkirat al-Fuqaha, 2/270..</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Masalik al-Afham, 12/464; Riyadh al-Masa’il, 2/323; Khwansari, Sayyid Ahmad, Jamiʿ al-Madarik, fi Sharh al-Mukhtasar al-Nafiʿ, ed. ʿAli Akbar Ghaffari, 7 vols, 2nd edition, Tehran, Saduq Publication, 1397/1977, 5/251.</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Fathullah, Dr. Ahmad, Muʿjam-i Alfadh al-Fiqh al-Jaʿfari, p. 229; Qalʿaji, Muhammad, Muʿjam Lughat al-Fuqaha, 2nd edition, Dar al-Nafaʿis, Riyadh, 1408/1988, p. 222 and 245; Abu Habib Saʿdi, Al-Qamus al-Fiqhi, 2nd edition, Dar al-Fikr, Damascus, 1408/1988.</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 5-6.</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7/68, No. 2; Tusi, Muhammad b. Hasan, Tahdhib al-Ahkam, 9/182, No. 731.</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Awwal, Muhammad b. Makki ʿAmili, Al-Qawaʿid wa al-Fawa’id, 2/41 and 173; Miqdad Siyuri Nadhd al-Qawaʿid al-Fiqhiyya, p. 91 and 321; Maraghi, Mir ʿAbd al-Fattah, Al-ʿAnawin al-Fiqhiyya, 2 vols. 1st edition, Nashr-i Islami Publication, Qum, 1417/1997, 2/685-686 and 738.</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with these explanations there is no need for criticizing and reviewing the views and arguments of the proponents and opponents of the veracity of iltiqat (picking up abandoned babies from public passageways) by the feeble-minded, there are two contrasting views in legal texts for the validity and invalidity of mental maturity. For more information of the reasons of each of these viewpoints and their criticism, see: Shahid Thani, Zayn al-Din b. ʿAli ʿAmili, Al-Durus, 3/76; Karaki, ʿAli b. Husayn, Jamiʿ al-Maqasid, 6/109; Tabataba’i, Sayyid ʿAli, Riyadh al-Masa’il, 2/323; Ardabili, Mawla Ahmad, Majmaʿ al-Fa’ida, 10/402; Wahid Bihbahani, Muhammad Baqir, Hashiya Majmaʿ al-Fa’ida wa al-Burhan, 1st edition, ʿAllama Wahid Bihbahani Institute, 1417/1996p. 583; Shahid Thani, Zayn al-Din b. ʿAli ʿAmili, Masalik al-Afham, 12/465; ʿAllama Hilli, Idhah al-Fawa’id, 2/138; ʿAllama Hilli, Tadhkirat al-Fuqaha, 2/271.</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Al-Rawdhat al-Bihiyya, 7/70.</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see: ʿAllama Hilli, Idhah al-Fawa’id, 1/149; Ardabili, Mawla Ahmad, Majmaʿ al-Fa’ida, 12/311; Al-Wasila ila Nail al-Fadhila, p. 230; Makki, Muhammad b. Mansur, Al-Sara’ir, 1/280; Naraqi, Ahmad, Mustanad al-Shiʿa fi Ahkam al-Shariʿa, 19 vols. 1st edition, Al al-Bayt Institute, Mashhad, 1415/1995. 18/74; Al-ʿUrwat al-Wuthqa, 1/10; Ansari, Kitab al-Tahara, p. 402.</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Masalik al-Afham, 8/424.</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Al-Rawdhat al-Bihiyya, 7/73.</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Tadhkirat al-Fuqaha, 2/270; Shahid Thani, Zayn al-Din b. ʿAli ʿAmili, Al-Durus, 3/75; Ardabili, Mawla Ahmad, Majmaʿ al-Fa’ida, 10/400.</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Karaki, ʿAli b. Husayn, Jamiʿ al-Maqasid, 6/108.</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Ardabili, Mawla Ahmad, Majmaʿ al-Fa’ida, 10/402.</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11: 113.</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3/338; ʿAllama Hilli, Qawaʿid al-Ahkam, 2/201; ʿAllama Hilli, Tahrir al-Ahkam, 1/123; Muhaqqiq Hilli, Shara’iʿ al-Islam, 4/800.</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Al-Durus, 3/76; ʿAllama Hilli, Tadhkirat al-Fuqaha, 2/271; Karaki, ʿAli b. Husayn, Jamiʿ al-Maqasid, 6/108; Yusufi, Hasan b. Abi Talib, Kashf al-Rumuz, 2/406.</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Hurr ʿAmili, Muhammad Hasan, Wasa’il al-Shiʿa, 15/184-188 and 6/230-234.</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5/299, No. 3-4.</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Tadhkirat al-Fuqaha, 2/270; Tusi, Abu Jaʿfar Muhammad b. Hasan, Al-Mabsut, 3/338.</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Wahid Bihbahani, Hashiya Majmaʿ al-Fa’ida, p. 582.</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Al-Durus, 3/75; Tabataba’i, Sayyid ʿAli, Riyadh al-Masa’il, 2/324; Ibn Fahd Hilli, Ibn Fahd Hilli, Al-Muhadhdhab al-Bariʿ, 4/297 and 295; Yusufi, Hasan b. Abi Talib, Kashf al-Rumuz, 2/406.</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4: 141.</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Kulayni, Muhammad b. Yaʿqub, Al-Kafi, 5/348, No. 1 and 351, No. 156; Tamimi, Nuʿman b. Muhammad, Daʿa’im al-Islam, 2/199, No. 732; Ibn Babuwayh Qummi, ʿIlal al-Shara’iʿ, 2 vols. Maktabat Haydariyya, 1386/1966. 2/503, No. 1; Rawandi, Fadhlullah, al-Nawadir, ed. Saʿid Ridha ʿAli ʿAskari, 1st edition, Dar al-Hadith, 1407/1987.</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Al-Durus, 3/75; ʿAmili al-Fuqʿani, Zayn al-Din Abu al-Qasim, Al-Durr al-Mandhud fi Maʿrifat Sigh al-Niyyat wa al-Iqaʿat wa al-ʿUqud, ed. Muhammad Barakat, Maktibat al-Imam al-ʿAsr, Shiraz, 1st edition, 1418/1997; ʿAllama Hilli, Tadhkirat al-Fuqaha, 2/270; ʿAllama Hilli, Tahrir al-Ahkam, 2/123; Shahid Thani, Zayn al-Din b. ʿAli ʿAmili, Al-Rawdhat al-Bihiyya, 7/72; Shahid Thani, Zayn al-Din b. ʿAli ʿAmili, Masalik al-Afham, 12/466-467; Khu’i, Kitab al-Nikah, 2/311; Khwansari, Sayyid Ahmad, Jamiʿ al-Madarik, 5/251 and 4/476; Ibn Fahd Hilli, Ibn Fahd Hilli, Al-Muhadhdhab al-Bariʿ, 4/295; Ardabili, Mawla Ahmad, Majmaʿ al-Fa’ida, 10/398; Sabziwari, Muhammad Baqir b. Mu’min, Kifayat al-Ahkam, p. 234.</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Babuwayh Qummi, Man la Yahdhuruhu al-Faqih, 2/49, No. 1668.</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Karaki, ʿAli b. Husayn, Jamiʿ al-Maqasid, 6/102; Wahid Bihbahani, Hashiya Majmaʿ al-Fa’ida, p. 582.</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Tadhkirat al-Fuqaha, 2/271; Shahid Thani, Zayn al-Din b. ʿAli ʿAmili, Al-Durus, 3/76.</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5/224.</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Karaki, ʿAli b. Husayn, Jamiʿ al-Maqasid, 7/129 and 6/111.</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Idhah al-Fawa’id, 2/139.</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Al-Durus, 3/76; Tusi, Abu Jaʿfar Muhammad b. Hasan, Al-Mabsut, 3/345; ʿAllama Hilli, Tadhkirat al-Fuqaha, 2/271.</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3/340-341; ʿAllama Hilli, Tadhkirat al-Fuqaha, 2/271-272; Muhaqqiq Hilli, Shara’iʿ al-Islam, 4/800.</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Al-Durus, 3/77.</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Tadhkirat al-Fuqaha, 2/271; Ardabili, Mawla Ahmad, Majmaʿ al-Fa’ida, 10/429.</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Masalik al-Afham, 12/472.</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Muhaqqiq Hilli, Shara’iʿ al-Islam, 4/800; Al-Jamiʿ li al-Shara’iʿ, p. 356; ʿAllama Hilli, Irshad al-Adhhan, 1/441.</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Al-Jamiʿ li al-Shara’iʿ, p. 357; ʿAllama Hilli, Idhah al-Fawa’id, 2/139; Shahid Thani, Zayn al-Din b. ʿAli ʿAmili, Al-Durus, 3/74; Shahid Thani, Zayn al-Din b. ʿAli ʿAmili, Al-Rawdhat al-Bihiyya, 7/77-78; Shahid Thani, Zayn al-Din b. ʿAli ʿAmili, Masalik al-Afham, 12/473.</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Tadhkirat al-Fuqaha, 2/272; also, for information about the Sunnis's view in this regard see: Ibn Babuwayh Qummi, Al-Muqni, , 6/409; Al-Sharh al-Kabir, 6/407.</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Al-Durus, 3/74; ʿAllama Hilli, Tadhkirat al-Fuqaha, 2/272; Shahid Thani, Zayn al-Din b. ʿAli ʿAmili, Masalik al-Afham, 12/473; ʿAllama Hilli, Idhah al-Fawa’id, 2/140.</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Tadhkirat al-Fuqaha, 2/272; Shahid Awwal, Muhammad b. Makki ʿAmili, Al-Lumʿat al-Damishqiyya, p. 206.</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Muhaqqiq Hilli, Shara’iʿ al-Islam, 4/801; Al-Jamiʿ li al-Shara’iʿ, p. 356; Ardabili, Mawla Ahmad, Majmaʿ al-Fa’ida, 1/422.</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3/338; ʿAllama Hilli, Tadhkirat al-Fuqaha, 2/272.</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to be remembered that the child's properties are divisible into two types: 1. the properties that belong to the child because of its being a foundling (laqit), like what is endowed to the unattended children or someone has stated in their will for this purpose, 2. the properties that the child is a private proprietor of, such as clothes, blanket, jewelry, cash money, hammock, tent, and the like. For more information, see: ʿAllama Hilli, Tadhkirat al-Fuqaha, 2/272; idem, Tahrir al-Ahkam, 2/124.</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Tadhkirat al-Fuqaha, 2/273; Ardabili, Mawla Ahmad, Majmaʿ al-Fa’ida, 10/417-418.</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Irshad al-Adhhan, 1/441; idem, Tahrir al-Ahkam, 2/123; idem, Idhah al-Fawa’id, 2/140; Karaki, ʿAli b. Husayn, Jamiʿ al-Maqasid; 6/112; Sabziwari, Muhammad Baqir b. Mu’min, Kifayat al-Ahkam, p. 235; Tabataba’i, Sayyid ʿAli, Riyadh al-Masa’il, 2/325.</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3/338-339; ʿAllama Hilli, Tadhkirat al-Fuqaha, 2/273.</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Masalik al-Afham, 12/474; Muhaqqiq Hilli, Shara’iʿ al-Islam, 4/801; Hilli, Yahya b. Saʿid, Al-Jamiʿ li al-Shara’iʿ, Sayyid al-Shuhada Publication, Qum. 1405/1985, p. 356; Ardabili, Mawla Ahmad, Majmaʿ al-Fa’ida, 8/260.</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 needing to ask permission from an Infallible Imam does not mean disclaiming guardianship, because the Infallible Imams, following the Holy Prophet of Islam (S. A.W.), have innate superiority as well as generic and legislative guardianship. For an example, we can refer to the traditions concerning the divorce of the insane. See: Kulayni, Muhammad b. Yaʿqub, Al-Kafi, 6/125, No. 1-2; Tusi, Muhammad b. Hasan, Tahdhib al-Ahkam, 8/75, No. 253.</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Tamimi, Ahmad b. ʿAli, Musnad Abi Yaʿla Musili, ed. Husayn Salim Hasan, 13 vols. Dar al-Ma’mun li al-Turath, n.d.</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Jalal al-Din, Al-Jamiʿ al-Saqir fi Ahadith al-Bashir al-Nadhir, 2 vols. 1st edition, Dar al-Fikr, Beirut, 1401/1981, 1/457, No. 29630; Abi Dawud, Sunan, 1/462, No. 2083; Dar Qutni, ʿAli b. ʿUmar, Sunan Dar Qutni, 4 vols. 1st edition, Dar al-Kutub al-ʿIlmiyya, Beirut, 1417/1996, 3/158; Ibn Tamimi, Musnad Abi Yaʿla Musili, 8/191, No. 4749.</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Ziʿali, Jamal al-Din, Nasb al-Rayat al-Ahadith al-Hidaya, 6 vols. 1st edition, Dar al-Hadith, Cairo, 1415/1995., 3/362; ʿAllama Hilli, Tadhkirat al-Fuqaha, 2/277.</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2/592; Najafi, Muhammad Hasan, Jawahir, 28/430; Fadhil Hindi, Muhammad b. Hasan, Kashf al-Litham, 2/15; Naraqi, Ahmad, Mustanad al-Shiʿa fi Ahkam al-Shariʿa, 16/143; Naraqi, Ahmad, ʿAwa’id al-Ayyam fi Qawaʿid al-Ahkam wa Muhimmat Masa’il al-Halal wa al-Haram, 3rd edition, Qum, Basirati Library, 1408/1987, p. 200; Tabataba’i, Sayyid ʿAli, Riyadh al-Masa’il, 2/81.</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Ansari, Shaykh Murtadha, Kitab al-Nikah, Baqiri Publication, Qum, 1415/1995, p. 152; Khwansari, Sayyid Ahmad, Jamiʿ al-Madarik, 4/165.</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Khwansari, Sayyid Ahmad, Jamiʿ al-Madarik, 22/293.</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Yahya b. Saʿid, Al-Jamiʿ li al-Shara’iʿ, p. 357; ʿAllama Hilli, Tahrir al-Ahkam, 1/123.</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3/339; ʿAllama Hilli, Tadhkirat al-Fuqaha, 2/272.</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Al-Durus, 3/74; Karaki, ʿAli b. Husayn, Jamiʿ al-Maqasid, 6/115 and 117; ʿAmili (Shahid Thani), Zayn al-Din b. ʿAli, Masalik al-Afham, 12/467; ʿAmili (Shahid Thani), Zayn al-Din b. ʿAli, Al-Rawdhat al-Bihiyya, 7/75.</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Tadhkirat al-Fuqaha, 2/272.</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Khwansari, Sayyid Ahmad, Jamiʿ al-Madarik, 5/253; Tusi, Abu Jaʿfar Muhammad b. Hasan, Al-Mabsut, 4/70 and 6/25; Tusi, Abu Jaʿfar Muhammad b. Hasan, Al-Khilaf, 4/5, issue 1, and 4/22, issue 145, and 4/23, issue 15, and 5/209, issue 87; ʿAllama Hilli, Mukhtalaf al-Shiʿa, 6/106; Makki, Muhammad b. Mansur, Al-Sara’ir, 3/272 and 337; Shahid Thani, Zayn al-Din b. ʿAli ʿAmili, Masalik al-Afham, 13/40; Najafi, Muhammad Hasan, Jawahir, 38/139 and 39/44; ʿAmili al-Fuqʿani, Zayn al-Din Abu al-Qasim, Al-Durr al-Mandhud fi Maʿrifat Sigh al-Niyyat wa al-Iqaʿat wa al-ʿUqud, ed. Muhammad Barakat, Maktibat al-Imam al-ʿAsr, Shiraz, 1st edition, 1418/1997.</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Tadhkirat al-Fuqaha, 2/271-272; idem, Tahrir al-Ahkam, 2/123; Ardabili, Mawla Ahmad, Majmaʿ al-Fa’ida, 10/416; Ibn Babuwayh Qummi, Man la Yahdhuruhu al-Faqih, 3/105, No. 3424; Tusi, Abu Jaʿfar Muhammad b. Hasan, Al-Istibsar fi Makhtalafa min al-Akhbar, ed. Sayyid Hasan al-Khirsan, 4 vols. 4th edition, Dar al-Kutub al-Islamiyya, Tehran, 1405/1985 ; Ibn Babuwayh Qummi, ʿIlal al-Shara’iʿ, 2/371, No. 1; Tusi, Muhammad b. Hasan, Tahdhib al-Ahkam, 6/293, No. 815.</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Al-Muqniʿa, p. 648; Tusi, Muhammad b. al-Hasan Al-Nihaya, p.322; Ibn Barraj Trablusi, Qazi ʿAbd al-ʿAziz, Al-Muhadhdhab, 2/569; Al-Wasila ila Nail al-Fadhila, p. 277; Makki, Muhammad b. Mansur, Al-Sara’ir, 2/107; ʿAllama Hilli, Tadhkirat al-Fuqaha, 2/276.</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Perhaps it is for this consideration that the jurists have claimed that custody demands infaq (giving away in charity); for more information, see: Karaki, ʿAli b. Husayn, Jamiʿ al-Maqasid, 6/109.</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Ardabili, Mawla Ahmad, Majmaʿ al-Fa’ida, 10/420; Makki, Muhammad b. Mansur, Al-Sara’ir, 2/107.</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Muhaqqiq Hilli, Shara’iʿ al-Islam, 4/800; Yusufi, Hasan b. Abi Talib, Kashf al-Rumuz, 2/407; ʿAllama Hilli, Irshad al-Adhhan, 1/441; Tusi, Abu Jaʿfar Muhammad b. Hasan, Al-Mabsut, 3/339; Khwansari, Sayyid Ahmad, Jamiʿ al-Madarik, 5/250.</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5/225, No. 3-4; Tusi, Muhammad b. Hasan, Tahdhib al-Ahkam, 7/78, No. 337; Ibn Babuwayh Qummi, Man la Yahdhuruhu al-Faqih, 3/145, No. 3532.</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Muhaqqiq Hilli, Shara’iʿ al-Islam, 4/802; ʿAllama Hilli, Tadhkirat al-Fuqaha, 2/273.</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Irshad al-Adhhan, 1/441; Tusi, Abu Jaʿfar Muhammad b. Hasan, Al-Mabsut, 3/339; Shahid Thani, Zayn al-Din b. ʿAli ʿAmili, Masalik al-Afham, 12/487.</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Karaki, ʿAli b. Husayn, Jamiʿ al-Maqasid, 6/117; Tusi, Abu Jaʿfar Muhammad b. Hasan, Al-Mabsut, 3/339; Muhaqqiq Hilli, Shara’iʿ al-Islam, 4/803; ʿAllama Hilli, Tadhkirat al-Fuqaha, 2/273; also, for more views see: Al-Jamiʿ li al-Shara’iʿ, p. 357; Shahid Thani, Zayn al-Din b. ʿAli ʿAmili, Al-Durus, 3/77.</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17: 33.</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3/346.</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 178.</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Al-Jamiʿ li al-Shara’iʿ, p. 358; ʿAllama Hilli, Tadhkirat al-Fuqaha, 2/276; Shahid Thani, Zayn al-Din b. ʿAli ʿAmili, Al-Durus, 3/80.</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Muhaqqiq Hilli, Shara’iʿ al-Islam, 4/801; ʿAllama Hilli, Tadhkirat al-Fuqaha, 2/277.</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to be noted that in the erroneous murder the criminal's paternal kinsmen (ʿaqila) would pay the blood money; see: Al-Jamiʿ li al-Shara’iʿ, p. 358.</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Muhaqqiq Hilli, Shara’iʿ al-Islam, 4/801; Tusi, Abu Jaʿfar Muhammad b. Hasan, Al-Mabsut, 3/346; ʿAllama Hilli, Tadhkirat al-Fuqaha, 2/276.</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Al-Jamiʿ li al-Shara’iʿ, p. 358; ʿAllama Hilli, Idhah al-Fawa’id, 2/143; Karaki, ʿAli b. Husayn, Jamiʿ al-Maqasid, 4/126; Muhaqqiq Hilli, Shara’iʿ al-Islam, 4/801-802.</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Masalik al-Afham, 12/479.</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3/346.</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Idhah al-Fawa’id, 2/143.</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Karaki, ʿAli b. Husayn, Jamiʿ al-Maqasid, 6/124; Ardabili, Mawla Ahmad, Majmaʿ al-Fa’ida, 10/423; ʿAllama Hilli, Tadhkirat al-Fuqaha, 2/277; idem, Tahrir al-Ahkam, 2/124; idem, Irshad al-Adhhan, 1/441; Shahid Thani, Zayn al-Din b. ʿAli ʿAmili, Al-Rawdhat al-Bihiyya, 7/79; idem, Masalik al-Afham,12/478.</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3/346; ʿAllama Hilli, Tadhkirat al-Fuqaha, 2/276.</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Muhaqqiq Hilli, Shara’iʿ al-Islam, 4/802.</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Faydh, ʿAli Ridha, Mabadi-yi Fiqh wa Usul, p. 315.</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Barraj Tarablusi, Qadhi ʿAbd al-ʿAziz, Jawahir al-Fiqh, ed. Ibrahim Bahaduri. 1st edition, Muʿassisa-yi Nashr-i Islami, Qum, 1411/1990, p. 145-146, issue 513; ʿAllama Hilli, Tadhkirat al-Fuqaha, 2/276; Al-Jamiʿ li al-Shara’iʿ, p. 358; Muhaqqiq Hilli, Shara’iʿ al-Islam, 4/801; Shahid Thani, Zayn al-Din b. ʿAli ʿAmili, Al-Durus, 3/79.</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3/345-346; ʿAllama Hilli, Irshad al-Adhhan, 1/441; Karaki, ʿAli b. Husayn, Jamiʿ al-Maqasid fi Sharh al-Qawaʿid, 6/124; Shahid Thani, Zayn al-Din b. ʿAli ʿAmili, Al-Rawdhat al-Bihiyya,7/78; Shahid Thani, Zayn al-Din b. ʿAli ʿAmili, Masalik al-Afham, 12/477.</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Tusi, Abu Jaʿfar Muhammad b. Hasan, Al-Mabsut, 3/346.</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7/115; Muhaqqiq Hilli, Shara’iʿ al-Islam, 4/801; 2/124; ʿAllama Hilli, Idhah al-Fawa’id, 2/142; Shahid Thani, Zayn al-Din b. ʿAli ʿAmili, Masalik al-Afham, 12/477.</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3/348-349.</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Muhaqqiq Hilli, Shara’iʿ, 4/803; Shahid Thani, Zayn al-Din b. ʿAli ʿAmili, Al-Rawdhat al-Bihiyya, 7/80.</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Al-Jamiʿ li al-Shara’iʿ, p.357; Shahid Thani, Zayn al-Din b. ʿAli ʿAmili, Al-Durus, 3/73; ʿAllama Hilli, Tadhkirat al-Fuqaha, 2/271.</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Idem, Tahrir al-Ahkam, 2/123; Tusi, Abu Jaʿfar Muhammad b. Hasan, Al-Mabsut, 3/340; Shahid Thani, Zayn al-Din b. ʿAli ʿAmili, Al-Durus, 3/74.</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Karaki, ʿAli b. Husayn, Jamiʿ al-Maqasid, 6/99; ʿAllama Hilli, Tadhkirat al-Fuqaha, 2/271.</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Idem, Tahrir al-Ahkam, 2/123; Shahid Thani, Zayn al-Din b. ʿAli ʿAmili, Al-Durus, 3/73.</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3/347.</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Tadhkirat al-Fuqaha, 2/277.</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Irshad al-Adhhan, 1/441; Shahid Thani, Zayn al-Din b. ʿAli ʿAmili, Masalik al-Afham, 12/483; ʿAllama Hilli, Tadhkirat al-Fuqaha, 2/277; Karaki, ʿAli b. Husayn, Jamiʿ al-Maqasid, 6/118; Ardabili, Mawla Ahmad, Majmaʿ al-Fa’ida, 10/425; Wahid Bihbahani, Muhammad Baqir, Hashiya Majmaʿ al-Fa’ida, p. 588.</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Muhaqqiq Hilli, Shara’iʿ al-Islam, 4/802.</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3/347 and 350; Ibn Zuhra Hilli, Ghunyat al-Nuzuʿ, p. 304; ʿAllama Hilli, Mukhtalaf al-Shiʿa, 6/107; Tusi, Abu Jaʿfar Muhammad b. Hasan, Al-Khilaf, 3/596, issue 25; Shahid Thani, Zayn al-Din b. ʿAli ʿAmili, Masalik al-Afham, 12/483; Karaki, ʿAli b. Husayn, Jamiʿ al-Maqasid, 6/103; Ibn Qudama, Al-Mughni, 6/430; Al-Sharh al-Kabir, 6/435; Bani, Muhammad Nasir al-Din, Irwa’ al-Ghalil fi Takhrij Ahadith Minar al-Sabil, 8 vol., Al-Maktab al-Islami, Beirut, 1405/1985.</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 Thani, Zayn al-Din b. ʿAli ʿAmili, Al-Durus, 3/8 Tusi, Abu Jaʿfar Muhammad b. Hasan, Al-Mabsut, 3/347/348; ʿAllama Hilli, Tadhkirat al-Fuqaha, 2/278-279.</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Idem, Tahrir al-Ahkam, 2/124.</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Muhaqqiq Hilli, Shara’iʿ al-Islam, 4/802; Ardabili, Mawla Ahmad, Majmaʿ al-Fa’ida, 10/426.</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Mukhtalaf al-Shiʿa, 6/110; Shahid Thani, Zayn al-Din b. ʿAli ʿAmili, Masalik al-Afham, 12/483; Tusi, Abu Jaʿfar Muhammad b. Hasan, Al-Mabsut, 3/350.</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Tadhkirat al-Fuqaha, 2/278.</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3/350; ʿAllama Hilli, Tadhkirat al-Fuqaha, 2/278.</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3/351; ʿAllama Hilli, Tadhkirat al-Fuqaha, 2/280.</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ʿAllama Hilli, Idhah al-Fawa’id, 2/140; Al-Jamiʿ al-ʿAbbasi, p. 252; Ardabili, Mawla Ahmad, Majmaʿ al-Fa’ida, 10/426.</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33: 4.</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Wila’ is fulfilled in three ways: wila’ ʿitq (alliance of slave emancipation), wila’ Imam (alliance of Imam), and vila’ dhiman jarira (alliance guarantee of offense); for more information see: Fathullah, Dr. Ahmad, Muʿjam-i Alfadh al-Fiqh al-Jaʿfari, p. 452.</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Daylami, Hamzat b. ʿAbd al-ʿAziz, Al-Marasim al-ʿAlawiyya fi Ahkam al-Nabuwwiyya, ed. Muhsin Husayni Amini, Ahl al-Bayt World Association, Qum, 1414/1993, p. 208; Tusi, Abu Jaʿfar Muhammad b. Hasan, Al-Nihaya, p. 323; ʿAllama Hilli, Tadhkirat al-Fuqaha, 2/285; Shahid Thani, Zayn al-Din b. ʿAli ʿAmili, Masalik al-Afham , 12/468.</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prove this issue two narrations by Hurayz and the narration by Mada’ini can be referred to; see: Tusi, Muhammad b. Hasan, Tahdhib al-Ahkam, 8/227, No. 820; Kulayni, Muhammad b. Yaʿqub, Al-Kafi, 5/224, No. 2.</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Abu Jaʿfar Muhammad b. Hasan, Al-Mabsut, 3/347; Tusi, Abu Jaʿfar Muhammad b. Hasan, Al-Khilaf, 3/594, issue 21; Tusi, Muhammad b. Hasan, Tahdhib al-Ahkam, 7/78, No. 336; Ibn Abi Jumhur Ahsa’i, ʿAwali al-Li’ali, 1/225, No. 116.</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ʿAllama Hilli, Mukhtalaf al-Shiʿa, 6/106.</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Al-Muqniʿa, p. 648; Muhaqqiq Hilli, Shara’iʿ al-Islam, 4/800; ʿAllama Hilli, Tadhkirat al-Fuqaha, 2/285; Shahid Thani, Zayn al-Din b. ʿAli ʿAmili, Al-Durus, 3/81; Shahid Thani, Zayn al-Din b. ʿAli ʿAmili, Al-Rawdhat al-Bihiyya, 7/77.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49490</Words>
  <Characters>266550</Characters>
  <CharactersWithSpaces>315326</CharactersWithSpaces>
  <Paragraphs>1139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2026-08-17T07:51:57Z</dcterms:created>
  <dc:creator>ghaemiyeh.com</dc:creator>
  <dc:description/>
  <dc:language>en-US</dc:language>
  <cp:lastModifiedBy/>
  <dcterms:modified xsi:type="dcterms:W3CDTF">2026-08-17T11:22:03Z</dcterms:modified>
  <cp:revision>1</cp:revision>
  <dc:subject/>
  <dc:title>Child Custody in Islamic Jurisprudence</dc:title>
</cp:coreProperties>
</file>

<file path=docProps/custom.xml><?xml version="1.0" encoding="utf-8"?>
<Properties xmlns="http://schemas.openxmlformats.org/officeDocument/2006/custom-properties" xmlns:vt="http://schemas.openxmlformats.org/officeDocument/2006/docPropsVTypes"/>
</file>