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گسترده ی فقهی قمار قیادت قیافه کهانت 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2861_3804643083">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2902863_380464308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902865_3804643083">
            <w:r>
              <w:rPr>
                <w:webHidden/>
                <w:rStyle w:val="IndexLink"/>
                <w:rtl w:val="true"/>
              </w:rPr>
              <w:t>پيش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902867_3804643083">
            <w:r>
              <w:rPr>
                <w:webHidden/>
                <w:rStyle w:val="IndexLink"/>
                <w:rtl w:val="true"/>
              </w:rPr>
              <w:t>قمار</w:t>
            </w:r>
            <w:r>
              <w:rPr>
                <w:rStyle w:val="IndexLink"/>
                <w:rtl w:val="true"/>
              </w:rPr>
              <w:tab/>
            </w:r>
            <w:r>
              <w:rPr>
                <w:rStyle w:val="IndexLink"/>
              </w:rPr>
              <w:t>14</w:t>
            </w:r>
          </w:hyperlink>
        </w:p>
        <w:p>
          <w:pPr>
            <w:pStyle w:val="Contents3"/>
            <w:tabs>
              <w:tab w:val="clear" w:pos="8459"/>
              <w:tab w:val="right" w:pos="9026" w:leader="dot"/>
            </w:tabs>
            <w:rPr/>
          </w:pPr>
          <w:hyperlink w:anchor="__RefHeading___Toc2902869_380464308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902871_3804643083">
            <w:r>
              <w:rPr>
                <w:webHidden/>
                <w:rStyle w:val="IndexLink"/>
                <w:rtl w:val="true"/>
              </w:rPr>
              <w:t>المسألة الخامسه عشر</w:t>
            </w:r>
            <w:r>
              <w:rPr>
                <w:rStyle w:val="IndexLink"/>
                <w:rtl w:val="true"/>
              </w:rPr>
              <w:t xml:space="preserve">: </w:t>
            </w:r>
            <w:r>
              <w:rPr>
                <w:rStyle w:val="IndexLink"/>
                <w:rtl w:val="true"/>
              </w:rPr>
              <w:t>القِمار</w:t>
            </w:r>
            <w:r>
              <w:rPr>
                <w:rStyle w:val="IndexLink"/>
                <w:rtl w:val="true"/>
              </w:rPr>
              <w:tab/>
            </w:r>
            <w:r>
              <w:rPr>
                <w:rStyle w:val="IndexLink"/>
              </w:rPr>
              <w:t>15</w:t>
            </w:r>
          </w:hyperlink>
        </w:p>
        <w:p>
          <w:pPr>
            <w:pStyle w:val="Contents4"/>
            <w:tabs>
              <w:tab w:val="clear" w:pos="8176"/>
              <w:tab w:val="right" w:pos="9026" w:leader="dot"/>
            </w:tabs>
            <w:rPr/>
          </w:pPr>
          <w:hyperlink w:anchor="__RefHeading___Toc2902873_3804643083">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902875_3804643083">
            <w:r>
              <w:rPr>
                <w:webHidden/>
                <w:rStyle w:val="IndexLink"/>
                <w:rtl w:val="true"/>
              </w:rPr>
              <w:t>اقسام قمار</w:t>
            </w:r>
            <w:r>
              <w:rPr>
                <w:rStyle w:val="IndexLink"/>
                <w:rtl w:val="true"/>
              </w:rPr>
              <w:tab/>
            </w:r>
            <w:r>
              <w:rPr>
                <w:rStyle w:val="IndexLink"/>
              </w:rPr>
              <w:t>16</w:t>
            </w:r>
          </w:hyperlink>
        </w:p>
        <w:p>
          <w:pPr>
            <w:pStyle w:val="Contents4"/>
            <w:tabs>
              <w:tab w:val="clear" w:pos="8176"/>
              <w:tab w:val="right" w:pos="9026" w:leader="dot"/>
            </w:tabs>
            <w:rPr/>
          </w:pPr>
          <w:hyperlink w:anchor="__RefHeading___Toc2902877_3804643083">
            <w:r>
              <w:rPr>
                <w:webHidden/>
                <w:rStyle w:val="IndexLink"/>
                <w:rtl w:val="true"/>
              </w:rPr>
              <w:t>معاني مختلف قمار</w:t>
            </w:r>
            <w:r>
              <w:rPr>
                <w:rStyle w:val="IndexLink"/>
                <w:rtl w:val="true"/>
              </w:rPr>
              <w:tab/>
            </w:r>
            <w:r>
              <w:rPr>
                <w:rStyle w:val="IndexLink"/>
              </w:rPr>
              <w:t>18</w:t>
            </w:r>
          </w:hyperlink>
        </w:p>
        <w:p>
          <w:pPr>
            <w:pStyle w:val="Contents4"/>
            <w:tabs>
              <w:tab w:val="clear" w:pos="8176"/>
              <w:tab w:val="right" w:pos="9026" w:leader="dot"/>
            </w:tabs>
            <w:rPr/>
          </w:pPr>
          <w:hyperlink w:anchor="__RefHeading___Toc2902879_3804643083">
            <w:r>
              <w:rPr>
                <w:webHidden/>
                <w:rStyle w:val="IndexLink"/>
                <w:rtl w:val="true"/>
              </w:rPr>
              <w:t>قسم اوّل</w:t>
            </w:r>
            <w:r>
              <w:rPr>
                <w:rStyle w:val="IndexLink"/>
                <w:rtl w:val="true"/>
              </w:rPr>
              <w:t xml:space="preserve">: </w:t>
            </w:r>
            <w:r>
              <w:rPr>
                <w:rStyle w:val="IndexLink"/>
                <w:rtl w:val="true"/>
              </w:rPr>
              <w:t>لعب به آلات قمار با رهن</w:t>
            </w:r>
            <w:r>
              <w:rPr>
                <w:rStyle w:val="IndexLink"/>
                <w:rtl w:val="true"/>
              </w:rPr>
              <w:tab/>
            </w:r>
            <w:r>
              <w:rPr>
                <w:rStyle w:val="IndexLink"/>
              </w:rPr>
              <w:t>29</w:t>
            </w:r>
          </w:hyperlink>
        </w:p>
        <w:p>
          <w:pPr>
            <w:pStyle w:val="Contents5"/>
            <w:tabs>
              <w:tab w:val="clear" w:pos="7892"/>
              <w:tab w:val="right" w:pos="9026" w:leader="dot"/>
            </w:tabs>
            <w:rPr/>
          </w:pPr>
          <w:hyperlink w:anchor="__RefHeading___Toc2902881_380464308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2902883_3804643083">
            <w:r>
              <w:rPr>
                <w:webHidden/>
                <w:rStyle w:val="IndexLink"/>
                <w:rtl w:val="true"/>
              </w:rPr>
              <w:t>روايات دالّ بر حرمت قسم اوّل</w:t>
            </w:r>
            <w:r>
              <w:rPr>
                <w:rStyle w:val="IndexLink"/>
                <w:rtl w:val="true"/>
              </w:rPr>
              <w:tab/>
            </w:r>
            <w:r>
              <w:rPr>
                <w:rStyle w:val="IndexLink"/>
              </w:rPr>
              <w:t>31</w:t>
            </w:r>
          </w:hyperlink>
        </w:p>
        <w:p>
          <w:pPr>
            <w:pStyle w:val="Contents6"/>
            <w:tabs>
              <w:tab w:val="clear" w:pos="7609"/>
              <w:tab w:val="right" w:pos="9026" w:leader="dot"/>
            </w:tabs>
            <w:rPr/>
          </w:pPr>
          <w:hyperlink w:anchor="__RefHeading___Toc2902885_3804643083">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2902887_3804643083">
            <w:r>
              <w:rPr>
                <w:webHidden/>
                <w:rStyle w:val="IndexLink"/>
              </w:rPr>
              <w:t>1</w:t>
            </w:r>
            <w:r>
              <w:rPr>
                <w:rStyle w:val="IndexLink"/>
                <w:rtl w:val="true"/>
              </w:rPr>
              <w:t xml:space="preserve">. </w:t>
            </w:r>
            <w:r>
              <w:rPr>
                <w:rStyle w:val="IndexLink"/>
                <w:rtl w:val="true"/>
              </w:rPr>
              <w:t>صحيحه‌ي زياد بن عيسي</w:t>
            </w:r>
            <w:r>
              <w:rPr>
                <w:rStyle w:val="IndexLink"/>
                <w:rtl w:val="true"/>
              </w:rPr>
              <w:t>:</w:t>
              <w:tab/>
            </w:r>
            <w:r>
              <w:rPr>
                <w:rStyle w:val="IndexLink"/>
              </w:rPr>
              <w:t>31</w:t>
            </w:r>
          </w:hyperlink>
        </w:p>
        <w:p>
          <w:pPr>
            <w:pStyle w:val="Contents6"/>
            <w:tabs>
              <w:tab w:val="clear" w:pos="7609"/>
              <w:tab w:val="right" w:pos="9026" w:leader="dot"/>
            </w:tabs>
            <w:rPr/>
          </w:pPr>
          <w:hyperlink w:anchor="__RefHeading___Toc2902889_3804643083">
            <w:r>
              <w:rPr>
                <w:webHidden/>
                <w:rStyle w:val="IndexLink"/>
              </w:rPr>
              <w:t>2</w:t>
            </w:r>
            <w:r>
              <w:rPr>
                <w:rStyle w:val="IndexLink"/>
                <w:rtl w:val="true"/>
              </w:rPr>
              <w:t xml:space="preserve">. </w:t>
            </w:r>
            <w:r>
              <w:rPr>
                <w:rStyle w:val="IndexLink"/>
                <w:rtl w:val="true"/>
              </w:rPr>
              <w:t>روايت عبد الحميد بن سعيد</w:t>
            </w:r>
            <w:r>
              <w:rPr>
                <w:rStyle w:val="IndexLink"/>
                <w:rtl w:val="true"/>
              </w:rPr>
              <w:t>:</w:t>
              <w:tab/>
            </w:r>
            <w:r>
              <w:rPr>
                <w:rStyle w:val="IndexLink"/>
              </w:rPr>
              <w:t>34</w:t>
            </w:r>
          </w:hyperlink>
        </w:p>
        <w:p>
          <w:pPr>
            <w:pStyle w:val="Contents6"/>
            <w:tabs>
              <w:tab w:val="clear" w:pos="7609"/>
              <w:tab w:val="right" w:pos="9026" w:leader="dot"/>
            </w:tabs>
            <w:rPr/>
          </w:pPr>
          <w:hyperlink w:anchor="__RefHeading___Toc2902891_3804643083">
            <w:r>
              <w:rPr>
                <w:webHidden/>
                <w:rStyle w:val="IndexLink"/>
              </w:rPr>
              <w:t>3</w:t>
            </w:r>
            <w:r>
              <w:rPr>
                <w:rStyle w:val="IndexLink"/>
                <w:rtl w:val="true"/>
              </w:rPr>
              <w:t xml:space="preserve">. </w:t>
            </w:r>
            <w:r>
              <w:rPr>
                <w:rStyle w:val="IndexLink"/>
                <w:rtl w:val="true"/>
              </w:rPr>
              <w:t>روايت الحسن بن علي الْوَشَّاء</w:t>
            </w:r>
            <w:r>
              <w:rPr>
                <w:rStyle w:val="IndexLink"/>
                <w:rtl w:val="true"/>
              </w:rPr>
              <w:t>:</w:t>
              <w:tab/>
            </w:r>
            <w:r>
              <w:rPr>
                <w:rStyle w:val="IndexLink"/>
              </w:rPr>
              <w:t>35</w:t>
            </w:r>
          </w:hyperlink>
        </w:p>
        <w:p>
          <w:pPr>
            <w:pStyle w:val="Contents6"/>
            <w:tabs>
              <w:tab w:val="clear" w:pos="7609"/>
              <w:tab w:val="right" w:pos="9026" w:leader="dot"/>
            </w:tabs>
            <w:rPr/>
          </w:pPr>
          <w:hyperlink w:anchor="__RefHeading___Toc2902893_3804643083">
            <w:r>
              <w:rPr>
                <w:webHidden/>
                <w:rStyle w:val="IndexLink"/>
              </w:rPr>
              <w:t>4</w:t>
            </w:r>
            <w:r>
              <w:rPr>
                <w:rStyle w:val="IndexLink"/>
                <w:rtl w:val="true"/>
              </w:rPr>
              <w:t xml:space="preserve">. </w:t>
            </w:r>
            <w:r>
              <w:rPr>
                <w:rStyle w:val="IndexLink"/>
                <w:rtl w:val="true"/>
              </w:rPr>
              <w:t>روايت جابر</w:t>
            </w:r>
            <w:r>
              <w:rPr>
                <w:rStyle w:val="IndexLink"/>
                <w:rtl w:val="true"/>
              </w:rPr>
              <w:t>:</w:t>
              <w:tab/>
            </w:r>
            <w:r>
              <w:rPr>
                <w:rStyle w:val="IndexLink"/>
              </w:rPr>
              <w:t>36</w:t>
            </w:r>
          </w:hyperlink>
        </w:p>
        <w:p>
          <w:pPr>
            <w:pStyle w:val="Contents6"/>
            <w:tabs>
              <w:tab w:val="clear" w:pos="7609"/>
              <w:tab w:val="right" w:pos="9026" w:leader="dot"/>
            </w:tabs>
            <w:rPr/>
          </w:pPr>
          <w:hyperlink w:anchor="__RefHeading___Toc2902895_3804643083">
            <w:r>
              <w:rPr>
                <w:webHidden/>
                <w:rStyle w:val="IndexLink"/>
              </w:rPr>
              <w:t>5</w:t>
            </w:r>
            <w:r>
              <w:rPr>
                <w:rStyle w:val="IndexLink"/>
                <w:rtl w:val="true"/>
              </w:rPr>
              <w:t xml:space="preserve">. </w:t>
            </w:r>
            <w:r>
              <w:rPr>
                <w:rStyle w:val="IndexLink"/>
                <w:rtl w:val="true"/>
              </w:rPr>
              <w:t>صحيحه‌ي مُعمَّر بن خَلَّاد</w:t>
            </w:r>
            <w:r>
              <w:rPr>
                <w:rStyle w:val="IndexLink"/>
                <w:rtl w:val="true"/>
              </w:rPr>
              <w:t>:</w:t>
              <w:tab/>
            </w:r>
            <w:r>
              <w:rPr>
                <w:rStyle w:val="IndexLink"/>
              </w:rPr>
              <w:t>38</w:t>
            </w:r>
          </w:hyperlink>
        </w:p>
        <w:p>
          <w:pPr>
            <w:pStyle w:val="Contents6"/>
            <w:tabs>
              <w:tab w:val="clear" w:pos="7609"/>
              <w:tab w:val="right" w:pos="9026" w:leader="dot"/>
            </w:tabs>
            <w:rPr/>
          </w:pPr>
          <w:hyperlink w:anchor="__RefHeading___Toc2902897_3804643083">
            <w:r>
              <w:rPr>
                <w:webHidden/>
                <w:rStyle w:val="IndexLink"/>
              </w:rPr>
              <w:t>6</w:t>
            </w:r>
            <w:r>
              <w:rPr>
                <w:rStyle w:val="IndexLink"/>
                <w:rtl w:val="true"/>
              </w:rPr>
              <w:t xml:space="preserve">. </w:t>
            </w:r>
            <w:r>
              <w:rPr>
                <w:rStyle w:val="IndexLink"/>
                <w:rtl w:val="true"/>
              </w:rPr>
              <w:t>صحيحه‌ي محمد بن مُسلم</w:t>
            </w:r>
            <w:r>
              <w:rPr>
                <w:rStyle w:val="IndexLink"/>
                <w:rtl w:val="true"/>
              </w:rPr>
              <w:t>:</w:t>
              <w:tab/>
            </w:r>
            <w:r>
              <w:rPr>
                <w:rStyle w:val="IndexLink"/>
              </w:rPr>
              <w:t>40</w:t>
            </w:r>
          </w:hyperlink>
        </w:p>
        <w:p>
          <w:pPr>
            <w:pStyle w:val="Contents6"/>
            <w:tabs>
              <w:tab w:val="clear" w:pos="7609"/>
              <w:tab w:val="right" w:pos="9026" w:leader="dot"/>
            </w:tabs>
            <w:rPr/>
          </w:pPr>
          <w:hyperlink w:anchor="__RefHeading___Toc2902899_3804643083">
            <w:r>
              <w:rPr>
                <w:webHidden/>
                <w:rStyle w:val="IndexLink"/>
              </w:rPr>
              <w:t>7</w:t>
            </w:r>
            <w:r>
              <w:rPr>
                <w:rStyle w:val="IndexLink"/>
                <w:rtl w:val="true"/>
              </w:rPr>
              <w:t xml:space="preserve">. </w:t>
            </w:r>
            <w:r>
              <w:rPr>
                <w:rStyle w:val="IndexLink"/>
                <w:rtl w:val="true"/>
              </w:rPr>
              <w:t>روايت السَّكونيّ</w:t>
            </w:r>
            <w:r>
              <w:rPr>
                <w:rStyle w:val="IndexLink"/>
                <w:rtl w:val="true"/>
              </w:rPr>
              <w:t>:</w:t>
              <w:tab/>
            </w:r>
            <w:r>
              <w:rPr>
                <w:rStyle w:val="IndexLink"/>
              </w:rPr>
              <w:t>42</w:t>
            </w:r>
          </w:hyperlink>
        </w:p>
        <w:p>
          <w:pPr>
            <w:pStyle w:val="Contents6"/>
            <w:tabs>
              <w:tab w:val="clear" w:pos="7609"/>
              <w:tab w:val="right" w:pos="9026" w:leader="dot"/>
            </w:tabs>
            <w:rPr/>
          </w:pPr>
          <w:hyperlink w:anchor="__RefHeading___Toc2902901_3804643083">
            <w:r>
              <w:rPr>
                <w:webHidden/>
                <w:rStyle w:val="IndexLink"/>
              </w:rPr>
              <w:t>8</w:t>
            </w:r>
            <w:r>
              <w:rPr>
                <w:rStyle w:val="IndexLink"/>
                <w:rtl w:val="true"/>
              </w:rPr>
              <w:t xml:space="preserve">. </w:t>
            </w:r>
            <w:r>
              <w:rPr>
                <w:rStyle w:val="IndexLink"/>
                <w:rtl w:val="true"/>
              </w:rPr>
              <w:t>روايت إسحاق بن عمار</w:t>
            </w:r>
            <w:r>
              <w:rPr>
                <w:rStyle w:val="IndexLink"/>
                <w:rtl w:val="true"/>
              </w:rPr>
              <w:t>:</w:t>
              <w:tab/>
            </w:r>
            <w:r>
              <w:rPr>
                <w:rStyle w:val="IndexLink"/>
              </w:rPr>
              <w:t>43</w:t>
            </w:r>
          </w:hyperlink>
        </w:p>
        <w:p>
          <w:pPr>
            <w:pStyle w:val="Contents6"/>
            <w:tabs>
              <w:tab w:val="clear" w:pos="7609"/>
              <w:tab w:val="right" w:pos="9026" w:leader="dot"/>
            </w:tabs>
            <w:rPr/>
          </w:pPr>
          <w:hyperlink w:anchor="__RefHeading___Toc2902903_3804643083">
            <w:r>
              <w:rPr>
                <w:webHidden/>
                <w:rStyle w:val="IndexLink"/>
              </w:rPr>
              <w:t>9</w:t>
            </w:r>
            <w:r>
              <w:rPr>
                <w:rStyle w:val="IndexLink"/>
                <w:rtl w:val="true"/>
              </w:rPr>
              <w:t xml:space="preserve">. </w:t>
            </w:r>
            <w:r>
              <w:rPr>
                <w:rStyle w:val="IndexLink"/>
                <w:rtl w:val="true"/>
              </w:rPr>
              <w:t>روايت اسباط بن سالم</w:t>
            </w:r>
            <w:r>
              <w:rPr>
                <w:rStyle w:val="IndexLink"/>
                <w:rtl w:val="true"/>
              </w:rPr>
              <w:t>:</w:t>
              <w:tab/>
            </w:r>
            <w:r>
              <w:rPr>
                <w:rStyle w:val="IndexLink"/>
              </w:rPr>
              <w:t>44</w:t>
            </w:r>
          </w:hyperlink>
        </w:p>
        <w:p>
          <w:pPr>
            <w:pStyle w:val="Contents6"/>
            <w:tabs>
              <w:tab w:val="clear" w:pos="7609"/>
              <w:tab w:val="right" w:pos="9026" w:leader="dot"/>
            </w:tabs>
            <w:rPr/>
          </w:pPr>
          <w:hyperlink w:anchor="__RefHeading___Toc2902905_3804643083">
            <w:r>
              <w:rPr>
                <w:webHidden/>
                <w:rStyle w:val="IndexLink"/>
              </w:rPr>
              <w:t>10</w:t>
            </w:r>
            <w:r>
              <w:rPr>
                <w:rStyle w:val="IndexLink"/>
                <w:rtl w:val="true"/>
              </w:rPr>
              <w:t xml:space="preserve">. </w:t>
            </w:r>
            <w:r>
              <w:rPr>
                <w:rStyle w:val="IndexLink"/>
                <w:rtl w:val="true"/>
              </w:rPr>
              <w:t>روايت محمد بن علي</w:t>
            </w:r>
            <w:r>
              <w:rPr>
                <w:rStyle w:val="IndexLink"/>
                <w:rtl w:val="true"/>
              </w:rPr>
              <w:t>:</w:t>
              <w:tab/>
            </w:r>
            <w:r>
              <w:rPr>
                <w:rStyle w:val="IndexLink"/>
              </w:rPr>
              <w:t>45</w:t>
            </w:r>
          </w:hyperlink>
        </w:p>
        <w:p>
          <w:pPr>
            <w:pStyle w:val="Contents6"/>
            <w:tabs>
              <w:tab w:val="clear" w:pos="7609"/>
              <w:tab w:val="right" w:pos="9026" w:leader="dot"/>
            </w:tabs>
            <w:rPr/>
          </w:pPr>
          <w:hyperlink w:anchor="__RefHeading___Toc2902907_3804643083">
            <w:r>
              <w:rPr>
                <w:webHidden/>
                <w:rStyle w:val="IndexLink"/>
              </w:rPr>
              <w:t>11</w:t>
            </w:r>
            <w:r>
              <w:rPr>
                <w:rStyle w:val="IndexLink"/>
                <w:rtl w:val="true"/>
              </w:rPr>
              <w:t xml:space="preserve">. </w:t>
            </w:r>
            <w:r>
              <w:rPr>
                <w:rStyle w:val="IndexLink"/>
                <w:rtl w:val="true"/>
              </w:rPr>
              <w:t>مرسله‌ي العيَّاشِي</w:t>
            </w:r>
            <w:r>
              <w:rPr>
                <w:rStyle w:val="IndexLink"/>
                <w:rtl w:val="true"/>
              </w:rPr>
              <w:t>:</w:t>
              <w:tab/>
            </w:r>
            <w:r>
              <w:rPr>
                <w:rStyle w:val="IndexLink"/>
              </w:rPr>
              <w:t>45</w:t>
            </w:r>
          </w:hyperlink>
        </w:p>
        <w:p>
          <w:pPr>
            <w:pStyle w:val="Contents6"/>
            <w:tabs>
              <w:tab w:val="clear" w:pos="7609"/>
              <w:tab w:val="right" w:pos="9026" w:leader="dot"/>
            </w:tabs>
            <w:rPr/>
          </w:pPr>
          <w:hyperlink w:anchor="__RefHeading___Toc2902909_3804643083">
            <w:r>
              <w:rPr>
                <w:webHidden/>
                <w:rStyle w:val="IndexLink"/>
              </w:rPr>
              <w:t>12</w:t>
            </w:r>
            <w:r>
              <w:rPr>
                <w:rStyle w:val="IndexLink"/>
                <w:rtl w:val="true"/>
              </w:rPr>
              <w:t xml:space="preserve">. </w:t>
            </w:r>
            <w:r>
              <w:rPr>
                <w:rStyle w:val="IndexLink"/>
                <w:rtl w:val="true"/>
              </w:rPr>
              <w:t>مرسله‌ي ديگر العيَّاشِي</w:t>
            </w:r>
            <w:r>
              <w:rPr>
                <w:rStyle w:val="IndexLink"/>
                <w:rtl w:val="true"/>
              </w:rPr>
              <w:t>:</w:t>
              <w:tab/>
            </w:r>
            <w:r>
              <w:rPr>
                <w:rStyle w:val="IndexLink"/>
              </w:rPr>
              <w:t>46</w:t>
            </w:r>
          </w:hyperlink>
        </w:p>
        <w:p>
          <w:pPr>
            <w:pStyle w:val="Contents6"/>
            <w:tabs>
              <w:tab w:val="clear" w:pos="7609"/>
              <w:tab w:val="right" w:pos="9026" w:leader="dot"/>
            </w:tabs>
            <w:rPr/>
          </w:pPr>
          <w:hyperlink w:anchor="__RefHeading___Toc2902911_3804643083">
            <w:r>
              <w:rPr>
                <w:webHidden/>
                <w:rStyle w:val="IndexLink"/>
              </w:rPr>
              <w:t>13</w:t>
            </w:r>
            <w:r>
              <w:rPr>
                <w:rStyle w:val="IndexLink"/>
                <w:rtl w:val="true"/>
              </w:rPr>
              <w:t xml:space="preserve">. </w:t>
            </w:r>
            <w:r>
              <w:rPr>
                <w:rStyle w:val="IndexLink"/>
                <w:rtl w:val="true"/>
              </w:rPr>
              <w:t>روايت ياسر الخادِم</w:t>
            </w:r>
            <w:r>
              <w:rPr>
                <w:rStyle w:val="IndexLink"/>
                <w:rtl w:val="true"/>
              </w:rPr>
              <w:t>:</w:t>
              <w:tab/>
            </w:r>
            <w:r>
              <w:rPr>
                <w:rStyle w:val="IndexLink"/>
              </w:rPr>
              <w:t>46</w:t>
            </w:r>
          </w:hyperlink>
        </w:p>
        <w:p>
          <w:pPr>
            <w:pStyle w:val="Contents6"/>
            <w:tabs>
              <w:tab w:val="clear" w:pos="7609"/>
              <w:tab w:val="right" w:pos="9026" w:leader="dot"/>
            </w:tabs>
            <w:rPr/>
          </w:pPr>
          <w:hyperlink w:anchor="__RefHeading___Toc2902913_3804643083">
            <w:r>
              <w:rPr>
                <w:webHidden/>
                <w:rStyle w:val="IndexLink"/>
              </w:rPr>
              <w:t>14</w:t>
            </w:r>
            <w:r>
              <w:rPr>
                <w:rStyle w:val="IndexLink"/>
                <w:rtl w:val="true"/>
              </w:rPr>
              <w:t xml:space="preserve">. </w:t>
            </w:r>
            <w:r>
              <w:rPr>
                <w:rStyle w:val="IndexLink"/>
                <w:rtl w:val="true"/>
              </w:rPr>
              <w:t>مرفوعه ي ديگري در تفسير العيَّاشِي</w:t>
            </w:r>
            <w:r>
              <w:rPr>
                <w:rStyle w:val="IndexLink"/>
                <w:rtl w:val="true"/>
              </w:rPr>
              <w:t>:</w:t>
              <w:tab/>
            </w:r>
            <w:r>
              <w:rPr>
                <w:rStyle w:val="IndexLink"/>
              </w:rPr>
              <w:t>48</w:t>
            </w:r>
          </w:hyperlink>
        </w:p>
        <w:p>
          <w:pPr>
            <w:pStyle w:val="Contents6"/>
            <w:tabs>
              <w:tab w:val="clear" w:pos="7609"/>
              <w:tab w:val="right" w:pos="9026" w:leader="dot"/>
            </w:tabs>
            <w:rPr/>
          </w:pPr>
          <w:hyperlink w:anchor="__RefHeading___Toc2902915_3804643083">
            <w:r>
              <w:rPr>
                <w:webHidden/>
                <w:rStyle w:val="IndexLink"/>
              </w:rPr>
              <w:t>15</w:t>
            </w:r>
            <w:r>
              <w:rPr>
                <w:rStyle w:val="IndexLink"/>
                <w:rtl w:val="true"/>
              </w:rPr>
              <w:t xml:space="preserve">. </w:t>
            </w:r>
            <w:r>
              <w:rPr>
                <w:rStyle w:val="IndexLink"/>
                <w:rtl w:val="true"/>
              </w:rPr>
              <w:t>مرسله‌ي محمد بن عيسي</w:t>
            </w:r>
            <w:r>
              <w:rPr>
                <w:rStyle w:val="IndexLink"/>
                <w:rtl w:val="true"/>
              </w:rPr>
              <w:t>:</w:t>
              <w:tab/>
            </w:r>
            <w:r>
              <w:rPr>
                <w:rStyle w:val="IndexLink"/>
              </w:rPr>
              <w:t>48</w:t>
            </w:r>
          </w:hyperlink>
        </w:p>
        <w:p>
          <w:pPr>
            <w:pStyle w:val="Contents6"/>
            <w:tabs>
              <w:tab w:val="clear" w:pos="7609"/>
              <w:tab w:val="right" w:pos="9026" w:leader="dot"/>
            </w:tabs>
            <w:rPr/>
          </w:pPr>
          <w:hyperlink w:anchor="__RefHeading___Toc2902917_3804643083">
            <w:r>
              <w:rPr>
                <w:webHidden/>
                <w:rStyle w:val="IndexLink"/>
              </w:rPr>
              <w:t>16</w:t>
            </w:r>
            <w:r>
              <w:rPr>
                <w:rStyle w:val="IndexLink"/>
                <w:rtl w:val="true"/>
              </w:rPr>
              <w:t xml:space="preserve">. </w:t>
            </w:r>
            <w:r>
              <w:rPr>
                <w:rStyle w:val="IndexLink"/>
                <w:rtl w:val="true"/>
              </w:rPr>
              <w:t>روايت زيد الشَّحَّام</w:t>
            </w:r>
            <w:r>
              <w:rPr>
                <w:rStyle w:val="IndexLink"/>
                <w:rtl w:val="true"/>
              </w:rPr>
              <w:t>:</w:t>
              <w:tab/>
            </w:r>
            <w:r>
              <w:rPr>
                <w:rStyle w:val="IndexLink"/>
              </w:rPr>
              <w:t>49</w:t>
            </w:r>
          </w:hyperlink>
        </w:p>
        <w:p>
          <w:pPr>
            <w:pStyle w:val="Contents6"/>
            <w:tabs>
              <w:tab w:val="clear" w:pos="7609"/>
              <w:tab w:val="right" w:pos="9026" w:leader="dot"/>
            </w:tabs>
            <w:rPr/>
          </w:pPr>
          <w:hyperlink w:anchor="__RefHeading___Toc2902919_3804643083">
            <w:r>
              <w:rPr>
                <w:webHidden/>
                <w:rStyle w:val="IndexLink"/>
              </w:rPr>
              <w:t>17</w:t>
            </w:r>
            <w:r>
              <w:rPr>
                <w:rStyle w:val="IndexLink"/>
                <w:rtl w:val="true"/>
              </w:rPr>
              <w:t xml:space="preserve">. </w:t>
            </w:r>
            <w:r>
              <w:rPr>
                <w:rStyle w:val="IndexLink"/>
                <w:rtl w:val="true"/>
              </w:rPr>
              <w:t>روايت أبي الجارود</w:t>
            </w:r>
            <w:r>
              <w:rPr>
                <w:rStyle w:val="IndexLink"/>
                <w:rtl w:val="true"/>
              </w:rPr>
              <w:t>:</w:t>
              <w:tab/>
            </w:r>
            <w:r>
              <w:rPr>
                <w:rStyle w:val="IndexLink"/>
              </w:rPr>
              <w:t>49</w:t>
            </w:r>
          </w:hyperlink>
        </w:p>
        <w:p>
          <w:pPr>
            <w:pStyle w:val="Contents6"/>
            <w:tabs>
              <w:tab w:val="clear" w:pos="7609"/>
              <w:tab w:val="right" w:pos="9026" w:leader="dot"/>
            </w:tabs>
            <w:rPr/>
          </w:pPr>
          <w:hyperlink w:anchor="__RefHeading___Toc2902921_3804643083">
            <w:r>
              <w:rPr>
                <w:webHidden/>
                <w:rStyle w:val="IndexLink"/>
              </w:rPr>
              <w:t>18</w:t>
            </w:r>
            <w:r>
              <w:rPr>
                <w:rStyle w:val="IndexLink"/>
                <w:rtl w:val="true"/>
              </w:rPr>
              <w:t xml:space="preserve">. </w:t>
            </w:r>
            <w:r>
              <w:rPr>
                <w:rStyle w:val="IndexLink"/>
                <w:rtl w:val="true"/>
              </w:rPr>
              <w:t>روايت الفُضيل</w:t>
            </w:r>
            <w:r>
              <w:rPr>
                <w:rStyle w:val="IndexLink"/>
                <w:rtl w:val="true"/>
              </w:rPr>
              <w:t>:</w:t>
              <w:tab/>
            </w:r>
            <w:r>
              <w:rPr>
                <w:rStyle w:val="IndexLink"/>
              </w:rPr>
              <w:t>51</w:t>
            </w:r>
          </w:hyperlink>
        </w:p>
        <w:p>
          <w:pPr>
            <w:pStyle w:val="Contents5"/>
            <w:tabs>
              <w:tab w:val="clear" w:pos="7892"/>
              <w:tab w:val="right" w:pos="9026" w:leader="dot"/>
            </w:tabs>
            <w:rPr/>
          </w:pPr>
          <w:hyperlink w:anchor="__RefHeading___Toc2902923_3804643083">
            <w:r>
              <w:rPr>
                <w:webHidden/>
                <w:rStyle w:val="IndexLink"/>
                <w:rtl w:val="true"/>
              </w:rPr>
              <w:t>عدم تواتر اخبار دالّ بر حرمت قسم اوّل</w:t>
            </w:r>
            <w:r>
              <w:rPr>
                <w:rStyle w:val="IndexLink"/>
                <w:rtl w:val="true"/>
              </w:rPr>
              <w:tab/>
            </w:r>
            <w:r>
              <w:rPr>
                <w:rStyle w:val="IndexLink"/>
              </w:rPr>
              <w:t>51</w:t>
            </w:r>
          </w:hyperlink>
        </w:p>
        <w:p>
          <w:pPr>
            <w:pStyle w:val="Contents5"/>
            <w:tabs>
              <w:tab w:val="clear" w:pos="7892"/>
              <w:tab w:val="right" w:pos="9026" w:leader="dot"/>
            </w:tabs>
            <w:rPr/>
          </w:pPr>
          <w:hyperlink w:anchor="__RefHeading___Toc2902925_3804643083">
            <w:r>
              <w:rPr>
                <w:webHidden/>
                <w:rStyle w:val="IndexLink"/>
                <w:rtl w:val="true"/>
              </w:rPr>
              <w:t xml:space="preserve">تحقيق جامعي درباره‌ي واژه‌ي </w:t>
            </w:r>
            <w:r>
              <w:rPr>
                <w:rStyle w:val="IndexLink"/>
                <w:rtl w:val="true"/>
              </w:rPr>
              <w:t>«</w:t>
            </w:r>
            <w:r>
              <w:rPr>
                <w:rStyle w:val="IndexLink"/>
                <w:rtl w:val="true"/>
              </w:rPr>
              <w:t>ميسر</w:t>
            </w:r>
            <w:r>
              <w:rPr>
                <w:rStyle w:val="IndexLink"/>
                <w:rtl w:val="true"/>
              </w:rPr>
              <w:t>»</w:t>
              <w:tab/>
            </w:r>
            <w:r>
              <w:rPr>
                <w:rStyle w:val="IndexLink"/>
              </w:rPr>
              <w:t>52</w:t>
            </w:r>
          </w:hyperlink>
        </w:p>
        <w:p>
          <w:pPr>
            <w:pStyle w:val="Contents6"/>
            <w:tabs>
              <w:tab w:val="clear" w:pos="7609"/>
              <w:tab w:val="right" w:pos="9026" w:leader="dot"/>
            </w:tabs>
            <w:rPr/>
          </w:pPr>
          <w:hyperlink w:anchor="__RefHeading___Toc2902927_3804643083">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2902929_3804643083">
            <w:r>
              <w:rPr>
                <w:webHidden/>
                <w:rStyle w:val="IndexLink"/>
                <w:rtl w:val="true"/>
              </w:rPr>
              <w:t>توضيحي در مورد قمار به أزلام و أقداح</w:t>
            </w:r>
            <w:r>
              <w:rPr>
                <w:rStyle w:val="IndexLink"/>
                <w:rtl w:val="true"/>
              </w:rPr>
              <w:tab/>
            </w:r>
            <w:r>
              <w:rPr>
                <w:rStyle w:val="IndexLink"/>
              </w:rPr>
              <w:t>57</w:t>
            </w:r>
          </w:hyperlink>
        </w:p>
        <w:p>
          <w:pPr>
            <w:pStyle w:val="Contents6"/>
            <w:tabs>
              <w:tab w:val="clear" w:pos="7609"/>
              <w:tab w:val="right" w:pos="9026" w:leader="dot"/>
            </w:tabs>
            <w:rPr/>
          </w:pPr>
          <w:hyperlink w:anchor="__RefHeading___Toc2902931_3804643083">
            <w:r>
              <w:rPr>
                <w:webHidden/>
                <w:rStyle w:val="IndexLink"/>
                <w:rtl w:val="true"/>
              </w:rPr>
              <w:t>آيا ميسر در آيه‌ي شريفه بر نفس جزور اطلاق شده يا اسم براي آن فعل است؟</w:t>
            </w:r>
            <w:r>
              <w:rPr>
                <w:rStyle w:val="IndexLink"/>
                <w:rtl w:val="true"/>
              </w:rPr>
              <w:tab/>
            </w:r>
            <w:r>
              <w:rPr>
                <w:rStyle w:val="IndexLink"/>
              </w:rPr>
              <w:t>68</w:t>
            </w:r>
          </w:hyperlink>
        </w:p>
        <w:p>
          <w:pPr>
            <w:pStyle w:val="Contents5"/>
            <w:tabs>
              <w:tab w:val="clear" w:pos="7892"/>
              <w:tab w:val="right" w:pos="9026" w:leader="dot"/>
            </w:tabs>
            <w:rPr/>
          </w:pPr>
          <w:hyperlink w:anchor="__RefHeading___Toc2902933_3804643083">
            <w:r>
              <w:rPr>
                <w:webHidden/>
                <w:rStyle w:val="IndexLink"/>
                <w:rtl w:val="true"/>
              </w:rPr>
              <w:t xml:space="preserve">بحث نهايي در مورد </w:t>
            </w:r>
            <w:r>
              <w:rPr>
                <w:rStyle w:val="IndexLink"/>
                <w:rtl w:val="true"/>
              </w:rPr>
              <w:t>«</w:t>
            </w:r>
            <w:r>
              <w:rPr>
                <w:rStyle w:val="IndexLink"/>
                <w:rtl w:val="true"/>
              </w:rPr>
              <w:t>ميسر</w:t>
            </w:r>
            <w:r>
              <w:rPr>
                <w:rStyle w:val="IndexLink"/>
                <w:rtl w:val="true"/>
              </w:rPr>
              <w:t xml:space="preserve">» </w:t>
            </w:r>
            <w:r>
              <w:rPr>
                <w:rStyle w:val="IndexLink"/>
                <w:rtl w:val="true"/>
              </w:rPr>
              <w:t>در آيه‌ي شريفه‌</w:t>
            </w:r>
            <w:r>
              <w:rPr>
                <w:rStyle w:val="IndexLink"/>
                <w:rtl w:val="true"/>
              </w:rPr>
              <w:tab/>
            </w:r>
            <w:r>
              <w:rPr>
                <w:rStyle w:val="IndexLink"/>
              </w:rPr>
              <w:t>73</w:t>
            </w:r>
          </w:hyperlink>
        </w:p>
        <w:p>
          <w:pPr>
            <w:pStyle w:val="Contents4"/>
            <w:tabs>
              <w:tab w:val="clear" w:pos="8176"/>
              <w:tab w:val="right" w:pos="9026" w:leader="dot"/>
            </w:tabs>
            <w:rPr/>
          </w:pPr>
          <w:hyperlink w:anchor="__RefHeading___Toc2902935_3804643083">
            <w:r>
              <w:rPr>
                <w:webHidden/>
                <w:rStyle w:val="IndexLink"/>
                <w:rtl w:val="true"/>
              </w:rPr>
              <w:t>قسم دوم</w:t>
            </w:r>
            <w:r>
              <w:rPr>
                <w:rStyle w:val="IndexLink"/>
                <w:rtl w:val="true"/>
              </w:rPr>
              <w:t xml:space="preserve">: </w:t>
            </w:r>
            <w:r>
              <w:rPr>
                <w:rStyle w:val="IndexLink"/>
                <w:rtl w:val="true"/>
              </w:rPr>
              <w:t>لعب به آلات قمار بدون رهن</w:t>
            </w:r>
            <w:r>
              <w:rPr>
                <w:rStyle w:val="IndexLink"/>
                <w:rtl w:val="true"/>
              </w:rPr>
              <w:tab/>
            </w:r>
            <w:r>
              <w:rPr>
                <w:rStyle w:val="IndexLink"/>
              </w:rPr>
              <w:t>75</w:t>
            </w:r>
          </w:hyperlink>
        </w:p>
        <w:p>
          <w:pPr>
            <w:pStyle w:val="Contents5"/>
            <w:tabs>
              <w:tab w:val="clear" w:pos="7892"/>
              <w:tab w:val="right" w:pos="9026" w:leader="dot"/>
            </w:tabs>
            <w:rPr/>
          </w:pPr>
          <w:hyperlink w:anchor="__RefHeading___Toc2902937_3804643083">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2902939_3804643083">
            <w:r>
              <w:rPr>
                <w:webHidden/>
                <w:rStyle w:val="IndexLink"/>
                <w:rtl w:val="true"/>
              </w:rPr>
              <w:t>دليل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جواز قسم دوم</w:t>
            </w:r>
            <w:r>
              <w:rPr>
                <w:rStyle w:val="IndexLink"/>
                <w:rtl w:val="true"/>
              </w:rPr>
              <w:tab/>
            </w:r>
            <w:r>
              <w:rPr>
                <w:rStyle w:val="IndexLink"/>
              </w:rPr>
              <w:t>76</w:t>
            </w:r>
          </w:hyperlink>
        </w:p>
        <w:p>
          <w:pPr>
            <w:pStyle w:val="Contents5"/>
            <w:tabs>
              <w:tab w:val="clear" w:pos="7892"/>
              <w:tab w:val="right" w:pos="9026" w:leader="dot"/>
            </w:tabs>
            <w:rPr/>
          </w:pPr>
          <w:hyperlink w:anchor="__RefHeading___Toc2902941_3804643083">
            <w:r>
              <w:rPr>
                <w:webHidden/>
                <w:rStyle w:val="IndexLink"/>
                <w:rtl w:val="true"/>
              </w:rPr>
              <w:t>بيان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 xml:space="preserve">در انصراف ادلّه‌ي حرمت قمار به لعب با رهن </w:t>
            </w:r>
            <w:r>
              <w:rPr>
                <w:rStyle w:val="IndexLink"/>
                <w:rtl w:val="true"/>
              </w:rPr>
              <w:t>(</w:t>
            </w:r>
            <w:r>
              <w:rPr>
                <w:rStyle w:val="IndexLink"/>
                <w:rtl w:val="true"/>
              </w:rPr>
              <w:t>در صورت اطلاق قمار بر اعم</w:t>
            </w:r>
            <w:r>
              <w:rPr>
                <w:rStyle w:val="IndexLink"/>
                <w:rtl w:val="true"/>
              </w:rPr>
              <w:t>)</w:t>
              <w:tab/>
            </w:r>
            <w:r>
              <w:rPr>
                <w:rStyle w:val="IndexLink"/>
              </w:rPr>
              <w:t>76</w:t>
            </w:r>
          </w:hyperlink>
        </w:p>
        <w:p>
          <w:pPr>
            <w:pStyle w:val="Contents5"/>
            <w:tabs>
              <w:tab w:val="clear" w:pos="7892"/>
              <w:tab w:val="right" w:pos="9026" w:leader="dot"/>
            </w:tabs>
            <w:rPr/>
          </w:pPr>
          <w:hyperlink w:anchor="__RefHeading___Toc2902943_3804643083">
            <w:r>
              <w:rPr>
                <w:webHidden/>
                <w:rStyle w:val="IndexLink"/>
                <w:rtl w:val="true"/>
              </w:rPr>
              <w:t>اشكال بعضي بر ادعاي انصراف شيخ</w:t>
            </w:r>
            <w:r>
              <w:rPr>
                <w:rStyle w:val="IndexLink"/>
                <w:rtl w:val="true"/>
              </w:rPr>
              <w:t xml:space="preserve">- </w:t>
            </w:r>
            <w:r>
              <w:rPr>
                <w:rStyle w:val="IndexLink"/>
                <w:rtl w:val="true"/>
              </w:rPr>
              <w:t xml:space="preserve">قدس سره </w:t>
            </w:r>
            <w:r>
              <w:rPr>
                <w:rStyle w:val="IndexLink"/>
                <w:rtl w:val="true"/>
              </w:rPr>
              <w:t>-</w:t>
              <w:tab/>
            </w:r>
            <w:r>
              <w:rPr>
                <w:rStyle w:val="IndexLink"/>
              </w:rPr>
              <w:t>77</w:t>
            </w:r>
          </w:hyperlink>
        </w:p>
        <w:p>
          <w:pPr>
            <w:pStyle w:val="Contents6"/>
            <w:tabs>
              <w:tab w:val="clear" w:pos="7609"/>
              <w:tab w:val="right" w:pos="9026" w:leader="dot"/>
            </w:tabs>
            <w:rPr/>
          </w:pPr>
          <w:hyperlink w:anchor="__RefHeading___Toc2902945_3804643083">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2902947_3804643083">
            <w:r>
              <w:rPr>
                <w:webHidden/>
                <w:rStyle w:val="IndexLink"/>
                <w:rtl w:val="true"/>
              </w:rPr>
              <w:t>نقد اين اشكال</w:t>
            </w:r>
            <w:r>
              <w:rPr>
                <w:rStyle w:val="IndexLink"/>
                <w:rtl w:val="true"/>
              </w:rPr>
              <w:tab/>
            </w:r>
            <w:r>
              <w:rPr>
                <w:rStyle w:val="IndexLink"/>
              </w:rPr>
              <w:t>78</w:t>
            </w:r>
          </w:hyperlink>
        </w:p>
        <w:p>
          <w:pPr>
            <w:pStyle w:val="Contents5"/>
            <w:tabs>
              <w:tab w:val="clear" w:pos="7892"/>
              <w:tab w:val="right" w:pos="9026" w:leader="dot"/>
            </w:tabs>
            <w:rPr/>
          </w:pPr>
          <w:hyperlink w:anchor="__RefHeading___Toc2902949_3804643083">
            <w:r>
              <w:rPr>
                <w:webHidden/>
                <w:rStyle w:val="IndexLink"/>
                <w:rtl w:val="true"/>
              </w:rPr>
              <w:t>ادلّه‌ي حرمت قسم دوم</w:t>
            </w:r>
            <w:r>
              <w:rPr>
                <w:rStyle w:val="IndexLink"/>
                <w:rtl w:val="true"/>
              </w:rPr>
              <w:tab/>
            </w:r>
            <w:r>
              <w:rPr>
                <w:rStyle w:val="IndexLink"/>
              </w:rPr>
              <w:t>78</w:t>
            </w:r>
          </w:hyperlink>
        </w:p>
        <w:p>
          <w:pPr>
            <w:pStyle w:val="Contents6"/>
            <w:tabs>
              <w:tab w:val="clear" w:pos="7609"/>
              <w:tab w:val="right" w:pos="9026" w:leader="dot"/>
            </w:tabs>
            <w:rPr/>
          </w:pPr>
          <w:hyperlink w:anchor="__RefHeading___Toc2902951_3804643083">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2902953_3804643083">
            <w:r>
              <w:rPr>
                <w:webHidden/>
                <w:rStyle w:val="IndexLink"/>
              </w:rPr>
              <w:t>1</w:t>
            </w:r>
            <w:r>
              <w:rPr>
                <w:rStyle w:val="IndexLink"/>
                <w:rtl w:val="true"/>
              </w:rPr>
              <w:t xml:space="preserve">. </w:t>
            </w:r>
            <w:r>
              <w:rPr>
                <w:rStyle w:val="IndexLink"/>
                <w:rtl w:val="true"/>
              </w:rPr>
              <w:t>روايت تحف العقول</w:t>
            </w:r>
            <w:r>
              <w:rPr>
                <w:rStyle w:val="IndexLink"/>
                <w:rtl w:val="true"/>
              </w:rPr>
              <w:t>:</w:t>
              <w:tab/>
            </w:r>
            <w:r>
              <w:rPr>
                <w:rStyle w:val="IndexLink"/>
              </w:rPr>
              <w:t>81</w:t>
            </w:r>
          </w:hyperlink>
        </w:p>
        <w:p>
          <w:pPr>
            <w:pStyle w:val="Contents6"/>
            <w:tabs>
              <w:tab w:val="clear" w:pos="7609"/>
              <w:tab w:val="right" w:pos="9026" w:leader="dot"/>
            </w:tabs>
            <w:rPr/>
          </w:pPr>
          <w:hyperlink w:anchor="__RefHeading___Toc2902955_3804643083">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2902957_3804643083">
            <w:r>
              <w:rPr>
                <w:webHidden/>
                <w:rStyle w:val="IndexLink"/>
                <w:rtl w:val="true"/>
              </w:rPr>
              <w:t>مناقشه در استدلال به روايت تحف العقول</w:t>
            </w:r>
            <w:r>
              <w:rPr>
                <w:rStyle w:val="IndexLink"/>
                <w:rtl w:val="true"/>
              </w:rPr>
              <w:tab/>
            </w:r>
            <w:r>
              <w:rPr>
                <w:rStyle w:val="IndexLink"/>
              </w:rPr>
              <w:t>82</w:t>
            </w:r>
          </w:hyperlink>
        </w:p>
        <w:p>
          <w:pPr>
            <w:pStyle w:val="Contents6"/>
            <w:tabs>
              <w:tab w:val="clear" w:pos="7609"/>
              <w:tab w:val="right" w:pos="9026" w:leader="dot"/>
            </w:tabs>
            <w:rPr/>
          </w:pPr>
          <w:hyperlink w:anchor="__RefHeading___Toc2902959_3804643083">
            <w:r>
              <w:rPr>
                <w:webHidden/>
                <w:rStyle w:val="IndexLink"/>
              </w:rPr>
              <w:t>2</w:t>
            </w:r>
            <w:r>
              <w:rPr>
                <w:rStyle w:val="IndexLink"/>
                <w:rtl w:val="true"/>
              </w:rPr>
              <w:t xml:space="preserve">. </w:t>
            </w:r>
            <w:r>
              <w:rPr>
                <w:rStyle w:val="IndexLink"/>
                <w:rtl w:val="true"/>
              </w:rPr>
              <w:t>روايت أبي الجارود</w:t>
            </w:r>
            <w:r>
              <w:rPr>
                <w:rStyle w:val="IndexLink"/>
                <w:rtl w:val="true"/>
              </w:rPr>
              <w:t>:</w:t>
              <w:tab/>
            </w:r>
            <w:r>
              <w:rPr>
                <w:rStyle w:val="IndexLink"/>
              </w:rPr>
              <w:t>83</w:t>
            </w:r>
          </w:hyperlink>
        </w:p>
        <w:p>
          <w:pPr>
            <w:pStyle w:val="Contents5"/>
            <w:tabs>
              <w:tab w:val="clear" w:pos="7892"/>
              <w:tab w:val="right" w:pos="9026" w:leader="dot"/>
            </w:tabs>
            <w:rPr/>
          </w:pPr>
          <w:hyperlink w:anchor="__RefHeading___Toc2902961_3804643083">
            <w:r>
              <w:rPr>
                <w:webHidden/>
                <w:rStyle w:val="IndexLink"/>
                <w:rtl w:val="true"/>
              </w:rPr>
              <w:t>نقد استدلال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به روايت أبي الجارود</w:t>
            </w:r>
            <w:r>
              <w:rPr>
                <w:rStyle w:val="IndexLink"/>
                <w:rtl w:val="true"/>
              </w:rPr>
              <w:tab/>
            </w:r>
            <w:r>
              <w:rPr>
                <w:rStyle w:val="IndexLink"/>
              </w:rPr>
              <w:t>86</w:t>
            </w:r>
          </w:hyperlink>
        </w:p>
        <w:p>
          <w:pPr>
            <w:pStyle w:val="Contents5"/>
            <w:tabs>
              <w:tab w:val="clear" w:pos="7892"/>
              <w:tab w:val="right" w:pos="9026" w:leader="dot"/>
            </w:tabs>
            <w:rPr/>
          </w:pPr>
          <w:hyperlink w:anchor="__RefHeading___Toc2902963_3804643083">
            <w:r>
              <w:rPr>
                <w:webHidden/>
                <w:rStyle w:val="IndexLink"/>
                <w:rtl w:val="true"/>
              </w:rPr>
              <w:t>نظر امام</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استعمال ميسر در سه معناي قمار، آلت قمار و رهن</w:t>
            </w:r>
            <w:r>
              <w:rPr>
                <w:rStyle w:val="IndexLink"/>
                <w:rtl w:val="true"/>
              </w:rPr>
              <w:tab/>
            </w:r>
            <w:r>
              <w:rPr>
                <w:rStyle w:val="IndexLink"/>
              </w:rPr>
              <w:t>88</w:t>
            </w:r>
          </w:hyperlink>
        </w:p>
        <w:p>
          <w:pPr>
            <w:pStyle w:val="Contents6"/>
            <w:tabs>
              <w:tab w:val="clear" w:pos="7609"/>
              <w:tab w:val="right" w:pos="9026" w:leader="dot"/>
            </w:tabs>
            <w:rPr/>
          </w:pPr>
          <w:hyperlink w:anchor="__RefHeading___Toc2902965_3804643083">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2902967_3804643083">
            <w:r>
              <w:rPr>
                <w:webHidden/>
                <w:rStyle w:val="IndexLink"/>
                <w:rtl w:val="true"/>
              </w:rPr>
              <w:t>نقد كلام مرحوم امام</w:t>
            </w:r>
            <w:r>
              <w:rPr>
                <w:rStyle w:val="IndexLink"/>
                <w:rtl w:val="true"/>
              </w:rPr>
              <w:t xml:space="preserve">- </w:t>
            </w:r>
            <w:r>
              <w:rPr>
                <w:rStyle w:val="IndexLink"/>
                <w:rtl w:val="true"/>
              </w:rPr>
              <w:t xml:space="preserve">قدس سره </w:t>
            </w:r>
            <w:r>
              <w:rPr>
                <w:rStyle w:val="IndexLink"/>
                <w:rtl w:val="true"/>
              </w:rPr>
              <w:t>-</w:t>
              <w:tab/>
            </w:r>
            <w:r>
              <w:rPr>
                <w:rStyle w:val="IndexLink"/>
              </w:rPr>
              <w:t>89</w:t>
            </w:r>
          </w:hyperlink>
        </w:p>
        <w:p>
          <w:pPr>
            <w:pStyle w:val="Contents5"/>
            <w:tabs>
              <w:tab w:val="clear" w:pos="7892"/>
              <w:tab w:val="right" w:pos="9026" w:leader="dot"/>
            </w:tabs>
            <w:rPr/>
          </w:pPr>
          <w:hyperlink w:anchor="__RefHeading___Toc2902969_3804643083">
            <w:r>
              <w:rPr>
                <w:webHidden/>
                <w:rStyle w:val="IndexLink"/>
                <w:rtl w:val="true"/>
              </w:rPr>
              <w:t>مؤيدات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حرمت لعب به آلات قمار بدون رهن</w:t>
            </w:r>
            <w:r>
              <w:rPr>
                <w:rStyle w:val="IndexLink"/>
                <w:rtl w:val="true"/>
              </w:rPr>
              <w:tab/>
            </w:r>
            <w:r>
              <w:rPr>
                <w:rStyle w:val="IndexLink"/>
              </w:rPr>
              <w:t>91</w:t>
            </w:r>
          </w:hyperlink>
        </w:p>
        <w:p>
          <w:pPr>
            <w:pStyle w:val="Contents6"/>
            <w:tabs>
              <w:tab w:val="clear" w:pos="7609"/>
              <w:tab w:val="right" w:pos="9026" w:leader="dot"/>
            </w:tabs>
            <w:rPr/>
          </w:pPr>
          <w:hyperlink w:anchor="__RefHeading___Toc2902971_3804643083">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2902973_3804643083">
            <w:r>
              <w:rPr>
                <w:webHidden/>
                <w:rStyle w:val="IndexLink"/>
              </w:rPr>
              <w:t>1</w:t>
            </w:r>
            <w:r>
              <w:rPr>
                <w:rStyle w:val="IndexLink"/>
                <w:rtl w:val="true"/>
              </w:rPr>
              <w:t xml:space="preserve">. </w:t>
            </w:r>
            <w:r>
              <w:rPr>
                <w:rStyle w:val="IndexLink"/>
                <w:rtl w:val="true"/>
              </w:rPr>
              <w:t>روايت عبدالله بن علي</w:t>
            </w:r>
            <w:r>
              <w:rPr>
                <w:rStyle w:val="IndexLink"/>
                <w:rtl w:val="true"/>
              </w:rPr>
              <w:t>:</w:t>
              <w:tab/>
            </w:r>
            <w:r>
              <w:rPr>
                <w:rStyle w:val="IndexLink"/>
              </w:rPr>
              <w:t>91</w:t>
            </w:r>
          </w:hyperlink>
        </w:p>
        <w:p>
          <w:pPr>
            <w:pStyle w:val="Contents6"/>
            <w:tabs>
              <w:tab w:val="clear" w:pos="7609"/>
              <w:tab w:val="right" w:pos="9026" w:leader="dot"/>
            </w:tabs>
            <w:rPr/>
          </w:pPr>
          <w:hyperlink w:anchor="__RefHeading___Toc2902975_3804643083">
            <w:r>
              <w:rPr>
                <w:webHidden/>
                <w:rStyle w:val="IndexLink"/>
              </w:rPr>
              <w:t>2</w:t>
            </w:r>
            <w:r>
              <w:rPr>
                <w:rStyle w:val="IndexLink"/>
                <w:rtl w:val="true"/>
              </w:rPr>
              <w:t xml:space="preserve">. </w:t>
            </w:r>
            <w:r>
              <w:rPr>
                <w:rStyle w:val="IndexLink"/>
                <w:rtl w:val="true"/>
              </w:rPr>
              <w:t>روايت الفضيل بن يسار</w:t>
            </w:r>
            <w:r>
              <w:rPr>
                <w:rStyle w:val="IndexLink"/>
                <w:rtl w:val="true"/>
              </w:rPr>
              <w:t>:</w:t>
              <w:tab/>
            </w:r>
            <w:r>
              <w:rPr>
                <w:rStyle w:val="IndexLink"/>
              </w:rPr>
              <w:t>93</w:t>
            </w:r>
          </w:hyperlink>
        </w:p>
        <w:p>
          <w:pPr>
            <w:pStyle w:val="Contents6"/>
            <w:tabs>
              <w:tab w:val="clear" w:pos="7609"/>
              <w:tab w:val="right" w:pos="9026" w:leader="dot"/>
            </w:tabs>
            <w:rPr/>
          </w:pPr>
          <w:hyperlink w:anchor="__RefHeading___Toc2902977_3804643083">
            <w:r>
              <w:rPr>
                <w:webHidden/>
                <w:rStyle w:val="IndexLink"/>
              </w:rPr>
              <w:t>3</w:t>
            </w:r>
            <w:r>
              <w:rPr>
                <w:rStyle w:val="IndexLink"/>
                <w:rtl w:val="true"/>
              </w:rPr>
              <w:t xml:space="preserve">. </w:t>
            </w:r>
            <w:r>
              <w:rPr>
                <w:rStyle w:val="IndexLink"/>
                <w:rtl w:val="true"/>
              </w:rPr>
              <w:t>موثقه‌ي زُرارة</w:t>
            </w:r>
            <w:r>
              <w:rPr>
                <w:rStyle w:val="IndexLink"/>
                <w:rtl w:val="true"/>
              </w:rPr>
              <w:t>:</w:t>
              <w:tab/>
            </w:r>
            <w:r>
              <w:rPr>
                <w:rStyle w:val="IndexLink"/>
              </w:rPr>
              <w:t>94</w:t>
            </w:r>
          </w:hyperlink>
        </w:p>
        <w:p>
          <w:pPr>
            <w:pStyle w:val="Contents6"/>
            <w:tabs>
              <w:tab w:val="clear" w:pos="7609"/>
              <w:tab w:val="right" w:pos="9026" w:leader="dot"/>
            </w:tabs>
            <w:rPr/>
          </w:pPr>
          <w:hyperlink w:anchor="__RefHeading___Toc2902979_3804643083">
            <w:r>
              <w:rPr>
                <w:webHidden/>
                <w:rStyle w:val="IndexLink"/>
              </w:rPr>
              <w:t>4</w:t>
            </w:r>
            <w:r>
              <w:rPr>
                <w:rStyle w:val="IndexLink"/>
                <w:rtl w:val="true"/>
              </w:rPr>
              <w:t xml:space="preserve">. </w:t>
            </w:r>
            <w:r>
              <w:rPr>
                <w:rStyle w:val="IndexLink"/>
                <w:rtl w:val="true"/>
              </w:rPr>
              <w:t>روايت عبدالواحد بن المختار</w:t>
            </w:r>
            <w:r>
              <w:rPr>
                <w:rStyle w:val="IndexLink"/>
                <w:rtl w:val="true"/>
              </w:rPr>
              <w:t>:</w:t>
              <w:tab/>
            </w:r>
            <w:r>
              <w:rPr>
                <w:rStyle w:val="IndexLink"/>
              </w:rPr>
              <w:t>96</w:t>
            </w:r>
          </w:hyperlink>
        </w:p>
        <w:p>
          <w:pPr>
            <w:pStyle w:val="Contents5"/>
            <w:tabs>
              <w:tab w:val="clear" w:pos="7892"/>
              <w:tab w:val="right" w:pos="9026" w:leader="dot"/>
            </w:tabs>
            <w:rPr/>
          </w:pPr>
          <w:hyperlink w:anchor="__RefHeading___Toc2902981_3804643083">
            <w:r>
              <w:rPr>
                <w:webHidden/>
                <w:rStyle w:val="IndexLink"/>
                <w:rtl w:val="true"/>
              </w:rPr>
              <w:t>آيا بازي شطرنج بدون رهان در زمان صدور روايات شيوع داشته است؟</w:t>
            </w:r>
            <w:r>
              <w:rPr>
                <w:rStyle w:val="IndexLink"/>
                <w:rtl w:val="true"/>
              </w:rPr>
              <w:tab/>
            </w:r>
            <w:r>
              <w:rPr>
                <w:rStyle w:val="IndexLink"/>
              </w:rPr>
              <w:t>98</w:t>
            </w:r>
          </w:hyperlink>
        </w:p>
        <w:p>
          <w:pPr>
            <w:pStyle w:val="Contents6"/>
            <w:tabs>
              <w:tab w:val="clear" w:pos="7609"/>
              <w:tab w:val="right" w:pos="9026" w:leader="dot"/>
            </w:tabs>
            <w:rPr/>
          </w:pPr>
          <w:hyperlink w:anchor="__RefHeading___Toc2902983_3804643083">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2902985_3804643083">
            <w:r>
              <w:rPr>
                <w:webHidden/>
                <w:rStyle w:val="IndexLink"/>
                <w:rtl w:val="true"/>
              </w:rPr>
              <w:t>بيان امام</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ناظر بودن روايات نهي از شطرنج به فتاواي بعض عامه در جواز لعب بدون رهن</w:t>
            </w:r>
            <w:r>
              <w:rPr>
                <w:rStyle w:val="IndexLink"/>
                <w:rtl w:val="true"/>
              </w:rPr>
              <w:tab/>
            </w:r>
            <w:r>
              <w:rPr>
                <w:rStyle w:val="IndexLink"/>
              </w:rPr>
              <w:t>103</w:t>
            </w:r>
          </w:hyperlink>
        </w:p>
        <w:p>
          <w:pPr>
            <w:pStyle w:val="Contents6"/>
            <w:tabs>
              <w:tab w:val="clear" w:pos="7609"/>
              <w:tab w:val="right" w:pos="9026" w:leader="dot"/>
            </w:tabs>
            <w:rPr/>
          </w:pPr>
          <w:hyperlink w:anchor="__RefHeading___Toc2902987_3804643083">
            <w:r>
              <w:rPr>
                <w:webHidden/>
                <w:rStyle w:val="IndexLink"/>
                <w:rtl w:val="true"/>
              </w:rPr>
              <w:t>بررسي كلام مرحوم امام</w:t>
            </w:r>
            <w:r>
              <w:rPr>
                <w:rStyle w:val="IndexLink"/>
                <w:rtl w:val="true"/>
              </w:rPr>
              <w:t xml:space="preserve">- </w:t>
            </w:r>
            <w:r>
              <w:rPr>
                <w:rStyle w:val="IndexLink"/>
                <w:rtl w:val="true"/>
              </w:rPr>
              <w:t xml:space="preserve">قدس سره </w:t>
            </w:r>
            <w:r>
              <w:rPr>
                <w:rStyle w:val="IndexLink"/>
                <w:rtl w:val="true"/>
              </w:rPr>
              <w:t>-</w:t>
              <w:tab/>
            </w:r>
            <w:r>
              <w:rPr>
                <w:rStyle w:val="IndexLink"/>
              </w:rPr>
              <w:t>105</w:t>
            </w:r>
          </w:hyperlink>
        </w:p>
        <w:p>
          <w:pPr>
            <w:pStyle w:val="Contents5"/>
            <w:tabs>
              <w:tab w:val="clear" w:pos="7892"/>
              <w:tab w:val="right" w:pos="9026" w:leader="dot"/>
            </w:tabs>
            <w:rPr/>
          </w:pPr>
          <w:hyperlink w:anchor="__RefHeading___Toc2902989_3804643083">
            <w:r>
              <w:rPr>
                <w:webHidden/>
                <w:rStyle w:val="IndexLink"/>
                <w:rtl w:val="true"/>
              </w:rPr>
              <w:t>در روايات شطرنج و نرد، لعب مع الرهن مراد است يا مطلق لعب؟</w:t>
            </w:r>
            <w:r>
              <w:rPr>
                <w:rStyle w:val="IndexLink"/>
                <w:rtl w:val="true"/>
              </w:rPr>
              <w:tab/>
            </w:r>
            <w:r>
              <w:rPr>
                <w:rStyle w:val="IndexLink"/>
              </w:rPr>
              <w:t>111</w:t>
            </w:r>
          </w:hyperlink>
        </w:p>
        <w:p>
          <w:pPr>
            <w:pStyle w:val="Contents6"/>
            <w:tabs>
              <w:tab w:val="clear" w:pos="7609"/>
              <w:tab w:val="right" w:pos="9026" w:leader="dot"/>
            </w:tabs>
            <w:rPr/>
          </w:pPr>
          <w:hyperlink w:anchor="__RefHeading___Toc2902991_3804643083">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2902993_3804643083">
            <w:r>
              <w:rPr>
                <w:webHidden/>
                <w:rStyle w:val="IndexLink"/>
                <w:rtl w:val="true"/>
              </w:rPr>
              <w:t>كلمات قدما در مورد لعب به شطرنج</w:t>
            </w:r>
            <w:r>
              <w:rPr>
                <w:rStyle w:val="IndexLink"/>
                <w:rtl w:val="true"/>
              </w:rPr>
              <w:tab/>
            </w:r>
            <w:r>
              <w:rPr>
                <w:rStyle w:val="IndexLink"/>
              </w:rPr>
              <w:t>114</w:t>
            </w:r>
          </w:hyperlink>
        </w:p>
        <w:p>
          <w:pPr>
            <w:pStyle w:val="Contents5"/>
            <w:tabs>
              <w:tab w:val="clear" w:pos="7892"/>
              <w:tab w:val="right" w:pos="9026" w:leader="dot"/>
            </w:tabs>
            <w:rPr/>
          </w:pPr>
          <w:hyperlink w:anchor="__RefHeading___Toc2902995_3804643083">
            <w:r>
              <w:rPr>
                <w:webHidden/>
                <w:rStyle w:val="IndexLink"/>
                <w:rtl w:val="true"/>
              </w:rPr>
              <w:t>مروري ديگر بر روايات براي نتيجه گيري نهايي حكم لعب بدون رهن</w:t>
            </w:r>
            <w:r>
              <w:rPr>
                <w:rStyle w:val="IndexLink"/>
                <w:rtl w:val="true"/>
              </w:rPr>
              <w:tab/>
            </w:r>
            <w:r>
              <w:rPr>
                <w:rStyle w:val="IndexLink"/>
              </w:rPr>
              <w:t>118</w:t>
            </w:r>
          </w:hyperlink>
        </w:p>
        <w:p>
          <w:pPr>
            <w:pStyle w:val="Contents6"/>
            <w:tabs>
              <w:tab w:val="clear" w:pos="7609"/>
              <w:tab w:val="right" w:pos="9026" w:leader="dot"/>
            </w:tabs>
            <w:rPr/>
          </w:pPr>
          <w:hyperlink w:anchor="__RefHeading___Toc2902997_3804643083">
            <w:r>
              <w:rPr>
                <w:webHidden/>
                <w:rStyle w:val="IndexLink"/>
                <w:rtl w:val="true"/>
              </w:rPr>
              <w:t xml:space="preserve">روايات باب </w:t>
            </w:r>
            <w:r>
              <w:rPr>
                <w:rStyle w:val="IndexLink"/>
              </w:rPr>
              <w:t>102</w:t>
            </w:r>
            <w:r>
              <w:rPr>
                <w:rStyle w:val="IndexLink"/>
                <w:rtl w:val="true"/>
              </w:rPr>
              <w:t xml:space="preserve"> </w:t>
            </w:r>
            <w:r>
              <w:rPr>
                <w:rStyle w:val="IndexLink"/>
                <w:rtl w:val="true"/>
              </w:rPr>
              <w:t>از ابواب ما يكتسب به</w:t>
            </w:r>
            <w:r>
              <w:rPr>
                <w:rStyle w:val="IndexLink"/>
                <w:rtl w:val="true"/>
              </w:rPr>
              <w:tab/>
            </w:r>
            <w:r>
              <w:rPr>
                <w:rStyle w:val="IndexLink"/>
              </w:rPr>
              <w:t>118</w:t>
            </w:r>
          </w:hyperlink>
        </w:p>
        <w:p>
          <w:pPr>
            <w:pStyle w:val="Contents6"/>
            <w:tabs>
              <w:tab w:val="clear" w:pos="7609"/>
              <w:tab w:val="right" w:pos="9026" w:leader="dot"/>
            </w:tabs>
            <w:rPr/>
          </w:pPr>
          <w:hyperlink w:anchor="__RefHeading___Toc2902999_3804643083">
            <w:r>
              <w:rPr>
                <w:webHidden/>
                <w:rStyle w:val="IndexLink"/>
                <w:rtl w:val="true"/>
              </w:rPr>
              <w:t xml:space="preserve">روايات باب </w:t>
            </w:r>
            <w:r>
              <w:rPr>
                <w:rStyle w:val="IndexLink"/>
              </w:rPr>
              <w:t>103</w:t>
            </w:r>
            <w:r>
              <w:rPr>
                <w:rStyle w:val="IndexLink"/>
                <w:rtl w:val="true"/>
              </w:rPr>
              <w:t xml:space="preserve"> </w:t>
            </w:r>
            <w:r>
              <w:rPr>
                <w:rStyle w:val="IndexLink"/>
                <w:rtl w:val="true"/>
              </w:rPr>
              <w:t>از ابواب ما يكتسب به</w:t>
            </w:r>
            <w:r>
              <w:rPr>
                <w:rStyle w:val="IndexLink"/>
                <w:rtl w:val="true"/>
              </w:rPr>
              <w:tab/>
            </w:r>
            <w:r>
              <w:rPr>
                <w:rStyle w:val="IndexLink"/>
              </w:rPr>
              <w:t>127</w:t>
            </w:r>
          </w:hyperlink>
        </w:p>
        <w:p>
          <w:pPr>
            <w:pStyle w:val="Contents5"/>
            <w:tabs>
              <w:tab w:val="clear" w:pos="7892"/>
              <w:tab w:val="right" w:pos="9026" w:leader="dot"/>
            </w:tabs>
            <w:rPr/>
          </w:pPr>
          <w:hyperlink w:anchor="__RefHeading___Toc2903001_3804643083">
            <w:r>
              <w:rPr>
                <w:webHidden/>
                <w:rStyle w:val="IndexLink"/>
                <w:rtl w:val="true"/>
              </w:rPr>
              <w:t>بررسي سند صاحب وسائل تا ابن ادريس حلّي</w:t>
            </w:r>
            <w:r>
              <w:rPr>
                <w:rStyle w:val="IndexLink"/>
                <w:rtl w:val="true"/>
              </w:rPr>
              <w:t xml:space="preserve">- </w:t>
            </w:r>
            <w:r>
              <w:rPr>
                <w:rStyle w:val="IndexLink"/>
                <w:rtl w:val="true"/>
              </w:rPr>
              <w:t xml:space="preserve">قدس سرهما </w:t>
            </w:r>
            <w:r>
              <w:rPr>
                <w:rStyle w:val="IndexLink"/>
                <w:rtl w:val="true"/>
              </w:rPr>
              <w:t>-</w:t>
              <w:tab/>
            </w:r>
            <w:r>
              <w:rPr>
                <w:rStyle w:val="IndexLink"/>
              </w:rPr>
              <w:t>132</w:t>
            </w:r>
          </w:hyperlink>
        </w:p>
        <w:p>
          <w:pPr>
            <w:pStyle w:val="Contents5"/>
            <w:tabs>
              <w:tab w:val="clear" w:pos="7892"/>
              <w:tab w:val="right" w:pos="9026" w:leader="dot"/>
            </w:tabs>
            <w:rPr/>
          </w:pPr>
          <w:hyperlink w:anchor="__RefHeading___Toc2903003_3804643083">
            <w:r>
              <w:rPr>
                <w:webHidden/>
                <w:rStyle w:val="IndexLink"/>
                <w:rtl w:val="true"/>
              </w:rPr>
              <w:t>بررسي سند ابن ادريس به جامع بزنطي</w:t>
            </w:r>
            <w:r>
              <w:rPr>
                <w:rStyle w:val="IndexLink"/>
                <w:rtl w:val="true"/>
              </w:rPr>
              <w:tab/>
            </w:r>
            <w:r>
              <w:rPr>
                <w:rStyle w:val="IndexLink"/>
              </w:rPr>
              <w:t>139</w:t>
            </w:r>
          </w:hyperlink>
        </w:p>
        <w:p>
          <w:pPr>
            <w:pStyle w:val="Contents5"/>
            <w:tabs>
              <w:tab w:val="clear" w:pos="7892"/>
              <w:tab w:val="right" w:pos="9026" w:leader="dot"/>
            </w:tabs>
            <w:rPr/>
          </w:pPr>
          <w:hyperlink w:anchor="__RefHeading___Toc2903005_3804643083">
            <w:r>
              <w:rPr>
                <w:webHidden/>
                <w:rStyle w:val="IndexLink"/>
                <w:rtl w:val="true"/>
              </w:rPr>
              <w:t>نتيجه‌ي كلام در خصوص حكم لعب شطرنج بدون رهن</w:t>
            </w:r>
            <w:r>
              <w:rPr>
                <w:rStyle w:val="IndexLink"/>
                <w:rtl w:val="true"/>
              </w:rPr>
              <w:tab/>
            </w:r>
            <w:r>
              <w:rPr>
                <w:rStyle w:val="IndexLink"/>
              </w:rPr>
              <w:t>143</w:t>
            </w:r>
          </w:hyperlink>
        </w:p>
        <w:p>
          <w:pPr>
            <w:pStyle w:val="Contents5"/>
            <w:tabs>
              <w:tab w:val="clear" w:pos="7892"/>
              <w:tab w:val="right" w:pos="9026" w:leader="dot"/>
            </w:tabs>
            <w:rPr/>
          </w:pPr>
          <w:hyperlink w:anchor="__RefHeading___Toc2903007_3804643083">
            <w:r>
              <w:rPr>
                <w:webHidden/>
                <w:rStyle w:val="IndexLink"/>
                <w:rtl w:val="true"/>
              </w:rPr>
              <w:t>حكم لعب به ساير آلات قمار بدون رهن</w:t>
            </w:r>
            <w:r>
              <w:rPr>
                <w:rStyle w:val="IndexLink"/>
                <w:rtl w:val="true"/>
              </w:rPr>
              <w:tab/>
            </w:r>
            <w:r>
              <w:rPr>
                <w:rStyle w:val="IndexLink"/>
              </w:rPr>
              <w:t>143</w:t>
            </w:r>
          </w:hyperlink>
        </w:p>
        <w:p>
          <w:pPr>
            <w:pStyle w:val="Contents5"/>
            <w:tabs>
              <w:tab w:val="clear" w:pos="7892"/>
              <w:tab w:val="right" w:pos="9026" w:leader="dot"/>
            </w:tabs>
            <w:rPr/>
          </w:pPr>
          <w:hyperlink w:anchor="__RefHeading___Toc2903009_3804643083">
            <w:r>
              <w:rPr>
                <w:webHidden/>
                <w:rStyle w:val="IndexLink"/>
                <w:rtl w:val="true"/>
              </w:rPr>
              <w:t>آيا حكم مذكور شطرنج را مي‌توان به ساير آلات قمار تسرّي داد؟</w:t>
            </w:r>
            <w:r>
              <w:rPr>
                <w:rStyle w:val="IndexLink"/>
                <w:rtl w:val="true"/>
              </w:rPr>
              <w:tab/>
            </w:r>
            <w:r>
              <w:rPr>
                <w:rStyle w:val="IndexLink"/>
              </w:rPr>
              <w:t>143</w:t>
            </w:r>
          </w:hyperlink>
        </w:p>
        <w:p>
          <w:pPr>
            <w:pStyle w:val="Contents6"/>
            <w:tabs>
              <w:tab w:val="clear" w:pos="7609"/>
              <w:tab w:val="right" w:pos="9026" w:leader="dot"/>
            </w:tabs>
            <w:rPr/>
          </w:pPr>
          <w:hyperlink w:anchor="__RefHeading___Toc2903011_3804643083">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2903013_3804643083">
            <w:r>
              <w:rPr>
                <w:webHidden/>
                <w:rStyle w:val="IndexLink"/>
                <w:rtl w:val="true"/>
              </w:rPr>
              <w:t xml:space="preserve">آيا امكان خروج شطرنج، نرد و </w:t>
            </w:r>
            <w:r>
              <w:rPr>
                <w:rStyle w:val="IndexLink"/>
                <w:rtl w:val="true"/>
              </w:rPr>
              <w:t xml:space="preserve">... </w:t>
            </w:r>
            <w:r>
              <w:rPr>
                <w:rStyle w:val="IndexLink"/>
                <w:rtl w:val="true"/>
              </w:rPr>
              <w:t>از آلات قمار وجود دارد تا لعب به آن بدون رهن جايز باشد؟</w:t>
            </w:r>
            <w:r>
              <w:rPr>
                <w:rStyle w:val="IndexLink"/>
                <w:rtl w:val="true"/>
              </w:rPr>
              <w:tab/>
            </w:r>
            <w:r>
              <w:rPr>
                <w:rStyle w:val="IndexLink"/>
              </w:rPr>
              <w:t>145</w:t>
            </w:r>
          </w:hyperlink>
        </w:p>
        <w:p>
          <w:pPr>
            <w:pStyle w:val="Contents4"/>
            <w:tabs>
              <w:tab w:val="clear" w:pos="8176"/>
              <w:tab w:val="right" w:pos="9026" w:leader="dot"/>
            </w:tabs>
            <w:rPr/>
          </w:pPr>
          <w:hyperlink w:anchor="__RefHeading___Toc2903015_3804643083">
            <w:r>
              <w:rPr>
                <w:webHidden/>
                <w:rStyle w:val="IndexLink"/>
                <w:rtl w:val="true"/>
              </w:rPr>
              <w:t>قسم سوم</w:t>
            </w:r>
            <w:r>
              <w:rPr>
                <w:rStyle w:val="IndexLink"/>
                <w:rtl w:val="true"/>
              </w:rPr>
              <w:t xml:space="preserve">: </w:t>
            </w:r>
            <w:r>
              <w:rPr>
                <w:rStyle w:val="IndexLink"/>
                <w:rtl w:val="true"/>
              </w:rPr>
              <w:t>لعب به غير آلات قمار با رهن</w:t>
            </w:r>
            <w:r>
              <w:rPr>
                <w:rStyle w:val="IndexLink"/>
                <w:rtl w:val="true"/>
              </w:rPr>
              <w:tab/>
            </w:r>
            <w:r>
              <w:rPr>
                <w:rStyle w:val="IndexLink"/>
              </w:rPr>
              <w:t>146</w:t>
            </w:r>
          </w:hyperlink>
        </w:p>
        <w:p>
          <w:pPr>
            <w:pStyle w:val="Contents5"/>
            <w:tabs>
              <w:tab w:val="clear" w:pos="7892"/>
              <w:tab w:val="right" w:pos="9026" w:leader="dot"/>
            </w:tabs>
            <w:rPr/>
          </w:pPr>
          <w:hyperlink w:anchor="__RefHeading___Toc2903017_3804643083">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2903019_3804643083">
            <w:r>
              <w:rPr>
                <w:webHidden/>
                <w:rStyle w:val="IndexLink"/>
                <w:rtl w:val="true"/>
              </w:rPr>
              <w:t>ادلّه‌ي حرمت قسم سوم</w:t>
            </w:r>
            <w:r>
              <w:rPr>
                <w:rStyle w:val="IndexLink"/>
                <w:rtl w:val="true"/>
              </w:rPr>
              <w:tab/>
            </w:r>
            <w:r>
              <w:rPr>
                <w:rStyle w:val="IndexLink"/>
              </w:rPr>
              <w:t>147</w:t>
            </w:r>
          </w:hyperlink>
        </w:p>
        <w:p>
          <w:pPr>
            <w:pStyle w:val="Contents6"/>
            <w:tabs>
              <w:tab w:val="clear" w:pos="7609"/>
              <w:tab w:val="right" w:pos="9026" w:leader="dot"/>
            </w:tabs>
            <w:rPr/>
          </w:pPr>
          <w:hyperlink w:anchor="__RefHeading___Toc2903021_3804643083">
            <w:r>
              <w:rPr>
                <w:webHidden/>
                <w:rStyle w:val="IndexLink"/>
                <w:rtl w:val="true"/>
              </w:rPr>
              <w:t>ـ روايت العلاء بن سَيابة</w:t>
            </w:r>
            <w:r>
              <w:rPr>
                <w:rStyle w:val="IndexLink"/>
                <w:rtl w:val="true"/>
              </w:rPr>
              <w:t>:</w:t>
              <w:tab/>
            </w:r>
            <w:r>
              <w:rPr>
                <w:rStyle w:val="IndexLink"/>
              </w:rPr>
              <w:t>147</w:t>
            </w:r>
          </w:hyperlink>
        </w:p>
        <w:p>
          <w:pPr>
            <w:pStyle w:val="Contents6"/>
            <w:tabs>
              <w:tab w:val="clear" w:pos="7609"/>
              <w:tab w:val="right" w:pos="9026" w:leader="dot"/>
            </w:tabs>
            <w:rPr/>
          </w:pPr>
          <w:hyperlink w:anchor="__RefHeading___Toc2903023_3804643083">
            <w:r>
              <w:rPr>
                <w:webHidden/>
                <w:rStyle w:val="IndexLink"/>
                <w:rtl w:val="true"/>
              </w:rPr>
              <w:t>ـ روايت ديگري از العلاء بن سَيابة</w:t>
            </w:r>
            <w:r>
              <w:rPr>
                <w:rStyle w:val="IndexLink"/>
                <w:rtl w:val="true"/>
              </w:rPr>
              <w:t>:</w:t>
              <w:tab/>
            </w:r>
            <w:r>
              <w:rPr>
                <w:rStyle w:val="IndexLink"/>
              </w:rPr>
              <w:t>150</w:t>
            </w:r>
          </w:hyperlink>
        </w:p>
        <w:p>
          <w:pPr>
            <w:pStyle w:val="Contents6"/>
            <w:tabs>
              <w:tab w:val="clear" w:pos="7609"/>
              <w:tab w:val="right" w:pos="9026" w:leader="dot"/>
            </w:tabs>
            <w:rPr/>
          </w:pPr>
          <w:hyperlink w:anchor="__RefHeading___Toc2903025_3804643083">
            <w:r>
              <w:rPr>
                <w:webHidden/>
                <w:rStyle w:val="IndexLink"/>
                <w:rtl w:val="true"/>
              </w:rPr>
              <w:t>ـ روايت ياسر الخادم</w:t>
            </w:r>
            <w:r>
              <w:rPr>
                <w:rStyle w:val="IndexLink"/>
                <w:rtl w:val="true"/>
              </w:rPr>
              <w:t>:</w:t>
              <w:tab/>
            </w:r>
            <w:r>
              <w:rPr>
                <w:rStyle w:val="IndexLink"/>
              </w:rPr>
              <w:t>151</w:t>
            </w:r>
          </w:hyperlink>
        </w:p>
        <w:p>
          <w:pPr>
            <w:pStyle w:val="Contents6"/>
            <w:tabs>
              <w:tab w:val="clear" w:pos="7609"/>
              <w:tab w:val="right" w:pos="9026" w:leader="dot"/>
            </w:tabs>
            <w:rPr/>
          </w:pPr>
          <w:hyperlink w:anchor="__RefHeading___Toc2903027_3804643083">
            <w:r>
              <w:rPr>
                <w:webHidden/>
                <w:rStyle w:val="IndexLink"/>
                <w:rtl w:val="true"/>
              </w:rPr>
              <w:t>ـ صحيحه‌ي مُعمَّر بن خَلَّاد</w:t>
            </w:r>
            <w:r>
              <w:rPr>
                <w:rStyle w:val="IndexLink"/>
                <w:rtl w:val="true"/>
              </w:rPr>
              <w:t>:</w:t>
              <w:tab/>
            </w:r>
            <w:r>
              <w:rPr>
                <w:rStyle w:val="IndexLink"/>
              </w:rPr>
              <w:t>152</w:t>
            </w:r>
          </w:hyperlink>
        </w:p>
        <w:p>
          <w:pPr>
            <w:pStyle w:val="Contents6"/>
            <w:tabs>
              <w:tab w:val="clear" w:pos="7609"/>
              <w:tab w:val="right" w:pos="9026" w:leader="dot"/>
            </w:tabs>
            <w:rPr/>
          </w:pPr>
          <w:hyperlink w:anchor="__RefHeading___Toc2903029_3804643083">
            <w:r>
              <w:rPr>
                <w:webHidden/>
                <w:rStyle w:val="IndexLink"/>
                <w:rtl w:val="true"/>
              </w:rPr>
              <w:t xml:space="preserve">ـ مكاتبه‌ي ابراهيم بن عَنبسة </w:t>
            </w:r>
            <w:r>
              <w:rPr>
                <w:rStyle w:val="IndexLink"/>
                <w:rtl w:val="true"/>
              </w:rPr>
              <w:t>:</w:t>
              <w:tab/>
            </w:r>
            <w:r>
              <w:rPr>
                <w:rStyle w:val="IndexLink"/>
              </w:rPr>
              <w:t>153</w:t>
            </w:r>
          </w:hyperlink>
        </w:p>
        <w:p>
          <w:pPr>
            <w:pStyle w:val="Contents5"/>
            <w:tabs>
              <w:tab w:val="clear" w:pos="7892"/>
              <w:tab w:val="right" w:pos="9026" w:leader="dot"/>
            </w:tabs>
            <w:rPr/>
          </w:pPr>
          <w:hyperlink w:anchor="__RefHeading___Toc2903031_3804643083">
            <w:r>
              <w:rPr>
                <w:webHidden/>
                <w:rStyle w:val="IndexLink"/>
                <w:rtl w:val="true"/>
              </w:rPr>
              <w:t>كلام صاحب جواهر</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عدم حرمت مراهنه در لعب به غير آلات قمار</w:t>
            </w:r>
            <w:r>
              <w:rPr>
                <w:rStyle w:val="IndexLink"/>
                <w:rtl w:val="true"/>
              </w:rPr>
              <w:tab/>
            </w:r>
            <w:r>
              <w:rPr>
                <w:rStyle w:val="IndexLink"/>
              </w:rPr>
              <w:t>155</w:t>
            </w:r>
          </w:hyperlink>
        </w:p>
        <w:p>
          <w:pPr>
            <w:pStyle w:val="Contents6"/>
            <w:tabs>
              <w:tab w:val="clear" w:pos="7609"/>
              <w:tab w:val="right" w:pos="9026" w:leader="dot"/>
            </w:tabs>
            <w:rPr/>
          </w:pPr>
          <w:hyperlink w:anchor="__RefHeading___Toc2903033_3804643083">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2903035_3804643083">
            <w:r>
              <w:rPr>
                <w:webHidden/>
                <w:rStyle w:val="IndexLink"/>
                <w:rtl w:val="true"/>
              </w:rPr>
              <w:t>اشكال شيخ انصاري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كلام صاحب جواهر</w:t>
            </w:r>
            <w:r>
              <w:rPr>
                <w:rStyle w:val="IndexLink"/>
                <w:rtl w:val="true"/>
              </w:rPr>
              <w:t xml:space="preserve">- </w:t>
            </w:r>
            <w:r>
              <w:rPr>
                <w:rStyle w:val="IndexLink"/>
                <w:rtl w:val="true"/>
              </w:rPr>
              <w:t xml:space="preserve">قدس سره </w:t>
            </w:r>
            <w:r>
              <w:rPr>
                <w:rStyle w:val="IndexLink"/>
                <w:rtl w:val="true"/>
              </w:rPr>
              <w:t>-</w:t>
              <w:tab/>
            </w:r>
            <w:r>
              <w:rPr>
                <w:rStyle w:val="IndexLink"/>
              </w:rPr>
              <w:t>158</w:t>
            </w:r>
          </w:hyperlink>
        </w:p>
        <w:p>
          <w:pPr>
            <w:pStyle w:val="Contents6"/>
            <w:tabs>
              <w:tab w:val="clear" w:pos="7609"/>
              <w:tab w:val="right" w:pos="9026" w:leader="dot"/>
            </w:tabs>
            <w:rPr/>
          </w:pPr>
          <w:hyperlink w:anchor="__RefHeading___Toc2903037_3804643083">
            <w:r>
              <w:rPr>
                <w:webHidden/>
                <w:rStyle w:val="IndexLink"/>
                <w:rtl w:val="true"/>
              </w:rPr>
              <w:t>استفاده‌ي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از صحيحه‌ي محمد بن قيس، هم به نفع صاحب جواهر و هم عليه ايشان</w:t>
            </w:r>
            <w:r>
              <w:rPr>
                <w:rStyle w:val="IndexLink"/>
                <w:rtl w:val="true"/>
              </w:rPr>
              <w:tab/>
            </w:r>
            <w:r>
              <w:rPr>
                <w:rStyle w:val="IndexLink"/>
              </w:rPr>
              <w:t>164</w:t>
            </w:r>
          </w:hyperlink>
        </w:p>
        <w:p>
          <w:pPr>
            <w:pStyle w:val="Contents5"/>
            <w:tabs>
              <w:tab w:val="clear" w:pos="7892"/>
              <w:tab w:val="right" w:pos="9026" w:leader="dot"/>
            </w:tabs>
            <w:rPr/>
          </w:pPr>
          <w:hyperlink w:anchor="__RefHeading___Toc2903039_3804643083">
            <w:r>
              <w:rPr>
                <w:webHidden/>
                <w:rStyle w:val="IndexLink"/>
                <w:rtl w:val="true"/>
              </w:rPr>
              <w:t>تأملي بر فرمايشات صاحب جواهر</w:t>
            </w:r>
            <w:r>
              <w:rPr>
                <w:rStyle w:val="IndexLink"/>
                <w:rtl w:val="true"/>
              </w:rPr>
              <w:t xml:space="preserve">- </w:t>
            </w:r>
            <w:r>
              <w:rPr>
                <w:rStyle w:val="IndexLink"/>
                <w:rtl w:val="true"/>
              </w:rPr>
              <w:t xml:space="preserve">قدس سره </w:t>
            </w:r>
            <w:r>
              <w:rPr>
                <w:rStyle w:val="IndexLink"/>
                <w:rtl w:val="true"/>
              </w:rPr>
              <w:t>-</w:t>
              <w:tab/>
            </w:r>
            <w:r>
              <w:rPr>
                <w:rStyle w:val="IndexLink"/>
              </w:rPr>
              <w:t>166</w:t>
            </w:r>
          </w:hyperlink>
        </w:p>
        <w:p>
          <w:pPr>
            <w:pStyle w:val="Contents6"/>
            <w:tabs>
              <w:tab w:val="clear" w:pos="7609"/>
              <w:tab w:val="right" w:pos="9026" w:leader="dot"/>
            </w:tabs>
            <w:rPr/>
          </w:pPr>
          <w:hyperlink w:anchor="__RefHeading___Toc2903041_3804643083">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2903043_3804643083">
            <w:r>
              <w:rPr>
                <w:webHidden/>
                <w:rStyle w:val="IndexLink"/>
                <w:rtl w:val="true"/>
              </w:rPr>
              <w:t>نقضي ديگر بر كلام صاحب جواهر</w:t>
            </w:r>
            <w:r>
              <w:rPr>
                <w:rStyle w:val="IndexLink"/>
                <w:rtl w:val="true"/>
              </w:rPr>
              <w:t xml:space="preserve">- </w:t>
            </w:r>
            <w:r>
              <w:rPr>
                <w:rStyle w:val="IndexLink"/>
                <w:rtl w:val="true"/>
              </w:rPr>
              <w:t xml:space="preserve">قدس سره </w:t>
            </w:r>
            <w:r>
              <w:rPr>
                <w:rStyle w:val="IndexLink"/>
                <w:rtl w:val="true"/>
              </w:rPr>
              <w:t>-</w:t>
              <w:tab/>
            </w:r>
            <w:r>
              <w:rPr>
                <w:rStyle w:val="IndexLink"/>
              </w:rPr>
              <w:t>168</w:t>
            </w:r>
          </w:hyperlink>
        </w:p>
        <w:p>
          <w:pPr>
            <w:pStyle w:val="Contents6"/>
            <w:tabs>
              <w:tab w:val="clear" w:pos="7609"/>
              <w:tab w:val="right" w:pos="9026" w:leader="dot"/>
            </w:tabs>
            <w:rPr/>
          </w:pPr>
          <w:hyperlink w:anchor="__RefHeading___Toc2903045_3804643083">
            <w:r>
              <w:rPr>
                <w:webHidden/>
                <w:rStyle w:val="IndexLink"/>
                <w:rtl w:val="true"/>
              </w:rPr>
              <w:t>نقد سيد خويي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استدلال به صحيحه‌ي محمد بن قيس به نفع صاحب جواهر</w:t>
            </w:r>
            <w:r>
              <w:rPr>
                <w:rStyle w:val="IndexLink"/>
                <w:rtl w:val="true"/>
              </w:rPr>
              <w:t xml:space="preserve">- </w:t>
            </w:r>
            <w:r>
              <w:rPr>
                <w:rStyle w:val="IndexLink"/>
                <w:rtl w:val="true"/>
              </w:rPr>
              <w:t xml:space="preserve">قدس سره </w:t>
            </w:r>
            <w:r>
              <w:rPr>
                <w:rStyle w:val="IndexLink"/>
                <w:rtl w:val="true"/>
              </w:rPr>
              <w:t>-</w:t>
              <w:tab/>
            </w:r>
            <w:r>
              <w:rPr>
                <w:rStyle w:val="IndexLink"/>
              </w:rPr>
              <w:t>169</w:t>
            </w:r>
          </w:hyperlink>
        </w:p>
        <w:p>
          <w:pPr>
            <w:pStyle w:val="Contents6"/>
            <w:tabs>
              <w:tab w:val="clear" w:pos="7609"/>
              <w:tab w:val="right" w:pos="9026" w:leader="dot"/>
            </w:tabs>
            <w:rPr/>
          </w:pPr>
          <w:hyperlink w:anchor="__RefHeading___Toc2903047_3804643083">
            <w:r>
              <w:rPr>
                <w:webHidden/>
                <w:rStyle w:val="IndexLink"/>
                <w:rtl w:val="true"/>
              </w:rPr>
              <w:t>نقد كلام سيد خويي</w:t>
            </w:r>
            <w:r>
              <w:rPr>
                <w:rStyle w:val="IndexLink"/>
                <w:rtl w:val="true"/>
              </w:rPr>
              <w:t xml:space="preserve">- </w:t>
            </w:r>
            <w:r>
              <w:rPr>
                <w:rStyle w:val="IndexLink"/>
                <w:rtl w:val="true"/>
              </w:rPr>
              <w:t xml:space="preserve">قدس سره </w:t>
            </w:r>
            <w:r>
              <w:rPr>
                <w:rStyle w:val="IndexLink"/>
                <w:rtl w:val="true"/>
              </w:rPr>
              <w:t>-</w:t>
              <w:tab/>
            </w:r>
            <w:r>
              <w:rPr>
                <w:rStyle w:val="IndexLink"/>
              </w:rPr>
              <w:t>171</w:t>
            </w:r>
          </w:hyperlink>
        </w:p>
        <w:p>
          <w:pPr>
            <w:pStyle w:val="Contents5"/>
            <w:tabs>
              <w:tab w:val="clear" w:pos="7892"/>
              <w:tab w:val="right" w:pos="9026" w:leader="dot"/>
            </w:tabs>
            <w:rPr/>
          </w:pPr>
          <w:hyperlink w:anchor="__RefHeading___Toc2903049_3804643083">
            <w:r>
              <w:rPr>
                <w:webHidden/>
                <w:rStyle w:val="IndexLink"/>
                <w:rtl w:val="true"/>
              </w:rPr>
              <w:t>خلاصه‌ي مناقشه در كلام سيد خويي</w:t>
            </w:r>
            <w:r>
              <w:rPr>
                <w:rStyle w:val="IndexLink"/>
                <w:rtl w:val="true"/>
              </w:rPr>
              <w:t xml:space="preserve">- </w:t>
            </w:r>
            <w:r>
              <w:rPr>
                <w:rStyle w:val="IndexLink"/>
                <w:rtl w:val="true"/>
              </w:rPr>
              <w:t xml:space="preserve">قدس سره </w:t>
            </w:r>
            <w:r>
              <w:rPr>
                <w:rStyle w:val="IndexLink"/>
                <w:rtl w:val="true"/>
              </w:rPr>
              <w:t>-</w:t>
              <w:tab/>
            </w:r>
            <w:r>
              <w:rPr>
                <w:rStyle w:val="IndexLink"/>
              </w:rPr>
              <w:t>175</w:t>
            </w:r>
          </w:hyperlink>
        </w:p>
        <w:p>
          <w:pPr>
            <w:pStyle w:val="Contents6"/>
            <w:tabs>
              <w:tab w:val="clear" w:pos="7609"/>
              <w:tab w:val="right" w:pos="9026" w:leader="dot"/>
            </w:tabs>
            <w:rPr/>
          </w:pPr>
          <w:hyperlink w:anchor="__RefHeading___Toc2903051_3804643083">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2903053_3804643083">
            <w:r>
              <w:rPr>
                <w:webHidden/>
                <w:rStyle w:val="IndexLink"/>
                <w:rtl w:val="true"/>
              </w:rPr>
              <w:t>كلام مرحوم امام</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درباره‌ي صحيحه‌ي محمد بن قيس</w:t>
            </w:r>
            <w:r>
              <w:rPr>
                <w:rStyle w:val="IndexLink"/>
                <w:rtl w:val="true"/>
              </w:rPr>
              <w:tab/>
            </w:r>
            <w:r>
              <w:rPr>
                <w:rStyle w:val="IndexLink"/>
              </w:rPr>
              <w:t>176</w:t>
            </w:r>
          </w:hyperlink>
        </w:p>
        <w:p>
          <w:pPr>
            <w:pStyle w:val="Contents6"/>
            <w:tabs>
              <w:tab w:val="clear" w:pos="7609"/>
              <w:tab w:val="right" w:pos="9026" w:leader="dot"/>
            </w:tabs>
            <w:rPr/>
          </w:pPr>
          <w:hyperlink w:anchor="__RefHeading___Toc2903055_3804643083">
            <w:r>
              <w:rPr>
                <w:webHidden/>
                <w:rStyle w:val="IndexLink"/>
                <w:rtl w:val="true"/>
              </w:rPr>
              <w:t>نقد كلام مرحوم امام</w:t>
            </w:r>
            <w:r>
              <w:rPr>
                <w:rStyle w:val="IndexLink"/>
                <w:rtl w:val="true"/>
              </w:rPr>
              <w:t xml:space="preserve">- </w:t>
            </w:r>
            <w:r>
              <w:rPr>
                <w:rStyle w:val="IndexLink"/>
                <w:rtl w:val="true"/>
              </w:rPr>
              <w:t xml:space="preserve">قدس سره </w:t>
            </w:r>
            <w:r>
              <w:rPr>
                <w:rStyle w:val="IndexLink"/>
                <w:rtl w:val="true"/>
              </w:rPr>
              <w:t>-</w:t>
              <w:tab/>
            </w:r>
            <w:r>
              <w:rPr>
                <w:rStyle w:val="IndexLink"/>
              </w:rPr>
              <w:t>178</w:t>
            </w:r>
          </w:hyperlink>
        </w:p>
        <w:p>
          <w:pPr>
            <w:pStyle w:val="Contents5"/>
            <w:tabs>
              <w:tab w:val="clear" w:pos="7892"/>
              <w:tab w:val="right" w:pos="9026" w:leader="dot"/>
            </w:tabs>
            <w:rPr/>
          </w:pPr>
          <w:hyperlink w:anchor="__RefHeading___Toc2903057_3804643083">
            <w:r>
              <w:rPr>
                <w:webHidden/>
                <w:rStyle w:val="IndexLink"/>
                <w:rtl w:val="true"/>
              </w:rPr>
              <w:t>تأمّلي ديگر در صحيحه‌ي معمّر بن خلاد براي اثبات حرمت تكليفي مراهنه بر لعب به غير آلات قمار</w:t>
            </w:r>
            <w:r>
              <w:rPr>
                <w:rStyle w:val="IndexLink"/>
                <w:rtl w:val="true"/>
              </w:rPr>
              <w:tab/>
            </w:r>
            <w:r>
              <w:rPr>
                <w:rStyle w:val="IndexLink"/>
              </w:rPr>
              <w:t>178</w:t>
            </w:r>
          </w:hyperlink>
        </w:p>
        <w:p>
          <w:pPr>
            <w:pStyle w:val="Contents5"/>
            <w:tabs>
              <w:tab w:val="clear" w:pos="7892"/>
              <w:tab w:val="right" w:pos="9026" w:leader="dot"/>
            </w:tabs>
            <w:rPr/>
          </w:pPr>
          <w:hyperlink w:anchor="__RefHeading___Toc2903059_3804643083">
            <w:r>
              <w:rPr>
                <w:webHidden/>
                <w:rStyle w:val="IndexLink"/>
                <w:rtl w:val="true"/>
              </w:rPr>
              <w:t>حرمت وضعي مراهنه‌ي در لعب به غير آلات قمار</w:t>
            </w:r>
            <w:r>
              <w:rPr>
                <w:rStyle w:val="IndexLink"/>
                <w:rtl w:val="true"/>
              </w:rPr>
              <w:tab/>
            </w:r>
            <w:r>
              <w:rPr>
                <w:rStyle w:val="IndexLink"/>
              </w:rPr>
              <w:t>181</w:t>
            </w:r>
          </w:hyperlink>
        </w:p>
        <w:p>
          <w:pPr>
            <w:pStyle w:val="Contents6"/>
            <w:tabs>
              <w:tab w:val="clear" w:pos="7609"/>
              <w:tab w:val="right" w:pos="9026" w:leader="dot"/>
            </w:tabs>
            <w:rPr/>
          </w:pPr>
          <w:hyperlink w:anchor="__RefHeading___Toc2903061_3804643083">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2903063_3804643083">
            <w:r>
              <w:rPr>
                <w:webHidden/>
                <w:rStyle w:val="IndexLink"/>
                <w:rtl w:val="true"/>
              </w:rPr>
              <w:t>عدم حرمت مراهنه در لعبي كه قمار بر آن صدق نمي‌كند</w:t>
            </w:r>
            <w:r>
              <w:rPr>
                <w:rStyle w:val="IndexLink"/>
                <w:rtl w:val="true"/>
              </w:rPr>
              <w:tab/>
            </w:r>
            <w:r>
              <w:rPr>
                <w:rStyle w:val="IndexLink"/>
              </w:rPr>
              <w:t>182</w:t>
            </w:r>
          </w:hyperlink>
        </w:p>
        <w:p>
          <w:pPr>
            <w:pStyle w:val="Contents5"/>
            <w:tabs>
              <w:tab w:val="clear" w:pos="7892"/>
              <w:tab w:val="right" w:pos="9026" w:leader="dot"/>
            </w:tabs>
            <w:rPr/>
          </w:pPr>
          <w:hyperlink w:anchor="__RefHeading___Toc2903065_3804643083">
            <w:r>
              <w:rPr>
                <w:webHidden/>
                <w:rStyle w:val="IndexLink"/>
                <w:rtl w:val="true"/>
              </w:rPr>
              <w:t>كلام نهايي در مورد صحيحه‌ي محمد بن قيس</w:t>
            </w:r>
            <w:r>
              <w:rPr>
                <w:rStyle w:val="IndexLink"/>
                <w:rtl w:val="true"/>
              </w:rPr>
              <w:tab/>
            </w:r>
            <w:r>
              <w:rPr>
                <w:rStyle w:val="IndexLink"/>
              </w:rPr>
              <w:t>185</w:t>
            </w:r>
          </w:hyperlink>
        </w:p>
        <w:p>
          <w:pPr>
            <w:pStyle w:val="Contents5"/>
            <w:tabs>
              <w:tab w:val="clear" w:pos="7892"/>
              <w:tab w:val="right" w:pos="9026" w:leader="dot"/>
            </w:tabs>
            <w:rPr/>
          </w:pPr>
          <w:hyperlink w:anchor="__RefHeading___Toc2903067_3804643083">
            <w:r>
              <w:rPr>
                <w:webHidden/>
                <w:rStyle w:val="IndexLink"/>
                <w:rtl w:val="true"/>
              </w:rPr>
              <w:t xml:space="preserve">خلاصه‌ي نظر مختار در مورد حكم لعب در سه فرض سابق </w:t>
            </w:r>
            <w:r>
              <w:rPr>
                <w:rStyle w:val="IndexLink"/>
                <w:rtl w:val="true"/>
              </w:rPr>
              <w:t>(</w:t>
            </w:r>
            <w:r>
              <w:rPr>
                <w:rStyle w:val="IndexLink"/>
                <w:rtl w:val="true"/>
              </w:rPr>
              <w:t>الف، ب و ج</w:t>
            </w:r>
            <w:r>
              <w:rPr>
                <w:rStyle w:val="IndexLink"/>
                <w:rtl w:val="true"/>
              </w:rPr>
              <w:t>)</w:t>
              <w:tab/>
            </w:r>
            <w:r>
              <w:rPr>
                <w:rStyle w:val="IndexLink"/>
              </w:rPr>
              <w:t>187</w:t>
            </w:r>
          </w:hyperlink>
        </w:p>
        <w:p>
          <w:pPr>
            <w:pStyle w:val="Contents4"/>
            <w:tabs>
              <w:tab w:val="clear" w:pos="8176"/>
              <w:tab w:val="right" w:pos="9026" w:leader="dot"/>
            </w:tabs>
            <w:rPr/>
          </w:pPr>
          <w:hyperlink w:anchor="__RefHeading___Toc2903069_3804643083">
            <w:r>
              <w:rPr>
                <w:webHidden/>
                <w:rStyle w:val="IndexLink"/>
                <w:rtl w:val="true"/>
              </w:rPr>
              <w:t>قسم چهارم</w:t>
            </w:r>
            <w:r>
              <w:rPr>
                <w:rStyle w:val="IndexLink"/>
                <w:rtl w:val="true"/>
              </w:rPr>
              <w:t xml:space="preserve">: </w:t>
            </w:r>
            <w:r>
              <w:rPr>
                <w:rStyle w:val="IndexLink"/>
                <w:rtl w:val="true"/>
              </w:rPr>
              <w:t>مغالبه‌ي به غير آلات قمار بدون رهن</w:t>
            </w:r>
            <w:r>
              <w:rPr>
                <w:rStyle w:val="IndexLink"/>
                <w:rtl w:val="true"/>
              </w:rPr>
              <w:tab/>
            </w:r>
            <w:r>
              <w:rPr>
                <w:rStyle w:val="IndexLink"/>
              </w:rPr>
              <w:t>188</w:t>
            </w:r>
          </w:hyperlink>
        </w:p>
        <w:p>
          <w:pPr>
            <w:pStyle w:val="Contents5"/>
            <w:tabs>
              <w:tab w:val="clear" w:pos="7892"/>
              <w:tab w:val="right" w:pos="9026" w:leader="dot"/>
            </w:tabs>
            <w:rPr/>
          </w:pPr>
          <w:hyperlink w:anchor="__RefHeading___Toc2903071_3804643083">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2903073_3804643083">
            <w:r>
              <w:rPr>
                <w:webHidden/>
                <w:rStyle w:val="IndexLink"/>
                <w:rtl w:val="true"/>
              </w:rPr>
              <w:t>ادلّه‌ي حرمت قسم چهارم و مناقشه در آن</w:t>
            </w:r>
            <w:r>
              <w:rPr>
                <w:rStyle w:val="IndexLink"/>
                <w:rtl w:val="true"/>
              </w:rPr>
              <w:tab/>
            </w:r>
            <w:r>
              <w:rPr>
                <w:rStyle w:val="IndexLink"/>
              </w:rPr>
              <w:t>190</w:t>
            </w:r>
          </w:hyperlink>
        </w:p>
        <w:p>
          <w:pPr>
            <w:pStyle w:val="Contents6"/>
            <w:tabs>
              <w:tab w:val="clear" w:pos="7609"/>
              <w:tab w:val="right" w:pos="9026" w:leader="dot"/>
            </w:tabs>
            <w:rPr/>
          </w:pPr>
          <w:hyperlink w:anchor="__RefHeading___Toc2903075_3804643083">
            <w:r>
              <w:rPr>
                <w:webHidden/>
                <w:rStyle w:val="IndexLink"/>
              </w:rPr>
              <w:t>1</w:t>
            </w:r>
            <w:r>
              <w:rPr>
                <w:rStyle w:val="IndexLink"/>
                <w:rtl w:val="true"/>
              </w:rPr>
              <w:t xml:space="preserve">. </w:t>
            </w:r>
            <w:r>
              <w:rPr>
                <w:rStyle w:val="IndexLink"/>
                <w:rtl w:val="true"/>
              </w:rPr>
              <w:t>اجماع</w:t>
            </w:r>
            <w:r>
              <w:rPr>
                <w:rStyle w:val="IndexLink"/>
                <w:rtl w:val="true"/>
              </w:rPr>
              <w:tab/>
            </w:r>
            <w:r>
              <w:rPr>
                <w:rStyle w:val="IndexLink"/>
              </w:rPr>
              <w:t>190</w:t>
            </w:r>
          </w:hyperlink>
        </w:p>
        <w:p>
          <w:pPr>
            <w:pStyle w:val="Contents6"/>
            <w:tabs>
              <w:tab w:val="clear" w:pos="7609"/>
              <w:tab w:val="right" w:pos="9026" w:leader="dot"/>
            </w:tabs>
            <w:rPr/>
          </w:pPr>
          <w:hyperlink w:anchor="__RefHeading___Toc2903077_3804643083">
            <w:r>
              <w:rPr>
                <w:webHidden/>
                <w:rStyle w:val="IndexLink"/>
              </w:rPr>
              <w:t>2</w:t>
            </w:r>
            <w:r>
              <w:rPr>
                <w:rStyle w:val="IndexLink"/>
                <w:rtl w:val="true"/>
              </w:rPr>
              <w:t xml:space="preserve">. </w:t>
            </w:r>
            <w:r>
              <w:rPr>
                <w:rStyle w:val="IndexLink"/>
                <w:rtl w:val="true"/>
              </w:rPr>
              <w:t>صدق عنوان قمار بر آن</w:t>
            </w:r>
            <w:r>
              <w:rPr>
                <w:rStyle w:val="IndexLink"/>
                <w:rtl w:val="true"/>
              </w:rPr>
              <w:tab/>
            </w:r>
            <w:r>
              <w:rPr>
                <w:rStyle w:val="IndexLink"/>
              </w:rPr>
              <w:t>190</w:t>
            </w:r>
          </w:hyperlink>
        </w:p>
        <w:p>
          <w:pPr>
            <w:pStyle w:val="Contents6"/>
            <w:tabs>
              <w:tab w:val="clear" w:pos="7609"/>
              <w:tab w:val="right" w:pos="9026" w:leader="dot"/>
            </w:tabs>
            <w:rPr/>
          </w:pPr>
          <w:hyperlink w:anchor="__RefHeading___Toc2903079_3804643083">
            <w:r>
              <w:rPr>
                <w:webHidden/>
                <w:rStyle w:val="IndexLink"/>
              </w:rPr>
              <w:t>3</w:t>
            </w:r>
            <w:r>
              <w:rPr>
                <w:rStyle w:val="IndexLink"/>
                <w:rtl w:val="true"/>
              </w:rPr>
              <w:t xml:space="preserve">. </w:t>
            </w:r>
            <w:r>
              <w:rPr>
                <w:rStyle w:val="IndexLink"/>
                <w:rtl w:val="true"/>
              </w:rPr>
              <w:t>مصداق لهو</w:t>
            </w:r>
            <w:r>
              <w:rPr>
                <w:rStyle w:val="IndexLink"/>
                <w:rtl w:val="true"/>
              </w:rPr>
              <w:tab/>
            </w:r>
            <w:r>
              <w:rPr>
                <w:rStyle w:val="IndexLink"/>
              </w:rPr>
              <w:t>191</w:t>
            </w:r>
          </w:hyperlink>
        </w:p>
        <w:p>
          <w:pPr>
            <w:pStyle w:val="Contents6"/>
            <w:tabs>
              <w:tab w:val="clear" w:pos="7609"/>
              <w:tab w:val="right" w:pos="9026" w:leader="dot"/>
            </w:tabs>
            <w:rPr/>
          </w:pPr>
          <w:hyperlink w:anchor="__RefHeading___Toc2903081_3804643083">
            <w:r>
              <w:rPr>
                <w:webHidden/>
                <w:rStyle w:val="IndexLink"/>
              </w:rPr>
              <w:t>4</w:t>
            </w:r>
            <w:r>
              <w:rPr>
                <w:rStyle w:val="IndexLink"/>
                <w:rtl w:val="true"/>
              </w:rPr>
              <w:t xml:space="preserve">. </w:t>
            </w:r>
            <w:r>
              <w:rPr>
                <w:rStyle w:val="IndexLink"/>
                <w:rtl w:val="true"/>
              </w:rPr>
              <w:t>روايات مشتمل بر</w:t>
            </w:r>
            <w:r>
              <w:rPr>
                <w:rStyle w:val="IndexLink"/>
                <w:rtl w:val="true"/>
              </w:rPr>
              <w:t>: «</w:t>
            </w:r>
            <w:r>
              <w:rPr>
                <w:rStyle w:val="IndexLink"/>
                <w:rtl w:val="true"/>
              </w:rPr>
              <w:t>لَا سَبَقَ إِلَّا فِي خُفٍّ أَوْ حَافِرٍ أَوْ نَصْلٍ</w:t>
            </w:r>
            <w:r>
              <w:rPr>
                <w:rStyle w:val="IndexLink"/>
                <w:rtl w:val="true"/>
              </w:rPr>
              <w:t>»</w:t>
              <w:tab/>
            </w:r>
            <w:r>
              <w:rPr>
                <w:rStyle w:val="IndexLink"/>
              </w:rPr>
              <w:t>194</w:t>
            </w:r>
          </w:hyperlink>
        </w:p>
        <w:p>
          <w:pPr>
            <w:pStyle w:val="Contents5"/>
            <w:tabs>
              <w:tab w:val="clear" w:pos="7892"/>
              <w:tab w:val="right" w:pos="9026" w:leader="dot"/>
            </w:tabs>
            <w:rPr/>
          </w:pPr>
          <w:hyperlink w:anchor="__RefHeading___Toc2903083_3804643083">
            <w:r>
              <w:rPr>
                <w:webHidden/>
                <w:rStyle w:val="IndexLink"/>
                <w:rtl w:val="true"/>
              </w:rPr>
              <w:t>آيا از صحيحه‌ي ابن البختري مي‌توان استفاده‌ي جواز رهان در ادوات جنگي امروزي كرد؟</w:t>
            </w:r>
            <w:r>
              <w:rPr>
                <w:rStyle w:val="IndexLink"/>
                <w:rtl w:val="true"/>
              </w:rPr>
              <w:tab/>
            </w:r>
            <w:r>
              <w:rPr>
                <w:rStyle w:val="IndexLink"/>
              </w:rPr>
              <w:t>198</w:t>
            </w:r>
          </w:hyperlink>
        </w:p>
        <w:p>
          <w:pPr>
            <w:pStyle w:val="Contents6"/>
            <w:tabs>
              <w:tab w:val="clear" w:pos="7609"/>
              <w:tab w:val="right" w:pos="9026" w:leader="dot"/>
            </w:tabs>
            <w:rPr/>
          </w:pPr>
          <w:hyperlink w:anchor="__RefHeading___Toc2903085_3804643083">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2903087_3804643083">
            <w:r>
              <w:rPr>
                <w:webHidden/>
                <w:rStyle w:val="IndexLink"/>
                <w:rtl w:val="true"/>
              </w:rPr>
              <w:t>مرور روايات كتاب سبق و رمايه براي استنباط ملاك جواز رهن در بعضي مسابقات</w:t>
            </w:r>
            <w:r>
              <w:rPr>
                <w:rStyle w:val="IndexLink"/>
                <w:rtl w:val="true"/>
              </w:rPr>
              <w:tab/>
            </w:r>
            <w:r>
              <w:rPr>
                <w:rStyle w:val="IndexLink"/>
              </w:rPr>
              <w:t>201</w:t>
            </w:r>
          </w:hyperlink>
        </w:p>
        <w:p>
          <w:pPr>
            <w:pStyle w:val="Contents6"/>
            <w:tabs>
              <w:tab w:val="clear" w:pos="7609"/>
              <w:tab w:val="right" w:pos="9026" w:leader="dot"/>
            </w:tabs>
            <w:rPr/>
          </w:pPr>
          <w:hyperlink w:anchor="__RefHeading___Toc2903089_3804643083">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2903091_3804643083">
            <w:r>
              <w:rPr>
                <w:webHidden/>
                <w:rStyle w:val="IndexLink"/>
                <w:rtl w:val="true"/>
              </w:rPr>
              <w:t>ـ روايت غياث بن ابراهيم</w:t>
            </w:r>
            <w:r>
              <w:rPr>
                <w:rStyle w:val="IndexLink"/>
                <w:rtl w:val="true"/>
              </w:rPr>
              <w:t>:</w:t>
              <w:tab/>
            </w:r>
            <w:r>
              <w:rPr>
                <w:rStyle w:val="IndexLink"/>
              </w:rPr>
              <w:t>201</w:t>
            </w:r>
          </w:hyperlink>
        </w:p>
        <w:p>
          <w:pPr>
            <w:pStyle w:val="Contents6"/>
            <w:tabs>
              <w:tab w:val="clear" w:pos="7609"/>
              <w:tab w:val="right" w:pos="9026" w:leader="dot"/>
            </w:tabs>
            <w:rPr/>
          </w:pPr>
          <w:hyperlink w:anchor="__RefHeading___Toc2903093_3804643083">
            <w:r>
              <w:rPr>
                <w:webHidden/>
                <w:rStyle w:val="IndexLink"/>
                <w:rtl w:val="true"/>
              </w:rPr>
              <w:t>ـ روايت طلحةَ بن زَيد</w:t>
            </w:r>
            <w:r>
              <w:rPr>
                <w:rStyle w:val="IndexLink"/>
                <w:rtl w:val="true"/>
              </w:rPr>
              <w:t>:</w:t>
              <w:tab/>
            </w:r>
            <w:r>
              <w:rPr>
                <w:rStyle w:val="IndexLink"/>
              </w:rPr>
              <w:t>202</w:t>
            </w:r>
          </w:hyperlink>
        </w:p>
        <w:p>
          <w:pPr>
            <w:pStyle w:val="Contents6"/>
            <w:tabs>
              <w:tab w:val="clear" w:pos="7609"/>
              <w:tab w:val="right" w:pos="9026" w:leader="dot"/>
            </w:tabs>
            <w:rPr/>
          </w:pPr>
          <w:hyperlink w:anchor="__RefHeading___Toc2903095_3804643083">
            <w:r>
              <w:rPr>
                <w:webHidden/>
                <w:rStyle w:val="IndexLink"/>
                <w:rtl w:val="true"/>
              </w:rPr>
              <w:t>ـ صحيحه‌ي حفص بن البختري</w:t>
            </w:r>
            <w:r>
              <w:rPr>
                <w:rStyle w:val="IndexLink"/>
                <w:rtl w:val="true"/>
              </w:rPr>
              <w:t>:</w:t>
              <w:tab/>
            </w:r>
            <w:r>
              <w:rPr>
                <w:rStyle w:val="IndexLink"/>
              </w:rPr>
              <w:t>205</w:t>
            </w:r>
          </w:hyperlink>
        </w:p>
        <w:p>
          <w:pPr>
            <w:pStyle w:val="Contents6"/>
            <w:tabs>
              <w:tab w:val="clear" w:pos="7609"/>
              <w:tab w:val="right" w:pos="9026" w:leader="dot"/>
            </w:tabs>
            <w:rPr/>
          </w:pPr>
          <w:hyperlink w:anchor="__RefHeading___Toc2903097_3804643083">
            <w:r>
              <w:rPr>
                <w:webHidden/>
                <w:rStyle w:val="IndexLink"/>
                <w:rtl w:val="true"/>
              </w:rPr>
              <w:t>ـ روايت أَبي بصير</w:t>
            </w:r>
            <w:r>
              <w:rPr>
                <w:rStyle w:val="IndexLink"/>
                <w:rtl w:val="true"/>
              </w:rPr>
              <w:t>:</w:t>
              <w:tab/>
            </w:r>
            <w:r>
              <w:rPr>
                <w:rStyle w:val="IndexLink"/>
              </w:rPr>
              <w:t>206</w:t>
            </w:r>
          </w:hyperlink>
        </w:p>
        <w:p>
          <w:pPr>
            <w:pStyle w:val="Contents6"/>
            <w:tabs>
              <w:tab w:val="clear" w:pos="7609"/>
              <w:tab w:val="right" w:pos="9026" w:leader="dot"/>
            </w:tabs>
            <w:rPr/>
          </w:pPr>
          <w:hyperlink w:anchor="__RefHeading___Toc2903099_3804643083">
            <w:r>
              <w:rPr>
                <w:webHidden/>
                <w:rStyle w:val="IndexLink"/>
                <w:rtl w:val="true"/>
              </w:rPr>
              <w:t>ـ مرفوعه‌ي عبدالله بن الْمُغِيرة</w:t>
            </w:r>
            <w:r>
              <w:rPr>
                <w:rStyle w:val="IndexLink"/>
                <w:rtl w:val="true"/>
              </w:rPr>
              <w:t>:</w:t>
              <w:tab/>
            </w:r>
            <w:r>
              <w:rPr>
                <w:rStyle w:val="IndexLink"/>
              </w:rPr>
              <w:t>207</w:t>
            </w:r>
          </w:hyperlink>
        </w:p>
        <w:p>
          <w:pPr>
            <w:pStyle w:val="Contents6"/>
            <w:tabs>
              <w:tab w:val="clear" w:pos="7609"/>
              <w:tab w:val="right" w:pos="9026" w:leader="dot"/>
            </w:tabs>
            <w:rPr/>
          </w:pPr>
          <w:hyperlink w:anchor="__RefHeading___Toc2903101_3804643083">
            <w:r>
              <w:rPr>
                <w:webHidden/>
                <w:rStyle w:val="IndexLink"/>
                <w:rtl w:val="true"/>
              </w:rPr>
              <w:t>ـ مرسله‌ي صدوق</w:t>
            </w:r>
            <w:r>
              <w:rPr>
                <w:rStyle w:val="IndexLink"/>
                <w:rtl w:val="true"/>
              </w:rPr>
              <w:t>:</w:t>
              <w:tab/>
            </w:r>
            <w:r>
              <w:rPr>
                <w:rStyle w:val="IndexLink"/>
              </w:rPr>
              <w:t>208</w:t>
            </w:r>
          </w:hyperlink>
        </w:p>
        <w:p>
          <w:pPr>
            <w:pStyle w:val="Contents6"/>
            <w:tabs>
              <w:tab w:val="clear" w:pos="7609"/>
              <w:tab w:val="right" w:pos="9026" w:leader="dot"/>
            </w:tabs>
            <w:rPr/>
          </w:pPr>
          <w:hyperlink w:anchor="__RefHeading___Toc2903103_3804643083">
            <w:r>
              <w:rPr>
                <w:webHidden/>
                <w:rStyle w:val="IndexLink"/>
                <w:rtl w:val="true"/>
              </w:rPr>
              <w:t>ـ روايت طلحة بن زيد</w:t>
            </w:r>
            <w:r>
              <w:rPr>
                <w:rStyle w:val="IndexLink"/>
                <w:rtl w:val="true"/>
              </w:rPr>
              <w:t>:</w:t>
              <w:tab/>
            </w:r>
            <w:r>
              <w:rPr>
                <w:rStyle w:val="IndexLink"/>
              </w:rPr>
              <w:t>209</w:t>
            </w:r>
          </w:hyperlink>
        </w:p>
        <w:p>
          <w:pPr>
            <w:pStyle w:val="Contents6"/>
            <w:tabs>
              <w:tab w:val="clear" w:pos="7609"/>
              <w:tab w:val="right" w:pos="9026" w:leader="dot"/>
            </w:tabs>
            <w:rPr/>
          </w:pPr>
          <w:hyperlink w:anchor="__RefHeading___Toc2903105_3804643083">
            <w:r>
              <w:rPr>
                <w:webHidden/>
                <w:rStyle w:val="IndexLink"/>
                <w:rtl w:val="true"/>
              </w:rPr>
              <w:t>ـ مرفوعه‌ي عبد الله بن الْمغِيرة</w:t>
            </w:r>
            <w:r>
              <w:rPr>
                <w:rStyle w:val="IndexLink"/>
                <w:rtl w:val="true"/>
              </w:rPr>
              <w:t>:</w:t>
              <w:tab/>
            </w:r>
            <w:r>
              <w:rPr>
                <w:rStyle w:val="IndexLink"/>
              </w:rPr>
              <w:t>210</w:t>
            </w:r>
          </w:hyperlink>
        </w:p>
        <w:p>
          <w:pPr>
            <w:pStyle w:val="Contents6"/>
            <w:tabs>
              <w:tab w:val="clear" w:pos="7609"/>
              <w:tab w:val="right" w:pos="9026" w:leader="dot"/>
            </w:tabs>
            <w:rPr/>
          </w:pPr>
          <w:hyperlink w:anchor="__RefHeading___Toc2903107_3804643083">
            <w:r>
              <w:rPr>
                <w:webHidden/>
                <w:rStyle w:val="IndexLink"/>
                <w:rtl w:val="true"/>
              </w:rPr>
              <w:t>ـ حسنه‌ي كالصحيحه ي حفص بن البختري</w:t>
            </w:r>
            <w:r>
              <w:rPr>
                <w:rStyle w:val="IndexLink"/>
                <w:rtl w:val="true"/>
              </w:rPr>
              <w:t>:</w:t>
              <w:tab/>
            </w:r>
            <w:r>
              <w:rPr>
                <w:rStyle w:val="IndexLink"/>
              </w:rPr>
              <w:t>211</w:t>
            </w:r>
          </w:hyperlink>
        </w:p>
        <w:p>
          <w:pPr>
            <w:pStyle w:val="Contents5"/>
            <w:tabs>
              <w:tab w:val="clear" w:pos="7892"/>
              <w:tab w:val="right" w:pos="9026" w:leader="dot"/>
            </w:tabs>
            <w:rPr/>
          </w:pPr>
          <w:hyperlink w:anchor="__RefHeading___Toc2903109_3804643083">
            <w:r>
              <w:rPr>
                <w:webHidden/>
                <w:rStyle w:val="IndexLink"/>
                <w:rtl w:val="true"/>
              </w:rPr>
              <w:t>نتيجه گيري از روايات كتاب سبق و رمايه</w:t>
            </w:r>
            <w:r>
              <w:rPr>
                <w:rStyle w:val="IndexLink"/>
                <w:rtl w:val="true"/>
              </w:rPr>
              <w:tab/>
            </w:r>
            <w:r>
              <w:rPr>
                <w:rStyle w:val="IndexLink"/>
              </w:rPr>
              <w:t>211</w:t>
            </w:r>
          </w:hyperlink>
        </w:p>
        <w:p>
          <w:pPr>
            <w:pStyle w:val="Contents6"/>
            <w:tabs>
              <w:tab w:val="clear" w:pos="7609"/>
              <w:tab w:val="right" w:pos="9026" w:leader="dot"/>
            </w:tabs>
            <w:rPr/>
          </w:pPr>
          <w:hyperlink w:anchor="__RefHeading___Toc2903111_3804643083">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2903113_3804643083">
            <w:r>
              <w:rPr>
                <w:webHidden/>
                <w:rStyle w:val="IndexLink"/>
                <w:rtl w:val="true"/>
              </w:rPr>
              <w:t xml:space="preserve">تأملي دوباره در روايات </w:t>
            </w:r>
            <w:r>
              <w:rPr>
                <w:rStyle w:val="IndexLink"/>
                <w:rtl w:val="true"/>
              </w:rPr>
              <w:t>«</w:t>
            </w:r>
            <w:r>
              <w:rPr>
                <w:rStyle w:val="IndexLink"/>
                <w:rtl w:val="true"/>
              </w:rPr>
              <w:t>لَا سَبَقَ إِلَّا فِي خُفٍّ أَوْ حَافِرٍ أَوْ نَصْلٍ</w:t>
            </w:r>
            <w:r>
              <w:rPr>
                <w:rStyle w:val="IndexLink"/>
                <w:rtl w:val="true"/>
              </w:rPr>
              <w:t>»</w:t>
              <w:tab/>
            </w:r>
            <w:r>
              <w:rPr>
                <w:rStyle w:val="IndexLink"/>
              </w:rPr>
              <w:t>212</w:t>
            </w:r>
          </w:hyperlink>
        </w:p>
        <w:p>
          <w:pPr>
            <w:pStyle w:val="Contents5"/>
            <w:tabs>
              <w:tab w:val="clear" w:pos="7892"/>
              <w:tab w:val="right" w:pos="9026" w:leader="dot"/>
            </w:tabs>
            <w:rPr/>
          </w:pPr>
          <w:hyperlink w:anchor="__RefHeading___Toc2903115_3804643083">
            <w:r>
              <w:rPr>
                <w:webHidden/>
                <w:rStyle w:val="IndexLink"/>
                <w:rtl w:val="true"/>
              </w:rPr>
              <w:t>حكم مغالبه با جُعل شخص ثالث</w:t>
            </w:r>
            <w:r>
              <w:rPr>
                <w:rStyle w:val="IndexLink"/>
                <w:rtl w:val="true"/>
              </w:rPr>
              <w:tab/>
            </w:r>
            <w:r>
              <w:rPr>
                <w:rStyle w:val="IndexLink"/>
              </w:rPr>
              <w:t>216</w:t>
            </w:r>
          </w:hyperlink>
        </w:p>
        <w:p>
          <w:pPr>
            <w:pStyle w:val="Contents2"/>
            <w:tabs>
              <w:tab w:val="clear" w:pos="8743"/>
              <w:tab w:val="right" w:pos="9026" w:leader="dot"/>
            </w:tabs>
            <w:rPr/>
          </w:pPr>
          <w:hyperlink w:anchor="__RefHeading___Toc2903117_3804643083">
            <w:r>
              <w:rPr>
                <w:webHidden/>
                <w:rStyle w:val="IndexLink"/>
                <w:rtl w:val="true"/>
              </w:rPr>
              <w:t>قيادت</w:t>
            </w:r>
            <w:r>
              <w:rPr>
                <w:rStyle w:val="IndexLink"/>
                <w:rtl w:val="true"/>
              </w:rPr>
              <w:tab/>
            </w:r>
            <w:r>
              <w:rPr>
                <w:rStyle w:val="IndexLink"/>
              </w:rPr>
              <w:t>217</w:t>
            </w:r>
          </w:hyperlink>
        </w:p>
        <w:p>
          <w:pPr>
            <w:pStyle w:val="Contents3"/>
            <w:tabs>
              <w:tab w:val="clear" w:pos="8459"/>
              <w:tab w:val="right" w:pos="9026" w:leader="dot"/>
            </w:tabs>
            <w:rPr/>
          </w:pPr>
          <w:hyperlink w:anchor="__RefHeading___Toc2903119_3804643083">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2903121_3804643083">
            <w:r>
              <w:rPr>
                <w:webHidden/>
                <w:rStyle w:val="IndexLink"/>
                <w:rtl w:val="true"/>
              </w:rPr>
              <w:t>المسألة السادسة عشر</w:t>
            </w:r>
            <w:r>
              <w:rPr>
                <w:rStyle w:val="IndexLink"/>
                <w:rtl w:val="true"/>
              </w:rPr>
              <w:t xml:space="preserve">: </w:t>
            </w:r>
            <w:r>
              <w:rPr>
                <w:rStyle w:val="IndexLink"/>
                <w:rtl w:val="true"/>
              </w:rPr>
              <w:t>حرمة القيادة</w:t>
            </w:r>
            <w:r>
              <w:rPr>
                <w:rStyle w:val="IndexLink"/>
                <w:rtl w:val="true"/>
              </w:rPr>
              <w:tab/>
            </w:r>
            <w:r>
              <w:rPr>
                <w:rStyle w:val="IndexLink"/>
              </w:rPr>
              <w:t>218</w:t>
            </w:r>
          </w:hyperlink>
        </w:p>
        <w:p>
          <w:pPr>
            <w:pStyle w:val="Contents4"/>
            <w:tabs>
              <w:tab w:val="clear" w:pos="8176"/>
              <w:tab w:val="right" w:pos="9026" w:leader="dot"/>
            </w:tabs>
            <w:rPr/>
          </w:pPr>
          <w:hyperlink w:anchor="__RefHeading___Toc2903123_3804643083">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2903125_3804643083">
            <w:r>
              <w:rPr>
                <w:webHidden/>
                <w:rStyle w:val="IndexLink"/>
                <w:rtl w:val="true"/>
              </w:rPr>
              <w:t>تعريف قيادت</w:t>
            </w:r>
            <w:r>
              <w:rPr>
                <w:rStyle w:val="IndexLink"/>
                <w:rtl w:val="true"/>
              </w:rPr>
              <w:tab/>
            </w:r>
            <w:r>
              <w:rPr>
                <w:rStyle w:val="IndexLink"/>
              </w:rPr>
              <w:t>218</w:t>
            </w:r>
          </w:hyperlink>
        </w:p>
        <w:p>
          <w:pPr>
            <w:pStyle w:val="Contents4"/>
            <w:tabs>
              <w:tab w:val="clear" w:pos="8176"/>
              <w:tab w:val="right" w:pos="9026" w:leader="dot"/>
            </w:tabs>
            <w:rPr/>
          </w:pPr>
          <w:hyperlink w:anchor="__RefHeading___Toc2903127_3804643083">
            <w:r>
              <w:rPr>
                <w:webHidden/>
                <w:rStyle w:val="IndexLink"/>
                <w:rtl w:val="true"/>
              </w:rPr>
              <w:t>ادلّه‌ي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حرمت قيادت</w:t>
            </w:r>
            <w:r>
              <w:rPr>
                <w:rStyle w:val="IndexLink"/>
                <w:rtl w:val="true"/>
              </w:rPr>
              <w:tab/>
            </w:r>
            <w:r>
              <w:rPr>
                <w:rStyle w:val="IndexLink"/>
              </w:rPr>
              <w:t>219</w:t>
            </w:r>
          </w:hyperlink>
        </w:p>
        <w:p>
          <w:pPr>
            <w:pStyle w:val="Contents5"/>
            <w:tabs>
              <w:tab w:val="clear" w:pos="7892"/>
              <w:tab w:val="right" w:pos="9026" w:leader="dot"/>
            </w:tabs>
            <w:rPr/>
          </w:pPr>
          <w:hyperlink w:anchor="__RefHeading___Toc2903129_3804643083">
            <w:r>
              <w:rPr>
                <w:webHidden/>
                <w:rStyle w:val="IndexLink"/>
              </w:rPr>
              <w:t>1</w:t>
            </w:r>
            <w:r>
              <w:rPr>
                <w:rStyle w:val="IndexLink"/>
                <w:rtl w:val="true"/>
              </w:rPr>
              <w:t xml:space="preserve">. </w:t>
            </w:r>
            <w:r>
              <w:rPr>
                <w:rStyle w:val="IndexLink"/>
                <w:rtl w:val="true"/>
              </w:rPr>
              <w:t>روايتي كه واصله و مستوصلة را لعن مي‌كند</w:t>
            </w:r>
            <w:r>
              <w:rPr>
                <w:rStyle w:val="IndexLink"/>
                <w:rtl w:val="true"/>
              </w:rPr>
              <w:tab/>
            </w:r>
            <w:r>
              <w:rPr>
                <w:rStyle w:val="IndexLink"/>
              </w:rPr>
              <w:t>219</w:t>
            </w:r>
          </w:hyperlink>
        </w:p>
        <w:p>
          <w:pPr>
            <w:pStyle w:val="Contents5"/>
            <w:tabs>
              <w:tab w:val="clear" w:pos="7892"/>
              <w:tab w:val="right" w:pos="9026" w:leader="dot"/>
            </w:tabs>
            <w:rPr/>
          </w:pPr>
          <w:hyperlink w:anchor="__RefHeading___Toc2903131_3804643083">
            <w:r>
              <w:rPr>
                <w:webHidden/>
                <w:rStyle w:val="IndexLink"/>
              </w:rPr>
              <w:t>2</w:t>
            </w:r>
            <w:r>
              <w:rPr>
                <w:rStyle w:val="IndexLink"/>
                <w:rtl w:val="true"/>
              </w:rPr>
              <w:t xml:space="preserve">. </w:t>
            </w:r>
            <w:r>
              <w:rPr>
                <w:rStyle w:val="IndexLink"/>
                <w:rtl w:val="true"/>
              </w:rPr>
              <w:t>روايت عبدالله بن سنان</w:t>
            </w:r>
            <w:r>
              <w:rPr>
                <w:rStyle w:val="IndexLink"/>
                <w:rtl w:val="true"/>
              </w:rPr>
              <w:t>:</w:t>
              <w:tab/>
            </w:r>
            <w:r>
              <w:rPr>
                <w:rStyle w:val="IndexLink"/>
              </w:rPr>
              <w:t>220</w:t>
            </w:r>
          </w:hyperlink>
        </w:p>
        <w:p>
          <w:pPr>
            <w:pStyle w:val="Contents4"/>
            <w:tabs>
              <w:tab w:val="clear" w:pos="8176"/>
              <w:tab w:val="right" w:pos="9026" w:leader="dot"/>
            </w:tabs>
            <w:rPr/>
          </w:pPr>
          <w:hyperlink w:anchor="__RefHeading___Toc2903133_3804643083">
            <w:r>
              <w:rPr>
                <w:webHidden/>
                <w:rStyle w:val="IndexLink"/>
                <w:rtl w:val="true"/>
              </w:rPr>
              <w:t>ادلّه‌ي مختار بر اثبات حرمت قيادت</w:t>
            </w:r>
            <w:r>
              <w:rPr>
                <w:rStyle w:val="IndexLink"/>
                <w:rtl w:val="true"/>
              </w:rPr>
              <w:tab/>
            </w:r>
            <w:r>
              <w:rPr>
                <w:rStyle w:val="IndexLink"/>
              </w:rPr>
              <w:t>225</w:t>
            </w:r>
          </w:hyperlink>
        </w:p>
        <w:p>
          <w:pPr>
            <w:pStyle w:val="Contents5"/>
            <w:tabs>
              <w:tab w:val="clear" w:pos="7892"/>
              <w:tab w:val="right" w:pos="9026" w:leader="dot"/>
            </w:tabs>
            <w:rPr/>
          </w:pPr>
          <w:hyperlink w:anchor="__RefHeading___Toc2903135_3804643083">
            <w:r>
              <w:rPr>
                <w:webHidden/>
                <w:rStyle w:val="IndexLink"/>
              </w:rPr>
              <w:t>1</w:t>
            </w:r>
            <w:r>
              <w:rPr>
                <w:rStyle w:val="IndexLink"/>
                <w:rtl w:val="true"/>
              </w:rPr>
              <w:t xml:space="preserve">. </w:t>
            </w:r>
            <w:r>
              <w:rPr>
                <w:rStyle w:val="IndexLink"/>
                <w:rtl w:val="true"/>
              </w:rPr>
              <w:t>مصداق تشويق بر حرام</w:t>
            </w:r>
            <w:r>
              <w:rPr>
                <w:rStyle w:val="IndexLink"/>
                <w:rtl w:val="true"/>
              </w:rPr>
              <w:tab/>
            </w:r>
            <w:r>
              <w:rPr>
                <w:rStyle w:val="IndexLink"/>
              </w:rPr>
              <w:t>225</w:t>
            </w:r>
          </w:hyperlink>
        </w:p>
        <w:p>
          <w:pPr>
            <w:pStyle w:val="Contents5"/>
            <w:tabs>
              <w:tab w:val="clear" w:pos="7892"/>
              <w:tab w:val="right" w:pos="9026" w:leader="dot"/>
            </w:tabs>
            <w:rPr/>
          </w:pPr>
          <w:hyperlink w:anchor="__RefHeading___Toc2903137_3804643083">
            <w:r>
              <w:rPr>
                <w:webHidden/>
                <w:rStyle w:val="IndexLink"/>
              </w:rPr>
              <w:t>2</w:t>
            </w:r>
            <w:r>
              <w:rPr>
                <w:rStyle w:val="IndexLink"/>
                <w:rtl w:val="true"/>
              </w:rPr>
              <w:t xml:space="preserve">. </w:t>
            </w:r>
            <w:r>
              <w:rPr>
                <w:rStyle w:val="IndexLink"/>
                <w:rtl w:val="true"/>
              </w:rPr>
              <w:t>اجماع</w:t>
            </w:r>
            <w:r>
              <w:rPr>
                <w:rStyle w:val="IndexLink"/>
                <w:rtl w:val="true"/>
              </w:rPr>
              <w:tab/>
            </w:r>
            <w:r>
              <w:rPr>
                <w:rStyle w:val="IndexLink"/>
              </w:rPr>
              <w:t>226</w:t>
            </w:r>
          </w:hyperlink>
        </w:p>
        <w:p>
          <w:pPr>
            <w:pStyle w:val="Contents2"/>
            <w:tabs>
              <w:tab w:val="clear" w:pos="8743"/>
              <w:tab w:val="right" w:pos="9026" w:leader="dot"/>
            </w:tabs>
            <w:rPr/>
          </w:pPr>
          <w:hyperlink w:anchor="__RefHeading___Toc2903139_3804643083">
            <w:r>
              <w:rPr>
                <w:webHidden/>
                <w:rStyle w:val="IndexLink"/>
                <w:rtl w:val="true"/>
              </w:rPr>
              <w:t>قيافه</w:t>
            </w:r>
            <w:r>
              <w:rPr>
                <w:rStyle w:val="IndexLink"/>
                <w:rtl w:val="true"/>
              </w:rPr>
              <w:tab/>
            </w:r>
            <w:r>
              <w:rPr>
                <w:rStyle w:val="IndexLink"/>
              </w:rPr>
              <w:t>229</w:t>
            </w:r>
          </w:hyperlink>
        </w:p>
        <w:p>
          <w:pPr>
            <w:pStyle w:val="Contents3"/>
            <w:tabs>
              <w:tab w:val="clear" w:pos="8459"/>
              <w:tab w:val="right" w:pos="9026" w:leader="dot"/>
            </w:tabs>
            <w:rPr/>
          </w:pPr>
          <w:hyperlink w:anchor="__RefHeading___Toc2903141_3804643083">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2903143_3804643083">
            <w:r>
              <w:rPr>
                <w:webHidden/>
                <w:rStyle w:val="IndexLink"/>
                <w:rtl w:val="true"/>
              </w:rPr>
              <w:t>المسألة السابعة عشر</w:t>
            </w:r>
            <w:r>
              <w:rPr>
                <w:rStyle w:val="IndexLink"/>
                <w:rtl w:val="true"/>
              </w:rPr>
              <w:t xml:space="preserve">: </w:t>
            </w:r>
            <w:r>
              <w:rPr>
                <w:rStyle w:val="IndexLink"/>
                <w:rtl w:val="true"/>
              </w:rPr>
              <w:t>حرمة القيافة</w:t>
            </w:r>
            <w:r>
              <w:rPr>
                <w:rStyle w:val="IndexLink"/>
                <w:rtl w:val="true"/>
              </w:rPr>
              <w:tab/>
            </w:r>
            <w:r>
              <w:rPr>
                <w:rStyle w:val="IndexLink"/>
              </w:rPr>
              <w:t>230</w:t>
            </w:r>
          </w:hyperlink>
        </w:p>
        <w:p>
          <w:pPr>
            <w:pStyle w:val="Contents4"/>
            <w:tabs>
              <w:tab w:val="clear" w:pos="8176"/>
              <w:tab w:val="right" w:pos="9026" w:leader="dot"/>
            </w:tabs>
            <w:rPr/>
          </w:pPr>
          <w:hyperlink w:anchor="__RefHeading___Toc2903145_380464308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2903147_3804643083">
            <w:r>
              <w:rPr>
                <w:webHidden/>
                <w:rStyle w:val="IndexLink"/>
                <w:rtl w:val="true"/>
              </w:rPr>
              <w:t>تعريف قيافه</w:t>
            </w:r>
            <w:r>
              <w:rPr>
                <w:rStyle w:val="IndexLink"/>
                <w:rtl w:val="true"/>
              </w:rPr>
              <w:tab/>
            </w:r>
            <w:r>
              <w:rPr>
                <w:rStyle w:val="IndexLink"/>
              </w:rPr>
              <w:t>231</w:t>
            </w:r>
          </w:hyperlink>
        </w:p>
        <w:p>
          <w:pPr>
            <w:pStyle w:val="Contents4"/>
            <w:tabs>
              <w:tab w:val="clear" w:pos="8176"/>
              <w:tab w:val="right" w:pos="9026" w:leader="dot"/>
            </w:tabs>
            <w:rPr/>
          </w:pPr>
          <w:hyperlink w:anchor="__RefHeading___Toc2903149_3804643083">
            <w:r>
              <w:rPr>
                <w:webHidden/>
                <w:rStyle w:val="IndexLink"/>
                <w:rtl w:val="true"/>
              </w:rPr>
              <w:t>ادلّه‌ي حرمت قيافه</w:t>
            </w:r>
            <w:r>
              <w:rPr>
                <w:rStyle w:val="IndexLink"/>
                <w:rtl w:val="true"/>
              </w:rPr>
              <w:tab/>
            </w:r>
            <w:r>
              <w:rPr>
                <w:rStyle w:val="IndexLink"/>
              </w:rPr>
              <w:t>232</w:t>
            </w:r>
          </w:hyperlink>
        </w:p>
        <w:p>
          <w:pPr>
            <w:pStyle w:val="Contents5"/>
            <w:tabs>
              <w:tab w:val="clear" w:pos="7892"/>
              <w:tab w:val="right" w:pos="9026" w:leader="dot"/>
            </w:tabs>
            <w:rPr/>
          </w:pPr>
          <w:hyperlink w:anchor="__RefHeading___Toc2903151_3804643083">
            <w:r>
              <w:rPr>
                <w:webHidden/>
                <w:rStyle w:val="IndexLink"/>
              </w:rPr>
              <w:t>1</w:t>
            </w:r>
            <w:r>
              <w:rPr>
                <w:rStyle w:val="IndexLink"/>
                <w:rtl w:val="true"/>
              </w:rPr>
              <w:t xml:space="preserve">. </w:t>
            </w:r>
            <w:r>
              <w:rPr>
                <w:rStyle w:val="IndexLink"/>
                <w:rtl w:val="true"/>
              </w:rPr>
              <w:t>اجماع و لاخلاف</w:t>
            </w:r>
            <w:r>
              <w:rPr>
                <w:rStyle w:val="IndexLink"/>
                <w:rtl w:val="true"/>
              </w:rPr>
              <w:tab/>
            </w:r>
            <w:r>
              <w:rPr>
                <w:rStyle w:val="IndexLink"/>
              </w:rPr>
              <w:t>232</w:t>
            </w:r>
          </w:hyperlink>
        </w:p>
        <w:p>
          <w:pPr>
            <w:pStyle w:val="Contents5"/>
            <w:tabs>
              <w:tab w:val="clear" w:pos="7892"/>
              <w:tab w:val="right" w:pos="9026" w:leader="dot"/>
            </w:tabs>
            <w:rPr/>
          </w:pPr>
          <w:hyperlink w:anchor="__RefHeading___Toc2903153_3804643083">
            <w:r>
              <w:rPr>
                <w:webHidden/>
                <w:rStyle w:val="IndexLink"/>
              </w:rPr>
              <w:t>2</w:t>
            </w:r>
            <w:r>
              <w:rPr>
                <w:rStyle w:val="IndexLink"/>
                <w:rtl w:val="true"/>
              </w:rPr>
              <w:t xml:space="preserve">. </w:t>
            </w:r>
            <w:r>
              <w:rPr>
                <w:rStyle w:val="IndexLink"/>
                <w:rtl w:val="true"/>
              </w:rPr>
              <w:t>صحيحه‌ي محمد بن قيس</w:t>
            </w:r>
            <w:r>
              <w:rPr>
                <w:rStyle w:val="IndexLink"/>
                <w:rtl w:val="true"/>
              </w:rPr>
              <w:t>:</w:t>
              <w:tab/>
            </w:r>
            <w:r>
              <w:rPr>
                <w:rStyle w:val="IndexLink"/>
              </w:rPr>
              <w:t>232</w:t>
            </w:r>
          </w:hyperlink>
        </w:p>
        <w:p>
          <w:pPr>
            <w:pStyle w:val="Contents5"/>
            <w:tabs>
              <w:tab w:val="clear" w:pos="7892"/>
              <w:tab w:val="right" w:pos="9026" w:leader="dot"/>
            </w:tabs>
            <w:rPr/>
          </w:pPr>
          <w:hyperlink w:anchor="__RefHeading___Toc2903155_3804643083">
            <w:r>
              <w:rPr>
                <w:webHidden/>
                <w:rStyle w:val="IndexLink"/>
              </w:rPr>
              <w:t>3</w:t>
            </w:r>
            <w:r>
              <w:rPr>
                <w:rStyle w:val="IndexLink"/>
                <w:rtl w:val="true"/>
              </w:rPr>
              <w:t xml:space="preserve">. </w:t>
            </w:r>
            <w:r>
              <w:rPr>
                <w:rStyle w:val="IndexLink"/>
                <w:rtl w:val="true"/>
              </w:rPr>
              <w:t>روايت أَبي بصير</w:t>
            </w:r>
            <w:r>
              <w:rPr>
                <w:rStyle w:val="IndexLink"/>
                <w:rtl w:val="true"/>
              </w:rPr>
              <w:t>:</w:t>
              <w:tab/>
            </w:r>
            <w:r>
              <w:rPr>
                <w:rStyle w:val="IndexLink"/>
              </w:rPr>
              <w:t>235</w:t>
            </w:r>
          </w:hyperlink>
        </w:p>
        <w:p>
          <w:pPr>
            <w:pStyle w:val="Contents5"/>
            <w:tabs>
              <w:tab w:val="clear" w:pos="7892"/>
              <w:tab w:val="right" w:pos="9026" w:leader="dot"/>
            </w:tabs>
            <w:rPr/>
          </w:pPr>
          <w:hyperlink w:anchor="__RefHeading___Toc2903157_3804643083">
            <w:r>
              <w:rPr>
                <w:webHidden/>
                <w:rStyle w:val="IndexLink"/>
              </w:rPr>
              <w:t>4</w:t>
            </w:r>
            <w:r>
              <w:rPr>
                <w:rStyle w:val="IndexLink"/>
                <w:rtl w:val="true"/>
              </w:rPr>
              <w:t xml:space="preserve">. </w:t>
            </w:r>
            <w:r>
              <w:rPr>
                <w:rStyle w:val="IndexLink"/>
                <w:rtl w:val="true"/>
              </w:rPr>
              <w:t>روايت نبوي</w:t>
            </w:r>
            <w:r>
              <w:rPr>
                <w:rStyle w:val="IndexLink"/>
                <w:rtl w:val="true"/>
              </w:rPr>
              <w:t xml:space="preserve">- </w:t>
            </w:r>
            <w:r>
              <w:rPr>
                <w:rStyle w:val="IndexLink"/>
                <w:rtl w:val="true"/>
              </w:rPr>
              <w:t xml:space="preserve">صلي الله عليه و آله و سلم </w:t>
            </w:r>
            <w:r>
              <w:rPr>
                <w:rStyle w:val="IndexLink"/>
                <w:rtl w:val="true"/>
              </w:rPr>
              <w:t>-:</w:t>
              <w:tab/>
            </w:r>
            <w:r>
              <w:rPr>
                <w:rStyle w:val="IndexLink"/>
              </w:rPr>
              <w:t>238</w:t>
            </w:r>
          </w:hyperlink>
        </w:p>
        <w:p>
          <w:pPr>
            <w:pStyle w:val="Contents5"/>
            <w:tabs>
              <w:tab w:val="clear" w:pos="7892"/>
              <w:tab w:val="right" w:pos="9026" w:leader="dot"/>
            </w:tabs>
            <w:rPr/>
          </w:pPr>
          <w:hyperlink w:anchor="__RefHeading___Toc2903159_3804643083">
            <w:r>
              <w:rPr>
                <w:webHidden/>
                <w:rStyle w:val="IndexLink"/>
              </w:rPr>
              <w:t>5</w:t>
            </w:r>
            <w:r>
              <w:rPr>
                <w:rStyle w:val="IndexLink"/>
                <w:rtl w:val="true"/>
              </w:rPr>
              <w:t xml:space="preserve">. </w:t>
            </w:r>
            <w:r>
              <w:rPr>
                <w:rStyle w:val="IndexLink"/>
                <w:rtl w:val="true"/>
              </w:rPr>
              <w:t>روايتي از عامه در شرح نهج البلاغه‌ي ابن أبي الحديد</w:t>
            </w:r>
            <w:r>
              <w:rPr>
                <w:rStyle w:val="IndexLink"/>
                <w:rtl w:val="true"/>
              </w:rPr>
              <w:t>:</w:t>
              <w:tab/>
            </w:r>
            <w:r>
              <w:rPr>
                <w:rStyle w:val="IndexLink"/>
              </w:rPr>
              <w:t>239</w:t>
            </w:r>
          </w:hyperlink>
        </w:p>
        <w:p>
          <w:pPr>
            <w:pStyle w:val="Contents5"/>
            <w:tabs>
              <w:tab w:val="clear" w:pos="7892"/>
              <w:tab w:val="right" w:pos="9026" w:leader="dot"/>
            </w:tabs>
            <w:rPr/>
          </w:pPr>
          <w:hyperlink w:anchor="__RefHeading___Toc2903161_3804643083">
            <w:r>
              <w:rPr>
                <w:webHidden/>
                <w:rStyle w:val="IndexLink"/>
              </w:rPr>
              <w:t>6</w:t>
            </w:r>
            <w:r>
              <w:rPr>
                <w:rStyle w:val="IndexLink"/>
                <w:rtl w:val="true"/>
              </w:rPr>
              <w:t xml:space="preserve">. </w:t>
            </w:r>
            <w:r>
              <w:rPr>
                <w:rStyle w:val="IndexLink"/>
                <w:rtl w:val="true"/>
              </w:rPr>
              <w:t>روايتي از اميرالمؤمنين</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در جعفريات</w:t>
            </w:r>
            <w:r>
              <w:rPr>
                <w:rStyle w:val="IndexLink"/>
                <w:rtl w:val="true"/>
              </w:rPr>
              <w:t>:</w:t>
              <w:tab/>
            </w:r>
            <w:r>
              <w:rPr>
                <w:rStyle w:val="IndexLink"/>
              </w:rPr>
              <w:t>240</w:t>
            </w:r>
          </w:hyperlink>
        </w:p>
        <w:p>
          <w:pPr>
            <w:pStyle w:val="Contents4"/>
            <w:tabs>
              <w:tab w:val="clear" w:pos="8176"/>
              <w:tab w:val="right" w:pos="9026" w:leader="dot"/>
            </w:tabs>
            <w:rPr/>
          </w:pPr>
          <w:hyperlink w:anchor="__RefHeading___Toc2903163_3804643083">
            <w:r>
              <w:rPr>
                <w:webHidden/>
                <w:rStyle w:val="IndexLink"/>
                <w:rtl w:val="true"/>
              </w:rPr>
              <w:t>نتيجه‌ي كلام در حرمت قيافه</w:t>
            </w:r>
            <w:r>
              <w:rPr>
                <w:rStyle w:val="IndexLink"/>
                <w:rtl w:val="true"/>
              </w:rPr>
              <w:tab/>
            </w:r>
            <w:r>
              <w:rPr>
                <w:rStyle w:val="IndexLink"/>
              </w:rPr>
              <w:t>241</w:t>
            </w:r>
          </w:hyperlink>
        </w:p>
        <w:p>
          <w:pPr>
            <w:pStyle w:val="Contents5"/>
            <w:tabs>
              <w:tab w:val="clear" w:pos="7892"/>
              <w:tab w:val="right" w:pos="9026" w:leader="dot"/>
            </w:tabs>
            <w:rPr/>
          </w:pPr>
          <w:hyperlink w:anchor="__RefHeading___Toc2903165_3804643083">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2903167_3804643083">
            <w:r>
              <w:rPr>
                <w:webHidden/>
                <w:rStyle w:val="IndexLink"/>
                <w:rtl w:val="true"/>
              </w:rPr>
              <w:t>استفاده‌ي جواز قيافه از كلمات فقهاء</w:t>
            </w:r>
            <w:r>
              <w:rPr>
                <w:rStyle w:val="IndexLink"/>
                <w:rtl w:val="true"/>
              </w:rPr>
              <w:tab/>
            </w:r>
            <w:r>
              <w:rPr>
                <w:rStyle w:val="IndexLink"/>
              </w:rPr>
              <w:t>242</w:t>
            </w:r>
          </w:hyperlink>
        </w:p>
        <w:p>
          <w:pPr>
            <w:pStyle w:val="Contents4"/>
            <w:tabs>
              <w:tab w:val="clear" w:pos="8176"/>
              <w:tab w:val="right" w:pos="9026" w:leader="dot"/>
            </w:tabs>
            <w:rPr/>
          </w:pPr>
          <w:hyperlink w:anchor="__RefHeading___Toc2903169_3804643083">
            <w:r>
              <w:rPr>
                <w:webHidden/>
                <w:rStyle w:val="IndexLink"/>
                <w:rtl w:val="true"/>
              </w:rPr>
              <w:t xml:space="preserve">حكم تشخيص نسب با </w:t>
            </w:r>
            <w:r>
              <w:rPr>
                <w:rStyle w:val="IndexLink"/>
              </w:rPr>
              <w:t>D.N.A</w:t>
            </w:r>
            <w:r>
              <w:rPr>
                <w:rStyle w:val="IndexLink"/>
                <w:rtl w:val="true"/>
              </w:rPr>
              <w:tab/>
            </w:r>
            <w:r>
              <w:rPr>
                <w:rStyle w:val="IndexLink"/>
              </w:rPr>
              <w:t>245</w:t>
            </w:r>
          </w:hyperlink>
        </w:p>
        <w:p>
          <w:pPr>
            <w:pStyle w:val="Contents4"/>
            <w:tabs>
              <w:tab w:val="clear" w:pos="8176"/>
              <w:tab w:val="right" w:pos="9026" w:leader="dot"/>
            </w:tabs>
            <w:rPr/>
          </w:pPr>
          <w:hyperlink w:anchor="__RefHeading___Toc2903171_3804643083">
            <w:r>
              <w:rPr>
                <w:webHidden/>
                <w:rStyle w:val="IndexLink"/>
                <w:rtl w:val="true"/>
              </w:rPr>
              <w:t>سخني درباره‌ي نسبت دادن حكمِ به قيافه به رسول اكرم</w:t>
            </w:r>
            <w:r>
              <w:rPr>
                <w:rStyle w:val="IndexLink"/>
                <w:rtl w:val="true"/>
              </w:rPr>
              <w:t xml:space="preserve">- </w:t>
            </w:r>
            <w:r>
              <w:rPr>
                <w:rStyle w:val="IndexLink"/>
                <w:rtl w:val="true"/>
              </w:rPr>
              <w:t xml:space="preserve">صلي الله عليه و آله و سلم </w:t>
            </w:r>
            <w:r>
              <w:rPr>
                <w:rStyle w:val="IndexLink"/>
                <w:rtl w:val="true"/>
              </w:rPr>
              <w:t>-</w:t>
              <w:tab/>
            </w:r>
            <w:r>
              <w:rPr>
                <w:rStyle w:val="IndexLink"/>
              </w:rPr>
              <w:t>249</w:t>
            </w:r>
          </w:hyperlink>
        </w:p>
        <w:p>
          <w:pPr>
            <w:pStyle w:val="Contents2"/>
            <w:tabs>
              <w:tab w:val="clear" w:pos="8743"/>
              <w:tab w:val="right" w:pos="9026" w:leader="dot"/>
            </w:tabs>
            <w:rPr/>
          </w:pPr>
          <w:hyperlink w:anchor="__RefHeading___Toc2903173_3804643083">
            <w:r>
              <w:rPr>
                <w:webHidden/>
                <w:rStyle w:val="IndexLink"/>
                <w:rtl w:val="true"/>
              </w:rPr>
              <w:t>كهانت</w:t>
            </w:r>
            <w:r>
              <w:rPr>
                <w:rStyle w:val="IndexLink"/>
                <w:rtl w:val="true"/>
              </w:rPr>
              <w:tab/>
            </w:r>
            <w:r>
              <w:rPr>
                <w:rStyle w:val="IndexLink"/>
              </w:rPr>
              <w:t>255</w:t>
            </w:r>
          </w:hyperlink>
        </w:p>
        <w:p>
          <w:pPr>
            <w:pStyle w:val="Contents3"/>
            <w:tabs>
              <w:tab w:val="clear" w:pos="8459"/>
              <w:tab w:val="right" w:pos="9026" w:leader="dot"/>
            </w:tabs>
            <w:rPr/>
          </w:pPr>
          <w:hyperlink w:anchor="__RefHeading___Toc2903175_3804643083">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2903177_3804643083">
            <w:r>
              <w:rPr>
                <w:webHidden/>
                <w:rStyle w:val="IndexLink"/>
                <w:rtl w:val="true"/>
              </w:rPr>
              <w:t>المسألة التاسعة عشر</w:t>
            </w:r>
            <w:r>
              <w:rPr>
                <w:rStyle w:val="IndexLink"/>
                <w:rtl w:val="true"/>
              </w:rPr>
              <w:t xml:space="preserve">: </w:t>
            </w:r>
            <w:r>
              <w:rPr>
                <w:rStyle w:val="IndexLink"/>
                <w:rtl w:val="true"/>
              </w:rPr>
              <w:t>حرمة الكهانة</w:t>
            </w:r>
            <w:r>
              <w:rPr>
                <w:rStyle w:val="IndexLink"/>
                <w:rtl w:val="true"/>
              </w:rPr>
              <w:tab/>
            </w:r>
            <w:r>
              <w:rPr>
                <w:rStyle w:val="IndexLink"/>
              </w:rPr>
              <w:t>256</w:t>
            </w:r>
          </w:hyperlink>
        </w:p>
        <w:p>
          <w:pPr>
            <w:pStyle w:val="Contents4"/>
            <w:tabs>
              <w:tab w:val="clear" w:pos="8176"/>
              <w:tab w:val="right" w:pos="9026" w:leader="dot"/>
            </w:tabs>
            <w:rPr/>
          </w:pPr>
          <w:hyperlink w:anchor="__RefHeading___Toc2903179_3804643083">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2903181_3804643083">
            <w:r>
              <w:rPr>
                <w:webHidden/>
                <w:rStyle w:val="IndexLink"/>
                <w:rtl w:val="true"/>
              </w:rPr>
              <w:t xml:space="preserve">ماده‌ي </w:t>
            </w:r>
            <w:r>
              <w:rPr>
                <w:rStyle w:val="IndexLink"/>
                <w:rtl w:val="true"/>
              </w:rPr>
              <w:t>«</w:t>
            </w:r>
            <w:r>
              <w:rPr>
                <w:rStyle w:val="IndexLink"/>
                <w:rtl w:val="true"/>
              </w:rPr>
              <w:t>كَهَنَ</w:t>
            </w:r>
            <w:r>
              <w:rPr>
                <w:rStyle w:val="IndexLink"/>
                <w:rtl w:val="true"/>
              </w:rPr>
              <w:t xml:space="preserve">» </w:t>
            </w:r>
            <w:r>
              <w:rPr>
                <w:rStyle w:val="IndexLink"/>
                <w:rtl w:val="true"/>
              </w:rPr>
              <w:t>در كتب لغت</w:t>
            </w:r>
            <w:r>
              <w:rPr>
                <w:rStyle w:val="IndexLink"/>
                <w:rtl w:val="true"/>
              </w:rPr>
              <w:tab/>
            </w:r>
            <w:r>
              <w:rPr>
                <w:rStyle w:val="IndexLink"/>
              </w:rPr>
              <w:t>256</w:t>
            </w:r>
          </w:hyperlink>
        </w:p>
        <w:p>
          <w:pPr>
            <w:pStyle w:val="Contents4"/>
            <w:tabs>
              <w:tab w:val="clear" w:pos="8176"/>
              <w:tab w:val="right" w:pos="9026" w:leader="dot"/>
            </w:tabs>
            <w:rPr/>
          </w:pPr>
          <w:hyperlink w:anchor="__RefHeading___Toc2903183_3804643083">
            <w:r>
              <w:rPr>
                <w:webHidden/>
                <w:rStyle w:val="IndexLink"/>
                <w:rtl w:val="true"/>
              </w:rPr>
              <w:t>تعريف كاهن در كلمات فقهاء</w:t>
            </w:r>
            <w:r>
              <w:rPr>
                <w:rStyle w:val="IndexLink"/>
                <w:rtl w:val="true"/>
              </w:rPr>
              <w:tab/>
            </w:r>
            <w:r>
              <w:rPr>
                <w:rStyle w:val="IndexLink"/>
              </w:rPr>
              <w:t>259</w:t>
            </w:r>
          </w:hyperlink>
        </w:p>
        <w:p>
          <w:pPr>
            <w:pStyle w:val="Contents4"/>
            <w:tabs>
              <w:tab w:val="clear" w:pos="8176"/>
              <w:tab w:val="right" w:pos="9026" w:leader="dot"/>
            </w:tabs>
            <w:rPr/>
          </w:pPr>
          <w:hyperlink w:anchor="__RefHeading___Toc2903185_3804643083">
            <w:r>
              <w:rPr>
                <w:webHidden/>
                <w:rStyle w:val="IndexLink"/>
                <w:rtl w:val="true"/>
              </w:rPr>
              <w:t>تعريف كاهن در روايات</w:t>
            </w:r>
            <w:r>
              <w:rPr>
                <w:rStyle w:val="IndexLink"/>
                <w:rtl w:val="true"/>
              </w:rPr>
              <w:tab/>
            </w:r>
            <w:r>
              <w:rPr>
                <w:rStyle w:val="IndexLink"/>
              </w:rPr>
              <w:t>261</w:t>
            </w:r>
          </w:hyperlink>
        </w:p>
        <w:p>
          <w:pPr>
            <w:pStyle w:val="Contents4"/>
            <w:tabs>
              <w:tab w:val="clear" w:pos="8176"/>
              <w:tab w:val="right" w:pos="9026" w:leader="dot"/>
            </w:tabs>
            <w:rPr/>
          </w:pPr>
          <w:hyperlink w:anchor="__RefHeading___Toc2903187_3804643083">
            <w:r>
              <w:rPr>
                <w:webHidden/>
                <w:rStyle w:val="IndexLink"/>
                <w:rtl w:val="true"/>
              </w:rPr>
              <w:t>ادلّه‌ي حرمت كهانت</w:t>
            </w:r>
            <w:r>
              <w:rPr>
                <w:rStyle w:val="IndexLink"/>
                <w:rtl w:val="true"/>
              </w:rPr>
              <w:tab/>
            </w:r>
            <w:r>
              <w:rPr>
                <w:rStyle w:val="IndexLink"/>
              </w:rPr>
              <w:t>270</w:t>
            </w:r>
          </w:hyperlink>
        </w:p>
        <w:p>
          <w:pPr>
            <w:pStyle w:val="Contents5"/>
            <w:tabs>
              <w:tab w:val="clear" w:pos="7892"/>
              <w:tab w:val="right" w:pos="9026" w:leader="dot"/>
            </w:tabs>
            <w:rPr/>
          </w:pPr>
          <w:hyperlink w:anchor="__RefHeading___Toc2903189_3804643083">
            <w:r>
              <w:rPr>
                <w:webHidden/>
                <w:rStyle w:val="IndexLink"/>
                <w:rtl w:val="true"/>
              </w:rPr>
              <w:t>الف</w:t>
            </w:r>
            <w:r>
              <w:rPr>
                <w:rStyle w:val="IndexLink"/>
                <w:rtl w:val="true"/>
              </w:rPr>
              <w:t xml:space="preserve">: </w:t>
            </w:r>
            <w:r>
              <w:rPr>
                <w:rStyle w:val="IndexLink"/>
                <w:rtl w:val="true"/>
              </w:rPr>
              <w:t>ارتباط رفاقتي با شياطين و عدم استعاذه از آنان</w:t>
            </w:r>
            <w:r>
              <w:rPr>
                <w:rStyle w:val="IndexLink"/>
                <w:rtl w:val="true"/>
              </w:rPr>
              <w:tab/>
            </w:r>
            <w:r>
              <w:rPr>
                <w:rStyle w:val="IndexLink"/>
              </w:rPr>
              <w:t>270</w:t>
            </w:r>
          </w:hyperlink>
        </w:p>
        <w:p>
          <w:pPr>
            <w:pStyle w:val="Contents5"/>
            <w:tabs>
              <w:tab w:val="clear" w:pos="7892"/>
              <w:tab w:val="right" w:pos="9026" w:leader="dot"/>
            </w:tabs>
            <w:rPr/>
          </w:pPr>
          <w:hyperlink w:anchor="__RefHeading___Toc2903191_3804643083">
            <w:r>
              <w:rPr>
                <w:webHidden/>
                <w:rStyle w:val="IndexLink"/>
                <w:rtl w:val="true"/>
              </w:rPr>
              <w:t>ب</w:t>
            </w:r>
            <w:r>
              <w:rPr>
                <w:rStyle w:val="IndexLink"/>
                <w:rtl w:val="true"/>
              </w:rPr>
              <w:t xml:space="preserve">: </w:t>
            </w:r>
            <w:r>
              <w:rPr>
                <w:rStyle w:val="IndexLink"/>
                <w:rtl w:val="true"/>
              </w:rPr>
              <w:t>روايات دالّ بر حرمت كهانت</w:t>
            </w:r>
            <w:r>
              <w:rPr>
                <w:rStyle w:val="IndexLink"/>
                <w:rtl w:val="true"/>
              </w:rPr>
              <w:tab/>
            </w:r>
            <w:r>
              <w:rPr>
                <w:rStyle w:val="IndexLink"/>
              </w:rPr>
              <w:t>271</w:t>
            </w:r>
          </w:hyperlink>
        </w:p>
        <w:p>
          <w:pPr>
            <w:pStyle w:val="Contents6"/>
            <w:tabs>
              <w:tab w:val="clear" w:pos="7609"/>
              <w:tab w:val="right" w:pos="9026" w:leader="dot"/>
            </w:tabs>
            <w:rPr/>
          </w:pPr>
          <w:hyperlink w:anchor="__RefHeading___Toc2903193_3804643083">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2903195_3804643083">
            <w:r>
              <w:rPr>
                <w:webHidden/>
                <w:rStyle w:val="IndexLink"/>
              </w:rPr>
              <w:t>1</w:t>
            </w:r>
            <w:r>
              <w:rPr>
                <w:rStyle w:val="IndexLink"/>
                <w:rtl w:val="true"/>
              </w:rPr>
              <w:t xml:space="preserve">. </w:t>
            </w:r>
            <w:r>
              <w:rPr>
                <w:rStyle w:val="IndexLink"/>
                <w:rtl w:val="true"/>
              </w:rPr>
              <w:t>روايت أبي سعيد</w:t>
            </w:r>
            <w:r>
              <w:rPr>
                <w:rStyle w:val="IndexLink"/>
                <w:rtl w:val="true"/>
              </w:rPr>
              <w:t>:</w:t>
              <w:tab/>
            </w:r>
            <w:r>
              <w:rPr>
                <w:rStyle w:val="IndexLink"/>
              </w:rPr>
              <w:t>271</w:t>
            </w:r>
          </w:hyperlink>
        </w:p>
        <w:p>
          <w:pPr>
            <w:pStyle w:val="Contents6"/>
            <w:tabs>
              <w:tab w:val="clear" w:pos="7609"/>
              <w:tab w:val="right" w:pos="9026" w:leader="dot"/>
            </w:tabs>
            <w:rPr/>
          </w:pPr>
          <w:hyperlink w:anchor="__RefHeading___Toc2903197_3804643083">
            <w:r>
              <w:rPr>
                <w:webHidden/>
                <w:rStyle w:val="IndexLink"/>
              </w:rPr>
              <w:t>2</w:t>
            </w:r>
            <w:r>
              <w:rPr>
                <w:rStyle w:val="IndexLink"/>
                <w:rtl w:val="true"/>
              </w:rPr>
              <w:t xml:space="preserve">. </w:t>
            </w:r>
            <w:r>
              <w:rPr>
                <w:rStyle w:val="IndexLink"/>
                <w:rtl w:val="true"/>
              </w:rPr>
              <w:t>روايت أبي بصير</w:t>
            </w:r>
            <w:r>
              <w:rPr>
                <w:rStyle w:val="IndexLink"/>
                <w:rtl w:val="true"/>
              </w:rPr>
              <w:t>:</w:t>
              <w:tab/>
            </w:r>
            <w:r>
              <w:rPr>
                <w:rStyle w:val="IndexLink"/>
              </w:rPr>
              <w:t>272</w:t>
            </w:r>
          </w:hyperlink>
        </w:p>
        <w:p>
          <w:pPr>
            <w:pStyle w:val="Contents6"/>
            <w:tabs>
              <w:tab w:val="clear" w:pos="7609"/>
              <w:tab w:val="right" w:pos="9026" w:leader="dot"/>
            </w:tabs>
            <w:rPr/>
          </w:pPr>
          <w:hyperlink w:anchor="__RefHeading___Toc2903199_3804643083">
            <w:r>
              <w:rPr>
                <w:webHidden/>
                <w:rStyle w:val="IndexLink"/>
              </w:rPr>
              <w:t>3</w:t>
            </w:r>
            <w:r>
              <w:rPr>
                <w:rStyle w:val="IndexLink"/>
                <w:rtl w:val="true"/>
              </w:rPr>
              <w:t xml:space="preserve">. </w:t>
            </w:r>
            <w:r>
              <w:rPr>
                <w:rStyle w:val="IndexLink"/>
                <w:rtl w:val="true"/>
              </w:rPr>
              <w:t>روايت نصر بن قابوس</w:t>
            </w:r>
            <w:r>
              <w:rPr>
                <w:rStyle w:val="IndexLink"/>
                <w:rtl w:val="true"/>
              </w:rPr>
              <w:t>:</w:t>
              <w:tab/>
            </w:r>
            <w:r>
              <w:rPr>
                <w:rStyle w:val="IndexLink"/>
              </w:rPr>
              <w:t>273</w:t>
            </w:r>
          </w:hyperlink>
        </w:p>
        <w:p>
          <w:pPr>
            <w:pStyle w:val="Contents6"/>
            <w:tabs>
              <w:tab w:val="clear" w:pos="7609"/>
              <w:tab w:val="right" w:pos="9026" w:leader="dot"/>
            </w:tabs>
            <w:rPr/>
          </w:pPr>
          <w:hyperlink w:anchor="__RefHeading___Toc2903201_3804643083">
            <w:r>
              <w:rPr>
                <w:webHidden/>
                <w:rStyle w:val="IndexLink"/>
              </w:rPr>
              <w:t>4</w:t>
            </w:r>
            <w:r>
              <w:rPr>
                <w:rStyle w:val="IndexLink"/>
                <w:rtl w:val="true"/>
              </w:rPr>
              <w:t xml:space="preserve">. </w:t>
            </w:r>
            <w:r>
              <w:rPr>
                <w:rStyle w:val="IndexLink"/>
                <w:rtl w:val="true"/>
              </w:rPr>
              <w:t>عبارتي در نهج البلاغة</w:t>
            </w:r>
            <w:r>
              <w:rPr>
                <w:rStyle w:val="IndexLink"/>
                <w:rtl w:val="true"/>
              </w:rPr>
              <w:t>:</w:t>
              <w:tab/>
            </w:r>
            <w:r>
              <w:rPr>
                <w:rStyle w:val="IndexLink"/>
              </w:rPr>
              <w:t>275</w:t>
            </w:r>
          </w:hyperlink>
        </w:p>
        <w:p>
          <w:pPr>
            <w:pStyle w:val="Contents6"/>
            <w:tabs>
              <w:tab w:val="clear" w:pos="7609"/>
              <w:tab w:val="right" w:pos="9026" w:leader="dot"/>
            </w:tabs>
            <w:rPr/>
          </w:pPr>
          <w:hyperlink w:anchor="__RefHeading___Toc2903203_3804643083">
            <w:r>
              <w:rPr>
                <w:webHidden/>
                <w:rStyle w:val="IndexLink"/>
              </w:rPr>
              <w:t>5</w:t>
            </w:r>
            <w:r>
              <w:rPr>
                <w:rStyle w:val="IndexLink"/>
                <w:rtl w:val="true"/>
              </w:rPr>
              <w:t xml:space="preserve">. </w:t>
            </w:r>
            <w:r>
              <w:rPr>
                <w:rStyle w:val="IndexLink"/>
                <w:rtl w:val="true"/>
              </w:rPr>
              <w:t>روايت أبي خالد الكابلي</w:t>
            </w:r>
            <w:r>
              <w:rPr>
                <w:rStyle w:val="IndexLink"/>
                <w:rtl w:val="true"/>
              </w:rPr>
              <w:t>:</w:t>
              <w:tab/>
            </w:r>
            <w:r>
              <w:rPr>
                <w:rStyle w:val="IndexLink"/>
              </w:rPr>
              <w:t>276</w:t>
            </w:r>
          </w:hyperlink>
        </w:p>
        <w:p>
          <w:pPr>
            <w:pStyle w:val="Contents6"/>
            <w:tabs>
              <w:tab w:val="clear" w:pos="7609"/>
              <w:tab w:val="right" w:pos="9026" w:leader="dot"/>
            </w:tabs>
            <w:rPr/>
          </w:pPr>
          <w:hyperlink w:anchor="__RefHeading___Toc2903205_3804643083">
            <w:r>
              <w:rPr>
                <w:webHidden/>
                <w:rStyle w:val="IndexLink"/>
              </w:rPr>
              <w:t>6</w:t>
            </w:r>
            <w:r>
              <w:rPr>
                <w:rStyle w:val="IndexLink"/>
                <w:rtl w:val="true"/>
              </w:rPr>
              <w:t xml:space="preserve">. </w:t>
            </w:r>
            <w:r>
              <w:rPr>
                <w:rStyle w:val="IndexLink"/>
                <w:rtl w:val="true"/>
              </w:rPr>
              <w:t>روايت سكوني</w:t>
            </w:r>
            <w:r>
              <w:rPr>
                <w:rStyle w:val="IndexLink"/>
                <w:rtl w:val="true"/>
              </w:rPr>
              <w:t>:</w:t>
              <w:tab/>
            </w:r>
            <w:r>
              <w:rPr>
                <w:rStyle w:val="IndexLink"/>
              </w:rPr>
              <w:t>277</w:t>
            </w:r>
          </w:hyperlink>
        </w:p>
        <w:p>
          <w:pPr>
            <w:pStyle w:val="Contents6"/>
            <w:tabs>
              <w:tab w:val="clear" w:pos="7609"/>
              <w:tab w:val="right" w:pos="9026" w:leader="dot"/>
            </w:tabs>
            <w:rPr/>
          </w:pPr>
          <w:hyperlink w:anchor="__RefHeading___Toc2903207_3804643083">
            <w:r>
              <w:rPr>
                <w:webHidden/>
                <w:rStyle w:val="IndexLink"/>
              </w:rPr>
              <w:t>7</w:t>
            </w:r>
            <w:r>
              <w:rPr>
                <w:rStyle w:val="IndexLink"/>
                <w:rtl w:val="true"/>
              </w:rPr>
              <w:t xml:space="preserve">. </w:t>
            </w:r>
            <w:r>
              <w:rPr>
                <w:rStyle w:val="IndexLink"/>
                <w:rtl w:val="true"/>
              </w:rPr>
              <w:t>روايت فقه الرضا</w:t>
            </w:r>
            <w:r>
              <w:rPr>
                <w:rStyle w:val="IndexLink"/>
                <w:rtl w:val="true"/>
              </w:rPr>
              <w:t xml:space="preserve">- </w:t>
            </w:r>
            <w:r>
              <w:rPr>
                <w:rStyle w:val="IndexLink"/>
                <w:rtl w:val="true"/>
              </w:rPr>
              <w:t xml:space="preserve">عليه السلام </w:t>
            </w:r>
            <w:r>
              <w:rPr>
                <w:rStyle w:val="IndexLink"/>
                <w:rtl w:val="true"/>
              </w:rPr>
              <w:t>-:</w:t>
              <w:tab/>
            </w:r>
            <w:r>
              <w:rPr>
                <w:rStyle w:val="IndexLink"/>
              </w:rPr>
              <w:t>278</w:t>
            </w:r>
          </w:hyperlink>
        </w:p>
        <w:p>
          <w:pPr>
            <w:pStyle w:val="Contents4"/>
            <w:tabs>
              <w:tab w:val="clear" w:pos="8176"/>
              <w:tab w:val="right" w:pos="9026" w:leader="dot"/>
            </w:tabs>
            <w:rPr/>
          </w:pPr>
          <w:hyperlink w:anchor="__RefHeading___Toc2903209_3804643083">
            <w:r>
              <w:rPr>
                <w:webHidden/>
                <w:rStyle w:val="IndexLink"/>
                <w:rtl w:val="true"/>
              </w:rPr>
              <w:t>نتيجه گيري نهايي در حكم به حرمت كهانت</w:t>
            </w:r>
            <w:r>
              <w:rPr>
                <w:rStyle w:val="IndexLink"/>
                <w:rtl w:val="true"/>
              </w:rPr>
              <w:tab/>
            </w:r>
            <w:r>
              <w:rPr>
                <w:rStyle w:val="IndexLink"/>
              </w:rPr>
              <w:t>279</w:t>
            </w:r>
          </w:hyperlink>
        </w:p>
        <w:p>
          <w:pPr>
            <w:pStyle w:val="Contents4"/>
            <w:tabs>
              <w:tab w:val="clear" w:pos="8176"/>
              <w:tab w:val="right" w:pos="9026" w:leader="dot"/>
            </w:tabs>
            <w:rPr/>
          </w:pPr>
          <w:hyperlink w:anchor="__RefHeading___Toc2903211_3804643083">
            <w:r>
              <w:rPr>
                <w:webHidden/>
                <w:rStyle w:val="IndexLink"/>
                <w:rtl w:val="true"/>
              </w:rPr>
              <w:t>حكم رجوع به كاهن</w:t>
            </w:r>
            <w:r>
              <w:rPr>
                <w:rStyle w:val="IndexLink"/>
                <w:rtl w:val="true"/>
              </w:rPr>
              <w:tab/>
            </w:r>
            <w:r>
              <w:rPr>
                <w:rStyle w:val="IndexLink"/>
              </w:rPr>
              <w:t>280</w:t>
            </w:r>
          </w:hyperlink>
        </w:p>
        <w:p>
          <w:pPr>
            <w:pStyle w:val="Contents5"/>
            <w:tabs>
              <w:tab w:val="clear" w:pos="7892"/>
              <w:tab w:val="right" w:pos="9026" w:leader="dot"/>
            </w:tabs>
            <w:rPr/>
          </w:pPr>
          <w:hyperlink w:anchor="__RefHeading___Toc2903213_3804643083">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2903215_3804643083">
            <w:r>
              <w:rPr>
                <w:webHidden/>
                <w:rStyle w:val="IndexLink"/>
                <w:rtl w:val="true"/>
              </w:rPr>
              <w:t>ادلّه‌ي حرمت رجوع به كاهن</w:t>
            </w:r>
            <w:r>
              <w:rPr>
                <w:rStyle w:val="IndexLink"/>
                <w:rtl w:val="true"/>
              </w:rPr>
              <w:tab/>
            </w:r>
            <w:r>
              <w:rPr>
                <w:rStyle w:val="IndexLink"/>
              </w:rPr>
              <w:t>280</w:t>
            </w:r>
          </w:hyperlink>
        </w:p>
        <w:p>
          <w:pPr>
            <w:pStyle w:val="Contents6"/>
            <w:tabs>
              <w:tab w:val="clear" w:pos="7609"/>
              <w:tab w:val="right" w:pos="9026" w:leader="dot"/>
            </w:tabs>
            <w:rPr/>
          </w:pPr>
          <w:hyperlink w:anchor="__RefHeading___Toc2903217_3804643083">
            <w:r>
              <w:rPr>
                <w:webHidden/>
                <w:rStyle w:val="IndexLink"/>
              </w:rPr>
              <w:t>1</w:t>
            </w:r>
            <w:r>
              <w:rPr>
                <w:rStyle w:val="IndexLink"/>
                <w:rtl w:val="true"/>
              </w:rPr>
              <w:t xml:space="preserve">. </w:t>
            </w:r>
            <w:r>
              <w:rPr>
                <w:rStyle w:val="IndexLink"/>
                <w:rtl w:val="true"/>
              </w:rPr>
              <w:t>روايت هيثم</w:t>
            </w:r>
            <w:r>
              <w:rPr>
                <w:rStyle w:val="IndexLink"/>
                <w:rtl w:val="true"/>
              </w:rPr>
              <w:t>:</w:t>
              <w:tab/>
            </w:r>
            <w:r>
              <w:rPr>
                <w:rStyle w:val="IndexLink"/>
              </w:rPr>
              <w:t>280</w:t>
            </w:r>
          </w:hyperlink>
        </w:p>
        <w:p>
          <w:pPr>
            <w:pStyle w:val="Contents6"/>
            <w:tabs>
              <w:tab w:val="clear" w:pos="7609"/>
              <w:tab w:val="right" w:pos="9026" w:leader="dot"/>
            </w:tabs>
            <w:rPr/>
          </w:pPr>
          <w:hyperlink w:anchor="__RefHeading___Toc2903219_3804643083">
            <w:r>
              <w:rPr>
                <w:webHidden/>
                <w:rStyle w:val="IndexLink"/>
              </w:rPr>
              <w:t>2</w:t>
            </w:r>
            <w:r>
              <w:rPr>
                <w:rStyle w:val="IndexLink"/>
                <w:rtl w:val="true"/>
              </w:rPr>
              <w:t xml:space="preserve">. </w:t>
            </w:r>
            <w:r>
              <w:rPr>
                <w:rStyle w:val="IndexLink"/>
                <w:rtl w:val="true"/>
              </w:rPr>
              <w:t>رجوع به كاهن مصداق تشويق بر حرام</w:t>
            </w:r>
            <w:r>
              <w:rPr>
                <w:rStyle w:val="IndexLink"/>
                <w:rtl w:val="true"/>
              </w:rPr>
              <w:tab/>
            </w:r>
            <w:r>
              <w:rPr>
                <w:rStyle w:val="IndexLink"/>
              </w:rPr>
              <w:t>283</w:t>
            </w:r>
          </w:hyperlink>
        </w:p>
        <w:p>
          <w:pPr>
            <w:pStyle w:val="Contents5"/>
            <w:tabs>
              <w:tab w:val="clear" w:pos="7892"/>
              <w:tab w:val="right" w:pos="9026" w:leader="dot"/>
            </w:tabs>
            <w:rPr/>
          </w:pPr>
          <w:hyperlink w:anchor="__RefHeading___Toc2903221_3804643083">
            <w:r>
              <w:rPr>
                <w:webHidden/>
                <w:rStyle w:val="IndexLink"/>
                <w:rtl w:val="true"/>
              </w:rPr>
              <w:t>آيا ترتيب اثر به خبر كاهن جايز است؟</w:t>
            </w:r>
            <w:r>
              <w:rPr>
                <w:rStyle w:val="IndexLink"/>
                <w:rtl w:val="true"/>
              </w:rPr>
              <w:tab/>
            </w:r>
            <w:r>
              <w:rPr>
                <w:rStyle w:val="IndexLink"/>
              </w:rPr>
              <w:t>283</w:t>
            </w:r>
          </w:hyperlink>
        </w:p>
        <w:p>
          <w:pPr>
            <w:pStyle w:val="Contents5"/>
            <w:tabs>
              <w:tab w:val="clear" w:pos="7892"/>
              <w:tab w:val="right" w:pos="9026" w:leader="dot"/>
            </w:tabs>
            <w:rPr/>
          </w:pPr>
          <w:hyperlink w:anchor="__RefHeading___Toc2903223_3804643083">
            <w:r>
              <w:rPr>
                <w:webHidden/>
                <w:rStyle w:val="IndexLink"/>
                <w:rtl w:val="true"/>
              </w:rPr>
              <w:t>حكم رجوع به مخبر از غيب بدون ارتباط با شياطين</w:t>
            </w:r>
            <w:r>
              <w:rPr>
                <w:rStyle w:val="IndexLink"/>
                <w:rtl w:val="true"/>
              </w:rPr>
              <w:tab/>
            </w:r>
            <w:r>
              <w:rPr>
                <w:rStyle w:val="IndexLink"/>
              </w:rPr>
              <w:t>285</w:t>
            </w:r>
          </w:hyperlink>
        </w:p>
        <w:p>
          <w:pPr>
            <w:pStyle w:val="Contents6"/>
            <w:tabs>
              <w:tab w:val="clear" w:pos="7609"/>
              <w:tab w:val="right" w:pos="9026" w:leader="dot"/>
            </w:tabs>
            <w:rPr/>
          </w:pPr>
          <w:hyperlink w:anchor="__RefHeading___Toc2903225_3804643083">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2903227_3804643083">
            <w:r>
              <w:rPr>
                <w:webHidden/>
                <w:rStyle w:val="IndexLink"/>
                <w:rtl w:val="true"/>
              </w:rPr>
              <w:t>تمايل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به حرمت مطلق إخبار از غيب و حرمت رفتن نزد وي</w:t>
            </w:r>
            <w:r>
              <w:rPr>
                <w:rStyle w:val="IndexLink"/>
                <w:rtl w:val="true"/>
              </w:rPr>
              <w:tab/>
            </w:r>
            <w:r>
              <w:rPr>
                <w:rStyle w:val="IndexLink"/>
              </w:rPr>
              <w:t>285</w:t>
            </w:r>
          </w:hyperlink>
        </w:p>
        <w:p>
          <w:pPr>
            <w:pStyle w:val="Contents6"/>
            <w:tabs>
              <w:tab w:val="clear" w:pos="7609"/>
              <w:tab w:val="right" w:pos="9026" w:leader="dot"/>
            </w:tabs>
            <w:rPr/>
          </w:pPr>
          <w:hyperlink w:anchor="__RefHeading___Toc2903229_3804643083">
            <w:r>
              <w:rPr>
                <w:webHidden/>
                <w:rStyle w:val="IndexLink"/>
                <w:rtl w:val="true"/>
              </w:rPr>
              <w:t>نقد كلام شيخ</w:t>
            </w:r>
            <w:r>
              <w:rPr>
                <w:rStyle w:val="IndexLink"/>
                <w:rtl w:val="true"/>
              </w:rPr>
              <w:t xml:space="preserve">- </w:t>
            </w:r>
            <w:r>
              <w:rPr>
                <w:rStyle w:val="IndexLink"/>
                <w:rtl w:val="true"/>
              </w:rPr>
              <w:t xml:space="preserve">قدس سره </w:t>
            </w:r>
            <w:r>
              <w:rPr>
                <w:rStyle w:val="IndexLink"/>
                <w:rtl w:val="true"/>
              </w:rPr>
              <w:t>-</w:t>
              <w:tab/>
            </w:r>
            <w:r>
              <w:rPr>
                <w:rStyle w:val="IndexLink"/>
              </w:rPr>
              <w:t>287</w:t>
            </w:r>
          </w:hyperlink>
        </w:p>
        <w:p>
          <w:pPr>
            <w:pStyle w:val="Contents5"/>
            <w:tabs>
              <w:tab w:val="clear" w:pos="7892"/>
              <w:tab w:val="right" w:pos="9026" w:leader="dot"/>
            </w:tabs>
            <w:rPr/>
          </w:pPr>
          <w:hyperlink w:anchor="__RefHeading___Toc2903231_3804643083">
            <w:r>
              <w:rPr>
                <w:webHidden/>
                <w:rStyle w:val="IndexLink"/>
                <w:rtl w:val="true"/>
              </w:rPr>
              <w:t>نظر مختار در حكم إخبار از غيب به غير كهانت و حكم رجوع به او</w:t>
            </w:r>
            <w:r>
              <w:rPr>
                <w:rStyle w:val="IndexLink"/>
                <w:rtl w:val="true"/>
              </w:rPr>
              <w:tab/>
            </w:r>
            <w:r>
              <w:rPr>
                <w:rStyle w:val="IndexLink"/>
              </w:rPr>
              <w:t>288</w:t>
            </w:r>
          </w:hyperlink>
        </w:p>
        <w:p>
          <w:pPr>
            <w:pStyle w:val="Contents2"/>
            <w:tabs>
              <w:tab w:val="clear" w:pos="8743"/>
              <w:tab w:val="right" w:pos="9026" w:leader="dot"/>
            </w:tabs>
            <w:rPr/>
          </w:pPr>
          <w:hyperlink w:anchor="__RefHeading___Toc2903233_3804643083">
            <w:r>
              <w:rPr>
                <w:webHidden/>
                <w:rStyle w:val="IndexLink"/>
                <w:rtl w:val="true"/>
              </w:rPr>
              <w:t>مدح من لا يستحق المدح</w:t>
            </w:r>
            <w:r>
              <w:rPr>
                <w:rStyle w:val="IndexLink"/>
                <w:rtl w:val="true"/>
              </w:rPr>
              <w:tab/>
            </w:r>
            <w:r>
              <w:rPr>
                <w:rStyle w:val="IndexLink"/>
              </w:rPr>
              <w:t>292</w:t>
            </w:r>
          </w:hyperlink>
        </w:p>
        <w:p>
          <w:pPr>
            <w:pStyle w:val="Contents3"/>
            <w:tabs>
              <w:tab w:val="clear" w:pos="8459"/>
              <w:tab w:val="right" w:pos="9026" w:leader="dot"/>
            </w:tabs>
            <w:rPr/>
          </w:pPr>
          <w:hyperlink w:anchor="__RefHeading___Toc2903235_3804643083">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2903237_3804643083">
            <w:r>
              <w:rPr>
                <w:webHidden/>
                <w:rStyle w:val="IndexLink"/>
                <w:rtl w:val="true"/>
              </w:rPr>
              <w:t>المسألة الحادية و العشرون</w:t>
            </w:r>
            <w:r>
              <w:rPr>
                <w:rStyle w:val="IndexLink"/>
                <w:rtl w:val="true"/>
              </w:rPr>
              <w:t xml:space="preserve">: </w:t>
            </w:r>
            <w:r>
              <w:rPr>
                <w:rStyle w:val="IndexLink"/>
                <w:rtl w:val="true"/>
              </w:rPr>
              <w:t>مدح من لا يستحق المدح أو يستحق الذم</w:t>
            </w:r>
            <w:r>
              <w:rPr>
                <w:rStyle w:val="IndexLink"/>
                <w:rtl w:val="true"/>
              </w:rPr>
              <w:tab/>
            </w:r>
            <w:r>
              <w:rPr>
                <w:rStyle w:val="IndexLink"/>
              </w:rPr>
              <w:t>293</w:t>
            </w:r>
          </w:hyperlink>
        </w:p>
        <w:p>
          <w:pPr>
            <w:pStyle w:val="Contents4"/>
            <w:tabs>
              <w:tab w:val="clear" w:pos="8176"/>
              <w:tab w:val="right" w:pos="9026" w:leader="dot"/>
            </w:tabs>
            <w:rPr/>
          </w:pPr>
          <w:hyperlink w:anchor="__RefHeading___Toc2903239_3804643083">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2903241_3804643083">
            <w:r>
              <w:rPr>
                <w:webHidden/>
                <w:rStyle w:val="IndexLink"/>
                <w:rtl w:val="true"/>
              </w:rPr>
              <w:t>حكم مدح غير مستحق مدح يا مستحق ذم</w:t>
            </w:r>
            <w:r>
              <w:rPr>
                <w:rStyle w:val="IndexLink"/>
                <w:rtl w:val="true"/>
              </w:rPr>
              <w:tab/>
            </w:r>
            <w:r>
              <w:rPr>
                <w:rStyle w:val="IndexLink"/>
              </w:rPr>
              <w:t>293</w:t>
            </w:r>
          </w:hyperlink>
        </w:p>
        <w:p>
          <w:pPr>
            <w:pStyle w:val="Contents4"/>
            <w:tabs>
              <w:tab w:val="clear" w:pos="8176"/>
              <w:tab w:val="right" w:pos="9026" w:leader="dot"/>
            </w:tabs>
            <w:rPr/>
          </w:pPr>
          <w:hyperlink w:anchor="__RefHeading___Toc2903243_3804643083">
            <w:r>
              <w:rPr>
                <w:webHidden/>
                <w:rStyle w:val="IndexLink"/>
                <w:rtl w:val="true"/>
              </w:rPr>
              <w:t>ادلّه‌ي حرمت مدح من لايستحق المدح أو يستحق الذم</w:t>
            </w:r>
            <w:r>
              <w:rPr>
                <w:rStyle w:val="IndexLink"/>
                <w:rtl w:val="true"/>
              </w:rPr>
              <w:tab/>
            </w:r>
            <w:r>
              <w:rPr>
                <w:rStyle w:val="IndexLink"/>
              </w:rPr>
              <w:t>295</w:t>
            </w:r>
          </w:hyperlink>
        </w:p>
        <w:p>
          <w:pPr>
            <w:pStyle w:val="Contents5"/>
            <w:tabs>
              <w:tab w:val="clear" w:pos="7892"/>
              <w:tab w:val="right" w:pos="9026" w:leader="dot"/>
            </w:tabs>
            <w:rPr/>
          </w:pPr>
          <w:hyperlink w:anchor="__RefHeading___Toc2903245_3804643083">
            <w:r>
              <w:rPr>
                <w:webHidden/>
                <w:rStyle w:val="IndexLink"/>
              </w:rPr>
              <w:t>1</w:t>
            </w:r>
            <w:r>
              <w:rPr>
                <w:rStyle w:val="IndexLink"/>
                <w:rtl w:val="true"/>
              </w:rPr>
              <w:t xml:space="preserve">. </w:t>
            </w:r>
            <w:r>
              <w:rPr>
                <w:rStyle w:val="IndexLink"/>
                <w:rtl w:val="true"/>
              </w:rPr>
              <w:t>عقل</w:t>
            </w:r>
            <w:r>
              <w:rPr>
                <w:rStyle w:val="IndexLink"/>
                <w:rtl w:val="true"/>
              </w:rPr>
              <w:tab/>
            </w:r>
            <w:r>
              <w:rPr>
                <w:rStyle w:val="IndexLink"/>
              </w:rPr>
              <w:t>295</w:t>
            </w:r>
          </w:hyperlink>
        </w:p>
        <w:p>
          <w:pPr>
            <w:pStyle w:val="Contents6"/>
            <w:tabs>
              <w:tab w:val="clear" w:pos="7609"/>
              <w:tab w:val="right" w:pos="9026" w:leader="dot"/>
            </w:tabs>
            <w:rPr/>
          </w:pPr>
          <w:hyperlink w:anchor="__RefHeading___Toc2903247_3804643083">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2903249_3804643083">
            <w:r>
              <w:rPr>
                <w:webHidden/>
                <w:rStyle w:val="IndexLink"/>
                <w:rtl w:val="true"/>
              </w:rPr>
              <w:t>نقد</w:t>
            </w:r>
            <w:r>
              <w:rPr>
                <w:rStyle w:val="IndexLink"/>
                <w:rtl w:val="true"/>
              </w:rPr>
              <w:tab/>
            </w:r>
            <w:r>
              <w:rPr>
                <w:rStyle w:val="IndexLink"/>
              </w:rPr>
              <w:t>295</w:t>
            </w:r>
          </w:hyperlink>
        </w:p>
        <w:p>
          <w:pPr>
            <w:pStyle w:val="Contents5"/>
            <w:tabs>
              <w:tab w:val="clear" w:pos="7892"/>
              <w:tab w:val="right" w:pos="9026" w:leader="dot"/>
            </w:tabs>
            <w:rPr/>
          </w:pPr>
          <w:hyperlink w:anchor="__RefHeading___Toc2903251_3804643083">
            <w:r>
              <w:rPr>
                <w:webHidden/>
                <w:rStyle w:val="IndexLink"/>
              </w:rPr>
              <w:t>2</w:t>
            </w:r>
            <w:r>
              <w:rPr>
                <w:rStyle w:val="IndexLink"/>
                <w:rtl w:val="true"/>
              </w:rPr>
              <w:t xml:space="preserve">. </w:t>
            </w:r>
            <w:r>
              <w:rPr>
                <w:rStyle w:val="IndexLink"/>
                <w:rtl w:val="true"/>
              </w:rPr>
              <w:t>كتاب</w:t>
            </w:r>
            <w:r>
              <w:rPr>
                <w:rStyle w:val="IndexLink"/>
                <w:rtl w:val="true"/>
              </w:rPr>
              <w:tab/>
            </w:r>
            <w:r>
              <w:rPr>
                <w:rStyle w:val="IndexLink"/>
              </w:rPr>
              <w:t>295</w:t>
            </w:r>
          </w:hyperlink>
        </w:p>
        <w:p>
          <w:pPr>
            <w:pStyle w:val="Contents6"/>
            <w:tabs>
              <w:tab w:val="clear" w:pos="7609"/>
              <w:tab w:val="right" w:pos="9026" w:leader="dot"/>
            </w:tabs>
            <w:rPr/>
          </w:pPr>
          <w:hyperlink w:anchor="__RefHeading___Toc2903253_3804643083">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2903255_3804643083">
            <w:r>
              <w:rPr>
                <w:webHidden/>
                <w:rStyle w:val="IndexLink"/>
                <w:rtl w:val="true"/>
              </w:rPr>
              <w:t>نقد</w:t>
            </w:r>
            <w:r>
              <w:rPr>
                <w:rStyle w:val="IndexLink"/>
                <w:rtl w:val="true"/>
              </w:rPr>
              <w:tab/>
            </w:r>
            <w:r>
              <w:rPr>
                <w:rStyle w:val="IndexLink"/>
              </w:rPr>
              <w:t>296</w:t>
            </w:r>
          </w:hyperlink>
        </w:p>
        <w:p>
          <w:pPr>
            <w:pStyle w:val="Contents5"/>
            <w:tabs>
              <w:tab w:val="clear" w:pos="7892"/>
              <w:tab w:val="right" w:pos="9026" w:leader="dot"/>
            </w:tabs>
            <w:rPr/>
          </w:pPr>
          <w:hyperlink w:anchor="__RefHeading___Toc2903257_3804643083">
            <w:r>
              <w:rPr>
                <w:webHidden/>
                <w:rStyle w:val="IndexLink"/>
              </w:rPr>
              <w:t>3</w:t>
            </w:r>
            <w:r>
              <w:rPr>
                <w:rStyle w:val="IndexLink"/>
                <w:rtl w:val="true"/>
              </w:rPr>
              <w:t xml:space="preserve">. </w:t>
            </w:r>
            <w:r>
              <w:rPr>
                <w:rStyle w:val="IndexLink"/>
                <w:rtl w:val="true"/>
              </w:rPr>
              <w:t>استدلال به روايات</w:t>
            </w:r>
            <w:r>
              <w:rPr>
                <w:rStyle w:val="IndexLink"/>
                <w:rtl w:val="true"/>
              </w:rPr>
              <w:tab/>
            </w:r>
            <w:r>
              <w:rPr>
                <w:rStyle w:val="IndexLink"/>
              </w:rPr>
              <w:t>297</w:t>
            </w:r>
          </w:hyperlink>
        </w:p>
        <w:p>
          <w:pPr>
            <w:pStyle w:val="Contents6"/>
            <w:tabs>
              <w:tab w:val="clear" w:pos="7609"/>
              <w:tab w:val="right" w:pos="9026" w:leader="dot"/>
            </w:tabs>
            <w:rPr/>
          </w:pPr>
          <w:hyperlink w:anchor="__RefHeading___Toc2903259_3804643083">
            <w:r>
              <w:rPr>
                <w:webHidden/>
                <w:rStyle w:val="IndexLink"/>
                <w:rtl w:val="true"/>
              </w:rPr>
              <w:t>ـ روايت أبي هريره و عبدالله بن عباس</w:t>
            </w:r>
            <w:r>
              <w:rPr>
                <w:rStyle w:val="IndexLink"/>
                <w:rtl w:val="true"/>
              </w:rPr>
              <w:t>:</w:t>
              <w:tab/>
            </w:r>
            <w:r>
              <w:rPr>
                <w:rStyle w:val="IndexLink"/>
              </w:rPr>
              <w:t>297</w:t>
            </w:r>
          </w:hyperlink>
        </w:p>
        <w:p>
          <w:pPr>
            <w:pStyle w:val="Contents6"/>
            <w:tabs>
              <w:tab w:val="clear" w:pos="7609"/>
              <w:tab w:val="right" w:pos="9026" w:leader="dot"/>
            </w:tabs>
            <w:rPr/>
          </w:pPr>
          <w:hyperlink w:anchor="__RefHeading___Toc2903261_3804643083">
            <w:r>
              <w:rPr>
                <w:webHidden/>
                <w:rStyle w:val="IndexLink"/>
                <w:rtl w:val="true"/>
              </w:rPr>
              <w:t>نقد دلالت روايت</w:t>
            </w:r>
            <w:r>
              <w:rPr>
                <w:rStyle w:val="IndexLink"/>
                <w:rtl w:val="true"/>
              </w:rPr>
              <w:tab/>
            </w:r>
            <w:r>
              <w:rPr>
                <w:rStyle w:val="IndexLink"/>
              </w:rPr>
              <w:t>298</w:t>
            </w:r>
          </w:hyperlink>
        </w:p>
        <w:p>
          <w:pPr>
            <w:pStyle w:val="Contents6"/>
            <w:tabs>
              <w:tab w:val="clear" w:pos="7609"/>
              <w:tab w:val="right" w:pos="9026" w:leader="dot"/>
            </w:tabs>
            <w:rPr/>
          </w:pPr>
          <w:hyperlink w:anchor="__RefHeading___Toc2903263_3804643083">
            <w:r>
              <w:rPr>
                <w:webHidden/>
                <w:rStyle w:val="IndexLink"/>
                <w:rtl w:val="true"/>
              </w:rPr>
              <w:t>ـ حديث مناهي</w:t>
            </w:r>
            <w:r>
              <w:rPr>
                <w:rStyle w:val="IndexLink"/>
                <w:rtl w:val="true"/>
              </w:rPr>
              <w:tab/>
            </w:r>
            <w:r>
              <w:rPr>
                <w:rStyle w:val="IndexLink"/>
              </w:rPr>
              <w:t>298</w:t>
            </w:r>
          </w:hyperlink>
        </w:p>
        <w:p>
          <w:pPr>
            <w:pStyle w:val="Contents4"/>
            <w:tabs>
              <w:tab w:val="clear" w:pos="8176"/>
              <w:tab w:val="right" w:pos="9026" w:leader="dot"/>
            </w:tabs>
            <w:rPr/>
          </w:pPr>
          <w:hyperlink w:anchor="__RefHeading___Toc2903265_3804643083">
            <w:r>
              <w:rPr>
                <w:webHidden/>
                <w:rStyle w:val="IndexLink"/>
                <w:rtl w:val="true"/>
              </w:rPr>
              <w:t>آيا مدح به جهت دفع شرّ واجب است؟</w:t>
            </w:r>
            <w:r>
              <w:rPr>
                <w:rStyle w:val="IndexLink"/>
                <w:rtl w:val="true"/>
              </w:rPr>
              <w:tab/>
            </w:r>
            <w:r>
              <w:rPr>
                <w:rStyle w:val="IndexLink"/>
              </w:rPr>
              <w:t>303</w:t>
            </w:r>
          </w:hyperlink>
        </w:p>
        <w:p>
          <w:pPr>
            <w:pStyle w:val="Contents5"/>
            <w:tabs>
              <w:tab w:val="clear" w:pos="7892"/>
              <w:tab w:val="right" w:pos="9026" w:leader="dot"/>
            </w:tabs>
            <w:rPr/>
          </w:pPr>
          <w:hyperlink w:anchor="__RefHeading___Toc2903267_3804643083">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2903269_3804643083">
            <w:r>
              <w:rPr>
                <w:webHidden/>
                <w:rStyle w:val="IndexLink"/>
                <w:rtl w:val="true"/>
              </w:rPr>
              <w:t>نكته‌ي اخلاقي پيرامون مدح بي‌جا</w:t>
            </w:r>
            <w:r>
              <w:rPr>
                <w:rStyle w:val="IndexLink"/>
                <w:rtl w:val="true"/>
              </w:rPr>
              <w:tab/>
            </w:r>
            <w:r>
              <w:rPr>
                <w:rStyle w:val="IndexLink"/>
              </w:rPr>
              <w:t>304</w:t>
            </w:r>
          </w:hyperlink>
        </w:p>
        <w:p>
          <w:pPr>
            <w:pStyle w:val="Contents2"/>
            <w:tabs>
              <w:tab w:val="clear" w:pos="8743"/>
              <w:tab w:val="right" w:pos="9026" w:leader="dot"/>
            </w:tabs>
            <w:rPr/>
          </w:pPr>
          <w:hyperlink w:anchor="__RefHeading___Toc2903271_3804643083">
            <w:r>
              <w:rPr>
                <w:webHidden/>
                <w:rStyle w:val="IndexLink"/>
                <w:rtl w:val="true"/>
              </w:rPr>
              <w:t>نَجش</w:t>
            </w:r>
            <w:r>
              <w:rPr>
                <w:rStyle w:val="IndexLink"/>
                <w:rtl w:val="true"/>
              </w:rPr>
              <w:tab/>
            </w:r>
            <w:r>
              <w:rPr>
                <w:rStyle w:val="IndexLink"/>
              </w:rPr>
              <w:t>310</w:t>
            </w:r>
          </w:hyperlink>
        </w:p>
        <w:p>
          <w:pPr>
            <w:pStyle w:val="Contents3"/>
            <w:tabs>
              <w:tab w:val="clear" w:pos="8459"/>
              <w:tab w:val="right" w:pos="9026" w:leader="dot"/>
            </w:tabs>
            <w:rPr/>
          </w:pPr>
          <w:hyperlink w:anchor="__RefHeading___Toc2903273_3804643083">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2903275_3804643083">
            <w:r>
              <w:rPr>
                <w:webHidden/>
                <w:rStyle w:val="IndexLink"/>
                <w:rtl w:val="true"/>
              </w:rPr>
              <w:t>المسألة الثالثة و العشرون</w:t>
            </w:r>
            <w:r>
              <w:rPr>
                <w:rStyle w:val="IndexLink"/>
                <w:rtl w:val="true"/>
              </w:rPr>
              <w:t xml:space="preserve">: </w:t>
            </w:r>
            <w:r>
              <w:rPr>
                <w:rStyle w:val="IndexLink"/>
                <w:rtl w:val="true"/>
              </w:rPr>
              <w:t>النَّجش</w:t>
            </w:r>
            <w:r>
              <w:rPr>
                <w:rStyle w:val="IndexLink"/>
                <w:rtl w:val="true"/>
              </w:rPr>
              <w:tab/>
            </w:r>
            <w:r>
              <w:rPr>
                <w:rStyle w:val="IndexLink"/>
              </w:rPr>
              <w:t>311</w:t>
            </w:r>
          </w:hyperlink>
        </w:p>
        <w:p>
          <w:pPr>
            <w:pStyle w:val="Contents4"/>
            <w:tabs>
              <w:tab w:val="clear" w:pos="8176"/>
              <w:tab w:val="right" w:pos="9026" w:leader="dot"/>
            </w:tabs>
            <w:rPr/>
          </w:pPr>
          <w:hyperlink w:anchor="__RefHeading___Toc2903277_3804643083">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2903279_3804643083">
            <w:r>
              <w:rPr>
                <w:webHidden/>
                <w:rStyle w:val="IndexLink"/>
                <w:rtl w:val="true"/>
              </w:rPr>
              <w:t>روايات مربوط به حرمت نجش</w:t>
            </w:r>
            <w:r>
              <w:rPr>
                <w:rStyle w:val="IndexLink"/>
                <w:rtl w:val="true"/>
              </w:rPr>
              <w:tab/>
            </w:r>
            <w:r>
              <w:rPr>
                <w:rStyle w:val="IndexLink"/>
              </w:rPr>
              <w:t>317</w:t>
            </w:r>
          </w:hyperlink>
        </w:p>
        <w:p>
          <w:pPr>
            <w:pStyle w:val="Contents5"/>
            <w:tabs>
              <w:tab w:val="clear" w:pos="7892"/>
              <w:tab w:val="right" w:pos="9026" w:leader="dot"/>
            </w:tabs>
            <w:rPr/>
          </w:pPr>
          <w:hyperlink w:anchor="__RefHeading___Toc2903281_3804643083">
            <w:r>
              <w:rPr>
                <w:webHidden/>
                <w:rStyle w:val="IndexLink"/>
              </w:rPr>
              <w:t>1</w:t>
            </w:r>
            <w:r>
              <w:rPr>
                <w:rStyle w:val="IndexLink"/>
                <w:rtl w:val="true"/>
              </w:rPr>
              <w:t xml:space="preserve">. </w:t>
            </w:r>
            <w:r>
              <w:rPr>
                <w:rStyle w:val="IndexLink"/>
                <w:rtl w:val="true"/>
              </w:rPr>
              <w:t>روايت عبدالله بن سنان</w:t>
            </w:r>
            <w:r>
              <w:rPr>
                <w:rStyle w:val="IndexLink"/>
                <w:rtl w:val="true"/>
              </w:rPr>
              <w:t>:</w:t>
              <w:tab/>
            </w:r>
            <w:r>
              <w:rPr>
                <w:rStyle w:val="IndexLink"/>
              </w:rPr>
              <w:t>317</w:t>
            </w:r>
          </w:hyperlink>
        </w:p>
        <w:p>
          <w:pPr>
            <w:pStyle w:val="Contents5"/>
            <w:tabs>
              <w:tab w:val="clear" w:pos="7892"/>
              <w:tab w:val="right" w:pos="9026" w:leader="dot"/>
            </w:tabs>
            <w:rPr/>
          </w:pPr>
          <w:hyperlink w:anchor="__RefHeading___Toc2903283_3804643083">
            <w:r>
              <w:rPr>
                <w:webHidden/>
                <w:rStyle w:val="IndexLink"/>
              </w:rPr>
              <w:t>2</w:t>
            </w:r>
            <w:r>
              <w:rPr>
                <w:rStyle w:val="IndexLink"/>
                <w:rtl w:val="true"/>
              </w:rPr>
              <w:t xml:space="preserve">. </w:t>
            </w:r>
            <w:r>
              <w:rPr>
                <w:rStyle w:val="IndexLink"/>
                <w:rtl w:val="true"/>
              </w:rPr>
              <w:t>روايت معاني الأخبار</w:t>
            </w:r>
            <w:r>
              <w:rPr>
                <w:rStyle w:val="IndexLink"/>
                <w:rtl w:val="true"/>
              </w:rPr>
              <w:t>:</w:t>
              <w:tab/>
            </w:r>
            <w:r>
              <w:rPr>
                <w:rStyle w:val="IndexLink"/>
              </w:rPr>
              <w:t>321</w:t>
            </w:r>
          </w:hyperlink>
        </w:p>
        <w:p>
          <w:pPr>
            <w:pStyle w:val="Contents4"/>
            <w:tabs>
              <w:tab w:val="clear" w:pos="8176"/>
              <w:tab w:val="right" w:pos="9026" w:leader="dot"/>
            </w:tabs>
            <w:rPr/>
          </w:pPr>
          <w:hyperlink w:anchor="__RefHeading___Toc2903285_3804643083">
            <w:r>
              <w:rPr>
                <w:webHidden/>
                <w:rStyle w:val="IndexLink"/>
                <w:rtl w:val="true"/>
              </w:rPr>
              <w:t>ادلّه‌ي ديگري بر حرمت نجش</w:t>
            </w:r>
            <w:r>
              <w:rPr>
                <w:rStyle w:val="IndexLink"/>
                <w:rtl w:val="true"/>
              </w:rPr>
              <w:tab/>
            </w:r>
            <w:r>
              <w:rPr>
                <w:rStyle w:val="IndexLink"/>
              </w:rPr>
              <w:t>322</w:t>
            </w:r>
          </w:hyperlink>
        </w:p>
        <w:p>
          <w:pPr>
            <w:pStyle w:val="Contents2"/>
            <w:tabs>
              <w:tab w:val="clear" w:pos="8743"/>
              <w:tab w:val="right" w:pos="9026" w:leader="dot"/>
            </w:tabs>
            <w:rPr/>
          </w:pPr>
          <w:hyperlink w:anchor="__RefHeading___Toc2903287_3804643083">
            <w:r>
              <w:rPr>
                <w:webHidden/>
                <w:rStyle w:val="IndexLink"/>
                <w:rtl w:val="true"/>
              </w:rPr>
              <w:t>نميمه</w:t>
            </w:r>
            <w:r>
              <w:rPr>
                <w:rStyle w:val="IndexLink"/>
                <w:rtl w:val="true"/>
              </w:rPr>
              <w:tab/>
            </w:r>
            <w:r>
              <w:rPr>
                <w:rStyle w:val="IndexLink"/>
              </w:rPr>
              <w:t>325</w:t>
            </w:r>
          </w:hyperlink>
        </w:p>
        <w:p>
          <w:pPr>
            <w:pStyle w:val="Contents3"/>
            <w:tabs>
              <w:tab w:val="clear" w:pos="8459"/>
              <w:tab w:val="right" w:pos="9026" w:leader="dot"/>
            </w:tabs>
            <w:rPr/>
          </w:pPr>
          <w:hyperlink w:anchor="__RefHeading___Toc2903289_3804643083">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2903291_3804643083">
            <w:r>
              <w:rPr>
                <w:webHidden/>
                <w:rStyle w:val="IndexLink"/>
                <w:rtl w:val="true"/>
              </w:rPr>
              <w:t>المسألة الرابعة و العشرون</w:t>
            </w:r>
            <w:r>
              <w:rPr>
                <w:rStyle w:val="IndexLink"/>
                <w:rtl w:val="true"/>
              </w:rPr>
              <w:t xml:space="preserve">: </w:t>
            </w:r>
            <w:r>
              <w:rPr>
                <w:rStyle w:val="IndexLink"/>
                <w:rtl w:val="true"/>
              </w:rPr>
              <w:t>النميمة</w:t>
            </w:r>
            <w:r>
              <w:rPr>
                <w:rStyle w:val="IndexLink"/>
                <w:rtl w:val="true"/>
              </w:rPr>
              <w:tab/>
            </w:r>
            <w:r>
              <w:rPr>
                <w:rStyle w:val="IndexLink"/>
              </w:rPr>
              <w:t>326</w:t>
            </w:r>
          </w:hyperlink>
        </w:p>
        <w:p>
          <w:pPr>
            <w:pStyle w:val="Contents4"/>
            <w:tabs>
              <w:tab w:val="clear" w:pos="8176"/>
              <w:tab w:val="right" w:pos="9026" w:leader="dot"/>
            </w:tabs>
            <w:rPr/>
          </w:pPr>
          <w:hyperlink w:anchor="__RefHeading___Toc2903293_3804643083">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2903295_3804643083">
            <w:r>
              <w:rPr>
                <w:webHidden/>
                <w:rStyle w:val="IndexLink"/>
                <w:rtl w:val="true"/>
              </w:rPr>
              <w:t>استدلال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كبيره بودن نميمه</w:t>
            </w:r>
            <w:r>
              <w:rPr>
                <w:rStyle w:val="IndexLink"/>
                <w:rtl w:val="true"/>
              </w:rPr>
              <w:tab/>
            </w:r>
            <w:r>
              <w:rPr>
                <w:rStyle w:val="IndexLink"/>
              </w:rPr>
              <w:t>328</w:t>
            </w:r>
          </w:hyperlink>
        </w:p>
        <w:p>
          <w:pPr>
            <w:pStyle w:val="Contents5"/>
            <w:tabs>
              <w:tab w:val="clear" w:pos="7892"/>
              <w:tab w:val="right" w:pos="9026" w:leader="dot"/>
            </w:tabs>
            <w:rPr/>
          </w:pPr>
          <w:hyperlink w:anchor="__RefHeading___Toc2903297_3804643083">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2903299_3804643083">
            <w:r>
              <w:rPr>
                <w:webHidden/>
                <w:rStyle w:val="IndexLink"/>
                <w:rtl w:val="true"/>
              </w:rPr>
              <w:t>نقد استدلال شيخ</w:t>
            </w:r>
            <w:r>
              <w:rPr>
                <w:rStyle w:val="IndexLink"/>
                <w:rtl w:val="true"/>
              </w:rPr>
              <w:t xml:space="preserve">- </w:t>
            </w:r>
            <w:r>
              <w:rPr>
                <w:rStyle w:val="IndexLink"/>
                <w:rtl w:val="true"/>
              </w:rPr>
              <w:t xml:space="preserve">قدس سره </w:t>
            </w:r>
            <w:r>
              <w:rPr>
                <w:rStyle w:val="IndexLink"/>
                <w:rtl w:val="true"/>
              </w:rPr>
              <w:t>-</w:t>
              <w:tab/>
            </w:r>
            <w:r>
              <w:rPr>
                <w:rStyle w:val="IndexLink"/>
              </w:rPr>
              <w:t>328</w:t>
            </w:r>
          </w:hyperlink>
        </w:p>
        <w:p>
          <w:pPr>
            <w:pStyle w:val="Contents4"/>
            <w:tabs>
              <w:tab w:val="clear" w:pos="8176"/>
              <w:tab w:val="right" w:pos="9026" w:leader="dot"/>
            </w:tabs>
            <w:rPr/>
          </w:pPr>
          <w:hyperlink w:anchor="__RefHeading___Toc2903301_3804643083">
            <w:r>
              <w:rPr>
                <w:webHidden/>
                <w:rStyle w:val="IndexLink"/>
                <w:rtl w:val="true"/>
              </w:rPr>
              <w:t>استدلال ديگري بر كبيره بودن نميمه</w:t>
            </w:r>
            <w:r>
              <w:rPr>
                <w:rStyle w:val="IndexLink"/>
                <w:rtl w:val="true"/>
              </w:rPr>
              <w:tab/>
            </w:r>
            <w:r>
              <w:rPr>
                <w:rStyle w:val="IndexLink"/>
              </w:rPr>
              <w:t>331</w:t>
            </w:r>
          </w:hyperlink>
        </w:p>
        <w:p>
          <w:pPr>
            <w:pStyle w:val="Contents5"/>
            <w:tabs>
              <w:tab w:val="clear" w:pos="7892"/>
              <w:tab w:val="right" w:pos="9026" w:leader="dot"/>
            </w:tabs>
            <w:rPr/>
          </w:pPr>
          <w:hyperlink w:anchor="__RefHeading___Toc2903303_3804643083">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2903305_3804643083">
            <w:r>
              <w:rPr>
                <w:webHidden/>
                <w:rStyle w:val="IndexLink"/>
                <w:rtl w:val="true"/>
              </w:rPr>
              <w:t>نقد اين استدلال</w:t>
            </w:r>
            <w:r>
              <w:rPr>
                <w:rStyle w:val="IndexLink"/>
                <w:rtl w:val="true"/>
              </w:rPr>
              <w:tab/>
            </w:r>
            <w:r>
              <w:rPr>
                <w:rStyle w:val="IndexLink"/>
              </w:rPr>
              <w:t>332</w:t>
            </w:r>
          </w:hyperlink>
        </w:p>
        <w:p>
          <w:pPr>
            <w:pStyle w:val="Contents4"/>
            <w:tabs>
              <w:tab w:val="clear" w:pos="8176"/>
              <w:tab w:val="right" w:pos="9026" w:leader="dot"/>
            </w:tabs>
            <w:rPr/>
          </w:pPr>
          <w:hyperlink w:anchor="__RefHeading___Toc2903307_3804643083">
            <w:r>
              <w:rPr>
                <w:webHidden/>
                <w:rStyle w:val="IndexLink"/>
                <w:rtl w:val="true"/>
              </w:rPr>
              <w:t>روايات دالّ بر حرمت نميمه</w:t>
            </w:r>
            <w:r>
              <w:rPr>
                <w:rStyle w:val="IndexLink"/>
                <w:rtl w:val="true"/>
              </w:rPr>
              <w:tab/>
            </w:r>
            <w:r>
              <w:rPr>
                <w:rStyle w:val="IndexLink"/>
              </w:rPr>
              <w:t>333</w:t>
            </w:r>
          </w:hyperlink>
        </w:p>
        <w:p>
          <w:pPr>
            <w:pStyle w:val="Contents5"/>
            <w:tabs>
              <w:tab w:val="clear" w:pos="7892"/>
              <w:tab w:val="right" w:pos="9026" w:leader="dot"/>
            </w:tabs>
            <w:rPr/>
          </w:pPr>
          <w:hyperlink w:anchor="__RefHeading___Toc2903309_3804643083">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2903311_3804643083">
            <w:r>
              <w:rPr>
                <w:webHidden/>
                <w:rStyle w:val="IndexLink"/>
                <w:rtl w:val="true"/>
              </w:rPr>
              <w:t>ـ صحيحه‌ي عبدالله بن سنان</w:t>
            </w:r>
            <w:r>
              <w:rPr>
                <w:rStyle w:val="IndexLink"/>
                <w:rtl w:val="true"/>
              </w:rPr>
              <w:t>:</w:t>
              <w:tab/>
            </w:r>
            <w:r>
              <w:rPr>
                <w:rStyle w:val="IndexLink"/>
              </w:rPr>
              <w:t>333</w:t>
            </w:r>
          </w:hyperlink>
        </w:p>
        <w:p>
          <w:pPr>
            <w:pStyle w:val="Contents5"/>
            <w:tabs>
              <w:tab w:val="clear" w:pos="7892"/>
              <w:tab w:val="right" w:pos="9026" w:leader="dot"/>
            </w:tabs>
            <w:rPr/>
          </w:pPr>
          <w:hyperlink w:anchor="__RefHeading___Toc2903313_3804643083">
            <w:r>
              <w:rPr>
                <w:webHidden/>
                <w:rStyle w:val="IndexLink"/>
                <w:rtl w:val="true"/>
              </w:rPr>
              <w:t>ـ روايت محمد بن قيس</w:t>
            </w:r>
            <w:r>
              <w:rPr>
                <w:rStyle w:val="IndexLink"/>
                <w:rtl w:val="true"/>
              </w:rPr>
              <w:t>:</w:t>
              <w:tab/>
            </w:r>
            <w:r>
              <w:rPr>
                <w:rStyle w:val="IndexLink"/>
              </w:rPr>
              <w:t>334</w:t>
            </w:r>
          </w:hyperlink>
        </w:p>
        <w:p>
          <w:pPr>
            <w:pStyle w:val="Contents5"/>
            <w:tabs>
              <w:tab w:val="clear" w:pos="7892"/>
              <w:tab w:val="right" w:pos="9026" w:leader="dot"/>
            </w:tabs>
            <w:rPr/>
          </w:pPr>
          <w:hyperlink w:anchor="__RefHeading___Toc2903315_3804643083">
            <w:r>
              <w:rPr>
                <w:webHidden/>
                <w:rStyle w:val="IndexLink"/>
                <w:rtl w:val="true"/>
              </w:rPr>
              <w:t>ـ روايت أبو هريره و عبدالله بن عباس</w:t>
            </w:r>
            <w:r>
              <w:rPr>
                <w:rStyle w:val="IndexLink"/>
                <w:rtl w:val="true"/>
              </w:rPr>
              <w:t>:</w:t>
              <w:tab/>
            </w:r>
            <w:r>
              <w:rPr>
                <w:rStyle w:val="IndexLink"/>
              </w:rPr>
              <w:t>336</w:t>
            </w:r>
          </w:hyperlink>
        </w:p>
        <w:p>
          <w:pPr>
            <w:pStyle w:val="Contents4"/>
            <w:tabs>
              <w:tab w:val="clear" w:pos="8176"/>
              <w:tab w:val="right" w:pos="9026" w:leader="dot"/>
            </w:tabs>
            <w:rPr/>
          </w:pPr>
          <w:hyperlink w:anchor="__RefHeading___Toc2903317_3804643083">
            <w:r>
              <w:rPr>
                <w:webHidden/>
                <w:rStyle w:val="IndexLink"/>
                <w:rtl w:val="true"/>
              </w:rPr>
              <w:t>جواز يا وجوب نمامي در بعضي موارد</w:t>
            </w:r>
            <w:r>
              <w:rPr>
                <w:rStyle w:val="IndexLink"/>
                <w:rtl w:val="true"/>
              </w:rPr>
              <w:tab/>
            </w:r>
            <w:r>
              <w:rPr>
                <w:rStyle w:val="IndexLink"/>
              </w:rPr>
              <w:t>337</w:t>
            </w:r>
          </w:hyperlink>
        </w:p>
        <w:p>
          <w:pPr>
            <w:pStyle w:val="Contents2"/>
            <w:tabs>
              <w:tab w:val="clear" w:pos="8743"/>
              <w:tab w:val="right" w:pos="9026" w:leader="dot"/>
            </w:tabs>
            <w:rPr/>
          </w:pPr>
          <w:hyperlink w:anchor="__RefHeading___Toc2903319_3804643083">
            <w:r>
              <w:rPr>
                <w:webHidden/>
                <w:rStyle w:val="IndexLink"/>
                <w:rtl w:val="true"/>
              </w:rPr>
              <w:t>نوح به باطل</w:t>
            </w:r>
            <w:r>
              <w:rPr>
                <w:rStyle w:val="IndexLink"/>
                <w:rtl w:val="true"/>
              </w:rPr>
              <w:tab/>
            </w:r>
            <w:r>
              <w:rPr>
                <w:rStyle w:val="IndexLink"/>
              </w:rPr>
              <w:t>339</w:t>
            </w:r>
          </w:hyperlink>
        </w:p>
        <w:p>
          <w:pPr>
            <w:pStyle w:val="Contents3"/>
            <w:tabs>
              <w:tab w:val="clear" w:pos="8459"/>
              <w:tab w:val="right" w:pos="9026" w:leader="dot"/>
            </w:tabs>
            <w:rPr/>
          </w:pPr>
          <w:hyperlink w:anchor="__RefHeading___Toc2903321_3804643083">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2903323_3804643083">
            <w:r>
              <w:rPr>
                <w:webHidden/>
                <w:rStyle w:val="IndexLink"/>
                <w:rtl w:val="true"/>
              </w:rPr>
              <w:t>المسألة الخامسة و العشرون</w:t>
            </w:r>
            <w:r>
              <w:rPr>
                <w:rStyle w:val="IndexLink"/>
                <w:rtl w:val="true"/>
              </w:rPr>
              <w:t xml:space="preserve">: </w:t>
            </w:r>
            <w:r>
              <w:rPr>
                <w:rStyle w:val="IndexLink"/>
                <w:rtl w:val="true"/>
              </w:rPr>
              <w:t>النوح بالباطل</w:t>
            </w:r>
            <w:r>
              <w:rPr>
                <w:rStyle w:val="IndexLink"/>
                <w:rtl w:val="true"/>
              </w:rPr>
              <w:tab/>
            </w:r>
            <w:r>
              <w:rPr>
                <w:rStyle w:val="IndexLink"/>
              </w:rPr>
              <w:t>340</w:t>
            </w:r>
          </w:hyperlink>
        </w:p>
        <w:p>
          <w:pPr>
            <w:pStyle w:val="Contents4"/>
            <w:tabs>
              <w:tab w:val="clear" w:pos="8176"/>
              <w:tab w:val="right" w:pos="9026" w:leader="dot"/>
            </w:tabs>
            <w:rPr/>
          </w:pPr>
          <w:hyperlink w:anchor="__RefHeading___Toc2903325_3804643083">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2903327_3804643083">
            <w:r>
              <w:rPr>
                <w:webHidden/>
                <w:rStyle w:val="IndexLink"/>
                <w:rtl w:val="true"/>
              </w:rPr>
              <w:t>اقوال در حكم نوح</w:t>
            </w:r>
            <w:r>
              <w:rPr>
                <w:rStyle w:val="IndexLink"/>
                <w:rtl w:val="true"/>
              </w:rPr>
              <w:tab/>
            </w:r>
            <w:r>
              <w:rPr>
                <w:rStyle w:val="IndexLink"/>
              </w:rPr>
              <w:t>343</w:t>
            </w:r>
          </w:hyperlink>
        </w:p>
        <w:p>
          <w:pPr>
            <w:pStyle w:val="Contents4"/>
            <w:tabs>
              <w:tab w:val="clear" w:pos="8176"/>
              <w:tab w:val="right" w:pos="9026" w:leader="dot"/>
            </w:tabs>
            <w:rPr/>
          </w:pPr>
          <w:hyperlink w:anchor="__RefHeading___Toc2903329_3804643083">
            <w:r>
              <w:rPr>
                <w:webHidden/>
                <w:rStyle w:val="IndexLink"/>
                <w:rtl w:val="true"/>
              </w:rPr>
              <w:t>روايات مربوط به نياحت</w:t>
            </w:r>
            <w:r>
              <w:rPr>
                <w:rStyle w:val="IndexLink"/>
                <w:rtl w:val="true"/>
              </w:rPr>
              <w:tab/>
            </w:r>
            <w:r>
              <w:rPr>
                <w:rStyle w:val="IndexLink"/>
              </w:rPr>
              <w:t>347</w:t>
            </w:r>
          </w:hyperlink>
        </w:p>
        <w:p>
          <w:pPr>
            <w:pStyle w:val="Contents5"/>
            <w:tabs>
              <w:tab w:val="clear" w:pos="7892"/>
              <w:tab w:val="right" w:pos="9026" w:leader="dot"/>
            </w:tabs>
            <w:rPr/>
          </w:pPr>
          <w:hyperlink w:anchor="__RefHeading___Toc2903331_3804643083">
            <w:r>
              <w:rPr>
                <w:webHidden/>
                <w:rStyle w:val="IndexLink"/>
                <w:rtl w:val="true"/>
              </w:rPr>
              <w:t>دسته‌ي اوّل</w:t>
            </w:r>
            <w:r>
              <w:rPr>
                <w:rStyle w:val="IndexLink"/>
                <w:rtl w:val="true"/>
              </w:rPr>
              <w:t>: (</w:t>
            </w:r>
            <w:r>
              <w:rPr>
                <w:rStyle w:val="IndexLink"/>
                <w:rtl w:val="true"/>
              </w:rPr>
              <w:t>روايات دالّ بر حرمت نياحت</w:t>
            </w:r>
            <w:r>
              <w:rPr>
                <w:rStyle w:val="IndexLink"/>
                <w:rtl w:val="true"/>
              </w:rPr>
              <w:t>)</w:t>
              <w:tab/>
            </w:r>
            <w:r>
              <w:rPr>
                <w:rStyle w:val="IndexLink"/>
              </w:rPr>
              <w:t>347</w:t>
            </w:r>
          </w:hyperlink>
        </w:p>
        <w:p>
          <w:pPr>
            <w:pStyle w:val="Contents6"/>
            <w:tabs>
              <w:tab w:val="clear" w:pos="7609"/>
              <w:tab w:val="right" w:pos="9026" w:leader="dot"/>
            </w:tabs>
            <w:rPr/>
          </w:pPr>
          <w:hyperlink w:anchor="__RefHeading___Toc2903333_3804643083">
            <w:r>
              <w:rPr>
                <w:webHidden/>
                <w:rStyle w:val="IndexLink"/>
                <w:rtl w:val="true"/>
              </w:rPr>
              <w:t>ـ روايت عمران الزعفراني</w:t>
            </w:r>
            <w:r>
              <w:rPr>
                <w:rStyle w:val="IndexLink"/>
                <w:rtl w:val="true"/>
              </w:rPr>
              <w:t>:</w:t>
              <w:tab/>
            </w:r>
            <w:r>
              <w:rPr>
                <w:rStyle w:val="IndexLink"/>
              </w:rPr>
              <w:t>347</w:t>
            </w:r>
          </w:hyperlink>
        </w:p>
        <w:p>
          <w:pPr>
            <w:pStyle w:val="Contents6"/>
            <w:tabs>
              <w:tab w:val="clear" w:pos="7609"/>
              <w:tab w:val="right" w:pos="9026" w:leader="dot"/>
            </w:tabs>
            <w:rPr/>
          </w:pPr>
          <w:hyperlink w:anchor="__RefHeading___Toc2903335_3804643083">
            <w:r>
              <w:rPr>
                <w:webHidden/>
                <w:rStyle w:val="IndexLink"/>
                <w:rtl w:val="true"/>
              </w:rPr>
              <w:t>ـ روايت صدوق در الخصال</w:t>
            </w:r>
            <w:r>
              <w:rPr>
                <w:rStyle w:val="IndexLink"/>
                <w:rtl w:val="true"/>
              </w:rPr>
              <w:t>:</w:t>
              <w:tab/>
            </w:r>
            <w:r>
              <w:rPr>
                <w:rStyle w:val="IndexLink"/>
              </w:rPr>
              <w:t>350</w:t>
            </w:r>
          </w:hyperlink>
        </w:p>
        <w:p>
          <w:pPr>
            <w:pStyle w:val="Contents6"/>
            <w:tabs>
              <w:tab w:val="clear" w:pos="7609"/>
              <w:tab w:val="right" w:pos="9026" w:leader="dot"/>
            </w:tabs>
            <w:rPr/>
          </w:pPr>
          <w:hyperlink w:anchor="__RefHeading___Toc2903337_3804643083">
            <w:r>
              <w:rPr>
                <w:webHidden/>
                <w:rStyle w:val="IndexLink"/>
                <w:rtl w:val="true"/>
              </w:rPr>
              <w:t>ـ حديث مناهي</w:t>
            </w:r>
            <w:r>
              <w:rPr>
                <w:rStyle w:val="IndexLink"/>
                <w:rtl w:val="true"/>
              </w:rPr>
              <w:t>:</w:t>
              <w:tab/>
            </w:r>
            <w:r>
              <w:rPr>
                <w:rStyle w:val="IndexLink"/>
              </w:rPr>
              <w:t>353</w:t>
            </w:r>
          </w:hyperlink>
        </w:p>
        <w:p>
          <w:pPr>
            <w:pStyle w:val="Contents5"/>
            <w:tabs>
              <w:tab w:val="clear" w:pos="7892"/>
              <w:tab w:val="right" w:pos="9026" w:leader="dot"/>
            </w:tabs>
            <w:rPr/>
          </w:pPr>
          <w:hyperlink w:anchor="__RefHeading___Toc2903339_3804643083">
            <w:r>
              <w:rPr>
                <w:webHidden/>
                <w:rStyle w:val="IndexLink"/>
                <w:rtl w:val="true"/>
              </w:rPr>
              <w:t>دسته‌ي دوم</w:t>
            </w:r>
            <w:r>
              <w:rPr>
                <w:rStyle w:val="IndexLink"/>
                <w:rtl w:val="true"/>
              </w:rPr>
              <w:t>: (</w:t>
            </w:r>
            <w:r>
              <w:rPr>
                <w:rStyle w:val="IndexLink"/>
                <w:rtl w:val="true"/>
              </w:rPr>
              <w:t>روايات دالّ بر كراهت نوح</w:t>
            </w:r>
            <w:r>
              <w:rPr>
                <w:rStyle w:val="IndexLink"/>
                <w:rtl w:val="true"/>
              </w:rPr>
              <w:t>)</w:t>
              <w:tab/>
            </w:r>
            <w:r>
              <w:rPr>
                <w:rStyle w:val="IndexLink"/>
              </w:rPr>
              <w:t>354</w:t>
            </w:r>
          </w:hyperlink>
        </w:p>
        <w:p>
          <w:pPr>
            <w:pStyle w:val="Contents6"/>
            <w:tabs>
              <w:tab w:val="clear" w:pos="7609"/>
              <w:tab w:val="right" w:pos="9026" w:leader="dot"/>
            </w:tabs>
            <w:rPr/>
          </w:pPr>
          <w:hyperlink w:anchor="__RefHeading___Toc2903341_3804643083">
            <w:r>
              <w:rPr>
                <w:webHidden/>
                <w:rStyle w:val="IndexLink"/>
                <w:rtl w:val="true"/>
              </w:rPr>
              <w:t>اشاره</w:t>
            </w:r>
            <w:r>
              <w:rPr>
                <w:rStyle w:val="IndexLink"/>
                <w:rtl w:val="true"/>
              </w:rPr>
              <w:tab/>
            </w:r>
            <w:r>
              <w:rPr>
                <w:rStyle w:val="IndexLink"/>
              </w:rPr>
              <w:t>354</w:t>
            </w:r>
          </w:hyperlink>
        </w:p>
        <w:p>
          <w:pPr>
            <w:pStyle w:val="Contents6"/>
            <w:tabs>
              <w:tab w:val="clear" w:pos="7609"/>
              <w:tab w:val="right" w:pos="9026" w:leader="dot"/>
            </w:tabs>
            <w:rPr/>
          </w:pPr>
          <w:hyperlink w:anchor="__RefHeading___Toc2903343_3804643083">
            <w:r>
              <w:rPr>
                <w:webHidden/>
                <w:rStyle w:val="IndexLink"/>
                <w:rtl w:val="true"/>
              </w:rPr>
              <w:t>ـ صحيحه‌ي علي بن جعفر</w:t>
            </w:r>
            <w:r>
              <w:rPr>
                <w:rStyle w:val="IndexLink"/>
                <w:rtl w:val="true"/>
              </w:rPr>
              <w:t>:</w:t>
              <w:tab/>
            </w:r>
            <w:r>
              <w:rPr>
                <w:rStyle w:val="IndexLink"/>
              </w:rPr>
              <w:t>355</w:t>
            </w:r>
          </w:hyperlink>
        </w:p>
        <w:p>
          <w:pPr>
            <w:pStyle w:val="Contents6"/>
            <w:tabs>
              <w:tab w:val="clear" w:pos="7609"/>
              <w:tab w:val="right" w:pos="9026" w:leader="dot"/>
            </w:tabs>
            <w:rPr/>
          </w:pPr>
          <w:hyperlink w:anchor="__RefHeading___Toc2903345_3804643083">
            <w:r>
              <w:rPr>
                <w:webHidden/>
                <w:rStyle w:val="IndexLink"/>
                <w:rtl w:val="true"/>
              </w:rPr>
              <w:t>ـ روايت علي بن جعفر</w:t>
            </w:r>
            <w:r>
              <w:rPr>
                <w:rStyle w:val="IndexLink"/>
                <w:rtl w:val="true"/>
              </w:rPr>
              <w:t>:</w:t>
              <w:tab/>
            </w:r>
            <w:r>
              <w:rPr>
                <w:rStyle w:val="IndexLink"/>
              </w:rPr>
              <w:t>356</w:t>
            </w:r>
          </w:hyperlink>
        </w:p>
        <w:p>
          <w:pPr>
            <w:pStyle w:val="Contents5"/>
            <w:tabs>
              <w:tab w:val="clear" w:pos="7892"/>
              <w:tab w:val="right" w:pos="9026" w:leader="dot"/>
            </w:tabs>
            <w:rPr/>
          </w:pPr>
          <w:hyperlink w:anchor="__RefHeading___Toc2903347_3804643083">
            <w:r>
              <w:rPr>
                <w:webHidden/>
                <w:rStyle w:val="IndexLink"/>
                <w:rtl w:val="true"/>
              </w:rPr>
              <w:t>دسته‌ي سوم</w:t>
            </w:r>
            <w:r>
              <w:rPr>
                <w:rStyle w:val="IndexLink"/>
                <w:rtl w:val="true"/>
              </w:rPr>
              <w:t>: (</w:t>
            </w:r>
            <w:r>
              <w:rPr>
                <w:rStyle w:val="IndexLink"/>
                <w:rtl w:val="true"/>
              </w:rPr>
              <w:t>روايات اجر نائحه</w:t>
            </w:r>
            <w:r>
              <w:rPr>
                <w:rStyle w:val="IndexLink"/>
                <w:rtl w:val="true"/>
              </w:rPr>
              <w:t>)</w:t>
              <w:tab/>
            </w:r>
            <w:r>
              <w:rPr>
                <w:rStyle w:val="IndexLink"/>
              </w:rPr>
              <w:t>356</w:t>
            </w:r>
          </w:hyperlink>
        </w:p>
        <w:p>
          <w:pPr>
            <w:pStyle w:val="Contents6"/>
            <w:tabs>
              <w:tab w:val="clear" w:pos="7609"/>
              <w:tab w:val="right" w:pos="9026" w:leader="dot"/>
            </w:tabs>
            <w:rPr/>
          </w:pPr>
          <w:hyperlink w:anchor="__RefHeading___Toc2903349_3804643083">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2903351_3804643083">
            <w:r>
              <w:rPr>
                <w:webHidden/>
                <w:rStyle w:val="IndexLink"/>
                <w:rtl w:val="true"/>
              </w:rPr>
              <w:t>ـ موثقه‌ي سماعة</w:t>
            </w:r>
            <w:r>
              <w:rPr>
                <w:rStyle w:val="IndexLink"/>
                <w:rtl w:val="true"/>
              </w:rPr>
              <w:t>:</w:t>
              <w:tab/>
            </w:r>
            <w:r>
              <w:rPr>
                <w:rStyle w:val="IndexLink"/>
              </w:rPr>
              <w:t>357</w:t>
            </w:r>
          </w:hyperlink>
        </w:p>
        <w:p>
          <w:pPr>
            <w:pStyle w:val="Contents5"/>
            <w:tabs>
              <w:tab w:val="clear" w:pos="7892"/>
              <w:tab w:val="right" w:pos="9026" w:leader="dot"/>
            </w:tabs>
            <w:rPr/>
          </w:pPr>
          <w:hyperlink w:anchor="__RefHeading___Toc2903353_3804643083">
            <w:r>
              <w:rPr>
                <w:webHidden/>
                <w:rStyle w:val="IndexLink"/>
                <w:rtl w:val="true"/>
              </w:rPr>
              <w:t>دسته‌ي چهارم</w:t>
            </w:r>
            <w:r>
              <w:rPr>
                <w:rStyle w:val="IndexLink"/>
                <w:rtl w:val="true"/>
              </w:rPr>
              <w:t>: (</w:t>
            </w:r>
            <w:r>
              <w:rPr>
                <w:rStyle w:val="IndexLink"/>
                <w:rtl w:val="true"/>
              </w:rPr>
              <w:t>روايات عدم جواز مشارطه در اجرت نياحت</w:t>
            </w:r>
            <w:r>
              <w:rPr>
                <w:rStyle w:val="IndexLink"/>
                <w:rtl w:val="true"/>
              </w:rPr>
              <w:t>)</w:t>
              <w:tab/>
            </w:r>
            <w:r>
              <w:rPr>
                <w:rStyle w:val="IndexLink"/>
              </w:rPr>
              <w:t>358</w:t>
            </w:r>
          </w:hyperlink>
        </w:p>
        <w:p>
          <w:pPr>
            <w:pStyle w:val="Contents6"/>
            <w:tabs>
              <w:tab w:val="clear" w:pos="7609"/>
              <w:tab w:val="right" w:pos="9026" w:leader="dot"/>
            </w:tabs>
            <w:rPr/>
          </w:pPr>
          <w:hyperlink w:anchor="__RefHeading___Toc2903355_3804643083">
            <w:r>
              <w:rPr>
                <w:webHidden/>
                <w:rStyle w:val="IndexLink"/>
                <w:rtl w:val="true"/>
              </w:rPr>
              <w:t>اشاره</w:t>
            </w:r>
            <w:r>
              <w:rPr>
                <w:rStyle w:val="IndexLink"/>
                <w:rtl w:val="true"/>
              </w:rPr>
              <w:tab/>
            </w:r>
            <w:r>
              <w:rPr>
                <w:rStyle w:val="IndexLink"/>
              </w:rPr>
              <w:t>358</w:t>
            </w:r>
          </w:hyperlink>
        </w:p>
        <w:p>
          <w:pPr>
            <w:pStyle w:val="Contents6"/>
            <w:tabs>
              <w:tab w:val="clear" w:pos="7609"/>
              <w:tab w:val="right" w:pos="9026" w:leader="dot"/>
            </w:tabs>
            <w:rPr/>
          </w:pPr>
          <w:hyperlink w:anchor="__RefHeading___Toc2903357_3804643083">
            <w:r>
              <w:rPr>
                <w:webHidden/>
                <w:rStyle w:val="IndexLink"/>
                <w:rtl w:val="true"/>
              </w:rPr>
              <w:t>ـ موثقه‌ي حنان بن سدير</w:t>
            </w:r>
            <w:r>
              <w:rPr>
                <w:rStyle w:val="IndexLink"/>
                <w:rtl w:val="true"/>
              </w:rPr>
              <w:t>:</w:t>
              <w:tab/>
            </w:r>
            <w:r>
              <w:rPr>
                <w:rStyle w:val="IndexLink"/>
              </w:rPr>
              <w:t>358</w:t>
            </w:r>
          </w:hyperlink>
        </w:p>
        <w:p>
          <w:pPr>
            <w:pStyle w:val="Contents5"/>
            <w:tabs>
              <w:tab w:val="clear" w:pos="7892"/>
              <w:tab w:val="right" w:pos="9026" w:leader="dot"/>
            </w:tabs>
            <w:rPr/>
          </w:pPr>
          <w:hyperlink w:anchor="__RefHeading___Toc2903359_3804643083">
            <w:r>
              <w:rPr>
                <w:webHidden/>
                <w:rStyle w:val="IndexLink"/>
                <w:rtl w:val="true"/>
              </w:rPr>
              <w:t>دسته‌ي پنجم</w:t>
            </w:r>
            <w:r>
              <w:rPr>
                <w:rStyle w:val="IndexLink"/>
                <w:rtl w:val="true"/>
              </w:rPr>
              <w:t>: (</w:t>
            </w:r>
            <w:r>
              <w:rPr>
                <w:rStyle w:val="IndexLink"/>
                <w:rtl w:val="true"/>
              </w:rPr>
              <w:t>روايات جواز نياحت</w:t>
            </w:r>
            <w:r>
              <w:rPr>
                <w:rStyle w:val="IndexLink"/>
                <w:rtl w:val="true"/>
              </w:rPr>
              <w:t>)</w:t>
              <w:tab/>
            </w:r>
            <w:r>
              <w:rPr>
                <w:rStyle w:val="IndexLink"/>
              </w:rPr>
              <w:t>362</w:t>
            </w:r>
          </w:hyperlink>
        </w:p>
        <w:p>
          <w:pPr>
            <w:pStyle w:val="Contents6"/>
            <w:tabs>
              <w:tab w:val="clear" w:pos="7609"/>
              <w:tab w:val="right" w:pos="9026" w:leader="dot"/>
            </w:tabs>
            <w:rPr/>
          </w:pPr>
          <w:hyperlink w:anchor="__RefHeading___Toc2903361_3804643083">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2903363_3804643083">
            <w:r>
              <w:rPr>
                <w:webHidden/>
                <w:rStyle w:val="IndexLink"/>
                <w:rtl w:val="true"/>
              </w:rPr>
              <w:t>ـ صحيحه‌ي يونس بن يعقوب</w:t>
            </w:r>
            <w:r>
              <w:rPr>
                <w:rStyle w:val="IndexLink"/>
                <w:rtl w:val="true"/>
              </w:rPr>
              <w:t>:</w:t>
              <w:tab/>
            </w:r>
            <w:r>
              <w:rPr>
                <w:rStyle w:val="IndexLink"/>
              </w:rPr>
              <w:t>362</w:t>
            </w:r>
          </w:hyperlink>
        </w:p>
        <w:p>
          <w:pPr>
            <w:pStyle w:val="Contents6"/>
            <w:tabs>
              <w:tab w:val="clear" w:pos="7609"/>
              <w:tab w:val="right" w:pos="9026" w:leader="dot"/>
            </w:tabs>
            <w:rPr/>
          </w:pPr>
          <w:hyperlink w:anchor="__RefHeading___Toc2903365_3804643083">
            <w:r>
              <w:rPr>
                <w:webHidden/>
                <w:rStyle w:val="IndexLink"/>
                <w:rtl w:val="true"/>
              </w:rPr>
              <w:t>ـ صحيحه‌ي ابي حمزه‌ي ثمالي</w:t>
            </w:r>
            <w:r>
              <w:rPr>
                <w:rStyle w:val="IndexLink"/>
                <w:rtl w:val="true"/>
              </w:rPr>
              <w:t>:</w:t>
              <w:tab/>
            </w:r>
            <w:r>
              <w:rPr>
                <w:rStyle w:val="IndexLink"/>
              </w:rPr>
              <w:t>364</w:t>
            </w:r>
          </w:hyperlink>
        </w:p>
        <w:p>
          <w:pPr>
            <w:pStyle w:val="Contents5"/>
            <w:tabs>
              <w:tab w:val="clear" w:pos="7892"/>
              <w:tab w:val="right" w:pos="9026" w:leader="dot"/>
            </w:tabs>
            <w:rPr/>
          </w:pPr>
          <w:hyperlink w:anchor="__RefHeading___Toc2903367_3804643083">
            <w:r>
              <w:rPr>
                <w:webHidden/>
                <w:rStyle w:val="IndexLink"/>
                <w:rtl w:val="true"/>
              </w:rPr>
              <w:t>دسته‌ي ششم</w:t>
            </w:r>
            <w:r>
              <w:rPr>
                <w:rStyle w:val="IndexLink"/>
                <w:rtl w:val="true"/>
              </w:rPr>
              <w:t>: (</w:t>
            </w:r>
            <w:r>
              <w:rPr>
                <w:rStyle w:val="IndexLink"/>
                <w:rtl w:val="true"/>
              </w:rPr>
              <w:t>روايات جواز اجرت نياحت</w:t>
            </w:r>
            <w:r>
              <w:rPr>
                <w:rStyle w:val="IndexLink"/>
                <w:rtl w:val="true"/>
              </w:rPr>
              <w:t>)</w:t>
              <w:tab/>
            </w:r>
            <w:r>
              <w:rPr>
                <w:rStyle w:val="IndexLink"/>
              </w:rPr>
              <w:t>365</w:t>
            </w:r>
          </w:hyperlink>
        </w:p>
        <w:p>
          <w:pPr>
            <w:pStyle w:val="Contents6"/>
            <w:tabs>
              <w:tab w:val="clear" w:pos="7609"/>
              <w:tab w:val="right" w:pos="9026" w:leader="dot"/>
            </w:tabs>
            <w:rPr/>
          </w:pPr>
          <w:hyperlink w:anchor="__RefHeading___Toc2903369_3804643083">
            <w:r>
              <w:rPr>
                <w:webHidden/>
                <w:rStyle w:val="IndexLink"/>
                <w:rtl w:val="true"/>
              </w:rPr>
              <w:t>اشاره</w:t>
            </w:r>
            <w:r>
              <w:rPr>
                <w:rStyle w:val="IndexLink"/>
                <w:rtl w:val="true"/>
              </w:rPr>
              <w:tab/>
            </w:r>
            <w:r>
              <w:rPr>
                <w:rStyle w:val="IndexLink"/>
              </w:rPr>
              <w:t>365</w:t>
            </w:r>
          </w:hyperlink>
        </w:p>
        <w:p>
          <w:pPr>
            <w:pStyle w:val="Contents6"/>
            <w:tabs>
              <w:tab w:val="clear" w:pos="7609"/>
              <w:tab w:val="right" w:pos="9026" w:leader="dot"/>
            </w:tabs>
            <w:rPr/>
          </w:pPr>
          <w:hyperlink w:anchor="__RefHeading___Toc2903371_3804643083">
            <w:r>
              <w:rPr>
                <w:webHidden/>
                <w:rStyle w:val="IndexLink"/>
                <w:rtl w:val="true"/>
              </w:rPr>
              <w:t>ـ صحيحه‌ي ابي بصير</w:t>
            </w:r>
            <w:r>
              <w:rPr>
                <w:rStyle w:val="IndexLink"/>
                <w:rtl w:val="true"/>
              </w:rPr>
              <w:t>:</w:t>
              <w:tab/>
            </w:r>
            <w:r>
              <w:rPr>
                <w:rStyle w:val="IndexLink"/>
              </w:rPr>
              <w:t>366</w:t>
            </w:r>
          </w:hyperlink>
        </w:p>
        <w:p>
          <w:pPr>
            <w:pStyle w:val="Contents6"/>
            <w:tabs>
              <w:tab w:val="clear" w:pos="7609"/>
              <w:tab w:val="right" w:pos="9026" w:leader="dot"/>
            </w:tabs>
            <w:rPr/>
          </w:pPr>
          <w:hyperlink w:anchor="__RefHeading___Toc2903373_3804643083">
            <w:r>
              <w:rPr>
                <w:webHidden/>
                <w:rStyle w:val="IndexLink"/>
                <w:rtl w:val="true"/>
              </w:rPr>
              <w:t>ـ مرسله‌ي صدوق</w:t>
            </w:r>
            <w:r>
              <w:rPr>
                <w:rStyle w:val="IndexLink"/>
                <w:rtl w:val="true"/>
              </w:rPr>
              <w:t>:</w:t>
              <w:tab/>
            </w:r>
            <w:r>
              <w:rPr>
                <w:rStyle w:val="IndexLink"/>
              </w:rPr>
              <w:t>367</w:t>
            </w:r>
          </w:hyperlink>
        </w:p>
        <w:p>
          <w:pPr>
            <w:pStyle w:val="Contents5"/>
            <w:tabs>
              <w:tab w:val="clear" w:pos="7892"/>
              <w:tab w:val="right" w:pos="9026" w:leader="dot"/>
            </w:tabs>
            <w:rPr/>
          </w:pPr>
          <w:hyperlink w:anchor="__RefHeading___Toc2903375_3804643083">
            <w:r>
              <w:rPr>
                <w:webHidden/>
                <w:rStyle w:val="IndexLink"/>
                <w:rtl w:val="true"/>
              </w:rPr>
              <w:t>دسته‌ي هفتم</w:t>
            </w:r>
            <w:r>
              <w:rPr>
                <w:rStyle w:val="IndexLink"/>
                <w:rtl w:val="true"/>
              </w:rPr>
              <w:t>: (</w:t>
            </w:r>
            <w:r>
              <w:rPr>
                <w:rStyle w:val="IndexLink"/>
                <w:rtl w:val="true"/>
              </w:rPr>
              <w:t>روايات جواز نياحت مشروط به صدق و عدم هجر</w:t>
            </w:r>
            <w:r>
              <w:rPr>
                <w:rStyle w:val="IndexLink"/>
                <w:rtl w:val="true"/>
              </w:rPr>
              <w:t>)</w:t>
              <w:tab/>
            </w:r>
            <w:r>
              <w:rPr>
                <w:rStyle w:val="IndexLink"/>
              </w:rPr>
              <w:t>367</w:t>
            </w:r>
          </w:hyperlink>
        </w:p>
        <w:p>
          <w:pPr>
            <w:pStyle w:val="Contents6"/>
            <w:tabs>
              <w:tab w:val="clear" w:pos="7609"/>
              <w:tab w:val="right" w:pos="9026" w:leader="dot"/>
            </w:tabs>
            <w:rPr/>
          </w:pPr>
          <w:hyperlink w:anchor="__RefHeading___Toc2903377_3804643083">
            <w:r>
              <w:rPr>
                <w:webHidden/>
                <w:rStyle w:val="IndexLink"/>
                <w:rtl w:val="true"/>
              </w:rPr>
              <w:t>اشاره</w:t>
            </w:r>
            <w:r>
              <w:rPr>
                <w:rStyle w:val="IndexLink"/>
                <w:rtl w:val="true"/>
              </w:rPr>
              <w:tab/>
            </w:r>
            <w:r>
              <w:rPr>
                <w:rStyle w:val="IndexLink"/>
              </w:rPr>
              <w:t>367</w:t>
            </w:r>
          </w:hyperlink>
        </w:p>
        <w:p>
          <w:pPr>
            <w:pStyle w:val="Contents6"/>
            <w:tabs>
              <w:tab w:val="clear" w:pos="7609"/>
              <w:tab w:val="right" w:pos="9026" w:leader="dot"/>
            </w:tabs>
            <w:rPr/>
          </w:pPr>
          <w:hyperlink w:anchor="__RefHeading___Toc2903379_3804643083">
            <w:r>
              <w:rPr>
                <w:webHidden/>
                <w:rStyle w:val="IndexLink"/>
                <w:rtl w:val="true"/>
              </w:rPr>
              <w:t>ـ روايت مرحوم صدوق</w:t>
            </w:r>
            <w:r>
              <w:rPr>
                <w:rStyle w:val="IndexLink"/>
                <w:rtl w:val="true"/>
              </w:rPr>
              <w:t>:</w:t>
              <w:tab/>
            </w:r>
            <w:r>
              <w:rPr>
                <w:rStyle w:val="IndexLink"/>
              </w:rPr>
              <w:t>367</w:t>
            </w:r>
          </w:hyperlink>
        </w:p>
        <w:p>
          <w:pPr>
            <w:pStyle w:val="Contents6"/>
            <w:tabs>
              <w:tab w:val="clear" w:pos="7609"/>
              <w:tab w:val="right" w:pos="9026" w:leader="dot"/>
            </w:tabs>
            <w:rPr/>
          </w:pPr>
          <w:hyperlink w:anchor="__RefHeading___Toc2903381_3804643083">
            <w:r>
              <w:rPr>
                <w:webHidden/>
                <w:rStyle w:val="IndexLink"/>
                <w:rtl w:val="true"/>
              </w:rPr>
              <w:t>ـ روايت خديجه بنت عمر بن علي بن الحسين</w:t>
            </w:r>
            <w:r>
              <w:rPr>
                <w:rStyle w:val="IndexLink"/>
                <w:rtl w:val="true"/>
              </w:rPr>
              <w:t>:</w:t>
              <w:tab/>
            </w:r>
            <w:r>
              <w:rPr>
                <w:rStyle w:val="IndexLink"/>
              </w:rPr>
              <w:t>368</w:t>
            </w:r>
          </w:hyperlink>
        </w:p>
        <w:p>
          <w:pPr>
            <w:pStyle w:val="Contents4"/>
            <w:tabs>
              <w:tab w:val="clear" w:pos="8176"/>
              <w:tab w:val="right" w:pos="9026" w:leader="dot"/>
            </w:tabs>
            <w:rPr/>
          </w:pPr>
          <w:hyperlink w:anchor="__RefHeading___Toc2903383_3804643083">
            <w:r>
              <w:rPr>
                <w:webHidden/>
                <w:rStyle w:val="IndexLink"/>
                <w:rtl w:val="true"/>
              </w:rPr>
              <w:t>نتيجه‌گيري از روايات مربوط به نياحت</w:t>
            </w:r>
            <w:r>
              <w:rPr>
                <w:rStyle w:val="IndexLink"/>
                <w:rtl w:val="true"/>
              </w:rPr>
              <w:tab/>
            </w:r>
            <w:r>
              <w:rPr>
                <w:rStyle w:val="IndexLink"/>
              </w:rPr>
              <w:t>369</w:t>
            </w:r>
          </w:hyperlink>
        </w:p>
        <w:p>
          <w:pPr>
            <w:pStyle w:val="Contents2"/>
            <w:tabs>
              <w:tab w:val="clear" w:pos="8743"/>
              <w:tab w:val="right" w:pos="9026" w:leader="dot"/>
            </w:tabs>
            <w:rPr/>
          </w:pPr>
          <w:hyperlink w:anchor="__RefHeading___Toc2903385_3804643083">
            <w:r>
              <w:rPr>
                <w:webHidden/>
                <w:rStyle w:val="IndexLink"/>
                <w:rtl w:val="true"/>
              </w:rPr>
              <w:t>هجاء المؤمن</w:t>
            </w:r>
            <w:r>
              <w:rPr>
                <w:rStyle w:val="IndexLink"/>
                <w:rtl w:val="true"/>
              </w:rPr>
              <w:tab/>
            </w:r>
            <w:r>
              <w:rPr>
                <w:rStyle w:val="IndexLink"/>
              </w:rPr>
              <w:t>370</w:t>
            </w:r>
          </w:hyperlink>
        </w:p>
        <w:p>
          <w:pPr>
            <w:pStyle w:val="Contents3"/>
            <w:tabs>
              <w:tab w:val="clear" w:pos="8459"/>
              <w:tab w:val="right" w:pos="9026" w:leader="dot"/>
            </w:tabs>
            <w:rPr/>
          </w:pPr>
          <w:hyperlink w:anchor="__RefHeading___Toc2903387_3804643083">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2903389_3804643083">
            <w:r>
              <w:rPr>
                <w:webHidden/>
                <w:rStyle w:val="IndexLink"/>
                <w:rtl w:val="true"/>
              </w:rPr>
              <w:t>المسألة السابعة و العشرون</w:t>
            </w:r>
            <w:r>
              <w:rPr>
                <w:rStyle w:val="IndexLink"/>
                <w:rtl w:val="true"/>
              </w:rPr>
              <w:t xml:space="preserve">: </w:t>
            </w:r>
            <w:r>
              <w:rPr>
                <w:rStyle w:val="IndexLink"/>
                <w:rtl w:val="true"/>
              </w:rPr>
              <w:t>هجاء المؤمن</w:t>
            </w:r>
            <w:r>
              <w:rPr>
                <w:rStyle w:val="IndexLink"/>
                <w:rtl w:val="true"/>
              </w:rPr>
              <w:tab/>
            </w:r>
            <w:r>
              <w:rPr>
                <w:rStyle w:val="IndexLink"/>
              </w:rPr>
              <w:t>371</w:t>
            </w:r>
          </w:hyperlink>
        </w:p>
        <w:p>
          <w:pPr>
            <w:pStyle w:val="Contents4"/>
            <w:tabs>
              <w:tab w:val="clear" w:pos="8176"/>
              <w:tab w:val="right" w:pos="9026" w:leader="dot"/>
            </w:tabs>
            <w:rPr/>
          </w:pPr>
          <w:hyperlink w:anchor="__RefHeading___Toc2903391_3804643083">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2903393_3804643083">
            <w:r>
              <w:rPr>
                <w:webHidden/>
                <w:rStyle w:val="IndexLink"/>
                <w:rtl w:val="true"/>
              </w:rPr>
              <w:t>ادلّه‌ي حرمت هجاء مؤمن</w:t>
            </w:r>
            <w:r>
              <w:rPr>
                <w:rStyle w:val="IndexLink"/>
                <w:rtl w:val="true"/>
              </w:rPr>
              <w:tab/>
            </w:r>
            <w:r>
              <w:rPr>
                <w:rStyle w:val="IndexLink"/>
              </w:rPr>
              <w:t>380</w:t>
            </w:r>
          </w:hyperlink>
        </w:p>
        <w:p>
          <w:pPr>
            <w:pStyle w:val="Contents4"/>
            <w:tabs>
              <w:tab w:val="clear" w:pos="8176"/>
              <w:tab w:val="right" w:pos="9026" w:leader="dot"/>
            </w:tabs>
            <w:rPr/>
          </w:pPr>
          <w:hyperlink w:anchor="__RefHeading___Toc2903395_3804643083">
            <w:r>
              <w:rPr>
                <w:webHidden/>
                <w:rStyle w:val="IndexLink"/>
                <w:rtl w:val="true"/>
              </w:rPr>
              <w:t>هجاء مصداق غير قابل تفكيك اهانت</w:t>
            </w:r>
            <w:r>
              <w:rPr>
                <w:rStyle w:val="IndexLink"/>
                <w:rtl w:val="true"/>
              </w:rPr>
              <w:tab/>
            </w:r>
            <w:r>
              <w:rPr>
                <w:rStyle w:val="IndexLink"/>
              </w:rPr>
              <w:t>381</w:t>
            </w:r>
          </w:hyperlink>
        </w:p>
        <w:p>
          <w:pPr>
            <w:pStyle w:val="Contents4"/>
            <w:tabs>
              <w:tab w:val="clear" w:pos="8176"/>
              <w:tab w:val="right" w:pos="9026" w:leader="dot"/>
            </w:tabs>
            <w:rPr/>
          </w:pPr>
          <w:hyperlink w:anchor="__RefHeading___Toc2903397_3804643083">
            <w:r>
              <w:rPr>
                <w:webHidden/>
                <w:rStyle w:val="IndexLink"/>
                <w:rtl w:val="true"/>
              </w:rPr>
              <w:t>آيا حرمت هجاء شامل مؤمن فاسق مي‌شود؟</w:t>
            </w:r>
            <w:r>
              <w:rPr>
                <w:rStyle w:val="IndexLink"/>
                <w:rtl w:val="true"/>
              </w:rPr>
              <w:tab/>
            </w:r>
            <w:r>
              <w:rPr>
                <w:rStyle w:val="IndexLink"/>
              </w:rPr>
              <w:t>393</w:t>
            </w:r>
          </w:hyperlink>
        </w:p>
        <w:p>
          <w:pPr>
            <w:pStyle w:val="Contents5"/>
            <w:tabs>
              <w:tab w:val="clear" w:pos="7892"/>
              <w:tab w:val="right" w:pos="9026" w:leader="dot"/>
            </w:tabs>
            <w:rPr/>
          </w:pPr>
          <w:hyperlink w:anchor="__RefHeading___Toc2903399_3804643083">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2903401_3804643083">
            <w:r>
              <w:rPr>
                <w:webHidden/>
                <w:rStyle w:val="IndexLink"/>
                <w:rtl w:val="true"/>
              </w:rPr>
              <w:t>جواز هجاء غير مؤمن و مبتدع</w:t>
            </w:r>
            <w:r>
              <w:rPr>
                <w:rStyle w:val="IndexLink"/>
                <w:rtl w:val="true"/>
              </w:rPr>
              <w:tab/>
            </w:r>
            <w:r>
              <w:rPr>
                <w:rStyle w:val="IndexLink"/>
              </w:rPr>
              <w:t>394</w:t>
            </w:r>
          </w:hyperlink>
        </w:p>
        <w:p>
          <w:pPr>
            <w:pStyle w:val="Contents5"/>
            <w:tabs>
              <w:tab w:val="clear" w:pos="7892"/>
              <w:tab w:val="right" w:pos="9026" w:leader="dot"/>
            </w:tabs>
            <w:rPr/>
          </w:pPr>
          <w:hyperlink w:anchor="__RefHeading___Toc2903403_3804643083">
            <w:r>
              <w:rPr>
                <w:webHidden/>
                <w:rStyle w:val="IndexLink"/>
                <w:rtl w:val="true"/>
              </w:rPr>
              <w:t xml:space="preserve">آيا هجاء مبتدع به معايب غير موجود </w:t>
            </w:r>
            <w:r>
              <w:rPr>
                <w:rStyle w:val="IndexLink"/>
                <w:rtl w:val="true"/>
              </w:rPr>
              <w:t>(</w:t>
            </w:r>
            <w:r>
              <w:rPr>
                <w:rStyle w:val="IndexLink"/>
                <w:rtl w:val="true"/>
              </w:rPr>
              <w:t>غير واقعي</w:t>
            </w:r>
            <w:r>
              <w:rPr>
                <w:rStyle w:val="IndexLink"/>
                <w:rtl w:val="true"/>
              </w:rPr>
              <w:t xml:space="preserve">) </w:t>
            </w:r>
            <w:r>
              <w:rPr>
                <w:rStyle w:val="IndexLink"/>
                <w:rtl w:val="true"/>
              </w:rPr>
              <w:t>جايز است؟</w:t>
            </w:r>
            <w:r>
              <w:rPr>
                <w:rStyle w:val="IndexLink"/>
                <w:rtl w:val="true"/>
              </w:rPr>
              <w:tab/>
            </w:r>
            <w:r>
              <w:rPr>
                <w:rStyle w:val="IndexLink"/>
              </w:rPr>
              <w:t>396</w:t>
            </w:r>
          </w:hyperlink>
        </w:p>
        <w:p>
          <w:pPr>
            <w:pStyle w:val="Contents2"/>
            <w:tabs>
              <w:tab w:val="clear" w:pos="8743"/>
              <w:tab w:val="right" w:pos="9026" w:leader="dot"/>
            </w:tabs>
            <w:rPr/>
          </w:pPr>
          <w:hyperlink w:anchor="__RefHeading___Toc2903405_3804643083">
            <w:r>
              <w:rPr>
                <w:webHidden/>
                <w:rStyle w:val="IndexLink"/>
                <w:rtl w:val="true"/>
              </w:rPr>
              <w:t>هُجر</w:t>
            </w:r>
            <w:r>
              <w:rPr>
                <w:rStyle w:val="IndexLink"/>
                <w:rtl w:val="true"/>
              </w:rPr>
              <w:tab/>
            </w:r>
            <w:r>
              <w:rPr>
                <w:rStyle w:val="IndexLink"/>
              </w:rPr>
              <w:t>403</w:t>
            </w:r>
          </w:hyperlink>
        </w:p>
        <w:p>
          <w:pPr>
            <w:pStyle w:val="Contents3"/>
            <w:tabs>
              <w:tab w:val="clear" w:pos="8459"/>
              <w:tab w:val="right" w:pos="9026" w:leader="dot"/>
            </w:tabs>
            <w:rPr/>
          </w:pPr>
          <w:hyperlink w:anchor="__RefHeading___Toc2903407_3804643083">
            <w:r>
              <w:rPr>
                <w:webHidden/>
                <w:rStyle w:val="IndexLink"/>
                <w:rtl w:val="true"/>
              </w:rPr>
              <w:t>اشاره</w:t>
            </w:r>
            <w:r>
              <w:rPr>
                <w:rStyle w:val="IndexLink"/>
                <w:rtl w:val="true"/>
              </w:rPr>
              <w:tab/>
            </w:r>
            <w:r>
              <w:rPr>
                <w:rStyle w:val="IndexLink"/>
              </w:rPr>
              <w:t>403</w:t>
            </w:r>
          </w:hyperlink>
        </w:p>
        <w:p>
          <w:pPr>
            <w:pStyle w:val="Contents3"/>
            <w:tabs>
              <w:tab w:val="clear" w:pos="8459"/>
              <w:tab w:val="right" w:pos="9026" w:leader="dot"/>
            </w:tabs>
            <w:rPr/>
          </w:pPr>
          <w:hyperlink w:anchor="__RefHeading___Toc2903409_3804643083">
            <w:r>
              <w:rPr>
                <w:webHidden/>
                <w:rStyle w:val="IndexLink"/>
                <w:rtl w:val="true"/>
              </w:rPr>
              <w:t>المسألة الثامنة و العشرون</w:t>
            </w:r>
            <w:r>
              <w:rPr>
                <w:rStyle w:val="IndexLink"/>
                <w:rtl w:val="true"/>
              </w:rPr>
              <w:t xml:space="preserve">: </w:t>
            </w:r>
            <w:r>
              <w:rPr>
                <w:rStyle w:val="IndexLink"/>
                <w:rtl w:val="true"/>
              </w:rPr>
              <w:t>الهُجر</w:t>
            </w:r>
            <w:r>
              <w:rPr>
                <w:rStyle w:val="IndexLink"/>
                <w:rtl w:val="true"/>
              </w:rPr>
              <w:tab/>
            </w:r>
            <w:r>
              <w:rPr>
                <w:rStyle w:val="IndexLink"/>
              </w:rPr>
              <w:t>404</w:t>
            </w:r>
          </w:hyperlink>
        </w:p>
        <w:p>
          <w:pPr>
            <w:pStyle w:val="Contents4"/>
            <w:tabs>
              <w:tab w:val="clear" w:pos="8176"/>
              <w:tab w:val="right" w:pos="9026" w:leader="dot"/>
            </w:tabs>
            <w:rPr/>
          </w:pPr>
          <w:hyperlink w:anchor="__RefHeading___Toc2903411_3804643083">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2903413_3804643083">
            <w:r>
              <w:rPr>
                <w:webHidden/>
                <w:rStyle w:val="IndexLink"/>
                <w:rtl w:val="true"/>
              </w:rPr>
              <w:t>روايات دالّ بر حرمت فحش، بذاء و هُجر</w:t>
            </w:r>
            <w:r>
              <w:rPr>
                <w:rStyle w:val="IndexLink"/>
                <w:rtl w:val="true"/>
              </w:rPr>
              <w:tab/>
            </w:r>
            <w:r>
              <w:rPr>
                <w:rStyle w:val="IndexLink"/>
              </w:rPr>
              <w:t>406</w:t>
            </w:r>
          </w:hyperlink>
        </w:p>
        <w:p>
          <w:pPr>
            <w:pStyle w:val="Contents5"/>
            <w:tabs>
              <w:tab w:val="clear" w:pos="7892"/>
              <w:tab w:val="right" w:pos="9026" w:leader="dot"/>
            </w:tabs>
            <w:rPr/>
          </w:pPr>
          <w:hyperlink w:anchor="__RefHeading___Toc2903415_3804643083">
            <w:r>
              <w:rPr>
                <w:webHidden/>
                <w:rStyle w:val="IndexLink"/>
                <w:rtl w:val="true"/>
              </w:rPr>
              <w:t>ـ صحيحه‌ي ابي عبيدة الحذاء</w:t>
            </w:r>
            <w:r>
              <w:rPr>
                <w:rStyle w:val="IndexLink"/>
                <w:rtl w:val="true"/>
              </w:rPr>
              <w:t>:</w:t>
              <w:tab/>
            </w:r>
            <w:r>
              <w:rPr>
                <w:rStyle w:val="IndexLink"/>
              </w:rPr>
              <w:t>406</w:t>
            </w:r>
          </w:hyperlink>
        </w:p>
        <w:p>
          <w:pPr>
            <w:pStyle w:val="Contents5"/>
            <w:tabs>
              <w:tab w:val="clear" w:pos="7892"/>
              <w:tab w:val="right" w:pos="9026" w:leader="dot"/>
            </w:tabs>
            <w:rPr/>
          </w:pPr>
          <w:hyperlink w:anchor="__RefHeading___Toc2903417_3804643083">
            <w:r>
              <w:rPr>
                <w:webHidden/>
                <w:rStyle w:val="IndexLink"/>
                <w:rtl w:val="true"/>
              </w:rPr>
              <w:t>ـ روايت سليم بن قيس</w:t>
            </w:r>
            <w:r>
              <w:rPr>
                <w:rStyle w:val="IndexLink"/>
                <w:rtl w:val="true"/>
              </w:rPr>
              <w:t>:</w:t>
              <w:tab/>
            </w:r>
            <w:r>
              <w:rPr>
                <w:rStyle w:val="IndexLink"/>
              </w:rPr>
              <w:t>408</w:t>
            </w:r>
          </w:hyperlink>
        </w:p>
        <w:p>
          <w:pPr>
            <w:pStyle w:val="Contents5"/>
            <w:tabs>
              <w:tab w:val="clear" w:pos="7892"/>
              <w:tab w:val="right" w:pos="9026" w:leader="dot"/>
            </w:tabs>
            <w:rPr/>
          </w:pPr>
          <w:hyperlink w:anchor="__RefHeading___Toc2903419_3804643083">
            <w:r>
              <w:rPr>
                <w:webHidden/>
                <w:rStyle w:val="IndexLink"/>
                <w:rtl w:val="true"/>
              </w:rPr>
              <w:t>ـ روايت سماعة</w:t>
            </w:r>
            <w:r>
              <w:rPr>
                <w:rStyle w:val="IndexLink"/>
                <w:rtl w:val="true"/>
              </w:rPr>
              <w:t>:</w:t>
              <w:tab/>
            </w:r>
            <w:r>
              <w:rPr>
                <w:rStyle w:val="IndexLink"/>
              </w:rPr>
              <w:t>411</w:t>
            </w:r>
          </w:hyperlink>
        </w:p>
        <w:p>
          <w:pPr>
            <w:pStyle w:val="Contents5"/>
            <w:tabs>
              <w:tab w:val="clear" w:pos="7892"/>
              <w:tab w:val="right" w:pos="9026" w:leader="dot"/>
            </w:tabs>
            <w:rPr/>
          </w:pPr>
          <w:hyperlink w:anchor="__RefHeading___Toc2903421_3804643083">
            <w:r>
              <w:rPr>
                <w:webHidden/>
                <w:rStyle w:val="IndexLink"/>
                <w:rtl w:val="true"/>
              </w:rPr>
              <w:t xml:space="preserve">ـ </w:t>
            </w:r>
            <w:r>
              <w:rPr>
                <w:rStyle w:val="IndexLink"/>
                <w:rtl w:val="true"/>
              </w:rPr>
              <w:t>[</w:t>
            </w:r>
            <w:r>
              <w:rPr>
                <w:rStyle w:val="IndexLink"/>
                <w:rtl w:val="true"/>
              </w:rPr>
              <w:t>صحيحه‌ي</w:t>
            </w:r>
            <w:r>
              <w:rPr>
                <w:rStyle w:val="IndexLink"/>
                <w:rtl w:val="true"/>
              </w:rPr>
              <w:t xml:space="preserve">] </w:t>
            </w:r>
            <w:r>
              <w:rPr>
                <w:rStyle w:val="IndexLink"/>
                <w:rtl w:val="true"/>
              </w:rPr>
              <w:t>ابي بصير</w:t>
            </w:r>
            <w:r>
              <w:rPr>
                <w:rStyle w:val="IndexLink"/>
                <w:rtl w:val="true"/>
              </w:rPr>
              <w:tab/>
            </w:r>
            <w:r>
              <w:rPr>
                <w:rStyle w:val="IndexLink"/>
              </w:rPr>
              <w:t>413</w:t>
            </w:r>
          </w:hyperlink>
        </w:p>
        <w:p>
          <w:pPr>
            <w:pStyle w:val="Contents5"/>
            <w:tabs>
              <w:tab w:val="clear" w:pos="7892"/>
              <w:tab w:val="right" w:pos="9026" w:leader="dot"/>
            </w:tabs>
            <w:rPr/>
          </w:pPr>
          <w:hyperlink w:anchor="__RefHeading___Toc2903423_3804643083">
            <w:r>
              <w:rPr>
                <w:webHidden/>
                <w:rStyle w:val="IndexLink"/>
                <w:rtl w:val="true"/>
              </w:rPr>
              <w:t>ـ روايت جابر</w:t>
            </w:r>
            <w:r>
              <w:rPr>
                <w:rStyle w:val="IndexLink"/>
                <w:rtl w:val="true"/>
              </w:rPr>
              <w:t>:</w:t>
              <w:tab/>
            </w:r>
            <w:r>
              <w:rPr>
                <w:rStyle w:val="IndexLink"/>
              </w:rPr>
              <w:t>414</w:t>
            </w:r>
          </w:hyperlink>
        </w:p>
        <w:p>
          <w:pPr>
            <w:pStyle w:val="Contents5"/>
            <w:tabs>
              <w:tab w:val="clear" w:pos="7892"/>
              <w:tab w:val="right" w:pos="9026" w:leader="dot"/>
            </w:tabs>
            <w:rPr/>
          </w:pPr>
          <w:hyperlink w:anchor="__RefHeading___Toc2903425_3804643083">
            <w:r>
              <w:rPr>
                <w:webHidden/>
                <w:rStyle w:val="IndexLink"/>
                <w:rtl w:val="true"/>
              </w:rPr>
              <w:t>ـ روايت الحسن الصيقل</w:t>
            </w:r>
            <w:r>
              <w:rPr>
                <w:rStyle w:val="IndexLink"/>
                <w:rtl w:val="true"/>
              </w:rPr>
              <w:t>:</w:t>
              <w:tab/>
            </w:r>
            <w:r>
              <w:rPr>
                <w:rStyle w:val="IndexLink"/>
              </w:rPr>
              <w:t>415</w:t>
            </w:r>
          </w:hyperlink>
        </w:p>
        <w:p>
          <w:pPr>
            <w:pStyle w:val="Contents5"/>
            <w:tabs>
              <w:tab w:val="clear" w:pos="7892"/>
              <w:tab w:val="right" w:pos="9026" w:leader="dot"/>
            </w:tabs>
            <w:rPr/>
          </w:pPr>
          <w:hyperlink w:anchor="__RefHeading___Toc2903427_3804643083">
            <w:r>
              <w:rPr>
                <w:webHidden/>
                <w:rStyle w:val="IndexLink"/>
                <w:rtl w:val="true"/>
              </w:rPr>
              <w:t>ـ وصيت پيامبر اكرم</w:t>
            </w:r>
            <w:r>
              <w:rPr>
                <w:rStyle w:val="IndexLink"/>
                <w:rtl w:val="true"/>
              </w:rPr>
              <w:t xml:space="preserve">- </w:t>
            </w:r>
            <w:r>
              <w:rPr>
                <w:rStyle w:val="IndexLink"/>
                <w:rtl w:val="true"/>
              </w:rPr>
              <w:t xml:space="preserve">صلي الله عليه و آله و سلم </w:t>
            </w:r>
            <w:r>
              <w:rPr>
                <w:rStyle w:val="IndexLink"/>
                <w:rtl w:val="true"/>
              </w:rPr>
              <w:t xml:space="preserve">- </w:t>
            </w:r>
            <w:r>
              <w:rPr>
                <w:rStyle w:val="IndexLink"/>
                <w:rtl w:val="true"/>
              </w:rPr>
              <w:t>به حضرت علي</w:t>
            </w:r>
            <w:r>
              <w:rPr>
                <w:rStyle w:val="IndexLink"/>
                <w:rtl w:val="true"/>
              </w:rPr>
              <w:t xml:space="preserve">- </w:t>
            </w:r>
            <w:r>
              <w:rPr>
                <w:rStyle w:val="IndexLink"/>
                <w:rtl w:val="true"/>
              </w:rPr>
              <w:t xml:space="preserve">عليه السلام </w:t>
            </w:r>
            <w:r>
              <w:rPr>
                <w:rStyle w:val="IndexLink"/>
                <w:rtl w:val="true"/>
              </w:rPr>
              <w:t>-:</w:t>
              <w:tab/>
            </w:r>
            <w:r>
              <w:rPr>
                <w:rStyle w:val="IndexLink"/>
              </w:rPr>
              <w:t>416</w:t>
            </w:r>
          </w:hyperlink>
        </w:p>
        <w:p>
          <w:pPr>
            <w:pStyle w:val="Contents5"/>
            <w:tabs>
              <w:tab w:val="clear" w:pos="7892"/>
              <w:tab w:val="right" w:pos="9026" w:leader="dot"/>
            </w:tabs>
            <w:rPr/>
          </w:pPr>
          <w:hyperlink w:anchor="__RefHeading___Toc2903429_3804643083">
            <w:r>
              <w:rPr>
                <w:webHidden/>
                <w:rStyle w:val="IndexLink"/>
                <w:rtl w:val="true"/>
              </w:rPr>
              <w:t>ـ موثقه‌ي سماعة</w:t>
            </w:r>
            <w:r>
              <w:rPr>
                <w:rStyle w:val="IndexLink"/>
                <w:rtl w:val="true"/>
              </w:rPr>
              <w:t>:</w:t>
              <w:tab/>
            </w:r>
            <w:r>
              <w:rPr>
                <w:rStyle w:val="IndexLink"/>
              </w:rPr>
              <w:t>417</w:t>
            </w:r>
          </w:hyperlink>
        </w:p>
        <w:p>
          <w:pPr>
            <w:pStyle w:val="Contents5"/>
            <w:tabs>
              <w:tab w:val="clear" w:pos="7892"/>
              <w:tab w:val="right" w:pos="9026" w:leader="dot"/>
            </w:tabs>
            <w:rPr/>
          </w:pPr>
          <w:hyperlink w:anchor="__RefHeading___Toc2903431_3804643083">
            <w:r>
              <w:rPr>
                <w:webHidden/>
                <w:rStyle w:val="IndexLink"/>
                <w:rtl w:val="true"/>
              </w:rPr>
              <w:t>ـ صحيحه‌ي زرارة</w:t>
            </w:r>
            <w:r>
              <w:rPr>
                <w:rStyle w:val="IndexLink"/>
                <w:rtl w:val="true"/>
              </w:rPr>
              <w:t>:</w:t>
              <w:tab/>
            </w:r>
            <w:r>
              <w:rPr>
                <w:rStyle w:val="IndexLink"/>
              </w:rPr>
              <w:t>417</w:t>
            </w:r>
          </w:hyperlink>
        </w:p>
        <w:p>
          <w:pPr>
            <w:pStyle w:val="Contents5"/>
            <w:tabs>
              <w:tab w:val="clear" w:pos="7892"/>
              <w:tab w:val="right" w:pos="9026" w:leader="dot"/>
            </w:tabs>
            <w:rPr/>
          </w:pPr>
          <w:hyperlink w:anchor="__RefHeading___Toc2903433_3804643083">
            <w:r>
              <w:rPr>
                <w:webHidden/>
                <w:rStyle w:val="IndexLink"/>
                <w:rtl w:val="true"/>
              </w:rPr>
              <w:t>ـ موثقه‌ي ابي بصير</w:t>
            </w:r>
            <w:r>
              <w:rPr>
                <w:rStyle w:val="IndexLink"/>
                <w:rtl w:val="true"/>
              </w:rPr>
              <w:t>:</w:t>
              <w:tab/>
            </w:r>
            <w:r>
              <w:rPr>
                <w:rStyle w:val="IndexLink"/>
              </w:rPr>
              <w:t>418</w:t>
            </w:r>
          </w:hyperlink>
        </w:p>
        <w:p>
          <w:pPr>
            <w:pStyle w:val="Contents4"/>
            <w:tabs>
              <w:tab w:val="clear" w:pos="8176"/>
              <w:tab w:val="right" w:pos="9026" w:leader="dot"/>
            </w:tabs>
            <w:rPr/>
          </w:pPr>
          <w:hyperlink w:anchor="__RefHeading___Toc2903435_3804643083">
            <w:r>
              <w:rPr>
                <w:webHidden/>
                <w:rStyle w:val="IndexLink"/>
                <w:rtl w:val="true"/>
              </w:rPr>
              <w:t>آيا هُجر كافر جايز است؟</w:t>
            </w:r>
            <w:r>
              <w:rPr>
                <w:rStyle w:val="IndexLink"/>
                <w:rtl w:val="true"/>
              </w:rPr>
              <w:tab/>
            </w:r>
            <w:r>
              <w:rPr>
                <w:rStyle w:val="IndexLink"/>
              </w:rPr>
              <w:t>419</w:t>
            </w:r>
          </w:hyperlink>
        </w:p>
        <w:p>
          <w:pPr>
            <w:pStyle w:val="Contents4"/>
            <w:tabs>
              <w:tab w:val="clear" w:pos="8176"/>
              <w:tab w:val="right" w:pos="9026" w:leader="dot"/>
            </w:tabs>
            <w:rPr/>
          </w:pPr>
          <w:hyperlink w:anchor="__RefHeading___Toc2903437_3804643083">
            <w:r>
              <w:rPr>
                <w:webHidden/>
                <w:rStyle w:val="IndexLink"/>
                <w:rtl w:val="true"/>
              </w:rPr>
              <w:t>آيا هُجر متجاهر به فسق جايز است؟</w:t>
            </w:r>
            <w:r>
              <w:rPr>
                <w:rStyle w:val="IndexLink"/>
                <w:rtl w:val="true"/>
              </w:rPr>
              <w:tab/>
            </w:r>
            <w:r>
              <w:rPr>
                <w:rStyle w:val="IndexLink"/>
              </w:rPr>
              <w:t>423</w:t>
            </w:r>
          </w:hyperlink>
        </w:p>
        <w:p>
          <w:pPr>
            <w:pStyle w:val="Contents4"/>
            <w:tabs>
              <w:tab w:val="clear" w:pos="8176"/>
              <w:tab w:val="right" w:pos="9026" w:leader="dot"/>
            </w:tabs>
            <w:rPr/>
          </w:pPr>
          <w:hyperlink w:anchor="__RefHeading___Toc2903439_3804643083">
            <w:r>
              <w:rPr>
                <w:webHidden/>
                <w:rStyle w:val="IndexLink"/>
                <w:rtl w:val="true"/>
              </w:rPr>
              <w:t>حكم فحش انشائي</w:t>
            </w:r>
            <w:r>
              <w:rPr>
                <w:rStyle w:val="IndexLink"/>
                <w:rtl w:val="true"/>
              </w:rPr>
              <w:tab/>
            </w:r>
            <w:r>
              <w:rPr>
                <w:rStyle w:val="IndexLink"/>
              </w:rPr>
              <w:t>426</w:t>
            </w:r>
          </w:hyperlink>
        </w:p>
        <w:p>
          <w:pPr>
            <w:pStyle w:val="Contents2"/>
            <w:tabs>
              <w:tab w:val="clear" w:pos="8743"/>
              <w:tab w:val="right" w:pos="9026" w:leader="dot"/>
            </w:tabs>
            <w:rPr/>
          </w:pPr>
          <w:hyperlink w:anchor="__RefHeading___Toc2903441_3804643083">
            <w:r>
              <w:rPr>
                <w:webHidden/>
                <w:rStyle w:val="IndexLink"/>
                <w:rtl w:val="true"/>
              </w:rPr>
              <w:t>بيع مصحف</w:t>
            </w:r>
            <w:r>
              <w:rPr>
                <w:rStyle w:val="IndexLink"/>
                <w:rtl w:val="true"/>
              </w:rPr>
              <w:tab/>
            </w:r>
            <w:r>
              <w:rPr>
                <w:rStyle w:val="IndexLink"/>
              </w:rPr>
              <w:t>432</w:t>
            </w:r>
          </w:hyperlink>
        </w:p>
        <w:p>
          <w:pPr>
            <w:pStyle w:val="Contents3"/>
            <w:tabs>
              <w:tab w:val="clear" w:pos="8459"/>
              <w:tab w:val="right" w:pos="9026" w:leader="dot"/>
            </w:tabs>
            <w:rPr/>
          </w:pPr>
          <w:hyperlink w:anchor="__RefHeading___Toc2903443_3804643083">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2903445_3804643083">
            <w:r>
              <w:rPr>
                <w:webHidden/>
                <w:rStyle w:val="IndexLink"/>
                <w:rtl w:val="true"/>
              </w:rPr>
              <w:t>حرمت بيع مصحف</w:t>
            </w:r>
            <w:r>
              <w:rPr>
                <w:rStyle w:val="IndexLink"/>
                <w:rtl w:val="true"/>
              </w:rPr>
              <w:tab/>
            </w:r>
            <w:r>
              <w:rPr>
                <w:rStyle w:val="IndexLink"/>
              </w:rPr>
              <w:t>433</w:t>
            </w:r>
          </w:hyperlink>
        </w:p>
        <w:p>
          <w:pPr>
            <w:pStyle w:val="Contents4"/>
            <w:tabs>
              <w:tab w:val="clear" w:pos="8176"/>
              <w:tab w:val="right" w:pos="9026" w:leader="dot"/>
            </w:tabs>
            <w:rPr/>
          </w:pPr>
          <w:hyperlink w:anchor="__RefHeading___Toc2903447_3804643083">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2903449_3804643083">
            <w:r>
              <w:rPr>
                <w:webHidden/>
                <w:rStyle w:val="IndexLink"/>
                <w:rtl w:val="true"/>
              </w:rPr>
              <w:t>روايت دالّ بر حرمت بيع مصحف</w:t>
            </w:r>
            <w:r>
              <w:rPr>
                <w:rStyle w:val="IndexLink"/>
                <w:rtl w:val="true"/>
              </w:rPr>
              <w:tab/>
            </w:r>
            <w:r>
              <w:rPr>
                <w:rStyle w:val="IndexLink"/>
              </w:rPr>
              <w:t>435</w:t>
            </w:r>
          </w:hyperlink>
        </w:p>
        <w:p>
          <w:pPr>
            <w:pStyle w:val="Contents5"/>
            <w:tabs>
              <w:tab w:val="clear" w:pos="7892"/>
              <w:tab w:val="right" w:pos="9026" w:leader="dot"/>
            </w:tabs>
            <w:rPr/>
          </w:pPr>
          <w:hyperlink w:anchor="__RefHeading___Toc2903451_3804643083">
            <w:r>
              <w:rPr>
                <w:webHidden/>
                <w:rStyle w:val="IndexLink"/>
                <w:rtl w:val="true"/>
              </w:rPr>
              <w:t>اشاره</w:t>
            </w:r>
            <w:r>
              <w:rPr>
                <w:rStyle w:val="IndexLink"/>
                <w:rtl w:val="true"/>
              </w:rPr>
              <w:tab/>
            </w:r>
            <w:r>
              <w:rPr>
                <w:rStyle w:val="IndexLink"/>
              </w:rPr>
              <w:t>435</w:t>
            </w:r>
          </w:hyperlink>
        </w:p>
        <w:p>
          <w:pPr>
            <w:pStyle w:val="Contents5"/>
            <w:tabs>
              <w:tab w:val="clear" w:pos="7892"/>
              <w:tab w:val="right" w:pos="9026" w:leader="dot"/>
            </w:tabs>
            <w:rPr/>
          </w:pPr>
          <w:hyperlink w:anchor="__RefHeading___Toc2903453_3804643083">
            <w:r>
              <w:rPr>
                <w:webHidden/>
                <w:rStyle w:val="IndexLink"/>
              </w:rPr>
              <w:t>1</w:t>
            </w:r>
            <w:r>
              <w:rPr>
                <w:rStyle w:val="IndexLink"/>
                <w:rtl w:val="true"/>
              </w:rPr>
              <w:t xml:space="preserve">. </w:t>
            </w:r>
            <w:r>
              <w:rPr>
                <w:rStyle w:val="IndexLink"/>
                <w:rtl w:val="true"/>
              </w:rPr>
              <w:t>روايت عبدالرحمان بن سيابه</w:t>
            </w:r>
            <w:r>
              <w:rPr>
                <w:rStyle w:val="IndexLink"/>
                <w:rtl w:val="true"/>
              </w:rPr>
              <w:t>:</w:t>
              <w:tab/>
            </w:r>
            <w:r>
              <w:rPr>
                <w:rStyle w:val="IndexLink"/>
              </w:rPr>
              <w:t>435</w:t>
            </w:r>
          </w:hyperlink>
        </w:p>
        <w:p>
          <w:pPr>
            <w:pStyle w:val="Contents5"/>
            <w:tabs>
              <w:tab w:val="clear" w:pos="7892"/>
              <w:tab w:val="right" w:pos="9026" w:leader="dot"/>
            </w:tabs>
            <w:rPr/>
          </w:pPr>
          <w:hyperlink w:anchor="__RefHeading___Toc2903455_3804643083">
            <w:r>
              <w:rPr>
                <w:webHidden/>
                <w:rStyle w:val="IndexLink"/>
              </w:rPr>
              <w:t>2</w:t>
            </w:r>
            <w:r>
              <w:rPr>
                <w:rStyle w:val="IndexLink"/>
                <w:rtl w:val="true"/>
              </w:rPr>
              <w:t xml:space="preserve">. </w:t>
            </w:r>
            <w:r>
              <w:rPr>
                <w:rStyle w:val="IndexLink"/>
                <w:rtl w:val="true"/>
              </w:rPr>
              <w:t>موثقه‌ي سماعة</w:t>
            </w:r>
            <w:r>
              <w:rPr>
                <w:rStyle w:val="IndexLink"/>
                <w:rtl w:val="true"/>
              </w:rPr>
              <w:t>:</w:t>
              <w:tab/>
            </w:r>
            <w:r>
              <w:rPr>
                <w:rStyle w:val="IndexLink"/>
              </w:rPr>
              <w:t>437</w:t>
            </w:r>
          </w:hyperlink>
        </w:p>
        <w:p>
          <w:pPr>
            <w:pStyle w:val="Contents5"/>
            <w:tabs>
              <w:tab w:val="clear" w:pos="7892"/>
              <w:tab w:val="right" w:pos="9026" w:leader="dot"/>
            </w:tabs>
            <w:rPr/>
          </w:pPr>
          <w:hyperlink w:anchor="__RefHeading___Toc2903457_3804643083">
            <w:r>
              <w:rPr>
                <w:webHidden/>
                <w:rStyle w:val="IndexLink"/>
              </w:rPr>
              <w:t>3</w:t>
            </w:r>
            <w:r>
              <w:rPr>
                <w:rStyle w:val="IndexLink"/>
                <w:rtl w:val="true"/>
              </w:rPr>
              <w:t xml:space="preserve">. </w:t>
            </w:r>
            <w:r>
              <w:rPr>
                <w:rStyle w:val="IndexLink"/>
                <w:rtl w:val="true"/>
              </w:rPr>
              <w:t>مرسله‌ي عثمان به عيسي</w:t>
            </w:r>
            <w:r>
              <w:rPr>
                <w:rStyle w:val="IndexLink"/>
                <w:rtl w:val="true"/>
              </w:rPr>
              <w:t>:</w:t>
              <w:tab/>
            </w:r>
            <w:r>
              <w:rPr>
                <w:rStyle w:val="IndexLink"/>
              </w:rPr>
              <w:t>438</w:t>
            </w:r>
          </w:hyperlink>
        </w:p>
        <w:p>
          <w:pPr>
            <w:pStyle w:val="Contents5"/>
            <w:tabs>
              <w:tab w:val="clear" w:pos="7892"/>
              <w:tab w:val="right" w:pos="9026" w:leader="dot"/>
            </w:tabs>
            <w:rPr/>
          </w:pPr>
          <w:hyperlink w:anchor="__RefHeading___Toc2903459_3804643083">
            <w:r>
              <w:rPr>
                <w:webHidden/>
                <w:rStyle w:val="IndexLink"/>
              </w:rPr>
              <w:t>4</w:t>
            </w:r>
            <w:r>
              <w:rPr>
                <w:rStyle w:val="IndexLink"/>
                <w:rtl w:val="true"/>
              </w:rPr>
              <w:t xml:space="preserve">. </w:t>
            </w:r>
            <w:r>
              <w:rPr>
                <w:rStyle w:val="IndexLink"/>
                <w:rtl w:val="true"/>
              </w:rPr>
              <w:t>مضمره‌ي عبدالله بن سليمان</w:t>
            </w:r>
            <w:r>
              <w:rPr>
                <w:rStyle w:val="IndexLink"/>
                <w:rtl w:val="true"/>
              </w:rPr>
              <w:t>:</w:t>
              <w:tab/>
            </w:r>
            <w:r>
              <w:rPr>
                <w:rStyle w:val="IndexLink"/>
              </w:rPr>
              <w:t>439</w:t>
            </w:r>
          </w:hyperlink>
        </w:p>
        <w:p>
          <w:pPr>
            <w:pStyle w:val="Contents5"/>
            <w:tabs>
              <w:tab w:val="clear" w:pos="7892"/>
              <w:tab w:val="right" w:pos="9026" w:leader="dot"/>
            </w:tabs>
            <w:rPr/>
          </w:pPr>
          <w:hyperlink w:anchor="__RefHeading___Toc2903461_3804643083">
            <w:r>
              <w:rPr>
                <w:webHidden/>
                <w:rStyle w:val="IndexLink"/>
              </w:rPr>
              <w:t>5</w:t>
            </w:r>
            <w:r>
              <w:rPr>
                <w:rStyle w:val="IndexLink"/>
                <w:rtl w:val="true"/>
              </w:rPr>
              <w:t xml:space="preserve">. </w:t>
            </w:r>
            <w:r>
              <w:rPr>
                <w:rStyle w:val="IndexLink"/>
                <w:rtl w:val="true"/>
              </w:rPr>
              <w:t>روايت جراح المدائني</w:t>
            </w:r>
            <w:r>
              <w:rPr>
                <w:rStyle w:val="IndexLink"/>
                <w:rtl w:val="true"/>
              </w:rPr>
              <w:t>:</w:t>
              <w:tab/>
            </w:r>
            <w:r>
              <w:rPr>
                <w:rStyle w:val="IndexLink"/>
              </w:rPr>
              <w:t>439</w:t>
            </w:r>
          </w:hyperlink>
        </w:p>
        <w:p>
          <w:pPr>
            <w:pStyle w:val="Contents5"/>
            <w:tabs>
              <w:tab w:val="clear" w:pos="7892"/>
              <w:tab w:val="right" w:pos="9026" w:leader="dot"/>
            </w:tabs>
            <w:rPr/>
          </w:pPr>
          <w:hyperlink w:anchor="__RefHeading___Toc2903463_3804643083">
            <w:r>
              <w:rPr>
                <w:webHidden/>
                <w:rStyle w:val="IndexLink"/>
              </w:rPr>
              <w:t>6</w:t>
            </w:r>
            <w:r>
              <w:rPr>
                <w:rStyle w:val="IndexLink"/>
                <w:rtl w:val="true"/>
              </w:rPr>
              <w:t xml:space="preserve">. </w:t>
            </w:r>
            <w:r>
              <w:rPr>
                <w:rStyle w:val="IndexLink"/>
                <w:rtl w:val="true"/>
              </w:rPr>
              <w:t>روايت سماعة بن مهران</w:t>
            </w:r>
            <w:r>
              <w:rPr>
                <w:rStyle w:val="IndexLink"/>
                <w:rtl w:val="true"/>
              </w:rPr>
              <w:t>:</w:t>
              <w:tab/>
            </w:r>
            <w:r>
              <w:rPr>
                <w:rStyle w:val="IndexLink"/>
              </w:rPr>
              <w:t>440</w:t>
            </w:r>
          </w:hyperlink>
        </w:p>
        <w:p>
          <w:pPr>
            <w:pStyle w:val="Contents4"/>
            <w:tabs>
              <w:tab w:val="clear" w:pos="8176"/>
              <w:tab w:val="right" w:pos="9026" w:leader="dot"/>
            </w:tabs>
            <w:rPr/>
          </w:pPr>
          <w:hyperlink w:anchor="__RefHeading___Toc2903465_3804643083">
            <w:r>
              <w:rPr>
                <w:webHidden/>
                <w:rStyle w:val="IndexLink"/>
                <w:rtl w:val="true"/>
              </w:rPr>
              <w:t>روايات دالّ بر جواز بيع قرآن</w:t>
            </w:r>
            <w:r>
              <w:rPr>
                <w:rStyle w:val="IndexLink"/>
                <w:rtl w:val="true"/>
              </w:rPr>
              <w:tab/>
            </w:r>
            <w:r>
              <w:rPr>
                <w:rStyle w:val="IndexLink"/>
              </w:rPr>
              <w:t>445</w:t>
            </w:r>
          </w:hyperlink>
        </w:p>
        <w:p>
          <w:pPr>
            <w:pStyle w:val="Contents5"/>
            <w:tabs>
              <w:tab w:val="clear" w:pos="7892"/>
              <w:tab w:val="right" w:pos="9026" w:leader="dot"/>
            </w:tabs>
            <w:rPr/>
          </w:pPr>
          <w:hyperlink w:anchor="__RefHeading___Toc2903467_3804643083">
            <w:r>
              <w:rPr>
                <w:webHidden/>
                <w:rStyle w:val="IndexLink"/>
              </w:rPr>
              <w:t>1</w:t>
            </w:r>
            <w:r>
              <w:rPr>
                <w:rStyle w:val="IndexLink"/>
                <w:rtl w:val="true"/>
              </w:rPr>
              <w:t xml:space="preserve">. </w:t>
            </w:r>
            <w:r>
              <w:rPr>
                <w:rStyle w:val="IndexLink"/>
                <w:rtl w:val="true"/>
              </w:rPr>
              <w:t>موثقه‌ي روح بن عبدالرحيم</w:t>
            </w:r>
            <w:r>
              <w:rPr>
                <w:rStyle w:val="IndexLink"/>
                <w:rtl w:val="true"/>
              </w:rPr>
              <w:t>:</w:t>
              <w:tab/>
            </w:r>
            <w:r>
              <w:rPr>
                <w:rStyle w:val="IndexLink"/>
              </w:rPr>
              <w:t>445</w:t>
            </w:r>
          </w:hyperlink>
        </w:p>
        <w:p>
          <w:pPr>
            <w:pStyle w:val="Contents5"/>
            <w:tabs>
              <w:tab w:val="clear" w:pos="7892"/>
              <w:tab w:val="right" w:pos="9026" w:leader="dot"/>
            </w:tabs>
            <w:rPr/>
          </w:pPr>
          <w:hyperlink w:anchor="__RefHeading___Toc2903469_3804643083">
            <w:r>
              <w:rPr>
                <w:webHidden/>
                <w:rStyle w:val="IndexLink"/>
              </w:rPr>
              <w:t>2</w:t>
            </w:r>
            <w:r>
              <w:rPr>
                <w:rStyle w:val="IndexLink"/>
                <w:rtl w:val="true"/>
              </w:rPr>
              <w:t xml:space="preserve">. </w:t>
            </w:r>
            <w:r>
              <w:rPr>
                <w:rStyle w:val="IndexLink"/>
                <w:rtl w:val="true"/>
              </w:rPr>
              <w:t>روايت عنبسة الوراق</w:t>
            </w:r>
            <w:r>
              <w:rPr>
                <w:rStyle w:val="IndexLink"/>
                <w:rtl w:val="true"/>
              </w:rPr>
              <w:t>:</w:t>
              <w:tab/>
            </w:r>
            <w:r>
              <w:rPr>
                <w:rStyle w:val="IndexLink"/>
              </w:rPr>
              <w:t>448</w:t>
            </w:r>
          </w:hyperlink>
        </w:p>
        <w:p>
          <w:pPr>
            <w:pStyle w:val="Contents5"/>
            <w:tabs>
              <w:tab w:val="clear" w:pos="7892"/>
              <w:tab w:val="right" w:pos="9026" w:leader="dot"/>
            </w:tabs>
            <w:rPr/>
          </w:pPr>
          <w:hyperlink w:anchor="__RefHeading___Toc2903471_3804643083">
            <w:r>
              <w:rPr>
                <w:webHidden/>
                <w:rStyle w:val="IndexLink"/>
              </w:rPr>
              <w:t>3</w:t>
            </w:r>
            <w:r>
              <w:rPr>
                <w:rStyle w:val="IndexLink"/>
                <w:rtl w:val="true"/>
              </w:rPr>
              <w:t xml:space="preserve">. </w:t>
            </w:r>
            <w:r>
              <w:rPr>
                <w:rStyle w:val="IndexLink"/>
                <w:rtl w:val="true"/>
              </w:rPr>
              <w:t>صحيحه‌ي ابي بصير</w:t>
            </w:r>
            <w:r>
              <w:rPr>
                <w:rStyle w:val="IndexLink"/>
                <w:rtl w:val="true"/>
              </w:rPr>
              <w:t>:</w:t>
              <w:tab/>
            </w:r>
            <w:r>
              <w:rPr>
                <w:rStyle w:val="IndexLink"/>
              </w:rPr>
              <w:t>449</w:t>
            </w:r>
          </w:hyperlink>
        </w:p>
        <w:p>
          <w:pPr>
            <w:pStyle w:val="Contents4"/>
            <w:tabs>
              <w:tab w:val="clear" w:pos="8176"/>
              <w:tab w:val="right" w:pos="9026" w:leader="dot"/>
            </w:tabs>
            <w:rPr/>
          </w:pPr>
          <w:hyperlink w:anchor="__RefHeading___Toc2903473_3804643083">
            <w:r>
              <w:rPr>
                <w:webHidden/>
                <w:rStyle w:val="IndexLink"/>
                <w:rtl w:val="true"/>
              </w:rPr>
              <w:t>حمل بر كراهت مقتضاي جمع بين دو دسته روايات</w:t>
            </w:r>
            <w:r>
              <w:rPr>
                <w:rStyle w:val="IndexLink"/>
                <w:rtl w:val="true"/>
              </w:rPr>
              <w:tab/>
            </w:r>
            <w:r>
              <w:rPr>
                <w:rStyle w:val="IndexLink"/>
              </w:rPr>
              <w:t>450</w:t>
            </w:r>
          </w:hyperlink>
        </w:p>
        <w:p>
          <w:pPr>
            <w:pStyle w:val="Contents5"/>
            <w:tabs>
              <w:tab w:val="clear" w:pos="7892"/>
              <w:tab w:val="right" w:pos="9026" w:leader="dot"/>
            </w:tabs>
            <w:rPr/>
          </w:pPr>
          <w:hyperlink w:anchor="__RefHeading___Toc2903475_3804643083">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2903477_3804643083">
            <w:r>
              <w:rPr>
                <w:webHidden/>
                <w:rStyle w:val="IndexLink"/>
                <w:rtl w:val="true"/>
              </w:rPr>
              <w:t>جمع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بين دو دسته روايات</w:t>
            </w:r>
            <w:r>
              <w:rPr>
                <w:rStyle w:val="IndexLink"/>
                <w:rtl w:val="true"/>
              </w:rPr>
              <w:tab/>
            </w:r>
            <w:r>
              <w:rPr>
                <w:rStyle w:val="IndexLink"/>
              </w:rPr>
              <w:t>452</w:t>
            </w:r>
          </w:hyperlink>
        </w:p>
        <w:p>
          <w:pPr>
            <w:pStyle w:val="Contents5"/>
            <w:tabs>
              <w:tab w:val="clear" w:pos="7892"/>
              <w:tab w:val="right" w:pos="9026" w:leader="dot"/>
            </w:tabs>
            <w:rPr/>
          </w:pPr>
          <w:hyperlink w:anchor="__RefHeading___Toc2903479_3804643083">
            <w:r>
              <w:rPr>
                <w:webHidden/>
                <w:rStyle w:val="IndexLink"/>
                <w:rtl w:val="true"/>
              </w:rPr>
              <w:t>وجوه دلالت موثقه‌ي روح بن عبدالرحيم بر جواز بيع مصحف در كلام شيخ</w:t>
            </w:r>
            <w:r>
              <w:rPr>
                <w:rStyle w:val="IndexLink"/>
                <w:rtl w:val="true"/>
              </w:rPr>
              <w:t xml:space="preserve">- </w:t>
            </w:r>
            <w:r>
              <w:rPr>
                <w:rStyle w:val="IndexLink"/>
                <w:rtl w:val="true"/>
              </w:rPr>
              <w:t xml:space="preserve">قدس سره </w:t>
            </w:r>
            <w:r>
              <w:rPr>
                <w:rStyle w:val="IndexLink"/>
                <w:rtl w:val="true"/>
              </w:rPr>
              <w:t>-</w:t>
              <w:tab/>
            </w:r>
            <w:r>
              <w:rPr>
                <w:rStyle w:val="IndexLink"/>
              </w:rPr>
              <w:t>453</w:t>
            </w:r>
          </w:hyperlink>
        </w:p>
        <w:p>
          <w:pPr>
            <w:pStyle w:val="Contents4"/>
            <w:tabs>
              <w:tab w:val="clear" w:pos="8176"/>
              <w:tab w:val="right" w:pos="9026" w:leader="dot"/>
            </w:tabs>
            <w:rPr/>
          </w:pPr>
          <w:hyperlink w:anchor="__RefHeading___Toc2903481_3804643083">
            <w:r>
              <w:rPr>
                <w:webHidden/>
                <w:rStyle w:val="IndexLink"/>
                <w:rtl w:val="true"/>
              </w:rPr>
              <w:t>روايات دالّ بر جواز پرداخت اجرت بر كتابت قرآن</w:t>
            </w:r>
            <w:r>
              <w:rPr>
                <w:rStyle w:val="IndexLink"/>
                <w:rtl w:val="true"/>
              </w:rPr>
              <w:tab/>
            </w:r>
            <w:r>
              <w:rPr>
                <w:rStyle w:val="IndexLink"/>
              </w:rPr>
              <w:t>454</w:t>
            </w:r>
          </w:hyperlink>
        </w:p>
        <w:p>
          <w:pPr>
            <w:pStyle w:val="Contents5"/>
            <w:tabs>
              <w:tab w:val="clear" w:pos="7892"/>
              <w:tab w:val="right" w:pos="9026" w:leader="dot"/>
            </w:tabs>
            <w:rPr/>
          </w:pPr>
          <w:hyperlink w:anchor="__RefHeading___Toc2903483_3804643083">
            <w:r>
              <w:rPr>
                <w:webHidden/>
                <w:rStyle w:val="IndexLink"/>
                <w:rtl w:val="true"/>
              </w:rPr>
              <w:t>ـ موثقه‌ي روح بن عبدالرحيم</w:t>
            </w:r>
            <w:r>
              <w:rPr>
                <w:rStyle w:val="IndexLink"/>
                <w:rtl w:val="true"/>
              </w:rPr>
              <w:t>:</w:t>
              <w:tab/>
            </w:r>
            <w:r>
              <w:rPr>
                <w:rStyle w:val="IndexLink"/>
              </w:rPr>
              <w:t>454</w:t>
            </w:r>
          </w:hyperlink>
        </w:p>
        <w:p>
          <w:pPr>
            <w:pStyle w:val="Contents5"/>
            <w:tabs>
              <w:tab w:val="clear" w:pos="7892"/>
              <w:tab w:val="right" w:pos="9026" w:leader="dot"/>
            </w:tabs>
            <w:rPr/>
          </w:pPr>
          <w:hyperlink w:anchor="__RefHeading___Toc2903485_3804643083">
            <w:r>
              <w:rPr>
                <w:webHidden/>
                <w:rStyle w:val="IndexLink"/>
                <w:rtl w:val="true"/>
              </w:rPr>
              <w:t>ـ صحيحه‌ي علي بن جعفر</w:t>
            </w:r>
            <w:r>
              <w:rPr>
                <w:rStyle w:val="IndexLink"/>
                <w:rtl w:val="true"/>
              </w:rPr>
              <w:t>:</w:t>
              <w:tab/>
            </w:r>
            <w:r>
              <w:rPr>
                <w:rStyle w:val="IndexLink"/>
              </w:rPr>
              <w:t>455</w:t>
            </w:r>
          </w:hyperlink>
        </w:p>
        <w:p>
          <w:pPr>
            <w:pStyle w:val="Contents5"/>
            <w:tabs>
              <w:tab w:val="clear" w:pos="7892"/>
              <w:tab w:val="right" w:pos="9026" w:leader="dot"/>
            </w:tabs>
            <w:rPr/>
          </w:pPr>
          <w:hyperlink w:anchor="__RefHeading___Toc2903487_3804643083">
            <w:r>
              <w:rPr>
                <w:webHidden/>
                <w:rStyle w:val="IndexLink"/>
                <w:rtl w:val="true"/>
              </w:rPr>
              <w:t>ـ صحيحه‌ي ديگر علي بن جعفر</w:t>
            </w:r>
            <w:r>
              <w:rPr>
                <w:rStyle w:val="IndexLink"/>
                <w:rtl w:val="true"/>
              </w:rPr>
              <w:t>:</w:t>
              <w:tab/>
            </w:r>
            <w:r>
              <w:rPr>
                <w:rStyle w:val="IndexLink"/>
              </w:rPr>
              <w:t>455</w:t>
            </w:r>
          </w:hyperlink>
        </w:p>
        <w:p>
          <w:pPr>
            <w:pStyle w:val="Contents5"/>
            <w:tabs>
              <w:tab w:val="clear" w:pos="7892"/>
              <w:tab w:val="right" w:pos="9026" w:leader="dot"/>
            </w:tabs>
            <w:rPr/>
          </w:pPr>
          <w:hyperlink w:anchor="__RefHeading___Toc2903489_3804643083">
            <w:r>
              <w:rPr>
                <w:webHidden/>
                <w:rStyle w:val="IndexLink"/>
                <w:rtl w:val="true"/>
              </w:rPr>
              <w:t>ـ صحيحه‌اي در جامع بزنطي به نقل جناب ابن ادريس</w:t>
            </w:r>
            <w:r>
              <w:rPr>
                <w:rStyle w:val="IndexLink"/>
                <w:rtl w:val="true"/>
              </w:rPr>
              <w:t>:</w:t>
              <w:tab/>
            </w:r>
            <w:r>
              <w:rPr>
                <w:rStyle w:val="IndexLink"/>
              </w:rPr>
              <w:t>456</w:t>
            </w:r>
          </w:hyperlink>
        </w:p>
        <w:p>
          <w:pPr>
            <w:pStyle w:val="Contents5"/>
            <w:tabs>
              <w:tab w:val="clear" w:pos="7892"/>
              <w:tab w:val="right" w:pos="9026" w:leader="dot"/>
            </w:tabs>
            <w:rPr/>
          </w:pPr>
          <w:hyperlink w:anchor="__RefHeading___Toc2903491_3804643083">
            <w:r>
              <w:rPr>
                <w:webHidden/>
                <w:rStyle w:val="IndexLink"/>
                <w:rtl w:val="true"/>
              </w:rPr>
              <w:t>ـ روايت عبدالرحمن بن ابي عبدالله</w:t>
            </w:r>
            <w:r>
              <w:rPr>
                <w:rStyle w:val="IndexLink"/>
                <w:rtl w:val="true"/>
              </w:rPr>
              <w:t>:</w:t>
              <w:tab/>
            </w:r>
            <w:r>
              <w:rPr>
                <w:rStyle w:val="IndexLink"/>
              </w:rPr>
              <w:t>456</w:t>
            </w:r>
          </w:hyperlink>
        </w:p>
        <w:p>
          <w:pPr>
            <w:pStyle w:val="Contents4"/>
            <w:tabs>
              <w:tab w:val="clear" w:pos="8176"/>
              <w:tab w:val="right" w:pos="9026" w:leader="dot"/>
            </w:tabs>
            <w:rPr/>
          </w:pPr>
          <w:hyperlink w:anchor="__RefHeading___Toc2903493_3804643083">
            <w:r>
              <w:rPr>
                <w:webHidden/>
                <w:rStyle w:val="IndexLink"/>
                <w:rtl w:val="true"/>
              </w:rPr>
              <w:t>ادامه‌ي كلام در جمع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بين دو دسته روايات</w:t>
            </w:r>
            <w:r>
              <w:rPr>
                <w:rStyle w:val="IndexLink"/>
                <w:rtl w:val="true"/>
              </w:rPr>
              <w:tab/>
            </w:r>
            <w:r>
              <w:rPr>
                <w:rStyle w:val="IndexLink"/>
              </w:rPr>
              <w:t>458</w:t>
            </w:r>
          </w:hyperlink>
        </w:p>
        <w:p>
          <w:pPr>
            <w:pStyle w:val="Contents5"/>
            <w:tabs>
              <w:tab w:val="clear" w:pos="7892"/>
              <w:tab w:val="right" w:pos="9026" w:leader="dot"/>
            </w:tabs>
            <w:rPr/>
          </w:pPr>
          <w:hyperlink w:anchor="__RefHeading___Toc2903495_3804643083">
            <w:r>
              <w:rPr>
                <w:webHidden/>
                <w:rStyle w:val="IndexLink"/>
                <w:rtl w:val="true"/>
              </w:rPr>
              <w:t>اشاره</w:t>
            </w:r>
            <w:r>
              <w:rPr>
                <w:rStyle w:val="IndexLink"/>
                <w:rtl w:val="true"/>
              </w:rPr>
              <w:tab/>
            </w:r>
            <w:r>
              <w:rPr>
                <w:rStyle w:val="IndexLink"/>
              </w:rPr>
              <w:t>458</w:t>
            </w:r>
          </w:hyperlink>
        </w:p>
        <w:p>
          <w:pPr>
            <w:pStyle w:val="Contents5"/>
            <w:tabs>
              <w:tab w:val="clear" w:pos="7892"/>
              <w:tab w:val="right" w:pos="9026" w:leader="dot"/>
            </w:tabs>
            <w:rPr/>
          </w:pPr>
          <w:hyperlink w:anchor="__RefHeading___Toc2903497_3804643083">
            <w:r>
              <w:rPr>
                <w:webHidden/>
                <w:rStyle w:val="IndexLink"/>
                <w:rtl w:val="true"/>
              </w:rPr>
              <w:t>نقد وجه جمع شيخ</w:t>
            </w:r>
            <w:r>
              <w:rPr>
                <w:rStyle w:val="IndexLink"/>
                <w:rtl w:val="true"/>
              </w:rPr>
              <w:t xml:space="preserve">- </w:t>
            </w:r>
            <w:r>
              <w:rPr>
                <w:rStyle w:val="IndexLink"/>
                <w:rtl w:val="true"/>
              </w:rPr>
              <w:t xml:space="preserve">قدس سره </w:t>
            </w:r>
            <w:r>
              <w:rPr>
                <w:rStyle w:val="IndexLink"/>
                <w:rtl w:val="true"/>
              </w:rPr>
              <w:t>-</w:t>
              <w:tab/>
            </w:r>
            <w:r>
              <w:rPr>
                <w:rStyle w:val="IndexLink"/>
              </w:rPr>
              <w:t>460</w:t>
            </w:r>
          </w:hyperlink>
        </w:p>
        <w:p>
          <w:pPr>
            <w:pStyle w:val="Contents5"/>
            <w:tabs>
              <w:tab w:val="clear" w:pos="7892"/>
              <w:tab w:val="right" w:pos="9026" w:leader="dot"/>
            </w:tabs>
            <w:rPr/>
          </w:pPr>
          <w:hyperlink w:anchor="__RefHeading___Toc2903499_3804643083">
            <w:r>
              <w:rPr>
                <w:webHidden/>
                <w:rStyle w:val="IndexLink"/>
                <w:rtl w:val="true"/>
              </w:rPr>
              <w:t>نقد كلام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وجوه دلالت موثقه‌ي روح بن عبدالرحيم بر جواز بيع مصحف</w:t>
            </w:r>
            <w:r>
              <w:rPr>
                <w:rStyle w:val="IndexLink"/>
                <w:rtl w:val="true"/>
              </w:rPr>
              <w:tab/>
            </w:r>
            <w:r>
              <w:rPr>
                <w:rStyle w:val="IndexLink"/>
              </w:rPr>
              <w:t>461</w:t>
            </w:r>
          </w:hyperlink>
        </w:p>
        <w:p>
          <w:pPr>
            <w:pStyle w:val="Contents4"/>
            <w:tabs>
              <w:tab w:val="clear" w:pos="8176"/>
              <w:tab w:val="right" w:pos="9026" w:leader="dot"/>
            </w:tabs>
            <w:rPr/>
          </w:pPr>
          <w:hyperlink w:anchor="__RefHeading___Toc2903501_3804643083">
            <w:r>
              <w:rPr>
                <w:webHidden/>
                <w:rStyle w:val="IndexLink"/>
                <w:rtl w:val="true"/>
              </w:rPr>
              <w:t>وجه اعتباري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اثبات جواز بيع مصحف</w:t>
            </w:r>
            <w:r>
              <w:rPr>
                <w:rStyle w:val="IndexLink"/>
                <w:rtl w:val="true"/>
              </w:rPr>
              <w:tab/>
            </w:r>
            <w:r>
              <w:rPr>
                <w:rStyle w:val="IndexLink"/>
              </w:rPr>
              <w:t>463</w:t>
            </w:r>
          </w:hyperlink>
        </w:p>
        <w:p>
          <w:pPr>
            <w:pStyle w:val="Contents5"/>
            <w:tabs>
              <w:tab w:val="clear" w:pos="7892"/>
              <w:tab w:val="right" w:pos="9026" w:leader="dot"/>
            </w:tabs>
            <w:rPr/>
          </w:pPr>
          <w:hyperlink w:anchor="__RefHeading___Toc2903503_3804643083">
            <w:r>
              <w:rPr>
                <w:webHidden/>
                <w:rStyle w:val="IndexLink"/>
                <w:rtl w:val="true"/>
              </w:rPr>
              <w:t>اشاره</w:t>
            </w:r>
            <w:r>
              <w:rPr>
                <w:rStyle w:val="IndexLink"/>
                <w:rtl w:val="true"/>
              </w:rPr>
              <w:tab/>
            </w:r>
            <w:r>
              <w:rPr>
                <w:rStyle w:val="IndexLink"/>
              </w:rPr>
              <w:t>463</w:t>
            </w:r>
          </w:hyperlink>
        </w:p>
        <w:p>
          <w:pPr>
            <w:pStyle w:val="Contents5"/>
            <w:tabs>
              <w:tab w:val="clear" w:pos="7892"/>
              <w:tab w:val="right" w:pos="9026" w:leader="dot"/>
            </w:tabs>
            <w:rPr/>
          </w:pPr>
          <w:hyperlink w:anchor="__RefHeading___Toc2903505_3804643083">
            <w:r>
              <w:rPr>
                <w:webHidden/>
                <w:rStyle w:val="IndexLink"/>
                <w:rtl w:val="true"/>
              </w:rPr>
              <w:t>نقد كلام شيخ</w:t>
            </w:r>
            <w:r>
              <w:rPr>
                <w:rStyle w:val="IndexLink"/>
                <w:rtl w:val="true"/>
              </w:rPr>
              <w:t xml:space="preserve">- </w:t>
            </w:r>
            <w:r>
              <w:rPr>
                <w:rStyle w:val="IndexLink"/>
                <w:rtl w:val="true"/>
              </w:rPr>
              <w:t xml:space="preserve">قدس سره </w:t>
            </w:r>
            <w:r>
              <w:rPr>
                <w:rStyle w:val="IndexLink"/>
                <w:rtl w:val="true"/>
              </w:rPr>
              <w:t>-</w:t>
              <w:tab/>
            </w:r>
            <w:r>
              <w:rPr>
                <w:rStyle w:val="IndexLink"/>
              </w:rPr>
              <w:t>466</w:t>
            </w:r>
          </w:hyperlink>
        </w:p>
        <w:p>
          <w:pPr>
            <w:pStyle w:val="Contents4"/>
            <w:tabs>
              <w:tab w:val="clear" w:pos="8176"/>
              <w:tab w:val="right" w:pos="9026" w:leader="dot"/>
            </w:tabs>
            <w:rPr/>
          </w:pPr>
          <w:hyperlink w:anchor="__RefHeading___Toc2903507_3804643083">
            <w:r>
              <w:rPr>
                <w:webHidden/>
                <w:rStyle w:val="IndexLink"/>
                <w:rtl w:val="true"/>
              </w:rPr>
              <w:t>خلاصه‌ي نظر مختار در بيع مصحف</w:t>
            </w:r>
            <w:r>
              <w:rPr>
                <w:rStyle w:val="IndexLink"/>
                <w:rtl w:val="true"/>
              </w:rPr>
              <w:tab/>
            </w:r>
            <w:r>
              <w:rPr>
                <w:rStyle w:val="IndexLink"/>
              </w:rPr>
              <w:t>469</w:t>
            </w:r>
          </w:hyperlink>
        </w:p>
        <w:p>
          <w:pPr>
            <w:pStyle w:val="Contents4"/>
            <w:tabs>
              <w:tab w:val="clear" w:pos="8176"/>
              <w:tab w:val="right" w:pos="9026" w:leader="dot"/>
            </w:tabs>
            <w:rPr/>
          </w:pPr>
          <w:hyperlink w:anchor="__RefHeading___Toc2903509_3804643083">
            <w:r>
              <w:rPr>
                <w:webHidden/>
                <w:rStyle w:val="IndexLink"/>
                <w:rtl w:val="true"/>
              </w:rPr>
              <w:t>بنا بر حرمت بيع مصحف، آيا معامله باطل است؟</w:t>
            </w:r>
            <w:r>
              <w:rPr>
                <w:rStyle w:val="IndexLink"/>
                <w:rtl w:val="true"/>
              </w:rPr>
              <w:tab/>
            </w:r>
            <w:r>
              <w:rPr>
                <w:rStyle w:val="IndexLink"/>
              </w:rPr>
              <w:t>472</w:t>
            </w:r>
          </w:hyperlink>
        </w:p>
        <w:p>
          <w:pPr>
            <w:pStyle w:val="Contents3"/>
            <w:tabs>
              <w:tab w:val="clear" w:pos="8459"/>
              <w:tab w:val="right" w:pos="9026" w:leader="dot"/>
            </w:tabs>
            <w:rPr/>
          </w:pPr>
          <w:hyperlink w:anchor="__RefHeading___Toc2903511_3804643083">
            <w:r>
              <w:rPr>
                <w:webHidden/>
                <w:rStyle w:val="IndexLink"/>
                <w:rtl w:val="true"/>
              </w:rPr>
              <w:t>حكم بيع مصحف به كافر</w:t>
            </w:r>
            <w:r>
              <w:rPr>
                <w:rStyle w:val="IndexLink"/>
                <w:rtl w:val="true"/>
              </w:rPr>
              <w:tab/>
            </w:r>
            <w:r>
              <w:rPr>
                <w:rStyle w:val="IndexLink"/>
              </w:rPr>
              <w:t>475</w:t>
            </w:r>
          </w:hyperlink>
        </w:p>
        <w:p>
          <w:pPr>
            <w:pStyle w:val="Contents4"/>
            <w:tabs>
              <w:tab w:val="clear" w:pos="8176"/>
              <w:tab w:val="right" w:pos="9026" w:leader="dot"/>
            </w:tabs>
            <w:rPr/>
          </w:pPr>
          <w:hyperlink w:anchor="__RefHeading___Toc2903513_3804643083">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2903515_3804643083">
            <w:r>
              <w:rPr>
                <w:webHidden/>
                <w:rStyle w:val="IndexLink"/>
                <w:rtl w:val="true"/>
              </w:rPr>
              <w:t>ادله‌ي حرمت بيع مصحف به كافر</w:t>
            </w:r>
            <w:r>
              <w:rPr>
                <w:rStyle w:val="IndexLink"/>
                <w:rtl w:val="true"/>
              </w:rPr>
              <w:tab/>
            </w:r>
            <w:r>
              <w:rPr>
                <w:rStyle w:val="IndexLink"/>
              </w:rPr>
              <w:t>477</w:t>
            </w:r>
          </w:hyperlink>
        </w:p>
        <w:p>
          <w:pPr>
            <w:pStyle w:val="Contents5"/>
            <w:tabs>
              <w:tab w:val="clear" w:pos="7892"/>
              <w:tab w:val="right" w:pos="9026" w:leader="dot"/>
            </w:tabs>
            <w:rPr/>
          </w:pPr>
          <w:hyperlink w:anchor="__RefHeading___Toc2903517_3804643083">
            <w:r>
              <w:rPr>
                <w:webHidden/>
                <w:rStyle w:val="IndexLink"/>
              </w:rPr>
              <w:t>1</w:t>
            </w:r>
            <w:r>
              <w:rPr>
                <w:rStyle w:val="IndexLink"/>
                <w:rtl w:val="true"/>
              </w:rPr>
              <w:t xml:space="preserve">. </w:t>
            </w:r>
            <w:r>
              <w:rPr>
                <w:rStyle w:val="IndexLink"/>
                <w:rtl w:val="true"/>
              </w:rPr>
              <w:t>فحواي عدم جواز بيع عبد مسلم به كافر</w:t>
            </w:r>
            <w:r>
              <w:rPr>
                <w:rStyle w:val="IndexLink"/>
                <w:rtl w:val="true"/>
              </w:rPr>
              <w:t>.</w:t>
              <w:tab/>
            </w:r>
            <w:r>
              <w:rPr>
                <w:rStyle w:val="IndexLink"/>
              </w:rPr>
              <w:t>477</w:t>
            </w:r>
          </w:hyperlink>
        </w:p>
        <w:p>
          <w:pPr>
            <w:pStyle w:val="Contents5"/>
            <w:tabs>
              <w:tab w:val="clear" w:pos="7892"/>
              <w:tab w:val="right" w:pos="9026" w:leader="dot"/>
            </w:tabs>
            <w:rPr/>
          </w:pPr>
          <w:hyperlink w:anchor="__RefHeading___Toc2903519_3804643083">
            <w:r>
              <w:rPr>
                <w:webHidden/>
                <w:rStyle w:val="IndexLink"/>
              </w:rPr>
              <w:t>2</w:t>
            </w:r>
            <w:r>
              <w:rPr>
                <w:rStyle w:val="IndexLink"/>
                <w:rtl w:val="true"/>
              </w:rPr>
              <w:t xml:space="preserve">. </w:t>
            </w:r>
            <w:r>
              <w:rPr>
                <w:rStyle w:val="IndexLink"/>
                <w:rtl w:val="true"/>
              </w:rPr>
              <w:t xml:space="preserve">روايت معروف </w:t>
            </w:r>
            <w:r>
              <w:rPr>
                <w:rStyle w:val="IndexLink"/>
                <w:rtl w:val="true"/>
              </w:rPr>
              <w:t>«</w:t>
            </w:r>
            <w:r>
              <w:rPr>
                <w:rStyle w:val="IndexLink"/>
                <w:rtl w:val="true"/>
              </w:rPr>
              <w:t>الاسلام يعلو و لايعلي عليه</w:t>
            </w:r>
            <w:r>
              <w:rPr>
                <w:rStyle w:val="IndexLink"/>
                <w:rtl w:val="true"/>
              </w:rPr>
              <w:t>».</w:t>
              <w:tab/>
            </w:r>
            <w:r>
              <w:rPr>
                <w:rStyle w:val="IndexLink"/>
              </w:rPr>
              <w:t>477</w:t>
            </w:r>
          </w:hyperlink>
        </w:p>
        <w:p>
          <w:pPr>
            <w:pStyle w:val="Contents4"/>
            <w:tabs>
              <w:tab w:val="clear" w:pos="8176"/>
              <w:tab w:val="right" w:pos="9026" w:leader="dot"/>
            </w:tabs>
            <w:rPr/>
          </w:pPr>
          <w:hyperlink w:anchor="__RefHeading___Toc2903521_3804643083">
            <w:r>
              <w:rPr>
                <w:webHidden/>
                <w:rStyle w:val="IndexLink"/>
                <w:rtl w:val="true"/>
              </w:rPr>
              <w:t>ادلّه‌ي عدم جواز بيع عبد مسلم به كافر</w:t>
            </w:r>
            <w:r>
              <w:rPr>
                <w:rStyle w:val="IndexLink"/>
                <w:rtl w:val="true"/>
              </w:rPr>
              <w:tab/>
            </w:r>
            <w:r>
              <w:rPr>
                <w:rStyle w:val="IndexLink"/>
              </w:rPr>
              <w:t>477</w:t>
            </w:r>
          </w:hyperlink>
        </w:p>
        <w:p>
          <w:pPr>
            <w:pStyle w:val="Contents5"/>
            <w:tabs>
              <w:tab w:val="clear" w:pos="7892"/>
              <w:tab w:val="right" w:pos="9026" w:leader="dot"/>
            </w:tabs>
            <w:rPr/>
          </w:pPr>
          <w:hyperlink w:anchor="__RefHeading___Toc2903523_3804643083">
            <w:r>
              <w:rPr>
                <w:webHidden/>
                <w:rStyle w:val="IndexLink"/>
              </w:rPr>
              <w:t>1</w:t>
            </w:r>
            <w:r>
              <w:rPr>
                <w:rStyle w:val="IndexLink"/>
                <w:rtl w:val="true"/>
              </w:rPr>
              <w:t xml:space="preserve">. </w:t>
            </w:r>
            <w:r>
              <w:rPr>
                <w:rStyle w:val="IndexLink"/>
                <w:rtl w:val="true"/>
              </w:rPr>
              <w:t xml:space="preserve">آيه‌ي شريفه </w:t>
            </w:r>
            <w:r>
              <w:rPr>
                <w:rStyle w:val="IndexLink"/>
                <w:rtl w:val="true"/>
              </w:rPr>
              <w:t>&lt;</w:t>
            </w:r>
            <w:r>
              <w:rPr>
                <w:rStyle w:val="IndexLink"/>
                <w:rtl w:val="true"/>
              </w:rPr>
              <w:t xml:space="preserve">وَ لَنْ يَجْعَلَ اللَّهُ لِلْكَافِرِينَ عَلَى الْمُؤْمِنِينَ سَبِيلاً </w:t>
            </w:r>
            <w:r>
              <w:rPr>
                <w:rStyle w:val="IndexLink"/>
                <w:rtl w:val="true"/>
              </w:rPr>
              <w:t>&gt;(</w:t>
            </w:r>
            <w:r>
              <w:rPr>
                <w:rStyle w:val="IndexLink"/>
              </w:rPr>
              <w:t>2</w:t>
            </w:r>
            <w:r>
              <w:rPr>
                <w:rStyle w:val="IndexLink"/>
                <w:rtl w:val="true"/>
              </w:rPr>
              <w:t>)</w:t>
              <w:tab/>
            </w:r>
            <w:r>
              <w:rPr>
                <w:rStyle w:val="IndexLink"/>
              </w:rPr>
              <w:t>477</w:t>
            </w:r>
          </w:hyperlink>
        </w:p>
        <w:p>
          <w:pPr>
            <w:pStyle w:val="Contents5"/>
            <w:tabs>
              <w:tab w:val="clear" w:pos="7892"/>
              <w:tab w:val="right" w:pos="9026" w:leader="dot"/>
            </w:tabs>
            <w:rPr/>
          </w:pPr>
          <w:hyperlink w:anchor="__RefHeading___Toc2903525_3804643083">
            <w:r>
              <w:rPr>
                <w:webHidden/>
                <w:rStyle w:val="IndexLink"/>
              </w:rPr>
              <w:t>2</w:t>
            </w:r>
            <w:r>
              <w:rPr>
                <w:rStyle w:val="IndexLink"/>
                <w:rtl w:val="true"/>
              </w:rPr>
              <w:t xml:space="preserve">. </w:t>
            </w:r>
            <w:r>
              <w:rPr>
                <w:rStyle w:val="IndexLink"/>
                <w:rtl w:val="true"/>
              </w:rPr>
              <w:t>روايت حماد بن عيسي</w:t>
            </w:r>
            <w:r>
              <w:rPr>
                <w:rStyle w:val="IndexLink"/>
                <w:rtl w:val="true"/>
              </w:rPr>
              <w:t>:</w:t>
              <w:tab/>
            </w:r>
            <w:r>
              <w:rPr>
                <w:rStyle w:val="IndexLink"/>
              </w:rPr>
              <w:t>484</w:t>
            </w:r>
          </w:hyperlink>
        </w:p>
        <w:p>
          <w:pPr>
            <w:pStyle w:val="Contents5"/>
            <w:tabs>
              <w:tab w:val="clear" w:pos="7892"/>
              <w:tab w:val="right" w:pos="9026" w:leader="dot"/>
            </w:tabs>
            <w:rPr/>
          </w:pPr>
          <w:hyperlink w:anchor="__RefHeading___Toc2903527_3804643083">
            <w:r>
              <w:rPr>
                <w:webHidden/>
                <w:rStyle w:val="IndexLink"/>
              </w:rPr>
              <w:t>3</w:t>
            </w:r>
            <w:r>
              <w:rPr>
                <w:rStyle w:val="IndexLink"/>
                <w:rtl w:val="true"/>
              </w:rPr>
              <w:t xml:space="preserve">. </w:t>
            </w:r>
            <w:r>
              <w:rPr>
                <w:rStyle w:val="IndexLink"/>
                <w:rtl w:val="true"/>
              </w:rPr>
              <w:t xml:space="preserve">روايت معروف </w:t>
            </w:r>
            <w:r>
              <w:rPr>
                <w:rStyle w:val="IndexLink"/>
                <w:rtl w:val="true"/>
              </w:rPr>
              <w:t>«</w:t>
            </w:r>
            <w:r>
              <w:rPr>
                <w:rStyle w:val="IndexLink"/>
                <w:rtl w:val="true"/>
              </w:rPr>
              <w:t>الاسلام يعلو و لا يعلي عليه</w:t>
            </w:r>
            <w:r>
              <w:rPr>
                <w:rStyle w:val="IndexLink"/>
                <w:rtl w:val="true"/>
              </w:rPr>
              <w:t>»:</w:t>
              <w:tab/>
            </w:r>
            <w:r>
              <w:rPr>
                <w:rStyle w:val="IndexLink"/>
              </w:rPr>
              <w:t>488</w:t>
            </w:r>
          </w:hyperlink>
        </w:p>
        <w:p>
          <w:pPr>
            <w:pStyle w:val="Contents4"/>
            <w:tabs>
              <w:tab w:val="clear" w:pos="8176"/>
              <w:tab w:val="right" w:pos="9026" w:leader="dot"/>
            </w:tabs>
            <w:rPr/>
          </w:pPr>
          <w:hyperlink w:anchor="__RefHeading___Toc2903529_3804643083">
            <w:r>
              <w:rPr>
                <w:webHidden/>
                <w:rStyle w:val="IndexLink"/>
                <w:rtl w:val="true"/>
              </w:rPr>
              <w:t xml:space="preserve">قرائني بر اراده‌ي اطلاق در </w:t>
            </w:r>
            <w:r>
              <w:rPr>
                <w:rStyle w:val="IndexLink"/>
                <w:rtl w:val="true"/>
              </w:rPr>
              <w:t>«</w:t>
            </w:r>
            <w:r>
              <w:rPr>
                <w:rStyle w:val="IndexLink"/>
                <w:rtl w:val="true"/>
              </w:rPr>
              <w:t>الاسلام يعلو و لا يعلي عليه</w:t>
            </w:r>
            <w:r>
              <w:rPr>
                <w:rStyle w:val="IndexLink"/>
                <w:rtl w:val="true"/>
              </w:rPr>
              <w:t>»</w:t>
              <w:tab/>
            </w:r>
            <w:r>
              <w:rPr>
                <w:rStyle w:val="IndexLink"/>
              </w:rPr>
              <w:t>489</w:t>
            </w:r>
          </w:hyperlink>
        </w:p>
        <w:p>
          <w:pPr>
            <w:pStyle w:val="Contents5"/>
            <w:tabs>
              <w:tab w:val="clear" w:pos="7892"/>
              <w:tab w:val="right" w:pos="9026" w:leader="dot"/>
            </w:tabs>
            <w:rPr/>
          </w:pPr>
          <w:hyperlink w:anchor="__RefHeading___Toc2903531_3804643083">
            <w:r>
              <w:rPr>
                <w:webHidden/>
                <w:rStyle w:val="IndexLink"/>
                <w:rtl w:val="true"/>
              </w:rPr>
              <w:t>اشاره</w:t>
            </w:r>
            <w:r>
              <w:rPr>
                <w:rStyle w:val="IndexLink"/>
                <w:rtl w:val="true"/>
              </w:rPr>
              <w:tab/>
            </w:r>
            <w:r>
              <w:rPr>
                <w:rStyle w:val="IndexLink"/>
              </w:rPr>
              <w:t>489</w:t>
            </w:r>
          </w:hyperlink>
        </w:p>
        <w:p>
          <w:pPr>
            <w:pStyle w:val="Contents5"/>
            <w:tabs>
              <w:tab w:val="clear" w:pos="7892"/>
              <w:tab w:val="right" w:pos="9026" w:leader="dot"/>
            </w:tabs>
            <w:rPr/>
          </w:pPr>
          <w:hyperlink w:anchor="__RefHeading___Toc2903533_3804643083">
            <w:r>
              <w:rPr>
                <w:webHidden/>
                <w:rStyle w:val="IndexLink"/>
                <w:rtl w:val="true"/>
              </w:rPr>
              <w:t xml:space="preserve">بررسي قرائن مذكور بر اطلاق روايت </w:t>
            </w:r>
            <w:r>
              <w:rPr>
                <w:rStyle w:val="IndexLink"/>
                <w:rtl w:val="true"/>
              </w:rPr>
              <w:t>«</w:t>
            </w:r>
            <w:r>
              <w:rPr>
                <w:rStyle w:val="IndexLink"/>
                <w:rtl w:val="true"/>
              </w:rPr>
              <w:t>الاسلام يعلو و لا يعلي عليه</w:t>
            </w:r>
            <w:r>
              <w:rPr>
                <w:rStyle w:val="IndexLink"/>
                <w:rtl w:val="true"/>
              </w:rPr>
              <w:t>»</w:t>
              <w:tab/>
            </w:r>
            <w:r>
              <w:rPr>
                <w:rStyle w:val="IndexLink"/>
              </w:rPr>
              <w:t>503</w:t>
            </w:r>
          </w:hyperlink>
        </w:p>
        <w:p>
          <w:pPr>
            <w:pStyle w:val="Contents5"/>
            <w:tabs>
              <w:tab w:val="clear" w:pos="7892"/>
              <w:tab w:val="right" w:pos="9026" w:leader="dot"/>
            </w:tabs>
            <w:rPr/>
          </w:pPr>
          <w:hyperlink w:anchor="__RefHeading___Toc2903535_3804643083">
            <w:r>
              <w:rPr>
                <w:webHidden/>
                <w:rStyle w:val="IndexLink"/>
                <w:rtl w:val="true"/>
              </w:rPr>
              <w:t>افراط و تفريط در مسأله</w:t>
            </w:r>
            <w:r>
              <w:rPr>
                <w:rStyle w:val="IndexLink"/>
                <w:rtl w:val="true"/>
              </w:rPr>
              <w:tab/>
            </w:r>
            <w:r>
              <w:rPr>
                <w:rStyle w:val="IndexLink"/>
              </w:rPr>
              <w:t>505</w:t>
            </w:r>
          </w:hyperlink>
        </w:p>
        <w:p>
          <w:pPr>
            <w:pStyle w:val="Contents4"/>
            <w:tabs>
              <w:tab w:val="clear" w:pos="8176"/>
              <w:tab w:val="right" w:pos="9026" w:leader="dot"/>
            </w:tabs>
            <w:rPr/>
          </w:pPr>
          <w:hyperlink w:anchor="__RefHeading___Toc2903537_3804643083">
            <w:r>
              <w:rPr>
                <w:webHidden/>
                <w:rStyle w:val="IndexLink"/>
                <w:rtl w:val="true"/>
              </w:rPr>
              <w:t xml:space="preserve">نظر نهايي در مورد سعه‌ي روايت </w:t>
            </w:r>
            <w:r>
              <w:rPr>
                <w:rStyle w:val="IndexLink"/>
                <w:rtl w:val="true"/>
              </w:rPr>
              <w:t>«</w:t>
            </w:r>
            <w:r>
              <w:rPr>
                <w:rStyle w:val="IndexLink"/>
                <w:rtl w:val="true"/>
              </w:rPr>
              <w:t>الاسلام يعلو و لايعلي عليه</w:t>
            </w:r>
            <w:r>
              <w:rPr>
                <w:rStyle w:val="IndexLink"/>
                <w:rtl w:val="true"/>
              </w:rPr>
              <w:t>»</w:t>
              <w:tab/>
            </w:r>
            <w:r>
              <w:rPr>
                <w:rStyle w:val="IndexLink"/>
              </w:rPr>
              <w:t>509</w:t>
            </w:r>
          </w:hyperlink>
        </w:p>
        <w:p>
          <w:pPr>
            <w:pStyle w:val="Contents5"/>
            <w:tabs>
              <w:tab w:val="clear" w:pos="7892"/>
              <w:tab w:val="right" w:pos="9026" w:leader="dot"/>
            </w:tabs>
            <w:rPr/>
          </w:pPr>
          <w:hyperlink w:anchor="__RefHeading___Toc2903539_3804643083">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2903541_3804643083">
            <w:r>
              <w:rPr>
                <w:webHidden/>
                <w:rStyle w:val="IndexLink"/>
                <w:rtl w:val="true"/>
              </w:rPr>
              <w:t>بررسي اولويت عدم جواز بيع مصحف به كافر نسبت به بيع عبد مسلم به كافر</w:t>
            </w:r>
            <w:r>
              <w:rPr>
                <w:rStyle w:val="IndexLink"/>
                <w:rtl w:val="true"/>
              </w:rPr>
              <w:tab/>
            </w:r>
            <w:r>
              <w:rPr>
                <w:rStyle w:val="IndexLink"/>
              </w:rPr>
              <w:t>510</w:t>
            </w:r>
          </w:hyperlink>
        </w:p>
        <w:p>
          <w:pPr>
            <w:pStyle w:val="Contents2"/>
            <w:tabs>
              <w:tab w:val="clear" w:pos="8743"/>
              <w:tab w:val="right" w:pos="9026" w:leader="dot"/>
            </w:tabs>
            <w:rPr/>
          </w:pPr>
          <w:hyperlink w:anchor="__RefHeading___Toc2903543_3804643083">
            <w:r>
              <w:rPr>
                <w:webHidden/>
                <w:rStyle w:val="IndexLink"/>
                <w:rtl w:val="true"/>
              </w:rPr>
              <w:t>كتاب‌نامه</w:t>
            </w:r>
            <w:r>
              <w:rPr>
                <w:rStyle w:val="IndexLink"/>
                <w:rtl w:val="true"/>
              </w:rPr>
              <w:tab/>
            </w:r>
            <w:r>
              <w:rPr>
                <w:rStyle w:val="IndexLink"/>
              </w:rPr>
              <w:t>518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75_19397"/>
      <w:bookmarkStart w:id="1" w:name="pg2375_19397"/>
      <w:bookmarkEnd w:id="1"/>
    </w:p>
    <w:p>
      <w:pPr>
        <w:pStyle w:val="Heading2"/>
        <w:numPr>
          <w:ilvl w:val="1"/>
          <w:numId w:val="1"/>
        </w:numPr>
        <w:rPr/>
      </w:pPr>
      <w:bookmarkStart w:id="2" w:name="pg2375_19397"/>
      <w:bookmarkStart w:id="3" w:name="__RefHeading___Toc2902861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مدرّسي طباطبايي يزدي، سيّد محمّدرضا</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گسترده‌ي 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قيادت، قيافه، كهانت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دروس خارج فقه سيد محمدرضا مدرّسي‌طباطبايي‌يزدي؛ تقرير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اميرخاني؛ استخراج منابع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احمدي</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دارالتفسير، </w:t>
      </w:r>
      <w:r>
        <w:rPr>
          <w:rFonts w:ascii="Amiri" w:hAnsi="Amiri" w:eastAsia="Amiri" w:cs="Amiri"/>
          <w:color w:val="111111"/>
          <w:sz w:val="28"/>
          <w:sz w:val="28"/>
          <w:szCs w:val="28"/>
          <w:lang w:bidi="ar-SA"/>
        </w:rPr>
        <w:t>۱۳۹۲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وضعيت فهرست‌نويسي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جعفري – مكاسب محرّمه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اميرخاني، عبدالله،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احمدي، جواد،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رده‌بندي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Amiri" w:hAnsi="Amiri" w:eastAsia="Amiri" w:cs="Amiri"/>
          <w:color w:val="111111"/>
          <w:sz w:val="28"/>
          <w:sz w:val="28"/>
          <w:szCs w:val="28"/>
          <w:rtl w:val="true"/>
          <w:lang w:bidi="ar-SA"/>
        </w:rPr>
        <w:t>رده‌بندي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۳۲۴۴۵۲۵</w:t>
      </w:r>
    </w:p>
    <w:p>
      <w:pPr>
        <w:pStyle w:val="BookText"/>
        <w:rPr/>
      </w:pPr>
      <w:r>
        <w:rPr>
          <w:rFonts w:ascii="IRNazanin" w:hAnsi="IRNazanin" w:eastAsia="IRNazanin"/>
          <w:color w:val="111111"/>
          <w:sz w:val="28"/>
          <w:sz w:val="28"/>
          <w:szCs w:val="28"/>
          <w:rtl w:val="true"/>
          <w:lang w:bidi="fa-IR"/>
        </w:rPr>
        <w:t xml:space="preserve">دفتر مركز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خ شهدا، كوچه</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فرعي پنجم، پلاك</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7831344</w:t>
      </w:r>
      <w:r>
        <w:rPr>
          <w:rFonts w:eastAsia="IRNazanin" w:cs="IRNazanin"/>
          <w:color w:val="111111"/>
          <w:sz w:val="28"/>
          <w:szCs w:val="28"/>
          <w:rtl w:val="true"/>
          <w:lang w:bidi="fa-IR"/>
        </w:rPr>
        <w:t xml:space="preserve"> </w:t>
      </w:r>
      <w:r>
        <w:rPr>
          <w:rFonts w:eastAsia="IRNazanin" w:cs="IRNazanin"/>
          <w:color w:val="111111"/>
          <w:sz w:val="28"/>
          <w:szCs w:val="28"/>
          <w:lang w:bidi="fa-IR"/>
        </w:rPr>
        <w:t>0253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4081</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0919</w:t>
      </w:r>
    </w:p>
    <w:p>
      <w:pPr>
        <w:pStyle w:val="BookText"/>
        <w:rPr/>
      </w:pPr>
      <w:r>
        <w:rPr>
          <w:rFonts w:eastAsia="Times New Roman" w:cs="Times New Roman" w:ascii="Times New Roman" w:hAnsi="Times New Roman"/>
          <w:color w:val="111111"/>
          <w:sz w:val="28"/>
          <w:szCs w:val="28"/>
          <w:lang w:val="en-US" w:bidi="en-US"/>
        </w:rPr>
        <w:t>www.qommpth.ir</w:t>
      </w:r>
    </w:p>
    <w:p>
      <w:pPr>
        <w:pStyle w:val="BookText"/>
        <w:rPr/>
      </w:pPr>
      <w:r>
        <w:rPr>
          <w:rFonts w:eastAsia="Times New Roman" w:cs="Times New Roman" w:ascii="Times New Roman" w:hAnsi="Times New Roman"/>
          <w:color w:val="111111"/>
          <w:sz w:val="28"/>
          <w:szCs w:val="28"/>
          <w:lang w:val="en-US" w:bidi="en-US"/>
        </w:rPr>
        <w:t>Partoethaqalain@yahoo.com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2863_3804643083"/>
      <w:bookmarkStart w:id="6" w:name="_Toc2"/>
      <w:bookmarkEnd w:id="5"/>
      <w:r>
        <w:rPr>
          <w:rtl w:val="true"/>
        </w:rPr>
        <w:t>اشاره</w:t>
      </w:r>
      <w:bookmarkStart w:id="7" w:name="pg2375_19429"/>
      <w:bookmarkEnd w:id="6"/>
    </w:p>
    <w:p>
      <w:pPr>
        <w:pStyle w:val="Heading2"/>
        <w:numPr>
          <w:ilvl w:val="1"/>
          <w:numId w:val="1"/>
        </w:numPr>
        <w:rPr/>
      </w:pPr>
      <w:bookmarkStart w:id="8" w:name="__RefHeading___Toc2902865_3804643083"/>
      <w:bookmarkStart w:id="9" w:name="_Toc3"/>
      <w:bookmarkEnd w:id="7"/>
      <w:bookmarkEnd w:id="8"/>
      <w:r>
        <w:rPr>
          <w:rtl w:val="true"/>
        </w:rPr>
        <w:t>پيش گفتار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مجموعه مشتمل بر دروس خارج فقه فقيه گران‌قدر حضرت آيت الله سيد محمد رضا مدرّسي طباطبايي يزدي دامت بركاته در مباحث قمار، قيادت، قيافه، كهانت، مدح من لا يستحق المدح، نجش، نميمه، نوح بالباطل، هجاء المؤمن و هجر است كه بر طبق حروف الفبا مي‌بايست بعد از كتاب غيبت منتشر مي‌شد ولي به خاطر آماده نبودن، چاپ آن به تأخير افتاد و به جاي مقالات فقهي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فضلاء و محققين ارائه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مبحث بيع مصحف به خاطر رعايت تناسب حجم كتاب ضميمه‌ي اين مجلّد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مجلّد نيز افزوده‌اي بر ذخيره‌ي فقه شيعه گرديده و بر غناي آن بيفزايد و مورد رضاي ولي الله الاعظم حضرت حجة بن الحسن المهدي عجّل الله تعالي فرجه الشريف قرار گرفته و خداوند متعال آن را به خوبي بپذيرد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همّت شاگردان معظّم له حجج اسلام عبدالله اميرخاني در تقرير متن، جواد احمدي در ويرايش و استخراج منابع و روايات و محمّد رضا مرادزاده در پياده سازي اوّليه‌ي</w:t>
      </w:r>
    </w:p>
    <w:p>
      <w:pPr>
        <w:pStyle w:val="BookText"/>
        <w:rPr/>
      </w:pPr>
      <w:r>
        <w:rPr>
          <w:rFonts w:ascii="IRNazanin" w:hAnsi="IRNazanin" w:eastAsia="IRNazanin"/>
          <w:color w:val="111111"/>
          <w:sz w:val="28"/>
          <w:sz w:val="28"/>
          <w:szCs w:val="28"/>
          <w:rtl w:val="true"/>
          <w:lang w:bidi="fa-IR"/>
        </w:rPr>
        <w:t>فايل‌هاي صوتي به متن و و ديگر عزيزاني كه به نوعي قبول زحمت كردند 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گزاري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از خداوند متعال توفيقات بيشتر حضرت استاد و سلامتي ايشان را در سايه‌ي پرمهر ولي عصر عجل الله تعالي فرجه براي احياء و گسترش تراث فقهي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خواستاريم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فقه موسسه‌ي پرتو ثقلين</w:t>
      </w:r>
      <w:bookmarkStart w:id="10" w:name="pg2375_19433"/>
    </w:p>
    <w:p>
      <w:pPr>
        <w:pStyle w:val="Heading2"/>
        <w:numPr>
          <w:ilvl w:val="1"/>
          <w:numId w:val="1"/>
        </w:numPr>
        <w:rPr/>
      </w:pPr>
      <w:bookmarkStart w:id="11" w:name="__RefHeading___Toc2902867_3804643083"/>
      <w:bookmarkStart w:id="12" w:name="_Toc4"/>
      <w:bookmarkEnd w:id="10"/>
      <w:bookmarkEnd w:id="11"/>
      <w:r>
        <w:rPr>
          <w:rtl w:val="true"/>
        </w:rPr>
        <w:t>قمار</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902869_3804643083"/>
      <w:bookmarkStart w:id="14" w:name="_Toc5"/>
      <w:bookmarkEnd w:id="13"/>
      <w:r>
        <w:rPr>
          <w:rtl w:val="true"/>
        </w:rPr>
        <w:t>اشاره</w:t>
      </w:r>
      <w:bookmarkStart w:id="15" w:name="pg2375_19436"/>
      <w:bookmarkEnd w:id="14"/>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w:t>
      </w:r>
    </w:p>
    <w:p>
      <w:pPr>
        <w:pStyle w:val="BookText"/>
        <w:rPr/>
      </w:pPr>
      <w:r>
        <w:rPr>
          <w:rFonts w:ascii="Amiri" w:hAnsi="Amiri" w:eastAsia="Amiri" w:cs="Amiri"/>
          <w:color w:val="111111"/>
          <w:sz w:val="28"/>
          <w:sz w:val="28"/>
          <w:szCs w:val="28"/>
          <w:rtl w:val="true"/>
          <w:lang w:bidi="ar-SA"/>
        </w:rPr>
        <w:t>و لعنة الله عَلَى أَعْدَائِهِمْ اجمعين</w:t>
      </w:r>
    </w:p>
    <w:p>
      <w:pPr>
        <w:pStyle w:val="Heading3"/>
        <w:numPr>
          <w:ilvl w:val="2"/>
          <w:numId w:val="1"/>
        </w:numPr>
        <w:rPr/>
      </w:pPr>
      <w:bookmarkStart w:id="16" w:name="__RefHeading___Toc2902871_3804643083"/>
      <w:bookmarkStart w:id="17" w:name="_Toc6"/>
      <w:bookmarkEnd w:id="16"/>
      <w:r>
        <w:rPr>
          <w:rtl w:val="true"/>
        </w:rPr>
        <w:t>المسألة الخامسه عشر</w:t>
      </w:r>
      <w:r>
        <w:rPr>
          <w:rtl w:val="true"/>
        </w:rPr>
        <w:t xml:space="preserve">: </w:t>
      </w:r>
      <w:r>
        <w:rPr>
          <w:rtl w:val="true"/>
        </w:rPr>
        <w:t>القِمار</w:t>
      </w:r>
      <w:bookmarkEnd w:id="17"/>
    </w:p>
    <w:p>
      <w:pPr>
        <w:pStyle w:val="Heading4"/>
        <w:numPr>
          <w:ilvl w:val="3"/>
          <w:numId w:val="1"/>
        </w:numPr>
        <w:rPr/>
      </w:pPr>
      <w:bookmarkStart w:id="18" w:name="__RefHeading___Toc2902873_3804643083"/>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نوع چهارم از مكاسب محرمه كه شيخ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مكاسب مطرح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يَحرم الاكتساب به لكونه عملًا محرَّماً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آن چيزهايي كه تكسّب به آن حرام است چون آن عمل في‌نفسه و صرف نظر از تكسّب به آن حرام مي‌باشد، مانند سحر، تنجيم، غيبت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حاضر كه مسأله‌ي پانزدهم از نوع چهارم است و مرحوم شيخ به ترتيب حروف الفباء آن را ذكر كرده، اختصاص 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قمار از قديم مورد ابتلاء خواص و عوام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حكم و زواياي بحث قمار يكي از مسائل لازم براي هر اجتماع، به ويژه اجتماع امروزي است كه هم قمارهاي مدرن پيدا شده و هم مردم فراغت و علاقه‌ي بيشتري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رسيدگي به اين مسأله از اهميت بالايي برخوردار است</w:t>
      </w:r>
      <w:r>
        <w:rPr>
          <w:rFonts w:eastAsia="IRNazanin" w:cs="IRNazanin"/>
          <w:color w:val="111111"/>
          <w:sz w:val="28"/>
          <w:szCs w:val="28"/>
          <w:rtl w:val="true"/>
          <w:lang w:bidi="fa-IR"/>
        </w:rPr>
        <w:t>.</w:t>
      </w:r>
      <w:bookmarkStart w:id="20" w:name="pg2375_19438"/>
    </w:p>
    <w:p>
      <w:pPr>
        <w:pStyle w:val="Heading4"/>
        <w:numPr>
          <w:ilvl w:val="3"/>
          <w:numId w:val="1"/>
        </w:numPr>
        <w:rPr/>
      </w:pPr>
      <w:bookmarkStart w:id="21" w:name="__RefHeading___Toc2902875_3804643083"/>
      <w:bookmarkStart w:id="22" w:name="_Toc8"/>
      <w:bookmarkEnd w:id="20"/>
      <w:bookmarkEnd w:id="21"/>
      <w:r>
        <w:rPr>
          <w:rtl w:val="true"/>
        </w:rPr>
        <w:t>اقسام قمار</w:t>
      </w:r>
      <w:bookmarkEnd w:id="22"/>
    </w:p>
    <w:p>
      <w:pPr>
        <w:pStyle w:val="BookText"/>
        <w:rPr/>
      </w:pPr>
      <w:r>
        <w:rPr>
          <w:rFonts w:ascii="IRNazanin" w:hAnsi="IRNazanin" w:eastAsia="IRNazanin"/>
          <w:color w:val="111111"/>
          <w:sz w:val="28"/>
          <w:sz w:val="28"/>
          <w:szCs w:val="28"/>
          <w:rtl w:val="true"/>
          <w:lang w:bidi="fa-IR"/>
        </w:rPr>
        <w:t>قمار در تقسيم اوليه ـ و با نوعي تسامح ـ به چهار قسم تقسم مي‌شود كه عبارتند از</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فهنا مسائل أربع؛ لأنّ اللعب قد يكون بآلات القِمار مع الرهن، و قد يكون بدونه، و المغالبة بغير آلات القِمار قد تكون مع العوض، و قد تكون بدونه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لعب به آلات معدّه‌ي للقمار با رهن؛ اين قسم از قمار دو پايه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لعب به آلات معدّ‌ه‌ي للقمار و ديگري رهن؛ يعني برنده از بازنده چيزي دريافت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لعب به آلات معدّه‌ي للقمار بدون رهن؛ يعني در ازاء برنده شدن در بازي با آلات قمار چيزي دريافت نمي‌كند؛ مثلاً با پاسور يا شِطرنج يا نرد بازي مي‌كنند بدون اين‌كه برنده چيزي دريافت كند و فقط عنوان برد و باخت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لعب به غير آلات معدّه‌ي للقمار با رهن؛ مثلاً دو نفر در بازي پينگ پنگ كه از آلات معدّ‌ه‌ي قمار نيست شرط مي‌كنند كه بازنده مقدار معيني پول به برنده بدهد و يا هر دو مقداري پول كنار مي‌گذارند تا هر كسي برنده شد مال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 به غير آلات معدّه‌ي للقمار و بدون رهن؛ مثل معمول بازي‌هايي كه به غير آلات قمار و بدون رهن از طرفين</w:t>
      </w:r>
    </w:p>
    <w:p>
      <w:pPr>
        <w:pStyle w:val="BookText"/>
        <w:rPr/>
      </w:pPr>
      <w:r>
        <w:rPr>
          <w:rFonts w:ascii="IRNazanin" w:hAnsi="IRNazanin" w:eastAsia="IRNazanin"/>
          <w:color w:val="111111"/>
          <w:sz w:val="28"/>
          <w:sz w:val="28"/>
          <w:szCs w:val="28"/>
          <w:rtl w:val="true"/>
          <w:lang w:bidi="fa-IR"/>
        </w:rPr>
        <w:t xml:space="preserve">است، مانند بازي فوتبال، واليبال، تنيس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اساس آن بر مغالبه است، ولي از طرفين رهني كنار گذاشته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از طرف شخص ثالث يا دولت يا جمعيتي جايزه‌اي براي برنده گذاشته شود، ولي اين قسم فعلاً مورد بحث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همان‌گونه كه مرحوم شيخ تعبير فرمودند، ما بايد بحث قمار را در چهار مسأله‌ي عمده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قبل از بررسي اين چهار مسأله و بيان ادلّه‌ي محتمله‌اي كه مي‌توان از آن حرمت را استفاده كرد، در مورد اصل قمار بحث مي‌كنند كه قمار در لغت چيست؟ آيا به گونه‌اي است كه حتما‌ً بايد لعب با آلات مخصوص و همراه رهن باشد تا قمار صدق كند يا اين‌كه اين خصوصيات در معناي لغوي آن نهفته نيست؟</w:t>
      </w:r>
    </w:p>
    <w:p>
      <w:pPr>
        <w:pStyle w:val="BookText"/>
        <w:rPr/>
      </w:pPr>
      <w:r>
        <w:rPr>
          <w:rFonts w:ascii="IRNazanin" w:hAnsi="IRNazanin" w:eastAsia="IRNazanin"/>
          <w:color w:val="111111"/>
          <w:sz w:val="28"/>
          <w:sz w:val="28"/>
          <w:szCs w:val="28"/>
          <w:rtl w:val="true"/>
          <w:lang w:bidi="fa-IR"/>
        </w:rPr>
        <w:t>مشخص كردن معناي لغوي قمار بسيار مهم است، اگر ما بتوانيم معناي لغوي قمار را به دست آوريم بسياري از مبهمات بحث قمار حل مي‌شود؛ زيرا در مورد قمار رواياتي وجود دارد كه اطلاق دارند و با تمسك به اطلاق آن‌ها مي‌توان گفت هر نوع قماري حرام است، ولي اگر نتوانستيم معناي لغوي قمار را مشخص كنيم، در اين صورت مواردي كه قمار بودنش قطعي است، حرام مي‌شود و ما بقي مجراي برائت بوده و در نتيجه حكم به عدم حرمت آن‌ها مي‌شود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در صدق عنوان قمار، وجود مراهنه از سوي طرفين لازم باشد ديگر نمي‌توان به اطلاق بعض ادلّه كه مطلقاً</w:t>
      </w:r>
      <w:bookmarkStart w:id="23" w:name="pg2375_19442"/>
    </w:p>
    <w:p>
      <w:pPr>
        <w:pStyle w:val="BookText"/>
        <w:rPr/>
      </w:pPr>
      <w:bookmarkEnd w:id="23"/>
      <w:r>
        <w:rPr>
          <w:rFonts w:ascii="IRNazanin" w:hAnsi="IRNazanin" w:eastAsia="IRNazanin"/>
          <w:color w:val="111111"/>
          <w:sz w:val="28"/>
          <w:sz w:val="28"/>
          <w:szCs w:val="28"/>
          <w:rtl w:val="true"/>
          <w:lang w:bidi="fa-IR"/>
        </w:rPr>
        <w:t>قمار را حرام مي‌كند تمسك كرد و گفت لعب به آلات معدّه‌ي للقمار بدون رهن حرام است و نتيجه اين مي‌شود كه بازي با بعض آلات معدّه‌ي للقمار مثل پاسور بدون رهن حرام نيست و نهايتاً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مشخص كردن حقيقت قمار و حدود معناي آن بسيار سرنوشت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روايات زيادي وجود دارد كه بعضي از مصاديق مانند شطرنج، نرد، سِدَر، اربع عشر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نهي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حدود معناي قمار مشخص شود به ما كمك مي‌كند بفهميم آيا متعلق نهي، بازي كردن با مراهنه است و يا هر نوع بازي كردني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مراجعه به أخبار، عبارات قوم و كتب لغت، سه يا چهار معنا مي‌توان براي قمار پيدا كرد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حرام إجماعاً، و يدلّ عليه الكتاب و السنّة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بكسر القاف كما عن بعض أهل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الرهن على اللعب بشي‌ء من الآلات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جماعة أنّه قد يطلق على اللعب بهذه الأشياء مطلقاً و لو من دون رهن و به صرّح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أنّ أصل المقامرة المغالبة</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902877_3804643083"/>
      <w:bookmarkStart w:id="25" w:name="_Toc9"/>
      <w:bookmarkEnd w:id="24"/>
      <w:r>
        <w:rPr>
          <w:rtl w:val="true"/>
        </w:rPr>
        <w:t>معاني مختلف قمار</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آلاتي كه با آن بازي مي‌كنند، مثل شطرنج، پاسور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قمار در اين‌جا اسم آن آلات است؛ نه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اطلاق تقريباً براي ما غريب است و عرف ما اين معنا را نمي‌پذيرد كه اگر كسي مثلاً پاسور را در دست گرفته باشد بگويند اين قمار است، بلكه مي‌گويند اين ورقِ بازي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لعب به آلات قمار، بنا بر اين معنا قمار معناي مصدري دارد و بر خود لعب به آلات قمار،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آيا بر بازي بدون رهن هم صدق مي‌كند يا نه، حرف ديگري است كه بايد بررسي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و قراردادي كه لعب بر روي آن واقع مي‌شود و به تعبير ديگر بر همان شرط‌بندي، قمار اطلاق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مالي كه در معامله قرار داده مي‌شود؛ مثلا‌ً طرفين بازي در فوتبال بر روي فلان مقدار مال شرط بندي مي‌كنند كه برنده مالك آن شود، بر اين مالي كه در معامله بر روي بازي قرار داده شده، قمار اطلاق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ممكن است اين مال از طرف شخص ثالثي قرار داده شود و ممكن است از طرف خودشان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معنايي كه متيقّن است و همه ي ما با آن آشنايي داريم معناي دوم است؛ يعني خود لعب به آلات قمار،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مهمي كه بايد در اين‌جا مورد بررسي قرار بگيرد اين است كه آيا در صدق قمار به اين معنا، رهن شرط است يا اين‌كه حتّي بدون رهن هم حقيقتا‌ً قمار بر آن اطلاق مي‌شود؟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لعب به آلات معده‌ي للقمار اگر همراه رهن باشد</w:t>
      </w:r>
    </w:p>
    <w:p>
      <w:pPr>
        <w:pStyle w:val="BookText"/>
        <w:rPr/>
      </w:pPr>
      <w:r>
        <w:rPr>
          <w:rFonts w:ascii="IRNazanin" w:hAnsi="IRNazanin" w:eastAsia="IRNazanin"/>
          <w:color w:val="111111"/>
          <w:sz w:val="28"/>
          <w:sz w:val="28"/>
          <w:szCs w:val="28"/>
          <w:rtl w:val="true"/>
          <w:lang w:bidi="fa-IR"/>
        </w:rPr>
        <w:t>قمار صادق است، ظاهراً مورد اتفاق است و قابل تشكيك نيست، هرچند بعضي خواسته‌اند تشكيك كنند كه به خود لعب، قمار گفته نمي‌شود بلكه به قرارداد يا مالي كه قرار داده مي‌شود قمار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ظاهراً اين تشكيك بي‌جاست و جاي شبهه نيست كه بر خود لعب به آلات معدّه اگر همراه رهن ـ آن‌هم از خود طرفين، نه شخص ثالث ـ باشد علي وجه الحقيقه قمار اطلاق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جماعة أنّه قد يطلق على اللعب بهذه الأشياء مطلقاً و لو من دون رهن، و به صرّح في جامع المقاصد</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از جماعتي</w:t>
      </w:r>
      <w:r>
        <w:rPr>
          <w:rStyle w:val="FootnoteAnchor"/>
          <w:rtl w:val="true"/>
        </w:rPr>
        <w:footnoteReference w:id="6"/>
      </w:r>
      <w:r>
        <w:rPr>
          <w:rFonts w:ascii="IRNazanin" w:hAnsi="IRNazanin" w:eastAsia="IRNazanin"/>
          <w:color w:val="111111"/>
          <w:sz w:val="28"/>
          <w:sz w:val="28"/>
          <w:szCs w:val="28"/>
          <w:rtl w:val="true"/>
          <w:lang w:bidi="fa-IR"/>
        </w:rPr>
        <w:t>حكايت شده كه قمار گاهي بر لعب به آلات قمار مطلقاً اطلاق مي‌شود</w:t>
      </w:r>
      <w:r>
        <w:rPr>
          <w:rStyle w:val="FootnoteAnchor"/>
          <w:rtl w:val="true"/>
        </w:rPr>
        <w:footnoteReference w:id="7"/>
      </w:r>
      <w:r>
        <w:rPr>
          <w:rFonts w:ascii="IRNazanin" w:hAnsi="IRNazanin" w:eastAsia="IRNazanin"/>
          <w:color w:val="111111"/>
          <w:sz w:val="28"/>
          <w:sz w:val="28"/>
          <w:szCs w:val="28"/>
          <w:rtl w:val="true"/>
          <w:lang w:bidi="fa-IR"/>
        </w:rPr>
        <w:t>، هرچند رهني در ميان نباشد و در جامع المقاصد</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القمار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بالآلات المعدة له على اختلاف أنواعها، من الشطرنج و النرد و غير ذلك، و أصل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على اللعب بشي‌ء من هذه الأشياء، و ربما أطلق على اللعب بها مطلقا، و لا ريب في تحريم اللعب بذلك و إن لم يكن رهن، و الاكتساب به، و بعمل آلاته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آن تصريح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بعضي نقل شده 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طرفين در غلبه‌ي يكي بر ديگري تلاش كنند؛ مثلاً بر سر يك چهارراه دو يا چند نفر تلاش مي‌كنند كه از يك‌ديگر سبقت بگيرند، اين عمل مغالبه يا همان مقامره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مغالبه مفهومي اعم از برد و باخت دارد؛ چون ممكن است مغالبه در جايي صادق باشد ولي برد و باخت صادق نباشد؛ مثلاً در مثال مغالبه بر سر چهارراه به آن كسي كه غلبه پيدا نمي‌كند بازنده اطلاق نمي‌شود؛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هماهنگي قبلي ـ هرچند به نحو ارتكازي ـ بايد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مي‌رسد مراد 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بعضي در اين‌جا، بعض اهل لغت باشد و بعيد است مراد، فقيه بما هو فقيه باشد؛ زيرا فقيه بما هو فقيه بالذات كاري با اصل مقامره ندارد و قولش بما هو فقيه، قول اهل خبره در لغت نيست و از اين جهت استشهادي به كلام او نمي‌شود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مرحوم شيخ كه مقامره به معناي مغالبه است، اوسع از ادعاي قبلي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قبلي اين بود كه لعب به آلات معدّه مطلقاً ـ چه رهن باشد و چه نباشد ـ قمار است، ولي در اين‌جا مي‌فرمايد هر مغالبه‌اي ولو به نحو لعب نباشد مقامره است؛ مثلاً اگر دو يا چند نفر براي رسيدن به صف اوّل جماعت</w:t>
      </w:r>
    </w:p>
    <w:p>
      <w:pPr>
        <w:pStyle w:val="BookText"/>
        <w:rPr/>
      </w:pPr>
      <w:r>
        <w:rPr>
          <w:rFonts w:ascii="IRNazanin" w:hAnsi="IRNazanin" w:eastAsia="IRNazanin"/>
          <w:color w:val="111111"/>
          <w:sz w:val="28"/>
          <w:sz w:val="28"/>
          <w:szCs w:val="28"/>
          <w:rtl w:val="true"/>
          <w:lang w:bidi="fa-IR"/>
        </w:rPr>
        <w:t>در پشت سر امام هم تلاش كنند و يكي بر ديگري غلبه پيدا كند، مقامره صدق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مقامره به معناي مغالبه هم باشد نتيجه‌اي براي بحث ما ندارد؛ زيرا اين معنا در اصل اين‌چنين بوده و الآن حقيقت در معناي ديگري شده است، علاوه آن‌كه اين بعضي كه مرحوم شيخ ذكر مي‌كند، در بين لغويين تا آن جايي كه تتبع كرديم پيدا نشد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زمخشرى، محمود بن عمر، أساس البلاغة، ص</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تقمّره خَدَعَه،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لأنّه 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قَامَرْتُه فقَمَرْتُه أقمُرهُ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فيومى، احمد بن محمد، المصباح المنير فى غريب الشرح الكبير للرافعى،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سُمِّىَ بِذلِكَ لِبَيَاضِهِ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يُقَالُ لَهُ قَمَرٌ و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بَيْضَاءُ و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بَابَي قَتَلَ و ضَرَبَ غَلَبْتُهُ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براي روشن شدن معناي لغوي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كتب معروف لغوي تتبع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معناي ماده‌ي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قديمي‌ترين كتاب لغت كه در دست ماست،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بن احمد عروضي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معروف است كه شيعه بوده و در زمان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در انتساب اين كتاب به خليل بن احمد تشكيك كرده‌اند كه نمي‌دانم اصلاً</w:t>
      </w:r>
    </w:p>
    <w:p>
      <w:pPr>
        <w:pStyle w:val="BookText"/>
        <w:rPr/>
      </w:pPr>
      <w:r>
        <w:rPr>
          <w:rFonts w:ascii="IRNazanin" w:hAnsi="IRNazanin" w:eastAsia="IRNazanin"/>
          <w:color w:val="111111"/>
          <w:sz w:val="28"/>
          <w:sz w:val="28"/>
          <w:szCs w:val="28"/>
          <w:rtl w:val="true"/>
          <w:lang w:bidi="fa-IR"/>
        </w:rPr>
        <w:t>چقدر اين حرف قابل اعتناء است</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اين كتاب قابل اعتماد و نزد اهل فن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جهت روش استادان و بزرگان بر اين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ميان كتب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اين مجموعه لغوى روايت كنند و براى روايت و ذكر سند اجازه دريافت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اين بزرگان، ابوالفرج محمد بن اسحاق النديم است كه سند خود را در فهرستش ذكر نموده و هم‌چنين دانشواران ديگر شيعه و سنى تصريح مى‌كنند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خليل بن احمد فراهيدى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كه تصريح به اين مطلب كرده ابن دُرَيد در خطبه و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الدين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اين همه، مجالى نيست براى توجه نمودن به احتمال بعضى كه عقيده دارند اين كتاب مربوط به ليث بن مظفّر است و فخر رازى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يا احتمال اين‌كه خصوص حرف عين از خليل است و بقيه از ليث و غير اين احتمالات به ادعاى اين‌كه غلطهايى در اين كتاب هست ـ كه از مثل خليل به دور است ـ زيرا اين ادعا از اصل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مى‌بينيم عبدالواحد بن على لغوى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النحويين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ايراداتى كه ابوطالب مفضل بر اين كتاب گرفته وارد نيست و ابوبكر زُبيدى كه مجموعه‌اى را در رد بر العين تصنيف كرده، تصريح نموده است كه اشتباهات موجود در العين در بيشتر موارد ناشى از اشتقاق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آن‌كه كلمه سه حرفى در ضمن الفاظ چهار حرفى ذكر شده يا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گاه مربوط به نسخه‌بردار است نه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كه اين‌گونه خلاف ترتيب‌ها از خود مؤلف سر زده باشد نيز بعيد نيست؛ زيرا كسى كه براى اولين بار به ابتكار خود دست به چنين ترتيب بندى مى‌زند، بدون آن‌كه احدى در اين امر بر وى سبقت گرفته باشد ممكن است در مواردى دچار خطا بشود چرا كه بشر، هرچند به مقام والايى برسد باز محصولات فكرى او بى‌نياز از بازنگرى و نقد و نظر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مورخان، در عدم انتساب كتاب العين به خليل بن احمد اين داستان را ثبت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خليل نزد ليث بن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اديبان عرب كه در پيشگاه برامكه جايگاهى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ليث پس از آشنايى با مقام علمى و ادبى خليل، هداياى زيادى به وى عنايت كرد و او را بى‌نياز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در بازگشت از اين ملاقات به فكر تحفه‌اى لايق برآمد و كتاب العين را با خط و جلدى زيبا نزد ليث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با مطالعه اين كتاب، شيفته آن گرديد و صد هزار درهم جايزه براى خليل فرستاد و شب و روز خود را صرف مطالعه آن نمود تا آن‌كه نيمى از اين مجموعه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ميان، ليث دور از چشم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اشراف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كنيزى خريدارى نمود؛ ولى پس از مدتى اين ماجرا افشا شد و همسر ليث براى انتقام گرفتن از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پس از آگاهى از اين امر در حالى كه سراسر وجودش را غم فراگرفته بود، نصف اين كتاب را كه حفظ كرده بود نوشت و دستور داد نصف ديگر آن را عالمان و اديبان عرب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هرگز نتوانستند مانند آن كتاب را تصنيف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نيمه‌ي اول و آخر اين مجموعه تمايزى آشكار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سيد حسن صدر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داستان چنين اظهار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ترديدى ندارم كه اين، افسانه‌اى مجعول است و سازنده آن كسى جز ابن معتز نيست و سپس سخن چند تن از دانشوران و اديبان عرب را در تأييد اين‌كه تمام كتاب العين و حتى ترتيب‌بندى آن از خليل بن احمد است ذكر مى‌نمايد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ولي علي ايّ حالٍ اين كتاب،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قديمي است كه خيلي‌ها روي آن عنايت داشته‌اند، حتّي صاحب بن عبّاد شيعه كه وزير و اديب مهمي در قرن چهارم بوده، ترتيب كتابش را به ترتيب كتاب العين قرار داده است و اين شايد قرينه‌اي ـ هرچند ضعيف ـ باشد بر اين‌كه چون هر دو شيعه بودند، خواسته كه يك نوع هماهنگي بين كتاب‌هايشان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هم گفته‌اند اين كتاب خليل بن احمد نيست ولي نويسنده‌اش به نام خليل بن احمد منتشر كرده تا كتابش ارزش پيدا كند، امّا اين حرف خيلي بعيد است كه كسي اين‌قدر زحمت بكشد و كتاب به اين نفيسي بنويسد آن‌گاه به اسم ديگري منتشر كند تا معروفيت بيشتري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كلام را كسي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كتاب في‌نفسه كتاب ارزشمندي است، حال نويسنده‌ي آن هر كسي مي‌خواهد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ذيل ماده‌ي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القَمْرَاءُ ضوءُ القَمَرِ، و ليلةٌ مُقْمِرَةٌ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أَقْمَرَ التمرُ أي لم ينضج حتى أصابه البرد فذهبت حلاوته و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الحمار الأَقْمَرِ، و هو لون يضرب إلى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دخلة من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قَامَرْتُهُ فَقَمَرْتُهُ من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كالفاختة مسكنه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قمراء نور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ليلةٌ مُقْمِرَةٌ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مهتابي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مقمرة احتمال دارد عطف بر جمله‌ي قبل باشد و يكي از معاني قمراء باشد؛ يعني قمراء بر شب مهتابي هم اطلاق مي‌شود و احتمال دارد مستأنفه باشد؛ يعني به شب مهتابي ليلة مقمرة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مي‌گويد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أَقْمَرَ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ينضج حتى أصابه البرد فذهبت حلاوته و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استعمالات ماده‌ي قمر، در أقمر التمر است؛ يعني تمر نارس بود و به علت سرمازدگي طعم و شيريني آن از بين</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ديگر ماده‌ي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القَمرة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القُمْرَةُ؛ لون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رنگ الاغ كه رنگ خاصي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سفيدي كه به تيرگي مي‌زند؛ مانند ابر سفيدي كه پر بار و آماده‌ي بارش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الأَقْمَرِ هو لون يضرب إلى الخضرة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رنگي است كه به سبزي مي‌زند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القَمْرَاءُ؛ دُخلة من الدخل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پرنده‌ي كوچكي نظير گنجشك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قَامَرْتُهُ فَقَمَرْتُهُ من القِمَارِ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 شايد قمار به معناي بُرد باشد، ولي ايشان توضيحي در مورد قمار نداده و شايد به وضوحش واگذار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كالفاختة مسكنه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قمري پرنده‌اي شبيه فاخته است كه فقط در حجاز يافت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معناي ماده‌ي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لسان العرب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العرب از مبسوط‌ترين كتاب لغوي است كه شايد فقط تاج العروس در حدّ تفصيل آن باشد، اين كتاب تقريباً همه‌ي كتاب‌هاي لغت قبل از خود را منعكس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والد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سيد جواد مدرّسي طباطبايي يزدي اعلي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جايي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سيدنا الاستاذ يثني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استاد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آيت الله 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عنايتي روي لسان العرب داشتند و آن را ستايش مي‌كردند كه كتاب خوبي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لسان العرب مي‌گويد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إِلى الخُضْرة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رنگي كه به سبزي 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 فيه كُدْرَة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سفيدي كه در آن نوعي تيرگي وجود دارد 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أَقْمَرُ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باب است؛ يعني الاغ سفيدي كه يك نوع تيرگي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العرب تقول في السماء إِذا رأَتها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بطنُ أَتانٍ قَمْراءَ فهي أَمْطَرُ ما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 هرگاه آسمان را ببيند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شكم ماده الاغي است كه سفيديي دارد كه به تيرگي مي‌زند، به آن أقمر مي‌گويند كه در اين صورت در بهترين حالت بارش قرار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سَنَمَةٌ قَمْراءُ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يك نوع گياه سفيدي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سفيدي در معني قمر اشراب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سيدة</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الدجال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هِجانٌ أَقْمَرُ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هجان، اسم يك نوع اسب يا الاغي است كه أقمر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سفيدي مايل به تيرگي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مي‌رسد به اين‌جا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قتيبة ـ يكي از لغويين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الأَقمر الأَبيض الشديد البياض، و الأُنثى قَمْراء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للسحاب الذي يشتدّ ضوءُه لكثرة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أَقمر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ابري كه روشنائي‌اش به خاطر پرآبي شديد مي‌شود، سحاب أقمر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 قمراء أَي 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ماده الاغ سفيد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 حليمة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أَتانٌ قَمْراءُ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صادَها في القَمْراء،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بَصُرَ بها في القَمْراء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در قمراء ديد يا صيدش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اخْتَدَعها كما يُخْتَدَعُ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فريب داد كما اين‌كه طير فريب داده مي‌شود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كأَنَّ القِمارَ مأْخوذ من الخِدَاع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اين‌كه قمار از ماده‌ي قمر اخذ شده است به اعتبار اين‌كه ماده‌ي قمر در خدعه كردن و فريب دادن به كار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قامَره بالخِدَاعِ فَقَمَرَهُ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او با خدعه قمار بازي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قَمِرَتِ الإِبلُ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آب سيراب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قَمِرَ الكلأُ و الماءُ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كثير، تا آن‌جا كه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قامَرَ الرجلَ مُقامَرَةً و قِماراً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قمار كرد قمار كردني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مصدر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مقامرة 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او يك چيزي رهن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التقامرُ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قمار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قمار بازي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لعبوا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تقامروا؛ يعني قمار بازي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قَمِيرُك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يُقامِرُك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حديثي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تَعالَ أُقامِرْكَ فلْيَتَصَدَّق بقَدْرِ ما أَراد أَن يجعله خَطَراً في القِمار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كسي به ديگري بگويد بيا قمار كنيم، به اندازه‌اي كه قرار بود در قمار جايزه و رهن قرار دهد، صدقه بدهد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لسان العرب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قامر قماراً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راهنه؛ با او رهن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بدون اين‌كه لعب در معناي آن باشد، ولي</w:t>
      </w:r>
      <w:bookmarkStart w:id="26" w:name="pg2375_19466"/>
    </w:p>
    <w:p>
      <w:pPr>
        <w:pStyle w:val="BookText"/>
        <w:rPr/>
      </w:pPr>
      <w:bookmarkEnd w:id="26"/>
      <w:r>
        <w:rPr>
          <w:rFonts w:ascii="IRNazanin" w:hAnsi="IRNazanin" w:eastAsia="IRNazanin"/>
          <w:color w:val="111111"/>
          <w:sz w:val="28"/>
          <w:sz w:val="28"/>
          <w:szCs w:val="28"/>
          <w:rtl w:val="true"/>
          <w:lang w:bidi="fa-IR"/>
        </w:rPr>
        <w:t xml:space="preserve">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را معنا مي‌كند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لعبوا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لعب را در معناي آن اخذ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لسان العرب كه يك مقدار بيشتر تبيين كرده، جايي تصريح نكرده كه قمار بدون رهن هم در لغت استعمال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فريب داد كه اين فريب دادن معمولاً در رهن است و مهم‌تر آن‌كه ظاهراً در بازي قماري خدعه مفروض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 ديگر تصريح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قامر قماراً؛ راهنه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رهن را داخل در معناي قمار كرد و آن جايي هم كه معني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لعبوا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خود آن قمار را معنا كرده بود كه رهن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كتاب العين و لسان العرب، در جايي تصريح نشده كه قمار در لعب بدون رهن هم استعمال مي‌شود، بلكه يا تصريح كرده‌اند كه بايد با رهن باشد تا قمار صدق كند و يا اين جهت را مهمل گذاشته‌اند</w:t>
      </w:r>
      <w:r>
        <w:rPr>
          <w:rFonts w:eastAsia="IRNazanin" w:cs="IRNazanin"/>
          <w:color w:val="111111"/>
          <w:sz w:val="28"/>
          <w:szCs w:val="28"/>
          <w:rtl w:val="true"/>
          <w:lang w:bidi="fa-IR"/>
        </w:rPr>
        <w:t>.</w:t>
      </w:r>
    </w:p>
    <w:p>
      <w:pPr>
        <w:pStyle w:val="Heading4"/>
        <w:numPr>
          <w:ilvl w:val="3"/>
          <w:numId w:val="1"/>
        </w:numPr>
        <w:rPr/>
      </w:pPr>
      <w:bookmarkStart w:id="27" w:name="__RefHeading___Toc2902879_3804643083"/>
      <w:bookmarkStart w:id="28" w:name="_Toc10"/>
      <w:bookmarkEnd w:id="27"/>
      <w:r>
        <w:rPr>
          <w:rtl w:val="true"/>
        </w:rPr>
        <w:t>قسم اوّل</w:t>
      </w:r>
      <w:r>
        <w:rPr>
          <w:rtl w:val="true"/>
        </w:rPr>
        <w:t xml:space="preserve">: </w:t>
      </w:r>
      <w:r>
        <w:rPr>
          <w:rtl w:val="true"/>
        </w:rPr>
        <w:t>لعب به آلات قمار با رهن</w:t>
      </w:r>
      <w:bookmarkEnd w:id="28"/>
    </w:p>
    <w:p>
      <w:pPr>
        <w:pStyle w:val="Heading5"/>
        <w:numPr>
          <w:ilvl w:val="4"/>
          <w:numId w:val="1"/>
        </w:numPr>
        <w:rPr/>
      </w:pPr>
      <w:bookmarkStart w:id="29" w:name="__RefHeading___Toc2902881_3804643083"/>
      <w:bookmarkStart w:id="30" w:name="_Toc11"/>
      <w:bookmarkEnd w:id="29"/>
      <w:r>
        <w:rPr>
          <w:rtl w:val="true"/>
        </w:rPr>
        <w:t>اشاره</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درباره‌ي حكم لعب به آلاتي كه معدّه‌ي للقمار است و كار اصلي آن قمار مي‌باشد مانند پاسور، نرد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رهن از طرفين باشد ـ رهن از جانب شخص ثالث را بعداً بررسي خواهيم كرد ـ مي‌فرمايد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حرمته و حرمة العوض و الإجماع عليه محقّق، و الأخبار به متواترة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فالأُولى ـ اللعب بآلات القِمار مع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حرمته و حرمة العوض، و الإجماع عليه محقّق، و الأخبار به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حرمت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اشكال في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تكليفي است؛ يعني لاعب آن سزاوار جهنّم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وضعي است؛ يعني مال قرار داده شده، ملك برنده نمي‌شود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مرحوم شيخ بر حرمت، اجماع محصّل و اخبار متواتره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مرحوم شيخ مي‌فرمايد اخبار متواتر دلالت بر حرمت مي‌كند، معلوم مي‌شود اجماع در مسأله، اجماع مدركي است؛ زيرا علي القاعده مجمعين با استناد به اين اخبار فتواي به حرمت داده‌اند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متعرض اين روايات نمي‌شود و كانّ به وضوح آن واگذار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هم اين است كه اين مسأله جزء مسلّمات است و جاي هيچ شبهه‌اي نيست كه لعب به آلات معدّه‌ي للقمار مع الرهن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جايي كه تأمّل در اين روايات در مباحث بعدي مفيد است و زمينه‌اي به ما مي‌دهد كه در مباحث آتي تأثير گذار است و هم‌چنين براي بررسي ادعاي مرحوم شيخ در تواتر أخبار، مناسب است اين روايات را ذكر كنيم</w:t>
      </w:r>
      <w:r>
        <w:rPr>
          <w:rFonts w:eastAsia="IRNazanin" w:cs="IRNazanin"/>
          <w:color w:val="111111"/>
          <w:sz w:val="28"/>
          <w:szCs w:val="28"/>
          <w:rtl w:val="true"/>
          <w:lang w:bidi="fa-IR"/>
        </w:rPr>
        <w:t>.</w:t>
      </w:r>
      <w:bookmarkStart w:id="31" w:name="pg2375_19469"/>
    </w:p>
    <w:p>
      <w:pPr>
        <w:pStyle w:val="Heading5"/>
        <w:numPr>
          <w:ilvl w:val="4"/>
          <w:numId w:val="1"/>
        </w:numPr>
        <w:rPr/>
      </w:pPr>
      <w:bookmarkStart w:id="32" w:name="__RefHeading___Toc2902883_3804643083"/>
      <w:bookmarkStart w:id="33" w:name="_Toc12"/>
      <w:bookmarkEnd w:id="31"/>
      <w:bookmarkEnd w:id="32"/>
      <w:r>
        <w:rPr>
          <w:rtl w:val="true"/>
        </w:rPr>
        <w:t>روايات دالّ بر حرمت قسم اوّل</w:t>
      </w:r>
      <w:bookmarkEnd w:id="33"/>
    </w:p>
    <w:p>
      <w:pPr>
        <w:pStyle w:val="Heading6"/>
        <w:numPr>
          <w:ilvl w:val="5"/>
          <w:numId w:val="1"/>
        </w:numPr>
        <w:rPr/>
      </w:pPr>
      <w:bookmarkStart w:id="34" w:name="__RefHeading___Toc2902885_3804643083"/>
      <w:bookmarkStart w:id="35" w:name="_Toc13"/>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 xml:space="preserve">روايات مربوط به قمار در جلد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ابواب ما يكتسب به، باب‌هاي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 مقداري از روايات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صاحب وسائل عنوان اين باب را اين‌چنين ذكر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تَحْرِيمِ كَسْبِ الْقِمَارِ حَتَّى الْكِعَابِ وَ الْجَوْزِ وَ الْبَيْضِ وَ إِنْ كَانَ الْفَاعِلُ غَيْرَ مُكَلَّفٍ وَ تَحْرِيمِ فِعْلِ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تَحْرِيمِ كَسْبِ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الْفَاعِلُ غَيْرَ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مي‌شود مقصود از حرمت، حرمت وضعي است كه بين مكلّف و غير مكلّف مشترك است</w:t>
      </w:r>
      <w:r>
        <w:rPr>
          <w:rFonts w:eastAsia="Amiri" w:cs="Amiri" w:ascii="Amiri" w:hAnsi="Amiri"/>
          <w:color w:val="111111"/>
          <w:sz w:val="28"/>
          <w:szCs w:val="28"/>
          <w:rtl w:val="true"/>
          <w:lang w:bidi="ar-SA"/>
        </w:rPr>
        <w:t>.</w:t>
      </w:r>
      <w:r>
        <w:rPr>
          <w:rStyle w:val="FootnoteAnchor"/>
          <w:rtl w:val="true"/>
        </w:rPr>
        <w:footnoteReference w:id="15"/>
      </w:r>
    </w:p>
    <w:p>
      <w:pPr>
        <w:pStyle w:val="Heading6"/>
        <w:numPr>
          <w:ilvl w:val="5"/>
          <w:numId w:val="1"/>
        </w:numPr>
        <w:rPr/>
      </w:pPr>
      <w:bookmarkStart w:id="36" w:name="__RefHeading___Toc2902887_3804643083"/>
      <w:bookmarkStart w:id="37" w:name="_Toc14"/>
      <w:bookmarkEnd w:id="36"/>
      <w:r>
        <w:rPr/>
        <w:t>1</w:t>
      </w:r>
      <w:r>
        <w:rPr>
          <w:rtl w:val="true"/>
        </w:rPr>
        <w:t xml:space="preserve">. </w:t>
      </w:r>
      <w:r>
        <w:rPr>
          <w:rtl w:val="true"/>
        </w:rPr>
        <w:t>صحيحه‌ي زياد بن عيسي</w:t>
      </w:r>
      <w:r>
        <w:rPr>
          <w:rtl w:val="true"/>
        </w:rPr>
        <w:t>:</w:t>
      </w:r>
      <w:bookmarkEnd w:id="37"/>
    </w:p>
    <w:p>
      <w:pPr>
        <w:pStyle w:val="BookText"/>
        <w:rPr/>
      </w:pPr>
      <w:r>
        <w:rPr>
          <w:rFonts w:ascii="Amiri" w:hAnsi="Amiri" w:eastAsia="Amiri" w:cs="Amiri"/>
          <w:color w:val="111111"/>
          <w:sz w:val="28"/>
          <w:sz w:val="28"/>
          <w:szCs w:val="28"/>
          <w:rtl w:val="true"/>
          <w:lang w:bidi="ar-SA"/>
        </w:rPr>
        <w:t>مُحَمَّدُ بْنُ يَعْقُوبَ عَنْ عِدَّةٍ مِنْ أَصْحَابِنَا</w:t>
      </w:r>
      <w:r>
        <w:rPr>
          <w:rStyle w:val="FootnoteAnchor"/>
          <w:rtl w:val="true"/>
        </w:rPr>
        <w:footnoteReference w:id="16"/>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علّامه‌ي حلّي، حسن بن يوسف بن مطهر اسدي، 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 محمد بن يعقوب الكليني في كتابه الكافي في أخبار كثيرة عدة من أصحابنا عن أحمد بن محمد بن عيسى قال و المراد بقولي عدة من أصحابنا محمد بن يحيى و علي بن موسى الكمنداني و داود بن كورة و أحمد بن إدريس و 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كلما ذكرته في كتابي المشار إليه عدة من أصحابنا عن أحمد بن محمد بن خالد البرقي فهم علي بن إبراهيم و علي بن محمد بن عبد الله بن أذينة و أحمد بن عبد الله بن أمية و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كلما ذكرته في كتابي المشار إليه عدة من أصحابنا عن سهل بن زياد فهم علي بن محمد بن علان و محمد بن أبي عبد الله و محمد بن الحسن و محمد بن عقيل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w:t>
      </w:r>
    </w:p>
    <w:p>
      <w:pPr>
        <w:pStyle w:val="BookText"/>
        <w:rPr/>
      </w:pPr>
      <w:r>
        <w:rPr>
          <w:rFonts w:ascii="Amiri" w:hAnsi="Amiri" w:eastAsia="Amiri" w:cs="Amiri"/>
          <w:color w:val="111111"/>
          <w:sz w:val="28"/>
          <w:sz w:val="28"/>
          <w:szCs w:val="28"/>
          <w:rtl w:val="true"/>
          <w:lang w:bidi="ar-SA"/>
        </w:rPr>
        <w:t>مُحَمَّدٍ عَنْ عَلِيِّ بْنِ الْحَكَمِ عَنْ سَيْفِ بْنِ عَمِيرَةَ عَنْ زِيَادِ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عَزَّ وَ 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تُقَامِرُ الرَّجُلَ بِأَهْلِهِ وَ مَالِهِ فَنَهَاهُمُ اللَّهُ عَزَّ وَ جَلَّ عَنْ ذَلِكَ</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اين روايت از لحاظ سند تمام است و زياد بن عيسي به تصريح 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كافي</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عِدَّةٌ مِنْ أَصْحَابِنَا عَنْ أَحْمَدَ بْنِ مُحَمَّدٍ عَنْ عَلِيِّ بْنِ الْحَكَمِ عَنْ سَيْفِ بْنِ عَمِيرَةَ عَنْ زِيَادِ بْنِ عِيسَى وَ هُوَ أَبُو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كَانَتْ قُرَيْشٌ تُقَامِرُ الرَّجُلَ بِأَهْلِهِ وَ مَالِهِ فَنَهَاهُمُ اللَّهُ عَزَّ وَ جَلَّ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ابو عبيدة الحذاء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زياد بن عيسى أبو عبيدة الحذاء كوفي ثقة روى عن أبي جعفر و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أخته حمادة بنت رجاء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الحسن روت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نوح عن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 أبي جعفر أبو عبيدة الحذاء و اسمه زياد مات في حياة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سعد بن عبد الله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 أبي جعفر أبو عبيدة و هو زياد بن أبي رجاء كوفي ثقة صحيح و اسم أبي رجاء منذر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أخزم و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العقيقي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زياد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المنزلة عند آل محمد و كان زامل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علي بن رئاب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الكلام في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الخلاف في اسم أبيه، فقيل إنه عيسى، اختاره النجاشي و الشيخ في رجاله عند عده في أصحاب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قاله سعد بن عبد الله، على ما ذكره النجاشي،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كلام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أخته حمادة بنت رجاء، أو بنت الحسن فلو كانت حمادة أخته من الأب كما هو ظاهر الكلام فهو ابن رجاء أو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فالأقوال في اسم أبيه متعارضة و عليه يترتب أنه لو كان في سند رواية زياد بن عيسى، أو زياد بن رجاء أو زياد بن منذر و لم تقم قرينة على أن المراد به أبو عبيدة الحذاء لم يمكن الحكم بصحته، لعدم ثبوت المراد به بعد عدم وضوح اسم أبيه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زياد بن عيسي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لا تَأْكُلُوا أَمْوالَكُمْ بَيْنَكُمْ بِالْباطِلِ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مرد در مقابل اهل و مالش قمار مي‌كردند، پس خداوند آن‌ها را از اين كار منع كرد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دالّ بر حرمت وضعي قمار است و دلالت دارد كه در قمار رهن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نحوه‌ي دلالت آيه بر حرمت وضعي، در بحث از آيه‌ي مباركه در سال‌هاي قبل گذشت</w:t>
      </w:r>
      <w:r>
        <w:rPr>
          <w:rFonts w:eastAsia="IRNazanin" w:cs="IRNazanin"/>
          <w:color w:val="111111"/>
          <w:sz w:val="28"/>
          <w:szCs w:val="28"/>
          <w:rtl w:val="true"/>
          <w:lang w:bidi="fa-IR"/>
        </w:rPr>
        <w:t>.</w:t>
      </w:r>
      <w:bookmarkStart w:id="38" w:name="pg2375_19475"/>
    </w:p>
    <w:p>
      <w:pPr>
        <w:pStyle w:val="Heading6"/>
        <w:numPr>
          <w:ilvl w:val="5"/>
          <w:numId w:val="1"/>
        </w:numPr>
        <w:rPr/>
      </w:pPr>
      <w:bookmarkStart w:id="39" w:name="__RefHeading___Toc2902889_3804643083"/>
      <w:bookmarkStart w:id="40" w:name="_Toc15"/>
      <w:bookmarkEnd w:id="38"/>
      <w:bookmarkEnd w:id="39"/>
      <w:r>
        <w:rPr/>
        <w:t>2</w:t>
      </w:r>
      <w:r>
        <w:rPr>
          <w:rtl w:val="true"/>
        </w:rPr>
        <w:t xml:space="preserve">. </w:t>
      </w:r>
      <w:r>
        <w:rPr>
          <w:rtl w:val="true"/>
        </w:rPr>
        <w:t>روايت عبد الحميد بن سعيد</w:t>
      </w:r>
      <w:r>
        <w:rPr>
          <w:rtl w:val="true"/>
        </w:rPr>
        <w:t>:</w:t>
      </w:r>
      <w:bookmarkEnd w:id="40"/>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وَ أَحْمَدَ بْنِ مُحَمَّدٍ جَمِيعاً عَنِ ابْنِ مَحْبُوبٍ عَنْ يُونُسَ بْنِ يَعْقُوبَ عَنْ عَبْدِ الْحَمِيدِ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يَشْتَرِي لَهُ بَيْضاً فَأَخَذَ الْغُلَامُ بَيْضَةً أَوْ بَيْضَتَيْنِ فَقَامَرَ بِهَا فَلَمَّا أَتَى بِهِ أَكَلَهُ فَقَالَ لَهُ مَوْلًى لَهُ إِنَّ فِيهِ مِنَ الْقِمَارِ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بِطَشْتٍ فَتَقَيَّأَ فَقَاءَهُ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اين روايت از لحاظ سند به خاطر عبدالحميد بن سعيد ناتمام است</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عبدالحميد بن سعيد نقل مي‌كند كه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غلامي را فرستاد تا تخم‌مرغ بخرد، غلام يك يا دو تا از تخم‌مرغ‌ها را برداشت و با آن قمار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تخم‌مرغ‌ها را آورد حضرت آن‌ها را خورد، عبد ديگري به حضرت گفت در ميان اين تخم‌مرغ‌ها بعضي از راه قمار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اين حرف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طشتي طلب كردند و حالت قي براي خود ايجاد كردند و آن را قي كردند</w:t>
      </w:r>
      <w:r>
        <w:rPr>
          <w:rFonts w:eastAsia="IRNazanin" w:cs="IRNazanin"/>
          <w:color w:val="111111"/>
          <w:sz w:val="28"/>
          <w:szCs w:val="28"/>
          <w:rtl w:val="true"/>
          <w:lang w:bidi="fa-IR"/>
        </w:rPr>
        <w:t>.</w:t>
      </w:r>
      <w:r>
        <w:rPr>
          <w:rStyle w:val="FootnoteAnchor"/>
          <w:rtl w:val="true"/>
        </w:rPr>
        <w:footnoteReference w:id="21"/>
      </w:r>
      <w:bookmarkStart w:id="41" w:name="pg2375_19477"/>
    </w:p>
    <w:p>
      <w:pPr>
        <w:pStyle w:val="BookText"/>
        <w:rPr/>
      </w:pPr>
      <w:bookmarkEnd w:id="41"/>
      <w:r>
        <w:rPr>
          <w:rFonts w:ascii="IRNazanin" w:hAnsi="IRNazanin" w:eastAsia="IRNazanin"/>
          <w:color w:val="111111"/>
          <w:sz w:val="28"/>
          <w:sz w:val="28"/>
          <w:szCs w:val="28"/>
          <w:rtl w:val="true"/>
          <w:lang w:bidi="fa-IR"/>
        </w:rPr>
        <w:t>اين روايت دلالت بر حرمت وضعي قمار دارد و نيز از آن برداشت مي‌شود كه قمار بدون رهن نبوده است؛ چون يك چيزي در قمار برده كه حضرت آن را قي كردند</w:t>
      </w:r>
      <w:r>
        <w:rPr>
          <w:rFonts w:eastAsia="IRNazanin" w:cs="IRNazanin"/>
          <w:color w:val="111111"/>
          <w:sz w:val="28"/>
          <w:szCs w:val="28"/>
          <w:rtl w:val="true"/>
          <w:lang w:bidi="fa-IR"/>
        </w:rPr>
        <w:t>.</w:t>
      </w:r>
    </w:p>
    <w:p>
      <w:pPr>
        <w:pStyle w:val="Heading6"/>
        <w:numPr>
          <w:ilvl w:val="5"/>
          <w:numId w:val="1"/>
        </w:numPr>
        <w:rPr/>
      </w:pPr>
      <w:bookmarkStart w:id="42" w:name="__RefHeading___Toc2902891_3804643083"/>
      <w:bookmarkStart w:id="43" w:name="_Toc16"/>
      <w:bookmarkEnd w:id="42"/>
      <w:r>
        <w:rPr/>
        <w:t>3</w:t>
      </w:r>
      <w:r>
        <w:rPr>
          <w:rtl w:val="true"/>
        </w:rPr>
        <w:t xml:space="preserve">. </w:t>
      </w:r>
      <w:r>
        <w:rPr>
          <w:rtl w:val="true"/>
        </w:rPr>
        <w:t>روايت الحسن بن علي الْوَشَّاء</w:t>
      </w:r>
      <w:r>
        <w:rPr>
          <w:rtl w:val="true"/>
        </w:rPr>
        <w:t>:</w:t>
      </w:r>
      <w:bookmarkEnd w:id="43"/>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 الْوَشَّاءِ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هُوَ الْقِمَارُ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اين روايت از لحاظ سند به خاطر سهل بن زياد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علي الوشاء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همان قمار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ميسر در اين روايت اشاره به آيه‌ي شريفه‌ي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&gt;</w:t>
      </w:r>
      <w:r>
        <w:rPr>
          <w:rStyle w:val="FootnoteAnchor"/>
          <w:rtl w:val="true"/>
        </w:rPr>
        <w:footnoteReference w:id="23"/>
      </w:r>
      <w:r>
        <w:rPr>
          <w:rFonts w:ascii="IRNazanin" w:hAnsi="IRNazanin" w:eastAsia="IRNazanin"/>
          <w:color w:val="111111"/>
          <w:sz w:val="28"/>
          <w:sz w:val="28"/>
          <w:szCs w:val="28"/>
          <w:rtl w:val="true"/>
          <w:lang w:bidi="fa-IR"/>
        </w:rPr>
        <w:t>است؛ يعني مراد از ميسري كه خداوند آن را رجس دانسته و از عمل شيطان است و بايد از آن اجتناب شود، همان قمار است، پس از هر قماري بايد اجتناب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w:t>
      </w:r>
      <w:bookmarkStart w:id="44" w:name="pg2375_19479"/>
    </w:p>
    <w:p>
      <w:pPr>
        <w:pStyle w:val="BookText"/>
        <w:rPr/>
      </w:pPr>
      <w:bookmarkEnd w:id="44"/>
      <w:r>
        <w:rPr>
          <w:rFonts w:ascii="Amiri" w:hAnsi="Amiri" w:eastAsia="Amiri" w:cs="Amiri"/>
          <w:color w:val="111111"/>
          <w:sz w:val="28"/>
          <w:sz w:val="28"/>
          <w:szCs w:val="28"/>
          <w:rtl w:val="true"/>
          <w:lang w:bidi="ar-SA"/>
        </w:rPr>
        <w:t xml:space="preserve">روايت دلالت ندارد كه حتماً بايد در قمار رهن وجود داشته باشد، ولي مدعاي مرحوم شيخ را ثابت مي‌كند؛ زيرا اين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 به آلات قمار با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متيقن معناي قمار است و حرام مي‌باشد</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2902893_3804643083"/>
      <w:bookmarkStart w:id="46" w:name="_Toc17"/>
      <w:bookmarkEnd w:id="45"/>
      <w:r>
        <w:rPr/>
        <w:t>4</w:t>
      </w:r>
      <w:r>
        <w:rPr>
          <w:rtl w:val="true"/>
        </w:rPr>
        <w:t xml:space="preserve">. </w:t>
      </w:r>
      <w:r>
        <w:rPr>
          <w:rtl w:val="true"/>
        </w:rPr>
        <w:t>روايت جابر</w:t>
      </w:r>
      <w:r>
        <w:rPr>
          <w:rtl w:val="true"/>
        </w:rPr>
        <w:t>:</w:t>
      </w:r>
      <w:bookmarkEnd w:id="4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أَحْمَدَ بْنِ النَّضْرِ عَنْ عَمْرِو بْنِ شِمْرٍ عَنْ جَابِرٍ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قِيلَ يَا رَسُولَ اللَّهِ مَا الْمَيْسِرُ؟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w:t>
      </w:r>
      <w:r>
        <w:rPr>
          <w:rStyle w:val="FootnoteAnchor"/>
          <w:rtl w:val="true"/>
        </w:rPr>
        <w:footnoteReference w:id="2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لكل ذي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مَفْصِلٍ للعظام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أَشْرَفَ فوق رُسْغِه عند قَدَمِه؛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العظمُ الناشزُ فوق قدمِه؛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العظم الناشز عند مُلْتَقَى الساقِ و القَدَمِ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و الكَعْبةُ الذي يُلْعَبُ به، و جمعُ الكَعْبِ كِعابٌ، و جمع الكَعبة كَعْبٌ و كَعَباتٌ، لم يَحْكِ ذلك غيرُه، كقولك جَمْرة و 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كَعَّبْتُ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المُرَبَّعُ، و جمعُه كِعابٌ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 منه، لتَكْعِيبها أَي تربيعها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كَعْبةُ البيت فأُضِيفَ، لأَنهم ذَهَبُوا بكَعْبتِه إِلى ترَبُّعِ أَعلاه، و سُمِّيَ كَعْبةً لارتفاعه و ترَبُّعه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بيتٍ مُرَبَّعٍ، فهو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لربيعةَ بيتٌ يَطُوفون به، يُسَمُّونه الكَعَباتِ </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ذَبَحُوا لآِلِهَتِهِمْ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الْأَزْلَامُ؟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قِدَاحُهُمُ الَّتِي يَسْتَقْسِمُونَ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وَ رَوَاهُ الصَّدُوقُ بِإِسْنَادِهِ عَنْ عَمْرِو بْنِ شِمْرٍ مِثْلَهُ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خداوند متعال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إِنَّمَا الْخَمْرُ وَ الْمَيْسِرُ وَ الْأَنْصابُ وَ الْأَزْلامُ رِجْسٌ مِنْ عَمَلِ الشَّيْطانِ فَاجْتَنِبُوهُ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بر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چيزي كه با آن قمار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كعاب و گردو</w:t>
      </w:r>
      <w:r>
        <w:rPr>
          <w:rStyle w:val="FootnoteAnchor"/>
          <w:rtl w:val="true"/>
        </w:rPr>
        <w:footnoteReference w:id="2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م، معروفٌ، و هو الَّذِي يُؤْكلَ، فارِسِيّ مُعَرّبُ 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جَرَى في لِسَانِ العَرَب و أَشْعَارِهَا، وَاحِدَتُه جَوْزَةٌ، و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المأكُولُ مُعَرَّبٌ و أَصْلُهُ كَوْزٌ بالكَافِ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انصاب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براي خدايان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ذبح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ازلام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تيرهايي كه با آن تقسيم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به خاطر عمرو بن شمر</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عمرو بن شمر أبو عبد الله الجعفي عربي، روى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زيد أحاديث في كتب جابر الجعفي ينسب بعضها إليه، و الأمر ملبس</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w:t>
      </w:r>
      <w:bookmarkStart w:id="47" w:name="pg2375_19483"/>
    </w:p>
    <w:p>
      <w:pPr>
        <w:pStyle w:val="BookText"/>
        <w:rPr/>
      </w:pPr>
      <w:bookmarkEnd w:id="47"/>
      <w:r>
        <w:rPr>
          <w:rFonts w:ascii="IRNazanin" w:hAnsi="IRNazanin" w:eastAsia="IRNazanin"/>
          <w:color w:val="111111"/>
          <w:sz w:val="28"/>
          <w:sz w:val="28"/>
          <w:szCs w:val="28"/>
          <w:rtl w:val="true"/>
          <w:lang w:bidi="fa-IR"/>
        </w:rPr>
        <w:t>تضعيف شده، ناتمام است و دلالت مي‌كند هر چيزي كه با آن قمار كنند ميسر است</w:t>
      </w:r>
      <w:r>
        <w:rPr>
          <w:rFonts w:eastAsia="IRNazanin" w:cs="IRNazanin"/>
          <w:color w:val="111111"/>
          <w:sz w:val="28"/>
          <w:szCs w:val="28"/>
          <w:rtl w:val="true"/>
          <w:lang w:bidi="fa-IR"/>
        </w:rPr>
        <w:t>.</w:t>
      </w:r>
    </w:p>
    <w:p>
      <w:pPr>
        <w:pStyle w:val="Heading6"/>
        <w:numPr>
          <w:ilvl w:val="5"/>
          <w:numId w:val="1"/>
        </w:numPr>
        <w:rPr/>
      </w:pPr>
      <w:bookmarkStart w:id="48" w:name="__RefHeading___Toc2902895_3804643083"/>
      <w:bookmarkStart w:id="49" w:name="_Toc18"/>
      <w:bookmarkEnd w:id="48"/>
      <w:r>
        <w:rPr/>
        <w:t>5</w:t>
      </w:r>
      <w:r>
        <w:rPr>
          <w:rtl w:val="true"/>
        </w:rPr>
        <w:t xml:space="preserve">. </w:t>
      </w:r>
      <w:r>
        <w:rPr>
          <w:rtl w:val="true"/>
        </w:rPr>
        <w:t>صحيحه‌ي مُعمَّر بن خَلَّاد</w:t>
      </w:r>
      <w:r>
        <w:rPr>
          <w:rtl w:val="true"/>
        </w:rPr>
        <w:t>:</w:t>
      </w:r>
      <w:bookmarkEnd w:id="49"/>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مُعَمَّرِ بْنِ خَلَّادٍ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 وَ كُلُّ مَا قُومِرَ عَلَيْهِ فَهُوَ مَيْسِر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اين روايت كه در باب</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به خاطر اين‌كه ذيل آن با ذيل روايت قبل مشابه است، در اين‌جا ذكر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معمّر بن خلاد نقل مي‌كند كه امام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و شطرنج</w:t>
      </w:r>
      <w:r>
        <w:rPr>
          <w:rStyle w:val="FootnoteAnchor"/>
          <w:rtl w:val="true"/>
        </w:rPr>
        <w:footnoteReference w:id="2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بِالْفَتْحِ و قِيلَ بِالْكَسْرِ وَ هُوَ الْمُخْتَارُ قَالَ ابْنُ الْجَوَالِيقِىُّ فِى كِتَابِ مَا تَلْحَنُ فِيهِ الْعَامَّةُ وَ مِمَّا يُكْسَرُ و الْعَامَّةُ تَفْتَحُهُ أَوْ تَضُمُّهُ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 قَالُوا و إنَّمَا كُسِرَ لِيَكُونَ نَظِيرَ الْأَوْزَانِ الْعَرَبِيَّةِ مِثْلُ جِرْدَحْلٍ إذْ لَيْسَ فِى الْأَبْنِيَةِ الْعَرَبِيَّةِ فَعْلَلٌّ بِالْفَتْحِ حَتَّى يُحْمَلُ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الشِّطْرَنْج، كسر الشين فيه أَجود و لا 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من باب جِرْدَحْلٍ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صرَّحَ الواحِديّ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لُعْبَةٌ م أَي معروفة و السِّين لغة فيه، من الشَّطَارَة، أَو المُشَاطَرة، راجعٌ للأَول، أَو من التَّشْطِير، راجع للثاني، صرّح به ابن هشام اللَّخْمِيّ في فَصِيحه، أو فارسيّ مُعَرَّبٌ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صدرنك، أَي الحِيلة، أَو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شدرنج، أَي مَن اشْتَغلَ به ذَهَبَ عَنَاؤُه باطلًا، أَو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شطرنج، أَي ساحل التعب، الأَخير من الناموس و كلّ ذلك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الاشتقاق فيه، أَو كَوْنه مأْخُوذاً من مادة من الموادّ، قد رَدّه ابن السَّرّاج و تَعَقَّبه بما لا غُبَارَ عَلَيْه، لأَن كُلًّا من المادّتين المأْخُوذِ منهما بَعْضٌ لأَصْلِه الذي أُريدَ أَخْذُه من تلك المادّةِ،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نفاه المصنّفُ من فَتْحه، أَثبتَه غيرُه، و جَزَم به الحَريريّ و غيره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لُغَةٌ ثابتةٌ، و لا يضُرُّها مُخالفَةُ أَوْزَانِ العربِ، لأَنه عَجميٌّ مُعَرَّب، فلا يجي‌ءُ على قواعدِ العربِ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بَرِّيّ في حواشي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العَجَمِيَّة لا تُشتَقُّ من الأَسماءِ العربيّةِ، و الشّطْرنج خُمَاسيّ و اشتقاقه من شطر أَو سطر يُوجب كونها ثُلاثيّة فتكون النونُ و الجيمُ زائدتينِ، و هذا بَيِّنُ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المُزْهر للجَلال، فليُرَاجَع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اربعه عشر به منزله‌ي واحد هستند و هر</w:t>
      </w:r>
    </w:p>
    <w:p>
      <w:pPr>
        <w:pStyle w:val="BookText"/>
        <w:rPr/>
      </w:pPr>
      <w:r>
        <w:rPr>
          <w:rFonts w:ascii="IRNazanin" w:hAnsi="IRNazanin" w:eastAsia="IRNazanin"/>
          <w:color w:val="111111"/>
          <w:sz w:val="28"/>
          <w:sz w:val="28"/>
          <w:szCs w:val="28"/>
          <w:rtl w:val="true"/>
          <w:lang w:bidi="fa-IR"/>
        </w:rPr>
        <w:t>چيزي كه بر آن قمار شود، ميسر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به اين نكته توجه داشت كه گاهي آلت قمار با آن‌چه كه بر آن قمار مي‌شود يكي است؛ مانند قمار با گردو و تخم‌مرغ، ولي گاهي آلت قمار با آن‌چه كه بر آن قمار مي‌شود فرق دارد؛ مانند اين‌كه در قمار با شطرنج براي برنده پولي كنار بگذارند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مراد از آن همان رهن است، بنابراين حضرت در اين‌جا يك قاعده‌ي كلي بيان مي‌كنند كه هر چيزي كه بر آن قمار مي‌شود، ميسر</w:t>
      </w:r>
      <w:bookmarkStart w:id="50" w:name="pg2375_19487"/>
    </w:p>
    <w:p>
      <w:pPr>
        <w:pStyle w:val="BookText"/>
        <w:rPr/>
      </w:pPr>
      <w:bookmarkEnd w:id="5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اين قاعده‌ي كلّي در جاهاي ديگر هم كاربرد دارد و مي‌توان با استفاده از آن حكم را استنباط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قوي دارد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مشكلي كه وجود دارد اين است كه در برخي موارد به آلاتي كه با آن قمار مي‌شود و رهن هم نيستند، اطلاق ميسر شده است؛ يعني بر خود نرد، سدر، شطرنج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ميسر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بعداً متعرض آن مي‌شويم</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2902897_3804643083"/>
      <w:bookmarkStart w:id="52" w:name="_Toc19"/>
      <w:bookmarkEnd w:id="51"/>
      <w:r>
        <w:rPr/>
        <w:t>6</w:t>
      </w:r>
      <w:r>
        <w:rPr>
          <w:rtl w:val="true"/>
        </w:rPr>
        <w:t xml:space="preserve">. </w:t>
      </w:r>
      <w:r>
        <w:rPr>
          <w:rtl w:val="true"/>
        </w:rPr>
        <w:t>صحيحه‌ي محمد بن مُسلم</w:t>
      </w:r>
      <w:r>
        <w:rPr>
          <w:rtl w:val="true"/>
        </w:rPr>
        <w:t>:</w:t>
      </w:r>
      <w:bookmarkEnd w:id="5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صَفْوَانَ عَنِ الْعَلَاءِ عَنْ مُحَمَّدِ بْنِ مُسْلِمٍ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الْمُقَامَرَةُ وَ لَا النُّهْبَةُ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مسلم از امام باقر يا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قمار و نهبه درست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النهبه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يأْخُذَه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إِباحَتُه لمن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نَهَبَ النَّهْبَ يَنْهَبُه نَهْباً و انْتَهَبَه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له؛ يقالُ أَنْهَبَ الرجلُ مالَه، فانْتَهبوه و نَهَبُوه، و ناهَبُوه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نَهَبَ الناسُ فلاناً إِذا تَناولوه بكلامهم؛ و كذلك الكلبُ إِذا أَخَذَ بعُرْقُوبِ الإِنسان،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كلْبَك يَنْهَبِ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النُّهْبَة، و النُّهْبَى، و النُّهَيْبَى، و النُّهَّيْبَى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اسمُ الانْتِهاب، و 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النَّهْبُ ما انْتَهَبْتَ؛ و النُّهْبةُ و النُّهْبى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الانْتِهابِ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الغارةُ و السَّلْبُ؛ أَي لا يَخْتَلِسُ شيئاً له قيمةٌ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للفِزْرِ بَنُونَ يَرْعَوْنَ مِعْزاه، فتَواكلُوا يوماً أَي أَبَوْا أَنْ يَسْرَحُوها،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فساقَها، فأَخْرَجَها،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النُّهَّيْبَى، و روي بالتخفيف أَي لا يَحِلُّ لأَحدٍ أَن يأْخُذَ منها أَكثر من واحدٍ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النُّهْبَى بمعنى النَّهْبِ، كالنُّحْلى و النُّحْلِ، للعَطِيَّةِ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اسمَ ما يُنْهَبُ، كالعُمْرَى و الرُّقْبى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چيزي است كه در عروسي روي سر عروس مي‌ريزند و يا احتمالاً چيزي كه به جهت ديگري پخش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زده مي‌شود نهبه دو نوع بوده؛ گاهي آن را مي‌ريختند تا هر كسي مي‌خواهد بردارد، اين قسم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به قصد برداشتن افراد خاصي مي‌ريختند ولي عدّه‌ي ديگري مي‌آمدند و آن را نهب و غارت مي‌كردند كه اين قسم حرام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اين صحيحه بر حرمت به خاطر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معناي حرمت باشد، قاعدتاً مراد از نهبه، نهبه‌اي است كه ديگران اجازه‌ي برداشت آن را نداشتند، ولي اگر مقصود نهبه‌اي باشد كه از بعضي روايات</w:t>
      </w:r>
      <w:bookmarkStart w:id="53" w:name="pg2375_19491"/>
    </w:p>
    <w:p>
      <w:pPr>
        <w:pStyle w:val="BookText"/>
        <w:rPr/>
      </w:pPr>
      <w:bookmarkEnd w:id="53"/>
      <w:r>
        <w:rPr>
          <w:rFonts w:ascii="IRNazanin" w:hAnsi="IRNazanin" w:eastAsia="IRNazanin"/>
          <w:color w:val="111111"/>
          <w:sz w:val="28"/>
          <w:sz w:val="28"/>
          <w:szCs w:val="28"/>
          <w:rtl w:val="true"/>
          <w:lang w:bidi="fa-IR"/>
        </w:rPr>
        <w:t xml:space="preserve">كراهت آن و خلاف مروّت بودنش استفاده مي‌شود ـ علي القاعده نهبه‌ي در عروسي اين‌چنين است كه چيزي بر سر عروس مي‌ريزند كه همه بتوانند برداشت كنند ـ در اين صورت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كراهت مي‌شود و بايد بگوييم از اين روايت استفاده مي‌شود مقامره هم كراهت دارد و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معناي اعم از كراهت و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مي‌گوييم در دلالت اين روايت بر حرمت جاي تأمل است</w:t>
      </w:r>
      <w:r>
        <w:rPr>
          <w:rFonts w:eastAsia="IRNazanin" w:cs="IRNazanin"/>
          <w:color w:val="111111"/>
          <w:sz w:val="28"/>
          <w:szCs w:val="28"/>
          <w:rtl w:val="true"/>
          <w:lang w:bidi="fa-IR"/>
        </w:rPr>
        <w:t>.</w:t>
      </w:r>
    </w:p>
    <w:p>
      <w:pPr>
        <w:pStyle w:val="Heading6"/>
        <w:numPr>
          <w:ilvl w:val="5"/>
          <w:numId w:val="1"/>
        </w:numPr>
        <w:rPr/>
      </w:pPr>
      <w:bookmarkStart w:id="54" w:name="__RefHeading___Toc2902899_3804643083"/>
      <w:bookmarkStart w:id="55" w:name="_Toc20"/>
      <w:bookmarkEnd w:id="54"/>
      <w:r>
        <w:rPr/>
        <w:t>7</w:t>
      </w:r>
      <w:r>
        <w:rPr>
          <w:rtl w:val="true"/>
        </w:rPr>
        <w:t xml:space="preserve">. </w:t>
      </w:r>
      <w:r>
        <w:rPr>
          <w:rtl w:val="true"/>
        </w:rPr>
        <w:t>روايت السَّكونيّ</w:t>
      </w:r>
      <w:r>
        <w:rPr>
          <w:rtl w:val="true"/>
        </w:rPr>
        <w:t>:</w:t>
      </w:r>
      <w:bookmarkEnd w:id="55"/>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النَّوْفَلِيِّ عَنِ السَّكُونِيِّ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يَنْهَى عَنِ الْجَوْزِ يَجِي‌ءُ بِهِ الصِّبْيَانُ مِنَ الْقِمَارِ أَنْ يُؤْكَلَ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السَّكُونِيِّ مِثْلَهُ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اين روايت از لحاظ سند به خاطر نوفلي كه هم در سند كليني و هم سند صدوق</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ما كان فيه عن إسماعيل بن مسلم؛ السكوني فقد رويته عن أبي و محمد بن الحسن رضي الله عنهما عن سعد بن عبد الله عن إبراهيم بن هاشم عن الحسين بن يزيد النوفلي عن إسماعيل بن مسلم السكوني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سكوني واقع شده، ناتمام است</w:t>
      </w:r>
      <w:r>
        <w:rPr>
          <w:rFonts w:eastAsia="Amiri" w:cs="Amiri" w:ascii="Amiri" w:hAnsi="Amiri"/>
          <w:color w:val="111111"/>
          <w:sz w:val="28"/>
          <w:szCs w:val="28"/>
          <w:rtl w:val="true"/>
          <w:lang w:bidi="ar-SA"/>
        </w:rPr>
        <w:t>.</w:t>
      </w:r>
      <w:bookmarkStart w:id="56" w:name="pg2375_19493"/>
    </w:p>
    <w:p>
      <w:pPr>
        <w:pStyle w:val="BookText"/>
        <w:rPr/>
      </w:pPr>
      <w:bookmarkEnd w:id="56"/>
      <w:r>
        <w:rPr>
          <w:rFonts w:ascii="IRNazanin" w:hAnsi="IRNazanin" w:eastAsia="IRNazanin"/>
          <w:color w:val="111111"/>
          <w:sz w:val="28"/>
          <w:sz w:val="28"/>
          <w:szCs w:val="28"/>
          <w:rtl w:val="true"/>
          <w:lang w:bidi="fa-IR"/>
        </w:rPr>
        <w:t>سكوني نقل مي‌كند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گردويي كه بچه‌ها از قمار مي‌آورند، نهي مي‌كردند و فرمودند كه آن سحت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حرمت وضعي است</w:t>
      </w:r>
      <w:r>
        <w:rPr>
          <w:rFonts w:eastAsia="IRNazanin" w:cs="IRNazanin"/>
          <w:color w:val="111111"/>
          <w:sz w:val="28"/>
          <w:szCs w:val="28"/>
          <w:rtl w:val="true"/>
          <w:lang w:bidi="fa-IR"/>
        </w:rPr>
        <w:t>.]</w:t>
      </w:r>
    </w:p>
    <w:p>
      <w:pPr>
        <w:pStyle w:val="Heading6"/>
        <w:numPr>
          <w:ilvl w:val="5"/>
          <w:numId w:val="1"/>
        </w:numPr>
        <w:rPr/>
      </w:pPr>
      <w:bookmarkStart w:id="57" w:name="__RefHeading___Toc2902901_3804643083"/>
      <w:bookmarkStart w:id="58" w:name="_Toc21"/>
      <w:bookmarkEnd w:id="57"/>
      <w:r>
        <w:rPr/>
        <w:t>8</w:t>
      </w:r>
      <w:r>
        <w:rPr>
          <w:rtl w:val="true"/>
        </w:rPr>
        <w:t xml:space="preserve">. </w:t>
      </w:r>
      <w:r>
        <w:rPr>
          <w:rtl w:val="true"/>
        </w:rPr>
        <w:t>روايت إسحاق بن عمار</w:t>
      </w:r>
      <w:r>
        <w:rPr>
          <w:rtl w:val="true"/>
        </w:rPr>
        <w:t>:</w:t>
      </w:r>
      <w:bookmarkEnd w:id="5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w:t>
      </w:r>
      <w:r>
        <w:rPr>
          <w:rStyle w:val="FootnoteAnchor"/>
          <w:rtl w:val="true"/>
        </w:rPr>
        <w:footnoteReference w:id="35"/>
      </w:r>
      <w:r>
        <w:rPr>
          <w:rFonts w:ascii="Amiri" w:hAnsi="Amiri" w:eastAsia="Amiri" w:cs="Amiri"/>
          <w:color w:val="111111"/>
          <w:sz w:val="28"/>
          <w:sz w:val="28"/>
          <w:szCs w:val="28"/>
          <w:rtl w:val="true"/>
          <w:lang w:bidi="ar-SA"/>
        </w:rPr>
        <w:t>عَنْ مُحَمَّدِ بْنِ أَحْمَدَ النَّهْدِيِّ عَنْ يَعْقُوبَ بْنِ يَزِيدَ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يَلْعَبُونَ بِالْجَوْزِ وَ الْبَيْضِ وَ يُقَامِرُونَ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مِنْهُ فَإِنَّهُ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اين روايت از لحاظ سند به خاطر محمد بن احمد النهدي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حيثي توثيق و از حيثي تضعيف شده است و اگر كسي بتواند وثاقت او را با توثيق كشي ثابت كند و كلماتي كه نجاشي در مورد او گفته مشكل آفرين نباشد، روايت موثقه مي‌شود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محمد بن أحمد بن خاقان النهدي أبو جعفر القلانسي المعروف بحمدان، كوفي، 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المواقيت في الصلاة، كتاب فضل الكوفة،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أبيه، عن حمدان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ص</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النَّضْرِ مُحَمَّدَ بْنَ مَسْعُودٍ، عَنْ جَمِيعِ هَؤُلَاءِ فَقَالَ أَمَّا عَلِيُّ بْنُ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فِيمَنْ لَقِيتُ بِالْعِرَاقِ وَ نَاحِيَةِ خُرَاسَانَ أَفْقَهَ وَ لَا أَفْضَلَ مِنْ عَلِيِّ بْنِ الْحَسَنِ بِالْكُوفَةِ، وَ لَمْ يَكُنْ كِتَابٌ عَنِ الْأَئِمَّةِ عَلَيْهِمُ السَّلَامُ مِنْ كُلِّ صِنْفٍ إِلَّا وَ قَدْ كَانَ عِنْدَهُ، وَ كَانَ أَحْفَظَ النَّاسِ، غَيْرَ أَنَّهُ كَانَ فَطَحِيّاً يَقُولُ بِعَبْدِ اللَّهِ بْنِ جَعْفَرٍ، ثُمَّ بِأَبِي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الثِّقَاتِ 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الْحَسَنِ كَانَ فَطَحِيّاً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عَبْدُ اللَّهِ بْنُ مُحَمَّدِ بْنِ خَالِدٍ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عَلِمْتُهُ إِلَّا خَيِّراً ثِقَةً، وَ أَمَّا الْقَاسِمُ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رَأَيْتُهُ فَاضِلًا خَيِّراً، وَ كَانَ يَرْوِي عَنِ الْحَسَنِ بْنِ مَحْبُوبٍ، وَ أَمَّا مُحَمَّدُ بْنُ أَحْمَدَ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حَمْدَانُ الْقَلَانِسِيُّ كُوفِيٌّ فَقِيهٌ ثِقَةٌ خَيِّرٌ وَ أَمَّا </w:t>
      </w:r>
      <w:r>
        <w:rPr>
          <w:rFonts w:eastAsia="Amiri" w:cs="Amiri" w:ascii="Amiri" w:hAnsi="Amiri"/>
          <w:color w:val="111111"/>
          <w:sz w:val="28"/>
          <w:szCs w:val="28"/>
          <w:rtl w:val="true"/>
          <w:lang w:bidi="ar-SA"/>
        </w:rPr>
        <w:t>... .</w:t>
      </w:r>
      <w:bookmarkStart w:id="59" w:name="pg2375_19494"/>
    </w:p>
    <w:p>
      <w:pPr>
        <w:pStyle w:val="BookText"/>
        <w:rPr/>
      </w:pPr>
      <w:bookmarkEnd w:id="59"/>
      <w:r>
        <w:rPr>
          <w:rFonts w:ascii="IRNazanin" w:hAnsi="IRNazanin" w:eastAsia="IRNazanin"/>
          <w:color w:val="111111"/>
          <w:sz w:val="28"/>
          <w:sz w:val="28"/>
          <w:szCs w:val="28"/>
          <w:rtl w:val="true"/>
          <w:lang w:bidi="fa-IR"/>
        </w:rPr>
        <w:t>اسحاق بن عمار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بچه‌ها با گردو و تخم مرغ بازي و قمار مي‌كنند،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 كه حرام است</w:t>
      </w:r>
      <w:r>
        <w:rPr>
          <w:rFonts w:eastAsia="IRNazanin" w:cs="IRNazanin"/>
          <w:color w:val="111111"/>
          <w:sz w:val="28"/>
          <w:szCs w:val="28"/>
          <w:rtl w:val="true"/>
          <w:lang w:bidi="fa-IR"/>
        </w:rPr>
        <w:t>.</w:t>
      </w:r>
    </w:p>
    <w:p>
      <w:pPr>
        <w:pStyle w:val="Heading6"/>
        <w:numPr>
          <w:ilvl w:val="5"/>
          <w:numId w:val="1"/>
        </w:numPr>
        <w:rPr/>
      </w:pPr>
      <w:bookmarkStart w:id="60" w:name="__RefHeading___Toc2902903_3804643083"/>
      <w:bookmarkStart w:id="61" w:name="_Toc22"/>
      <w:bookmarkEnd w:id="60"/>
      <w:r>
        <w:rPr/>
        <w:t>9</w:t>
      </w:r>
      <w:r>
        <w:rPr>
          <w:rtl w:val="true"/>
        </w:rPr>
        <w:t xml:space="preserve">. </w:t>
      </w:r>
      <w:r>
        <w:rPr>
          <w:rtl w:val="true"/>
        </w:rPr>
        <w:t>روايت اسباط بن سالم</w:t>
      </w:r>
      <w:r>
        <w:rPr>
          <w:rtl w:val="true"/>
        </w:rPr>
        <w:t>:</w:t>
      </w:r>
      <w:bookmarkEnd w:id="61"/>
    </w:p>
    <w:p>
      <w:pPr>
        <w:pStyle w:val="BookText"/>
        <w:rPr/>
      </w:pPr>
      <w:r>
        <w:rPr>
          <w:rFonts w:ascii="Amiri" w:hAnsi="Amiri" w:eastAsia="Amiri" w:cs="Amiri"/>
          <w:color w:val="111111"/>
          <w:sz w:val="28"/>
          <w:sz w:val="28"/>
          <w:szCs w:val="28"/>
          <w:rtl w:val="true"/>
          <w:lang w:bidi="ar-SA"/>
        </w:rPr>
        <w:t>الْعَيَّاشِيُّ فِي تَفْسِيرِهِ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 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الْقِمَارَ الْحَدِيثَ</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اين روايت مرسله 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أسباط بن سالم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مردي آمد و از حضرت درباره‌ي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يا أَيُّهَا</w:t>
      </w:r>
      <w:bookmarkStart w:id="62" w:name="pg2375_19496"/>
    </w:p>
    <w:p>
      <w:pPr>
        <w:pStyle w:val="BookText"/>
        <w:rPr/>
      </w:pPr>
      <w:bookmarkEnd w:id="62"/>
      <w:r>
        <w:rPr>
          <w:rFonts w:ascii="Amiri" w:hAnsi="Amiri" w:eastAsia="Amiri" w:cs="Amiri"/>
          <w:color w:val="111111"/>
          <w:sz w:val="28"/>
          <w:sz w:val="28"/>
          <w:szCs w:val="28"/>
          <w:rtl w:val="true"/>
          <w:lang w:bidi="ar-SA"/>
        </w:rPr>
        <w:t>الَّذِينَ آمَنُوا لا تَأْكُلُوا أَمْوالَكُمْ بَيْنَكُمْ بِالْباطِلِ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سؤال كرد،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اين آيه، قمار است</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2902905_3804643083"/>
      <w:bookmarkStart w:id="64" w:name="_Toc23"/>
      <w:bookmarkEnd w:id="63"/>
      <w:r>
        <w:rPr/>
        <w:t>10</w:t>
      </w:r>
      <w:r>
        <w:rPr>
          <w:rtl w:val="true"/>
        </w:rPr>
        <w:t xml:space="preserve">. </w:t>
      </w:r>
      <w:r>
        <w:rPr>
          <w:rtl w:val="true"/>
        </w:rPr>
        <w:t>روايت محمد بن علي</w:t>
      </w:r>
      <w:r>
        <w:rPr>
          <w:rtl w:val="true"/>
        </w:rPr>
        <w:t>:</w:t>
      </w:r>
      <w:bookmarkEnd w:id="6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الْقِمَارِ وَ كَانَتْ قُرَيْشٌ تُقَامِرُ الرَّجُلَ بِأَهْلِهِ وَ مَالِهِ فَنَهَاهُمُ اللَّهُ عَنْ ذَلِكَ</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اين روايت مرسله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علي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حضرت درباره‌ي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يا أَيُّهَا الَّذِينَ آمَنُوا لا تَأْكُلُوا أَمْوالَكُمْ بَيْنَكُمْ بِالْباطِل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قمار نهي كردند در حالي كه قريش با مرد در مقابل اهل و مالش قمار مي‌كردند، پس خداوند آن‌ها را از اين كار منع كرد</w:t>
      </w:r>
      <w:r>
        <w:rPr>
          <w:rFonts w:eastAsia="IRNazanin" w:cs="IRNazanin"/>
          <w:color w:val="111111"/>
          <w:sz w:val="28"/>
          <w:szCs w:val="28"/>
          <w:rtl w:val="true"/>
          <w:lang w:bidi="fa-IR"/>
        </w:rPr>
        <w:t>.</w:t>
      </w:r>
    </w:p>
    <w:p>
      <w:pPr>
        <w:pStyle w:val="Heading6"/>
        <w:numPr>
          <w:ilvl w:val="5"/>
          <w:numId w:val="1"/>
        </w:numPr>
        <w:rPr/>
      </w:pPr>
      <w:bookmarkStart w:id="65" w:name="__RefHeading___Toc2902907_3804643083"/>
      <w:bookmarkStart w:id="66" w:name="_Toc24"/>
      <w:bookmarkEnd w:id="65"/>
      <w:r>
        <w:rPr/>
        <w:t>11</w:t>
      </w:r>
      <w:r>
        <w:rPr>
          <w:rtl w:val="true"/>
        </w:rPr>
        <w:t xml:space="preserve">. </w:t>
      </w:r>
      <w:r>
        <w:rPr>
          <w:rtl w:val="true"/>
        </w:rPr>
        <w:t>مرسله‌ي العيَّاشِي</w:t>
      </w:r>
      <w:r>
        <w:rPr>
          <w:rtl w:val="true"/>
        </w:rPr>
        <w:t>:</w:t>
      </w:r>
      <w:bookmarkEnd w:id="6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هُوَ الْقِمَارُ</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مرسله است</w:t>
      </w:r>
      <w:r>
        <w:rPr>
          <w:rFonts w:eastAsia="Amiri" w:cs="Amiri" w:ascii="Amiri" w:hAnsi="Amiri"/>
          <w:color w:val="111111"/>
          <w:sz w:val="28"/>
          <w:szCs w:val="28"/>
          <w:rtl w:val="true"/>
          <w:lang w:bidi="ar-SA"/>
        </w:rPr>
        <w:t>.</w:t>
      </w:r>
      <w:bookmarkStart w:id="67" w:name="pg2375_19498"/>
    </w:p>
    <w:p>
      <w:pPr>
        <w:pStyle w:val="BookText"/>
        <w:rPr/>
      </w:pPr>
      <w:bookmarkEnd w:id="67"/>
      <w:r>
        <w:rPr>
          <w:rFonts w:ascii="IRNazanin" w:hAnsi="IRNazanin" w:eastAsia="IRNazanin"/>
          <w:color w:val="111111"/>
          <w:sz w:val="28"/>
          <w:sz w:val="28"/>
          <w:szCs w:val="28"/>
          <w:rtl w:val="true"/>
          <w:lang w:bidi="fa-IR"/>
        </w:rPr>
        <w:t>عياشي در تفسيرش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همان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مقصود از قمار در اين روايت، معناي مصدري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يقامر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 آن قمار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آلت قمار است ابهامي وجود دارد و هيچ كدام از اين معاني را نمي‌توان استظهار كرد، هرچند با ذهن ما معناي مصدري سازگارتر است</w:t>
      </w:r>
      <w:r>
        <w:rPr>
          <w:rFonts w:eastAsia="IRNazanin" w:cs="IRNazanin"/>
          <w:color w:val="111111"/>
          <w:sz w:val="28"/>
          <w:szCs w:val="28"/>
          <w:rtl w:val="true"/>
          <w:lang w:bidi="fa-IR"/>
        </w:rPr>
        <w:t>.</w:t>
      </w:r>
    </w:p>
    <w:p>
      <w:pPr>
        <w:pStyle w:val="Heading6"/>
        <w:numPr>
          <w:ilvl w:val="5"/>
          <w:numId w:val="1"/>
        </w:numPr>
        <w:rPr/>
      </w:pPr>
      <w:bookmarkStart w:id="68" w:name="__RefHeading___Toc2902909_3804643083"/>
      <w:bookmarkStart w:id="69" w:name="_Toc25"/>
      <w:bookmarkEnd w:id="68"/>
      <w:r>
        <w:rPr/>
        <w:t>12</w:t>
      </w:r>
      <w:r>
        <w:rPr>
          <w:rtl w:val="true"/>
        </w:rPr>
        <w:t xml:space="preserve">. </w:t>
      </w:r>
      <w:r>
        <w:rPr>
          <w:rtl w:val="true"/>
        </w:rPr>
        <w:t>مرسله‌ي ديگر العيَّاشِي</w:t>
      </w:r>
      <w:r>
        <w:rPr>
          <w:rtl w:val="true"/>
        </w:rPr>
        <w:t>:</w:t>
      </w:r>
      <w:bookmarkEnd w:id="69"/>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الشِّطْرَنْجَ وَ النَّرْدَ وَ أَرْبَعَةَ عَشَرَ وَ كُلَّ مَا قُومِرَ عَلَيْهِ مِنْهَا فَهُوَ مَيْسِرٌ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اين روايت مرسله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عياشي در تفسيرش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شِطرنج و نرد و اربعه عشر و هر چيزي كه بر آن قمار شود، ميسر است</w:t>
      </w:r>
      <w:r>
        <w:rPr>
          <w:rFonts w:eastAsia="IRNazanin" w:cs="IRNazanin"/>
          <w:color w:val="111111"/>
          <w:sz w:val="28"/>
          <w:szCs w:val="28"/>
          <w:rtl w:val="true"/>
          <w:lang w:bidi="fa-IR"/>
        </w:rPr>
        <w:t>.</w:t>
      </w:r>
    </w:p>
    <w:p>
      <w:pPr>
        <w:pStyle w:val="Heading6"/>
        <w:numPr>
          <w:ilvl w:val="5"/>
          <w:numId w:val="1"/>
        </w:numPr>
        <w:rPr/>
      </w:pPr>
      <w:bookmarkStart w:id="70" w:name="__RefHeading___Toc2902911_3804643083"/>
      <w:bookmarkStart w:id="71" w:name="_Toc26"/>
      <w:bookmarkEnd w:id="70"/>
      <w:r>
        <w:rPr/>
        <w:t>13</w:t>
      </w:r>
      <w:r>
        <w:rPr>
          <w:rtl w:val="true"/>
        </w:rPr>
        <w:t xml:space="preserve">. </w:t>
      </w:r>
      <w:r>
        <w:rPr>
          <w:rtl w:val="true"/>
        </w:rPr>
        <w:t>روايت ياسر الخادِم</w:t>
      </w:r>
      <w:r>
        <w:rPr>
          <w:rtl w:val="true"/>
        </w:rPr>
        <w:t>:</w:t>
      </w:r>
      <w:bookmarkEnd w:id="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يَاسِرٍ الْخَادِمِ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 مِنْ كُلِّ</w:t>
      </w:r>
    </w:p>
    <w:p>
      <w:pPr>
        <w:pStyle w:val="BookText"/>
        <w:rPr/>
      </w:pPr>
      <w:r>
        <w:rPr>
          <w:rFonts w:ascii="Amiri" w:hAnsi="Amiri" w:eastAsia="Amiri" w:cs="Amiri"/>
          <w:color w:val="111111"/>
          <w:sz w:val="28"/>
          <w:sz w:val="28"/>
          <w:szCs w:val="28"/>
          <w:rtl w:val="true"/>
          <w:lang w:bidi="ar-SA"/>
        </w:rPr>
        <w:t>شَيْ‌ءٍ قَالَ</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تفسير العياشي عَنْ يَاسِرٍ الْخَادِمِ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الثَّقَلُ مَا يُخْرَجُ بَيْنَ الْمُتَرَاهِنَيْنِ مِنَ الدَّرَاهِمِ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مصححين محترم در توضيح آن در پاورقي 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المصدر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المتن هو الظاهر، فان الخبز لا معنى له هنا، و لعلّ الحسين أحد مشايخ العيّاشيّ أو من رواة الحديث، و لا نعرفه لاجل تلخيص الاسناد، و قد عد في مشايخه الحسين بن اشكيب أبو عبد اللّه، و في الوسائل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الثفل أو الثقل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تقومر عليه ثمّ أعطى شطر منه خراجا لرئيسهم و مفتيهم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التَّفَلُ مَا يُخَرَّجُ بَيْنَ الْمُتَرَاهِنَيْنِ مِنَ الدَّرَاهِمِ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روايت مرسله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ياسر الخادم مي‌گويد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ميسر سؤال كردم،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 و تفل آن چيزي است كه از بين متراهنين از درهم و غير درهم خارج مي‌شود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اين روايت ميسر را به آن چيزي كه از بين متراهنين خارج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 نه به آلات قمار</w:t>
      </w:r>
      <w:r>
        <w:rPr>
          <w:rFonts w:eastAsia="IRNazanin" w:cs="IRNazanin"/>
          <w:color w:val="111111"/>
          <w:sz w:val="28"/>
          <w:szCs w:val="28"/>
          <w:rtl w:val="true"/>
          <w:lang w:bidi="fa-IR"/>
        </w:rPr>
        <w:t>.</w:t>
      </w:r>
      <w:bookmarkStart w:id="72" w:name="pg2375_19502"/>
    </w:p>
    <w:p>
      <w:pPr>
        <w:pStyle w:val="Heading6"/>
        <w:numPr>
          <w:ilvl w:val="5"/>
          <w:numId w:val="1"/>
        </w:numPr>
        <w:rPr/>
      </w:pPr>
      <w:bookmarkStart w:id="73" w:name="__RefHeading___Toc2902913_3804643083"/>
      <w:bookmarkStart w:id="74" w:name="_Toc27"/>
      <w:bookmarkEnd w:id="72"/>
      <w:bookmarkEnd w:id="73"/>
      <w:r>
        <w:rPr/>
        <w:t>14</w:t>
      </w:r>
      <w:r>
        <w:rPr>
          <w:rtl w:val="true"/>
        </w:rPr>
        <w:t xml:space="preserve">. </w:t>
      </w:r>
      <w:r>
        <w:rPr>
          <w:rtl w:val="true"/>
        </w:rPr>
        <w:t>مرفوعه ي ديگري در تفسير العيَّاشِي</w:t>
      </w:r>
      <w:r>
        <w:rPr>
          <w:rtl w:val="true"/>
        </w:rPr>
        <w:t>:</w:t>
      </w:r>
      <w:bookmarkEnd w:id="74"/>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عَنِ الثِّقَةِ رَفَعَهُ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عَنْكُمْ أَنَّ الْخَمْرَ وَ الْمَيْسِرَ وَ الْأَنْصَابَ وَ الْأَزْلَامَ 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لِيُخَاطِبَ خَلْقَهُ بِمَا لَا يَعْلَمُونَ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اين روايت مرفوعه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خمر، ميسر، انصاب و ازلام، رجال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كه خداوند متعال بندگانش را به آن‌چه كه نمي‌فهمند خطاب كند</w:t>
      </w:r>
      <w:r>
        <w:rPr>
          <w:rFonts w:eastAsia="IRNazanin" w:cs="IRNazanin"/>
          <w:color w:val="111111"/>
          <w:sz w:val="28"/>
          <w:szCs w:val="28"/>
          <w:rtl w:val="true"/>
          <w:lang w:bidi="fa-IR"/>
        </w:rPr>
        <w:t>.</w:t>
      </w:r>
    </w:p>
    <w:p>
      <w:pPr>
        <w:pStyle w:val="Heading6"/>
        <w:numPr>
          <w:ilvl w:val="5"/>
          <w:numId w:val="1"/>
        </w:numPr>
        <w:rPr/>
      </w:pPr>
      <w:bookmarkStart w:id="75" w:name="__RefHeading___Toc2902915_3804643083"/>
      <w:bookmarkStart w:id="76" w:name="_Toc28"/>
      <w:bookmarkEnd w:id="75"/>
      <w:r>
        <w:rPr/>
        <w:t>15</w:t>
      </w:r>
      <w:r>
        <w:rPr>
          <w:rtl w:val="true"/>
        </w:rPr>
        <w:t xml:space="preserve">. </w:t>
      </w:r>
      <w:r>
        <w:rPr>
          <w:rtl w:val="true"/>
        </w:rPr>
        <w:t>مرسله‌ي محمد بن عيسي</w:t>
      </w:r>
      <w:r>
        <w:rPr>
          <w:rtl w:val="true"/>
        </w:rPr>
        <w:t>:</w:t>
      </w:r>
      <w:bookmarkEnd w:id="76"/>
    </w:p>
    <w:p>
      <w:pPr>
        <w:pStyle w:val="BookText"/>
        <w:rPr/>
      </w:pPr>
      <w:r>
        <w:rPr>
          <w:rFonts w:ascii="Amiri" w:hAnsi="Amiri" w:eastAsia="Amiri" w:cs="Amiri"/>
          <w:color w:val="111111"/>
          <w:sz w:val="28"/>
          <w:sz w:val="28"/>
          <w:szCs w:val="28"/>
          <w:rtl w:val="true"/>
          <w:lang w:bidi="ar-SA"/>
        </w:rPr>
        <w:t>أَحْمَدُ بْنُ مُحَمَّدِ بْنِ عِيسَى فِي نَوَادِرِهِ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الْقِمَارُ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اين روايت مرسله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عيسي در نوادر از پدرش محمد بن عيسي نقل مي‌كند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لا تَأْكُلُوا أَمْوالَكُمْ بَيْنَكُمْ بِالْباطِلِ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قمار است</w:t>
      </w:r>
      <w:r>
        <w:rPr>
          <w:rFonts w:eastAsia="IRNazanin" w:cs="IRNazanin"/>
          <w:color w:val="111111"/>
          <w:sz w:val="28"/>
          <w:szCs w:val="28"/>
          <w:rtl w:val="true"/>
          <w:lang w:bidi="fa-IR"/>
        </w:rPr>
        <w:t>.</w:t>
      </w:r>
      <w:bookmarkStart w:id="77" w:name="pg2375_19504"/>
    </w:p>
    <w:p>
      <w:pPr>
        <w:pStyle w:val="BookText"/>
        <w:rPr/>
      </w:pPr>
      <w:bookmarkEnd w:id="77"/>
      <w:r>
        <w:rPr>
          <w:rFonts w:ascii="Amiri" w:hAnsi="Amiri" w:eastAsia="Amiri" w:cs="Amiri"/>
          <w:color w:val="111111"/>
          <w:sz w:val="28"/>
          <w:sz w:val="28"/>
          <w:szCs w:val="28"/>
          <w:rtl w:val="true"/>
          <w:lang w:bidi="ar-SA"/>
        </w:rPr>
        <w:t xml:space="preserve">رواياتي از 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ما يكتسب به</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2902917_3804643083"/>
      <w:bookmarkStart w:id="79" w:name="_Toc29"/>
      <w:bookmarkEnd w:id="78"/>
      <w:r>
        <w:rPr/>
        <w:t>16</w:t>
      </w:r>
      <w:r>
        <w:rPr>
          <w:rtl w:val="true"/>
        </w:rPr>
        <w:t xml:space="preserve">. </w:t>
      </w:r>
      <w:r>
        <w:rPr>
          <w:rtl w:val="true"/>
        </w:rPr>
        <w:t>روايت زيد الشَّحَّام</w:t>
      </w:r>
      <w:r>
        <w:rPr>
          <w:rtl w:val="true"/>
        </w:rPr>
        <w:t>:</w:t>
      </w:r>
      <w:bookmarkEnd w:id="79"/>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مُحَمَّدِ بْنِ خَالِدٍ وَ الْحُسَيْنِ بْنِ سَعِيدٍ جَمِيعاً عَنِ النَّضْرِ بْنِ سُوَيْدٍ عَنْ دُرُسْتَ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الشِّطْرَنْجُ 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اين روايت از لحاظ سند به خاطر درست</w:t>
      </w:r>
      <w:r>
        <w:rPr>
          <w:rStyle w:val="FootnoteAnchor"/>
          <w:rtl w:val="true"/>
        </w:rPr>
        <w:footnoteReference w:id="46"/>
      </w:r>
      <w:r>
        <w:rPr>
          <w:rFonts w:ascii="IRNazanin" w:hAnsi="IRNazanin" w:eastAsia="IRNazanin"/>
          <w:color w:val="111111"/>
          <w:sz w:val="28"/>
          <w:sz w:val="28"/>
          <w:szCs w:val="28"/>
          <w:rtl w:val="true"/>
          <w:lang w:bidi="fa-IR"/>
        </w:rPr>
        <w:t>،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الشّحّام مي‌گويد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سؤال كردم، حضرت فرمودند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الرِّجْسُ مِنَ الْأَوْثَانِ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شطرنج 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غناء است</w:t>
      </w:r>
      <w:r>
        <w:rPr>
          <w:rFonts w:eastAsia="IRNazanin" w:cs="IRNazanin"/>
          <w:color w:val="111111"/>
          <w:sz w:val="28"/>
          <w:szCs w:val="28"/>
          <w:rtl w:val="true"/>
          <w:lang w:bidi="fa-IR"/>
        </w:rPr>
        <w:t>.</w:t>
      </w:r>
    </w:p>
    <w:p>
      <w:pPr>
        <w:pStyle w:val="Heading6"/>
        <w:numPr>
          <w:ilvl w:val="5"/>
          <w:numId w:val="1"/>
        </w:numPr>
        <w:rPr/>
      </w:pPr>
      <w:bookmarkStart w:id="80" w:name="__RefHeading___Toc2902919_3804643083"/>
      <w:bookmarkStart w:id="81" w:name="_Toc30"/>
      <w:bookmarkEnd w:id="80"/>
      <w:r>
        <w:rPr/>
        <w:t>17</w:t>
      </w:r>
      <w:r>
        <w:rPr>
          <w:rtl w:val="true"/>
        </w:rPr>
        <w:t xml:space="preserve">. </w:t>
      </w:r>
      <w:r>
        <w:rPr>
          <w:rtl w:val="true"/>
        </w:rPr>
        <w:t>روايت أبي الجارود</w:t>
      </w:r>
      <w:r>
        <w:rPr>
          <w:rtl w:val="true"/>
        </w:rPr>
        <w:t>:</w:t>
      </w:r>
      <w:bookmarkEnd w:id="8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فِي تَفْسِيرِهِ عَنْ أَبِي الْجَارُودِ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الْخَمْرُ وَ الْمَيْسِرُ وَ</w:t>
      </w:r>
    </w:p>
    <w:p>
      <w:pPr>
        <w:pStyle w:val="BookText"/>
        <w:rPr/>
      </w:pPr>
      <w:r>
        <w:rPr>
          <w:rFonts w:ascii="Amiri" w:hAnsi="Amiri" w:eastAsia="Amiri" w:cs="Amiri"/>
          <w:color w:val="111111"/>
          <w:sz w:val="28"/>
          <w:sz w:val="28"/>
          <w:szCs w:val="28"/>
          <w:rtl w:val="true"/>
          <w:lang w:bidi="ar-SA"/>
        </w:rPr>
        <w:t>الْأَنْصابُ وَ الْأَزْلامُ رِجْسٌ مِنْ عَمَلِ الشَّيْطانِ فَاجْتَنِبُوهُ لَعَلَّكُمْ تُفْلِحُونَ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الْخَمْرُ فَكُلُّ مُسْكِرٍ مِنَ الشَّرَابِ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الْمَيْسِرُ فَالنَّرْدُ وَ الشِّطْرَنْجُ وَ كُلُّ قِمَارٍ مَيْسِرٌ وَ أَمَّا الْأَنْصَابُ فَالْأَوْثَانُ الَّتِي كَانَتْ تَعْبُدُهَا الْمُشْرِكُونَ وَ أَمَّا الْأَزْلَامُ فَالْأَقْدَاحُ الَّتِي كَانَتْ تَسْتَقْسِمُ بِهَا الْمُشْرِكُونَ مِنَ الْعَرَبِ فِي الْجَاهِلِيَّةِ كُلُّ هَذَا بَيْعُهُ وَ شِرَاؤُهُ وَ الِانْتِفَاعُ بِشَيْ‌ءٍ مِنْ هَذَا حَرَامٌ مِنَ اللَّهِ مُحَرَّمٌ وَ هُوَ رِجْسٌ مِنْ عَمَلِ الشَّيْطَانِ وَ قَرَنَ اللَّهُ الْخَمْرَ وَ الْمَيْسِرَ مَعَ الْأَوْثَانِ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اين روايت مرسله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 الجارود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إِنَّمَا الْخَمْرُ وَ الْمَيْسِرُ وَ الْأَنْصابُ وَ الْأَزْلامُ رِجْسٌ مِنْ عَمَلِ الشَّيْطانِ فَاجْتَنِبُوهُ لَعَلَّكُمْ تُفْلِحُونَ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هر مسكري از شراب است، تا آن‌جا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الْمَيْسِرُ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نرد و شطرنج است و هر قماري ميسر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الْأَنْصابُ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بت‌هايي است كه مشركين آن‌ها را مي‌پرستيدند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الْأَزْلامُ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چوب تيرهايي است كه مشركين عرب در زمان جاهليت با آن تقسيم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موارد بيع، شراء و انتفاعش حرام است و آن پليديي است كه از عمل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خمر و ميسر را در كنار اوثان قرار داده است</w:t>
      </w:r>
      <w:r>
        <w:rPr>
          <w:rFonts w:eastAsia="IRNazanin" w:cs="IRNazanin"/>
          <w:color w:val="111111"/>
          <w:sz w:val="28"/>
          <w:szCs w:val="28"/>
          <w:rtl w:val="true"/>
          <w:lang w:bidi="fa-IR"/>
        </w:rPr>
        <w:t>.</w:t>
      </w:r>
      <w:bookmarkStart w:id="82" w:name="pg2375_19508"/>
    </w:p>
    <w:p>
      <w:pPr>
        <w:pStyle w:val="Heading6"/>
        <w:numPr>
          <w:ilvl w:val="5"/>
          <w:numId w:val="1"/>
        </w:numPr>
        <w:rPr/>
      </w:pPr>
      <w:bookmarkStart w:id="83" w:name="__RefHeading___Toc2902921_3804643083"/>
      <w:bookmarkStart w:id="84" w:name="_Toc31"/>
      <w:bookmarkEnd w:id="82"/>
      <w:bookmarkEnd w:id="83"/>
      <w:r>
        <w:rPr/>
        <w:t>18</w:t>
      </w:r>
      <w:r>
        <w:rPr>
          <w:rtl w:val="true"/>
        </w:rPr>
        <w:t xml:space="preserve">. </w:t>
      </w:r>
      <w:r>
        <w:rPr>
          <w:rtl w:val="true"/>
        </w:rPr>
        <w:t>روايت الفُضيل</w:t>
      </w:r>
      <w:r>
        <w:rPr>
          <w:rtl w:val="true"/>
        </w:rPr>
        <w:t>:</w:t>
      </w:r>
      <w:bookmarkEnd w:id="84"/>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 مُحَمَّدِ بْنِ عِيسَى عَنْ عَبْدِ اللَّهِ بْنِ عَاصِمٍ عَنْ عَلِيِّ بْنِ إِسْمَاعِيلَ الْمِيثَمِيِّ عَنْ رِبْعِيِّ بْنِ عَبْدِ اللَّهِ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الْأَشْيَاءِ الَّتِي يَلْعَبُ بِهَا النَّاسُ النَّرْدِ وَ الشِّطْرَنْجِ حَتَّى انْتَهَيْتُ إِلَى السُّدَّرِ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اللَّهُ الْحَقَّ مِنَ الْبَاطِلِ مَعَ أَيِّهِمَا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وَ لِلْبَاطِلِ</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اين روايت از لحاظ سند به خاطر سهل بن زياد و عبدالله بن عاصم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الفضيل بن يسار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اين اشيائي كه مردم با آن بازي مي‌كنند، مانند نرد و شطرنج كه تا سُدَّر شمردم،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خداوند حقّ را از باطل جدا كند، اين‌ها با كدام دسته‌اند؟ گفتم با دسته‌ي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و باطل</w:t>
      </w:r>
      <w:r>
        <w:rPr>
          <w:rFonts w:eastAsia="IRNazanin" w:cs="IRNazanin"/>
          <w:color w:val="111111"/>
          <w:sz w:val="28"/>
          <w:szCs w:val="28"/>
          <w:rtl w:val="true"/>
          <w:lang w:bidi="fa-IR"/>
        </w:rPr>
        <w:t>!</w:t>
      </w:r>
    </w:p>
    <w:p>
      <w:pPr>
        <w:pStyle w:val="Heading5"/>
        <w:numPr>
          <w:ilvl w:val="4"/>
          <w:numId w:val="1"/>
        </w:numPr>
        <w:rPr/>
      </w:pPr>
      <w:bookmarkStart w:id="85" w:name="__RefHeading___Toc2902923_3804643083"/>
      <w:bookmarkStart w:id="86" w:name="_Toc32"/>
      <w:bookmarkEnd w:id="85"/>
      <w:r>
        <w:rPr>
          <w:rtl w:val="true"/>
        </w:rPr>
        <w:t>عدم تواتر اخبار دالّ بر حرمت قسم اوّل</w:t>
      </w:r>
      <w:bookmarkEnd w:id="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اخباري كه ذكر شد دالّ بر حرمت لعب به آلات قمار با رهن است، امّا در حدّي نيست كه بتوانيم بگوييم تواتر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خصوص بعض آلات مانند شطرنج، اخبار متواتر است ولي به</w:t>
      </w:r>
      <w:bookmarkStart w:id="87" w:name="pg2375_19510"/>
    </w:p>
    <w:p>
      <w:pPr>
        <w:pStyle w:val="BookText"/>
        <w:rPr/>
      </w:pPr>
      <w:bookmarkEnd w:id="87"/>
      <w:r>
        <w:rPr>
          <w:rFonts w:ascii="IRNazanin" w:hAnsi="IRNazanin" w:eastAsia="IRNazanin"/>
          <w:color w:val="111111"/>
          <w:sz w:val="28"/>
          <w:sz w:val="28"/>
          <w:szCs w:val="28"/>
          <w:rtl w:val="true"/>
          <w:lang w:bidi="fa-IR"/>
        </w:rPr>
        <w:t>عنوان يك قاعده‌ي كلّي كه استفاده كنيم لعب به آلات قمار با رهن مطلقاً ـ تكليفاً و وضعاً ـ حرام است، تواتر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كسي استظهار كند رواياتي كه در خصوص بعضي از آلات مثل شطرنج، نرد، سدّر و امثال آن وارد شده، از باب مثال است كه در اين صورت مي‌توانيم بگوييم اخبار دالّ بر حرمت لعب به آلات قمار با رهن به عنوان قاعده‌ي كلّي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نيازي به اثبات تواتر نيست؛ چون با همين روايات حرمت آن تكليفاً و وضعاً ثابت مي‌شود و جاي مناقشه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آن‌كه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 تَأْكُلُوا أَمْوالَكُمْ بَيْنَكُمْ بِالْباطِلِ</w:t>
      </w:r>
      <w:r>
        <w:rPr>
          <w:rFonts w:eastAsia="IRNazanin" w:cs="IRNazanin"/>
          <w:color w:val="111111"/>
          <w:sz w:val="28"/>
          <w:szCs w:val="28"/>
          <w:rtl w:val="true"/>
          <w:lang w:bidi="fa-IR"/>
        </w:rPr>
        <w:t>&gt;</w:t>
      </w:r>
      <w:r>
        <w:rPr>
          <w:rStyle w:val="FootnoteAnchor"/>
          <w:rtl w:val="true"/>
        </w:rPr>
        <w:footnoteReference w:id="49"/>
      </w:r>
      <w:r>
        <w:rPr>
          <w:rFonts w:ascii="Amiri" w:hAnsi="Amiri" w:eastAsia="Amiri" w:cs="Amiri"/>
          <w:color w:val="111111"/>
          <w:sz w:val="28"/>
          <w:sz w:val="28"/>
          <w:szCs w:val="28"/>
          <w:rtl w:val="true"/>
          <w:lang w:bidi="ar-SA"/>
        </w:rPr>
        <w:t>هم دالّ بر حرمت وضعي اكثر آن‌ها است</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2902925_3804643083"/>
      <w:bookmarkStart w:id="89" w:name="_Toc33"/>
      <w:bookmarkEnd w:id="88"/>
      <w:r>
        <w:rPr>
          <w:rtl w:val="true"/>
        </w:rPr>
        <w:t xml:space="preserve">تحقيق جامعي درباره‌ي واژه‌ي </w:t>
      </w:r>
      <w:r>
        <w:rPr>
          <w:rtl w:val="true"/>
        </w:rPr>
        <w:t>«</w:t>
      </w:r>
      <w:r>
        <w:rPr>
          <w:rtl w:val="true"/>
        </w:rPr>
        <w:t>ميسر</w:t>
      </w:r>
      <w:r>
        <w:rPr>
          <w:rtl w:val="true"/>
        </w:rPr>
        <w:t>»</w:t>
      </w:r>
      <w:bookmarkEnd w:id="89"/>
    </w:p>
    <w:p>
      <w:pPr>
        <w:pStyle w:val="Heading6"/>
        <w:numPr>
          <w:ilvl w:val="5"/>
          <w:numId w:val="1"/>
        </w:numPr>
        <w:rPr/>
      </w:pPr>
      <w:bookmarkStart w:id="90" w:name="__RefHeading___Toc2902927_3804643083"/>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در قرآن كريم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استعمال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آيه‌ي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سوره‌ي مباركه‌ي بقره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 وَ يَسْئَلُونَكَ ما ذا يُنْفِقُونَ قُلِ الْعَفْوَ كَذلِكَ يُبَيِّنُ اللَّهُ لَكُمُ الْآياتِ لَعَلَّكُمْ تَتَفَكَّرُونَ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سوره‌ي مباركه‌ي 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سوره‌ي مباركه‌ي 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 xml:space="preserve">با اين عنايت در قرآن كريم و با نظر به آن‌چه بعداً خواهيم گفت، تحقيق و بررسي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زيادي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اكثر لغويين</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نوع خاصي از قمار كه به وسيله‌ي أقداح و أزلام است ـ توضيح آن خواهد آمد ـ معني كرده‌اند و بعضي</w:t>
      </w:r>
      <w:r>
        <w:rPr>
          <w:rStyle w:val="FootnoteAnchor"/>
          <w:rtl w:val="true"/>
        </w:rPr>
        <w:footnoteReference w:id="51"/>
      </w:r>
      <w:r>
        <w:rPr>
          <w:rFonts w:ascii="Amiri" w:hAnsi="Amiri" w:eastAsia="Amiri" w:cs="Amiri"/>
          <w:color w:val="111111"/>
          <w:sz w:val="28"/>
          <w:sz w:val="28"/>
          <w:szCs w:val="28"/>
          <w:rtl w:val="true"/>
          <w:lang w:bidi="ar-SA"/>
        </w:rPr>
        <w:t xml:space="preserve">علاوه بر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آن شتري كه در بازي قمار</w:t>
      </w:r>
    </w:p>
    <w:p>
      <w:pPr>
        <w:pStyle w:val="BookText"/>
        <w:rPr/>
      </w:pPr>
      <w:r>
        <w:rPr>
          <w:rFonts w:ascii="Amiri" w:hAnsi="Amiri" w:eastAsia="Amiri" w:cs="Amiri"/>
          <w:color w:val="111111"/>
          <w:sz w:val="28"/>
          <w:sz w:val="28"/>
          <w:szCs w:val="28"/>
          <w:rtl w:val="true"/>
          <w:lang w:bidi="ar-SA"/>
        </w:rPr>
        <w:t>به وسيله‌ي أقداح و أزلام تقسيم مي‌شود معني كرده‌اند و بعضي</w:t>
      </w:r>
      <w:r>
        <w:rPr>
          <w:rStyle w:val="FootnoteAnchor"/>
          <w:rtl w:val="true"/>
        </w:rPr>
        <w:footnoteReference w:id="52"/>
      </w:r>
      <w:r>
        <w:rPr>
          <w:rFonts w:ascii="IRNazanin" w:hAnsi="IRNazanin" w:eastAsia="IRNazanin"/>
          <w:color w:val="111111"/>
          <w:sz w:val="28"/>
          <w:sz w:val="28"/>
          <w:szCs w:val="28"/>
          <w:rtl w:val="true"/>
          <w:lang w:bidi="fa-IR"/>
        </w:rPr>
        <w:t>ديگر به مطلق قمار</w:t>
      </w:r>
      <w:r>
        <w:rPr>
          <w:rStyle w:val="FootnoteAnchor"/>
          <w:rtl w:val="true"/>
        </w:rPr>
        <w:footnoteReference w:id="53"/>
      </w:r>
      <w:r>
        <w:rPr>
          <w:rFonts w:ascii="Amiri" w:hAnsi="Amiri" w:eastAsia="Amiri" w:cs="Amiri"/>
          <w:color w:val="111111"/>
          <w:sz w:val="28"/>
          <w:sz w:val="28"/>
          <w:szCs w:val="28"/>
          <w:rtl w:val="true"/>
          <w:lang w:bidi="ar-SA"/>
        </w:rPr>
        <w:t>معني كرده‌اند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يجتمعون على الجزور في الميسر،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اليسر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ضريب القداح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في اللغة،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اليَسَرُ و الجميع الأيْسَارُ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يَجْتَمِعُوْنَ على المَيْسِرِ و هو الجَزُوْرُ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ضَرِيْبُ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يَسُوْرٌ و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قِدْحٌ مَعَ الأيْسَارِ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ما تَيَسَّرَ و اسْتَيْسَرَ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المُقَاسَمَةُ، يَسَرَه يَيْسِرُه يَسْراً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 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قِمَارُ العرب بالأزلام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مقائيس اللغة،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يجتمعون على الميْسِر، واحِدُهم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أيسارُ لُقمانَ إذا أَغْلَتِ الشَّتْوَةُ أبْداءَ الْجُزُرْ</w:t>
      </w:r>
    </w:p>
    <w:p>
      <w:pPr>
        <w:pStyle w:val="BookText"/>
        <w:rPr/>
      </w:pPr>
      <w:r>
        <w:rPr>
          <w:rFonts w:ascii="Amiri" w:hAnsi="Amiri" w:eastAsia="Amiri" w:cs="Amiri"/>
          <w:color w:val="111111"/>
          <w:sz w:val="28"/>
          <w:sz w:val="28"/>
          <w:szCs w:val="28"/>
          <w:rtl w:val="true"/>
          <w:lang w:bidi="ar-SA"/>
        </w:rPr>
        <w:t>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العلوم و دواء كلام العرب من الكلوم،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القمار كانت العرب تفعله في الجاهلية، فنهاهم اللّه تعالى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غريب الحديث،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اللَّاعب بالقِداح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 الأثر،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اطعنوا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الياء و سكون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حذاء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 ما لم يغش دناءة يخشع لها إذا ذكرت، و تغرى به لئام النّاس كالياسر 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الْمَيْسِرِ، و هو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الرجل يَيْسِرُ، فهو يَسَرٌ و يَاسِرٌ،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حديثه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 مَيْسِرُ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اللّعب به بالميسر، و هو القمار بالقداح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بالقِداح، يَسَرَ يَيْسَرُ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المُعَدُّ،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مُعَدٍّ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المجتمعون على المَيْسِرِ، و الجمع أَيْسار؛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أَيْسارُ لُقْمانَ، إِذا أَغْلَتِ الشَّتْوَةُ أَبْداءَ الجُزُرْ</w:t>
      </w:r>
    </w:p>
    <w:p>
      <w:pPr>
        <w:pStyle w:val="BookText"/>
        <w:rPr/>
      </w:pPr>
      <w:r>
        <w:rPr>
          <w:rFonts w:ascii="Amiri" w:hAnsi="Amiri" w:eastAsia="Amiri" w:cs="Amiri"/>
          <w:color w:val="111111"/>
          <w:sz w:val="28"/>
          <w:sz w:val="28"/>
          <w:szCs w:val="28"/>
          <w:rtl w:val="true"/>
          <w:lang w:bidi="ar-SA"/>
        </w:rPr>
        <w:t>و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 قِسْمَةَ الجَزُورِ، و الجمع أَيْسارٌ، و قد تَياسَرُوا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سمعتهم يضعون الياسِرَ موضع اليَسَرِ و اليَسَرَ موضعَ الياسِرِ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كرم الله وجهه،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مَيْسِرُ العَجَمِ؛ شبه اللعب به بالميسر، و هو القداح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 في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القِمارُ بالقِداح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الياسِرُ له قِدْحٌ و هو اليَسَرُ و اليَسُورُ و قد يَسَرَ يَيْسِرُ إِذا جاء بِقِدْحِه للقِمار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الياسِرُ 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يَسَرُوا أَي نَحَرُوا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جَزَّأْتُ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القومُ الجَزُورَ أَي اجْتَزَرُوها و اقتسموا أَعضاءها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واحدهم يَسَرٌ، و هم الذين يَتقامَرُون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يَلُونَ قِسْمَةَ الجَزُور؛ و قال في قول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الجاعِلُو القُوتِ على الياسِرِ</w:t>
      </w:r>
    </w:p>
    <w:p>
      <w:pPr>
        <w:pStyle w:val="BookText"/>
        <w:rPr/>
      </w:pPr>
      <w:r>
        <w:rPr>
          <w:rFonts w:ascii="Amiri" w:hAnsi="Amiri" w:eastAsia="Amiri" w:cs="Amiri"/>
          <w:color w:val="111111"/>
          <w:sz w:val="28"/>
          <w:sz w:val="28"/>
          <w:szCs w:val="28"/>
          <w:rtl w:val="true"/>
          <w:lang w:bidi="ar-SA"/>
        </w:rPr>
        <w:t>يعني الجازرَ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الجَزُورُ نفسه، سمي مَيْسِراً لأَنه يُجَزَّأُ أَجْزاء فكأَنه موضع التجزئة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جَزَّأْته، فقد يَسَرْتَه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الجازرُ لأَنه يُجَزِّئ لحم الجَزُور، و هذا الأَصل في الياسر، ثم يقال للضاربين بالقداح و المُتَقامِرِينَ على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ياسِرُون، لأَنهم جازرون إِذا كانوا سبباً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الياسِرُ اللَّاعِبُ بالقداحِ، و قد يَسَر يَيْسِرُ، فهو ياسِرٌ و يَسَرٌ، و الجمع أَيْسارٌ؛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فأَعِنْهُمُ و ايْسِرْ ما يَسَرُوا به و إِذا هُمُ نَزَلوا بضَنْكٍ فانزِلِ</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قِمارُ العرب بالأَزلام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مَسْجدٍ قِمَارُ العَرَبِ بِالْأَزْلَامِ يُقَالُ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وَعَدَ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المحيط</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بالقِداحِ، يَسَرَ يَيْسِرُ، أو هو الجَزُورُ التي كانوا يتقَامَرونَ عليها، كانوا إذا أرادُوا أن يَيْسِروا، اشْتَرَوْا جَزُوراً نَسيئَةً و نَحَرُوهُ قبلَ أن يَيْسِروا، و قَسَموه ثمانِيَةً و عشرينَ قِسْماً، أو عَشَرَةَ أَقسامٍ، فإذا خرجَ وَاحِدٌ واحِدٌ باسمِ رجُلٍ رَجُلٍ، ظَهَرَ فَوْزُ من خَرَجَ لهم ذَواتُ الأَنْصِباءِ، و غُرْمُ من خَرَجَ له الغُفْلُ، أو هو النَّرْدُ، أو كلُّ 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نهج البلاغه هم كلمه‌ي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قماربازِ بازيِ قمار با أقداح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الْمَرْءَ الْمُسْلِمَ مَا لَمْ يَغْشَ دَنَاءَةً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كَالْفَالِجِ الْيَاسِرِ الَّذِي يَنْتَظِرُ أَوَّلَ فَوْزَةٍ مِنْ قِدَاحِهِ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الْحُسْنَيَيْنِ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فَإِنَّ الْمَرْءَ الْمُسْلِمَ مَا لَمْ يَغْشَ دَنَاءَةً تَظْهَرُ فَيَخْشَعُ لَهَا إِذَا ذُكِرَتْ وَ يُغْرَى بِهَا لِئَامُ النَّاسِ كَانَ كَالْفَالِجِ الْيَاسِرِ الَّذِي يَنْتَظِرُ أَوَّلَ فَوْزَةٍ مِنْ قِدَاحِهِ تُوجِبُ لَهُ الْمَغْنَمَ وَ يُرْفَعُ بِهَا عَنْهُ الْمَغْرَمُ وَ كَذَلِكَ الْمَرْءُ الْمُسْلِمُ الْبَرِي‌ءُ مِنَ الْخِيَانَةِ يَنْتَظِرُ مِنَ اللَّهِ إِحْدَى الْحُسْنَيَيْنِ إِمَّا دَاعِيَ اللَّهِ فَمَا عِنْدَ اللَّهِ خَيْرٌ لَهُ وَ إِمَّا رِزْقَ اللَّهِ فَإِذَا هُوَ ذُو أَهْلٍ وَ مَالٍ وَ مَعَهُ دِينُهُ وَ حَسَبُه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فرد مسلمان مادامي كه آلوده‌ي كار پست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مسابقه دهنده‌اى است كه دوست دارد در همان آغاز مسابقه توسّط قداحش پيروز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دارد يكى از دو خوبى نصيب او گردد</w:t>
      </w:r>
      <w:r>
        <w:rPr>
          <w:rFonts w:eastAsia="IRNazanin" w:cs="IRNazanin"/>
          <w:color w:val="111111"/>
          <w:sz w:val="28"/>
          <w:szCs w:val="28"/>
          <w:rtl w:val="true"/>
          <w:lang w:bidi="fa-IR"/>
        </w:rPr>
        <w:t>.</w:t>
      </w:r>
      <w:bookmarkStart w:id="92" w:name="pg2375_19521"/>
    </w:p>
    <w:p>
      <w:pPr>
        <w:pStyle w:val="BookText"/>
        <w:rPr/>
      </w:pPr>
      <w:bookmarkEnd w:id="92"/>
      <w:r>
        <w:rPr>
          <w:rFonts w:ascii="Amiri" w:hAnsi="Amiri" w:eastAsia="Amiri" w:cs="Amiri"/>
          <w:color w:val="111111"/>
          <w:sz w:val="28"/>
          <w:sz w:val="28"/>
          <w:szCs w:val="28"/>
          <w:rtl w:val="true"/>
          <w:lang w:bidi="ar-SA"/>
        </w:rPr>
        <w:t xml:space="preserve">عبارت قرآن كريم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أَنْ تَسْتَقْسِمُوا بِالْأَزْلامِ</w:t>
      </w:r>
      <w:r>
        <w:rPr>
          <w:rFonts w:eastAsia="Amiri" w:cs="Amiri" w:ascii="Amiri" w:hAnsi="Amiri"/>
          <w:color w:val="111111"/>
          <w:sz w:val="28"/>
          <w:szCs w:val="28"/>
          <w:rtl w:val="true"/>
          <w:lang w:bidi="ar-SA"/>
        </w:rPr>
        <w:t>&gt;</w:t>
      </w:r>
      <w:r>
        <w:rPr>
          <w:rStyle w:val="FootnoteAnchor"/>
          <w:rtl w:val="true"/>
        </w:rPr>
        <w:footnoteReference w:id="56"/>
      </w:r>
      <w:r>
        <w:rPr>
          <w:rFonts w:ascii="Amiri" w:hAnsi="Amiri" w:eastAsia="Amiri" w:cs="Amiri"/>
          <w:color w:val="111111"/>
          <w:sz w:val="28"/>
          <w:sz w:val="28"/>
          <w:szCs w:val="28"/>
          <w:rtl w:val="true"/>
          <w:lang w:bidi="ar-SA"/>
        </w:rPr>
        <w:t>هم به همين قمارِ به أزلام و أقداح تفسير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مناسب است در مورد اين نوع خاص قمار توضيح داده شود</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2902929_3804643083"/>
      <w:bookmarkStart w:id="94" w:name="_Toc35"/>
      <w:bookmarkEnd w:id="93"/>
      <w:r>
        <w:rPr>
          <w:rtl w:val="true"/>
        </w:rPr>
        <w:t>توضيحي در مورد قمار به أزلام و أقداح</w:t>
      </w:r>
      <w:bookmarkEnd w:id="94"/>
    </w:p>
    <w:p>
      <w:pPr>
        <w:pStyle w:val="BookText"/>
        <w:rPr/>
      </w:pPr>
      <w:r>
        <w:rPr>
          <w:rFonts w:ascii="Amiri" w:hAnsi="Amiri" w:eastAsia="Amiri" w:cs="Amiri"/>
          <w:color w:val="111111"/>
          <w:sz w:val="28"/>
          <w:sz w:val="28"/>
          <w:szCs w:val="28"/>
          <w:rtl w:val="true"/>
          <w:lang w:bidi="ar-SA"/>
        </w:rPr>
        <w:t xml:space="preserve">براي توضيح اين نوع قمار، به روايت صحيحه‌اي كه در ذيل آيه‌ي سوم سوره‌ي مباركه‌ي مائده در تفسير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أَنْ تَسْتَقْسِمُوا بِالْأَزْلامِ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وارد شده است رجوع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أبان بن تَغْلِب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زِيَادِ بْنِ جَعْفَرٍ الْهَمْدَانِيِّ وَ الْحُسَيْنِ بْنِ إِبْرَاهِيمَ بْنِ أَحْمَدَ بْنِ هِشَامِ بْنِ الْمُؤَدِّبِ وَ عَلِيِّ بْنُ عَبْدِ اللَّهِ الْوَرَّاقِ وَ حَمْزَةَ بْنُ مُحَمَّدِ بْنِ أَحْمَدَ بْنُ جَعْفَرِ بْنِ مُحَمَّدِ بْنِ زَيْدِ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سَنَةٍ سَبْعٍ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أَحْمَدَ مُحَمَّدِ بْنِ زِيَادٍ</w:t>
      </w:r>
    </w:p>
    <w:p>
      <w:pPr>
        <w:pStyle w:val="BookText"/>
        <w:rPr/>
      </w:pPr>
      <w:r>
        <w:rPr>
          <w:rFonts w:ascii="Amiri" w:hAnsi="Amiri" w:eastAsia="Amiri" w:cs="Amiri"/>
          <w:color w:val="111111"/>
          <w:sz w:val="28"/>
          <w:sz w:val="28"/>
          <w:szCs w:val="28"/>
          <w:rtl w:val="true"/>
          <w:lang w:bidi="ar-SA"/>
        </w:rPr>
        <w:t>الْأَزْدِيِّ وَ أَحْمَدَ بْنِ مُحَمَّدِ بْنِ أَبِي نَصْرٍ الْبَزَنْطِيِّ جَمِيعاً عَنْ أَبَانِ بْنِ عُثْمَانَ الْأَحْمَرِ عَنْ أَبَانِ بْنِ تَغْلِبَ عَنْ أَبِي جَعْفَرٍ مُحَمَّدِ بْنِ عَلِيٍّ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قَوْلِ اللَّهِ تَعَالَى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حُرِّمَتْ عَلَيْكُمُ الْمَيْتَةُ وَ الدَّمُ وَ لَحْمُ الْخِنْزِيرِ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وَ الدَّمُ وَ لَحْمُ الْخِنْزِيرِ مَعْرُوفٌ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ما أُهِلَّ لِغَيْرِ اللَّهِ بِهِ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يَعْنِي مَا ذُبِحَ لِلْأَصْنَامِ وَ أَمَّا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الْمُنْخَنِقَةُ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فَإِنَّ الْمَجُوسَ كَانُوا لَا يَأْكُلُونَ الذَّبَائِحَ وَ يَأْكُلُونَ الْمَيْتَةَ وَ كَانُوا يَخْنُقُونَ الْبَقَرَ وَ الْغَنَمَ فَإِذَا انْخَنَقَتْ وَ مَاتَتْ أَكَلُوهَا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الْمُتَرَدِّيَةُ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كَانُوا يَشُدُّونَ أَعْيُنَهَا وَ يُلْقُونَهَا مِنَ السَّطْحِ فَإِذَا مَاتَتْ أَكَلُوهَا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النَّطِيحَةُ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كَانُوا يُنَاطِحُونَ</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النَّطْح للكباش و نحوها، و تَنَاطَحَت الأمواج و السيول و الرجال في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يأتيك من أمامك من الظباء و الطير و ما يزجر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تَنَاطَحا فماتا، كان أهل الجاهلية يأكلونها فنهي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الْكَبْشِ مَعْرُوفٌ وَ هُوَ مَصْدَرٌ مِنْ بَابَىْ ضَرَبَ وَ نَفَعَ وَ مَاتَ الْكَبْشُ مِنَ النَّطْحِ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الْكَبْشَانِ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انْتَطَحَا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نَاطَحَ الرَّجُلُ بِالْكَبْشِ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يَنْطِحُ فِيهِ كَبْشَانِ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مَثلًا لِلْأَمْرِ يَقَعُ وَ لَا يَخْتَلِفُ فِيهِ أَحَدٌ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بِالْكِبَاشِ فَإِذَا مَاتَتْ إِحْدَاهَا أَكَلُوهَا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ما أَكَلَ السَّبُعُ إِلَّا ما ذَكَّيْتُمْ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فَكَانُوا يَأْكُلُونَ مَا يَقْتُلُهُ الذِّئْبُ وَ الْأَسَدُ فَحَرَّمَ اللَّهُ ذَلِكَ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ما ذُبِحَ عَلَى النُّصُبِ</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كَانُوا يَذْبَحُونَ لِبُيُوتِ</w:t>
      </w:r>
    </w:p>
    <w:p>
      <w:pPr>
        <w:pStyle w:val="BookText"/>
        <w:rPr/>
      </w:pPr>
      <w:r>
        <w:rPr>
          <w:rFonts w:ascii="Amiri" w:hAnsi="Amiri" w:eastAsia="Amiri" w:cs="Amiri"/>
          <w:color w:val="111111"/>
          <w:sz w:val="28"/>
          <w:sz w:val="28"/>
          <w:szCs w:val="28"/>
          <w:rtl w:val="true"/>
          <w:lang w:bidi="ar-SA"/>
        </w:rPr>
        <w:t xml:space="preserve">النِّيرَانِ وَ قُرَيْشٌ كَانُوا يَعْبُدُونَ الشَّجَرَ وَ الصَّخْرَةَ فَيَذْبَحُونَ لَهَا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أَنْ تَسْتَقْسِمُوا بِالْأَزْلامِ ذلِكُمْ فِسْقٌ</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يَعْمِدُونَ</w:t>
      </w:r>
      <w:r>
        <w:rPr>
          <w:rStyle w:val="FootnoteAnchor"/>
          <w:rtl w:val="true"/>
        </w:rPr>
        <w:footnoteReference w:id="58"/>
      </w:r>
      <w:r>
        <w:rPr>
          <w:rFonts w:ascii="Amiri" w:hAnsi="Amiri" w:eastAsia="Amiri" w:cs="Amiri"/>
          <w:color w:val="111111"/>
          <w:sz w:val="28"/>
          <w:sz w:val="28"/>
          <w:szCs w:val="28"/>
          <w:rtl w:val="true"/>
          <w:lang w:bidi="ar-SA"/>
        </w:rPr>
        <w:t>إِلَى الْجَزُورِ فَيُجَزِّءُونَهُ عَشَرَةَ أَجْزَاءٍ ثُمَّ يَجْتَمِعُونَ عَلَيْهِ فَيُخْرِجُونَ السِّهَامَ وَ يَدْفَعُونَهَا إِلَى رَجُلٍ وَ السِّهَامُ عَشَرَةٌ سَبْعَةٌ لَهَا أَنْصِبَاءُ وَ ثَلَاثَةٌ لَا أَنْصِبَاءَ لَهَا فَالَّتِي لَهَا أَنْصِبَاءُ الْفَذُّ وَ التَّوْأَمُ وَ الْمُسْبِلُ وَ النَّافِسُ وَ الْحُلَيْسُ وَ الرَّقِيبُ وَ الْمُعَلَّى فَالْفَذُّ لَهُ سَهْمٌ وَ التَّوْأَمُ لَهُ سَهْمَانِ وَ الْمُسْبِلُ لَهُ ثَلَاثَةُ أَسْهُمٍ وَ النَّافِسُ لَهُ أَرْبَعَةُ أَسْهُمٍ وَ الْحُلَيْسُ لَهُ خَمْسَةُ أَسْهُمٍ وَ الرَّقِيبُ لَهُ سِتَّةُ أَسْهُمٍ وَ الْمُعَلَّى لَهُ سَبْعَةُ أَسْهُمٍ وَ أَمَّا الَّتِي لَا أَنْصِبَاءَ لَهَا الْسَفِيحُ</w:t>
      </w:r>
      <w:r>
        <w:rPr>
          <w:rStyle w:val="FootnoteAnchor"/>
          <w:rtl w:val="true"/>
        </w:rPr>
        <w:footnoteReference w:id="59"/>
      </w:r>
      <w:r>
        <w:rPr>
          <w:rFonts w:ascii="Amiri" w:hAnsi="Amiri" w:eastAsia="Amiri" w:cs="Amiri"/>
          <w:color w:val="111111"/>
          <w:sz w:val="28"/>
          <w:sz w:val="28"/>
          <w:szCs w:val="28"/>
          <w:rtl w:val="true"/>
          <w:lang w:bidi="ar-SA"/>
        </w:rPr>
        <w:t>وَ الْمَنِيحُ وَ الْوَغْدُ وَ ثَمَنُ الْجَزُورِ عَلَى مَنْ يَخْرُجُ لَهُ مِنَ الْأَنْصِبَاءِ شَيْ‌ءٌ وَ هُوَ الْقِمَارُ فَحَرَّمَهُ اللَّهُ عَزَّ وَ جَلَّ</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ابان بن تغلب از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مي‌كند كه حضرت در تفسير آيه‌ي شريفه‌ي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حُرِّمَتْ عَلَيْكُمُ الْمَيْتَةُ وَ الدَّمُ وَ لَحْمُ الْخِنْزِيرِ و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ميته، دم و لحم خنزير معروف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آن را مي‌شناسند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ما أُهِلَّ لِغَيْرِ اللَّهِ بِهِ</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يعني آن</w:t>
      </w:r>
    </w:p>
    <w:p>
      <w:pPr>
        <w:pStyle w:val="BookText"/>
        <w:rPr/>
      </w:pPr>
      <w:r>
        <w:rPr>
          <w:rFonts w:ascii="IRNazanin" w:hAnsi="IRNazanin" w:eastAsia="IRNazanin"/>
          <w:color w:val="111111"/>
          <w:sz w:val="28"/>
          <w:sz w:val="28"/>
          <w:szCs w:val="28"/>
          <w:rtl w:val="true"/>
          <w:lang w:bidi="fa-IR"/>
        </w:rPr>
        <w:t xml:space="preserve">چيزي كه براي بت‌ها كشته مي‌شود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الْمُنْخَنِقَةُ</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منخنقه در اصل حيوان خفه شده را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ذبيحه نمي‌خوردند و فقط ميته مي‌خوردند، گاو و گوسفند را اوّل خفه مي‌كردند، بعد مي‌خوردند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الْمُتَرَدِّيَةُ</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حيواني كه چشمش را مي‌بستند و از بلندي مي‌انداختند و بعد از كشته شدنش مي‌خوردند،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النَّطيحَةُ</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قوچ‌ها را به شاخ زدن به هم وامي‌داشتند و بعد از كشته شدن يكي، آن را مي‌خوردند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ما أَكَلَ السَّبُعُ إِلَّا ما ذَكَّيْتُمْ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حيواني كه گرگ يا شير آن را مي‌دريد، مي‌خوردند كه خداوند متعال آن را حرام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تذكيه شود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ما ذُبِحَ عَلَى النُّصُبِ</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حيواني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آتشكده‌ها مي‌كشتند و قريش هم درخت و صخره را عبادت مي‌كردند و براي آن ذبح مي‌كردند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أَنْ تَسْتَقْسِمُوا بِالْأَزْلامِ ذلِكُمْ فِسْقٌ</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شتري نحر مي‌كردند</w:t>
      </w:r>
      <w:r>
        <w:rPr>
          <w:rStyle w:val="FootnoteAnchor"/>
          <w:rtl w:val="true"/>
        </w:rPr>
        <w:footnoteReference w:id="61"/>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عاشور، محمد بن طاهر، التحرير و التنوير،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قمار كان للعرب في الجاهلية، و هو من القمار القديم المتوغل في القدم كان لعاد من قبل، و أول من ورد ذكر لعب الميسر عنه في كلام العرب هو لقمان بن عاد و يقال لقمان العادي، و الظاهر أنه ولد عاد بن عوص بن إرم بن سام، و هو غير لقمان الحكيم، و العرب تزعم أن لقمان كان أكثر الناس لعبا بالميسر حتى قالوا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 من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زعموا أنه كان له ثمانية أيسار لا يفارقونه هم من سادة عاد و أشرافهم، و لذلك يشبّهون أهل الميسر إذا كانوا من أشراف القوم بأيسار لقمان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صفة الميسر أنهم كانوا يجعلون عشرة قداح جمع قدح بكسر القاف و هو السهم الذي هو أصغر من النبل و من السهم فهو سهم صغير مثل السهام التي تلعب بها الصبيان و ليس في رأسه سنان و كانوا يسمونها الخطاء جمع حظوة و هي السهم الصغير و كلها من قصب النبع، و هذه القداح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الفذ، و التّوأم، و الرّقيب، و الحلس، و النّافس، و المسبل، و المعلّى، و السّفيح، و المنيح، و الوغد، و قيل النافس هو الرابع و الحلس خامس، فالسبعة الأول لها حظوظ من واحد إلى سبعة على ترتيبها، و الثلاثة الأخيرة لا حظوظ لها و تسمى أغفالا جمع غفل بضم الغين و سكون الفاء و هو الذي أغفل من العلامة، و هذه العلامات خطوط من واحد إلى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كأرقام الحساب الروماني إلى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خطّوا العلامات على القداح ذات العلامات بالشلط في القصبة أو بالحرق بالنار فتسمى العلامة حينئذ قرمة، و هذه العلامات توضع في أسافل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أرادوا التقامر اشتروا جزورا بثمن مؤجل إلى ما بعد التقامر و قسموه أبداء أي أجزاء إلى ثمانية و عشرين جزءا أو إلى عشرة أجزاء على اختلاف بين الأصمعي و أبي عبيدة، و الظاهر أن للعرب في ذلك طريقتين فلذلك اختلف الأصمعي و أبو عبيدة، ثم يضعون تلك القداح في خريطة من جلد تسمى الرّبابة بكسر الراء هي مثل كنانة النبال و هي واسعة لها مخرج ضيق يضيق عن أن يخرج منه قدحان أو ثلاثة، و وكلوا بهذه الربابة رجلا يدعى عندهم الحرضة و الضّريب و المجيل، و كانوا يغشون عينيه بمغمضة، و يجعلون على يديه خرقة بيضاء يسمونها المجول يعصبونها على يديه أو جلدة رقيقة يسمونها السّلفة بضم السين و سكون اللام، و يلتحق هذا الحرضة بثوب يخرج رأسه منه ثم يجثو على ركبتيه و يضع الربابة بين يديه، و يقوم وراءه رجل يسمى الرقيب أو الوكيل هو الأمين على الحرضة و على الأيسار كي لا يحتال أحد على أحد و هو الذي يأمر الحرضة بابتداء الميسر، يجلسون و الأيسار حول الحرضة جثيا على ركبهم، قال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دفعت إلى المجيل و قد تجاثوا على الرّكبات مطلع كل شمس</w:t>
      </w:r>
    </w:p>
    <w:p>
      <w:pPr>
        <w:pStyle w:val="BookText"/>
        <w:rPr/>
      </w:pPr>
      <w:r>
        <w:rPr>
          <w:rFonts w:ascii="Amiri" w:hAnsi="Amiri" w:eastAsia="Amiri" w:cs="Amiri"/>
          <w:color w:val="111111"/>
          <w:sz w:val="28"/>
          <w:sz w:val="28"/>
          <w:szCs w:val="28"/>
          <w:rtl w:val="true"/>
          <w:lang w:bidi="ar-SA"/>
        </w:rPr>
        <w:t>ثم يقول الرقيب للحرضة جلجل القداح أي حركها فيخضخضها في الربابة كي تختلط ثم يفيضها أي يدفعها إلى جهة مخرج القداح من الربابة دفعة واحدة على اسم واحد من الأيسار فيخرج قدح فيتقدم الوكيل فيأخذه و ينظره فإن كان من ذوات الأنصباء دفعه إلى صاحبه و قال له قم فاعتزل فيقوم و يعتزل إلى جهة ثم تعاد الجلجلة، و قد اغتفروا إذا خرج أول القداح غفلا ألا يحسب في غرم و لا في غنم بل يرد إلى الربابة و تعاد الإحالة و هكذا و من خرجت لهم القداح الأغفال يدفعون ثمن 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على الوصف الذي وصف الأصمعي أن الجزور يقسم إلى ثمانية و عشرين جزءا فظاهر أن لجميع أهل القدح القامرة شيئا من أبداء الجزور لأن مجموع ما على القداح الرابحة من العلامات ثمانية و عشرون، و على أهل القداح الخاسرة غرم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الوصف الذي وصف أبو عبيدة أن الجزور يقسم إلى عشرة أبداء فذلك يقتضي أن ليس كل المتقامرين برابح، لأن الربح يكون بمقدار عشرة سهام مما رقمت به القداح و حينئذ إذا نفدت الأجزاء انقطعت الإفاضة و غرم أهل السهام الأغفال ثمن الجزور و لم يكن لمن خرجت له سهام ذات حظوظ بعد الذين استوفوا أبداء الجزور شي‌ء إذ ليس في الميسر أكثر من جزور واحد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جزور أيسار دعوت لحتفها البيت و إذ لا غنم في الميسر إلا من اللحم لا من الدراهم أو غيرها، و لعل كلا من وصفي الأصمعي و أبي عبيدة كان طريقة للعرب في الميسر بحسب ما يصطلح عليه أهل الميسر، و إذا لم يجمع العدد الكافي من المتياسرين أخذ بعض من حضر سهمين أو ثلاثة فكثر بذلك ربحه أو غرمه و إنما يفعل هذا أهل الكرم و اليسار لأنه معرض لخسارة عظيمة، إذ لم يفز قدحه، و يقال في هذا الذي يأخذ أكثر من سهم متمّم الأيسار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أتمّم أيساري و أمنحهم مثنى الأيادي و أكسو الجفنة الأدما</w:t>
      </w:r>
    </w:p>
    <w:p>
      <w:pPr>
        <w:pStyle w:val="BookText"/>
        <w:rPr/>
      </w:pPr>
      <w:r>
        <w:rPr>
          <w:rFonts w:ascii="Amiri" w:hAnsi="Amiri" w:eastAsia="Amiri" w:cs="Amiri"/>
          <w:color w:val="111111"/>
          <w:sz w:val="28"/>
          <w:sz w:val="28"/>
          <w:szCs w:val="28"/>
          <w:rtl w:val="true"/>
          <w:lang w:bidi="ar-SA"/>
        </w:rPr>
        <w:t>و يسمّون هذا الإتمام بمثنى الأيادي كما قال النابغة، لأنه يقصد منه تكرير المعروف عند الربح فالأيادي بمعنى النعم، و كانوا يعطون أجر الرقيب و الحرضة و الجزّار من لحم الجزور فأما أجر الرقيب فيعطاه من أول القسمة و أفضل اللحم و يسمونه بدءا، و أما الحرضة فيعطى لحما دون ذلك و أما الجزار فيعطى مما يبقى بعد القسم من عظم أو نصف عظم و يسمونه الريم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يحضر الميسر من غير المتياسرين يسمون الأعران جمع عرن بوزن كتف و هم يحضرون طمعا في اللحم، و الذي لا يحب الميسر و لا يحضره لفقره سمي البرم بالتحريك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المقصد من الميسر هو المقصد من القمار كله و هو الربح و اللهو يدل لذلك تمدحهم و تفاخرهم بإعطاء ربح الميسر للفقراء، لأنه لو كان هذا الإعطاء مطردا لكل من يلعب الميسر لما كان تمدح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را ده بخش مي‌كردند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سر آن جمع</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مي‌شدند و با تير قرعه مي‌كشيدند و آن را به دست اشخاص مي‌دادند، اين تيرها ده‌تا بود، هفت‌تا از آن‌ها داراي سهم بود و سه تا سهمي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هفت‌تا كه سهم داشت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 توأم، مُسبِل، نافِس، حُلَيس، رقيب و مُعلّي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 داراي يك سهم، توأم داراي دو سهم، مُسبِل سه سهم، نافس چهار سهم، حُلَيس پنج سهم، رقيب شش سهم، و معلّي هفت سهم و آن سه</w:t>
      </w:r>
    </w:p>
    <w:p>
      <w:pPr>
        <w:pStyle w:val="BookText"/>
        <w:rPr/>
      </w:pPr>
      <w:r>
        <w:rPr>
          <w:rFonts w:ascii="Amiri" w:hAnsi="Amiri" w:eastAsia="Amiri" w:cs="Amiri"/>
          <w:color w:val="111111"/>
          <w:sz w:val="28"/>
          <w:sz w:val="28"/>
          <w:szCs w:val="28"/>
          <w:rtl w:val="true"/>
          <w:lang w:bidi="ar-SA"/>
        </w:rPr>
        <w:t>تير كه سهم نداشت؛ سَفِيح، مَنِيح و وَغْد ناميده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بهاي شتر نحر شده بر عهده‌ي كساني بود كه تير بي سهم نصيبشان مي‌شد كه اين قمار است و خداوند متعال آن را حرام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را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احمد بن زياد بن جعفر الهَمَداني</w:t>
      </w:r>
      <w:r>
        <w:rPr>
          <w:rStyle w:val="FootnoteAnchor"/>
          <w:rtl w:val="true"/>
        </w:rPr>
        <w:footnoteReference w:id="6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الهَمَذَانُ،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الرَّسَمَانُ في السَّيْرِ، نَقَلَه الصاغانيُّ، و لم يَذْكُر المُصَنِّف الرَّسَمانَ، و إِنما ذكرَ الرَّسَمَ، مُحَرَّكَةً، و هو حُسْنُ السَّيْرِ،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هَمَذَانُ،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من كُوَرِ الجَبَلِ، بينه و بين الدِّينَوَرِ أَرْبَعُ مَرَاحِلَ، و نقَلَ شيخُنَا عن شَرْحِ الشِّفَاءِ للشهاب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بين العَجَم إِهمالُ دَالِه، فكأَنّ هذا تَعْرِيبٌ له، بَنَاهُ هَمَذَانُ بنُ الفَلُّوج بن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هِشَامُ بن الكَلبيّ، و هو أَخو أَصفَهَانَ، و وُجِد في بعضِ كُتُبِ السّريانِيّين أَن الذي بنى هَمَذَانَ يقال له كرميس بن جلمون و ذكر بعضُ علماءِ الفُرس أَن اسم هَمَذَان إِنما هو نادَمه، و معناه المحبوبة و قال ربيعةُ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فَتْحُ هَمَذَانَ في جُمَادَى الأُولَى على رَأْسِ ستَّةِ أَشهُرٍ من مَقْتَل عُمَر بنِ الخَطَّاب، و كان الذِي فَتَحَهَا المُغيرَة بن شُعْبَة في سَنَةِ أَرْبَعٍ و عِشرينَ مِن الهِجْرَةِ،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بنى هَمَذَانَ جم بن نوجهان بن شالخ بن أَرْفخشِذ بن سام بن نوح، و سَمَّاهَا ساور، و يعرَّب،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ساروق، و حَصَّنها بَهْمَن بن أَسفَنْدِيَار، و هو أَحسنُ البِلادِ هواءً و أَطيبُهَا و أَنْزَهُهَا، و ما زالَ مَحَلًّا للملوكِ و مَعْدِناً لأَهْلِ الدِّين و الفَضْلِ، لولا شِتَاؤُه المُفْرِط بحيث قد أُفْرِدَتْ فيه كُتُبٌ، و ذُكِرَ أَمرُه في الشِّعْرِ و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مي‌كند ـ الهَمَداني را بعضي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سكون ميم اعراب زده‌اند كه درست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سَكْرَانَ قَبيلَةٌ مِنْ حِمْيَرٍ مِنْ عَرَبِ اليَمَنِ و النِّسْبَةُ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بَلَدٌ مِنْ عِرَاقِ العَجَمِ قَالَ ابْنُ الْكَلْبِىِّ سُمِّىَ بِاسْمِ بَانِيهِ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هَمَذَانَ ابْنِ لفَلُّوجِ بْنِ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نَوْعٍ مِنَ السَّيْرِ بِنَوْعٍ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مي‌فرمايد اين شخص را در همدان در بازگشت از حج ملاقت كردم ـ و خود شيخ صدوق او را توثيق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رجلاً ثقةً ديناً فاضلاً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قال مصنف هذا الكتاب رضي الله عنه لم أسمع هذا الحديث إلا من أحمد بن زياد بن جعفر الهمداني رضي الله عنه بهمدان عند منصرفي من حج بيت الله الحرام و كان رجلا ثقة دينا فاضلا رحمة الله عليه و رضوانه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شيخ صدوق اين روايت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ابراهيم بن أحمد بن هشام بن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عبدالله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احمد بن جعفر بن محمد بن زيد بن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مي‌كند، بنابراين مرحوم صدوق از چهار نفر نقل مي‌كند و اين چهار نفر از علي بن ابراهيم بن هاشم در سال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بن هاشم هم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حكم ثقه است نقل مي‌كند و او از احمد بن محمد بن زياد الأزدي ـ كه مجهول است و توثيق ندارد ـ و هم‌چنين از احمد بن محمد بن ابي نصر البزنطي كه از اصحاب اجماع است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طبقه از دو نفر نقل مي‌كند و عدم وثاقت احمد بن محمد بن زياد الأزدي ضربه‌اي به سند نمي‌زند و اين دو از أبان بن عثمان الأحمر كه</w:t>
      </w:r>
    </w:p>
    <w:p>
      <w:pPr>
        <w:pStyle w:val="BookText"/>
        <w:rPr/>
      </w:pPr>
      <w:r>
        <w:rPr>
          <w:rFonts w:ascii="Amiri" w:hAnsi="Amiri" w:eastAsia="Amiri" w:cs="Amiri"/>
          <w:color w:val="111111"/>
          <w:sz w:val="28"/>
          <w:sz w:val="28"/>
          <w:szCs w:val="28"/>
          <w:rtl w:val="true"/>
          <w:lang w:bidi="ar-SA"/>
        </w:rPr>
        <w:t>ايشان هم از اصحاب اجماع است نقل مي‌كند و او هم از ابان بن تغلب نقل مي‌كند كه ايشان هم از اجلاء است و كسي است كه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دارم در مسجد مدينه بنشيني و فتوا بدهي</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أبان بن تغلب بن رباح أبو سعيد البكري الجريري مولى بني جرير بن عبادة بن ضبيعة بن قيس بن ثعلبة بن عكابة بن صعب بن علي بن بكر بن وائل، عظيم المنزلة في أصحابنا، لقي علي بن الحسين و أبا جعفر و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عنهم، و كانت له عندهم منزلة و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أبان عن عطية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في مسجد المدينة و أفت الناس، فإني أحب أن يرى في شيعتي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 نعيه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أوجع قلبي موت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قارئا من وجوه القراء، فقيها، لغويا، سمع من العرب و حكى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ابان بن تغلب هم از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روايت از لحاظ سند تمام بوده و كاملاً قابل اعتماد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روايت به وضوح قمار با أقداح و أزلام را توضيح مي‌دهد كه عرب‌ها جزوري</w:t>
      </w:r>
      <w:r>
        <w:rPr>
          <w:rStyle w:val="FootnoteAnchor"/>
          <w:rtl w:val="true"/>
        </w:rPr>
        <w:footnoteReference w:id="65"/>
      </w:r>
      <w:r>
        <w:rPr>
          <w:rFonts w:ascii="IRNazanin" w:hAnsi="IRNazanin" w:eastAsia="IRNazanin"/>
          <w:color w:val="111111"/>
          <w:sz w:val="28"/>
          <w:sz w:val="28"/>
          <w:szCs w:val="28"/>
          <w:rtl w:val="true"/>
          <w:lang w:bidi="fa-IR"/>
        </w:rPr>
        <w:t>را خريداري كرده، نحر مي‌كردند و آن را بيست و هشت جزء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چوبه‌ي تير كه همان أزلام</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الزُّلَمُ و الزَّلَمُ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لا ريشَ عليه و هي سِهامٌ كانوا يَسْتَقْسمونَ بها في الجاهِليَّةِ ج، أَي جَمْعُ الكلِّ، أَزْلامٌ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أقداح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قُوِّم السَّهْمُ و أَنَى له أن يُرَاش و يُنَصَّل فهو قِدْح؛ و يقال لصانع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القَدَّاح؛ كالسَّهَّام و النَّبَّال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و هر كدام اسم خاصي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w:t>
      </w:r>
    </w:p>
    <w:p>
      <w:pPr>
        <w:pStyle w:val="BookText"/>
        <w:rPr/>
      </w:pPr>
      <w:r>
        <w:rPr>
          <w:rFonts w:ascii="Amiri" w:hAnsi="Amiri" w:eastAsia="Amiri" w:cs="Amiri"/>
          <w:color w:val="111111"/>
          <w:sz w:val="28"/>
          <w:sz w:val="28"/>
          <w:szCs w:val="28"/>
          <w:rtl w:val="true"/>
          <w:lang w:bidi="ar-SA"/>
        </w:rPr>
        <w:t>توأم، مُسبل، نافِس، حُليس، رقيب، مُعلّي، سفيح، منيح و وغد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سهم‌هاي</w:t>
      </w:r>
      <w:r>
        <w:rPr>
          <w:rStyle w:val="FootnoteAnchor"/>
          <w:rtl w:val="true"/>
        </w:rPr>
        <w:footnoteReference w:id="67"/>
      </w:r>
      <w:r>
        <w:rPr>
          <w:rFonts w:ascii="IRNazanin" w:hAnsi="IRNazanin" w:eastAsia="IRNazanin"/>
          <w:color w:val="111111"/>
          <w:sz w:val="28"/>
          <w:sz w:val="28"/>
          <w:szCs w:val="28"/>
          <w:rtl w:val="true"/>
          <w:lang w:bidi="fa-IR"/>
        </w:rPr>
        <w:t>متفاوتي براي آن‌ها مي‌گذاشتند ـ فذ يك سهم، توأم دو سهم، رقيب سه سهم، حُليس چهار سهم، نافس پنج سهم، مُسبل شش سهم و معلّي هفت سهم و براي سفيح، منيح و وغد هم نه تنها سهمي معين نكرده بودند، بلكه به نام هر كسي درمي‌آمد بايد يك سوم پول جزور را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اين چوبه‌هاي تير را در خريطه‌اي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كيسه‌ي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مي‌گذاشتند و قاطي مي‌كردند سپس شخصي كه اجنبي از اين ده نفر شركت كننده در قمار بود، هر يك از اين تيرها را به اسم يكي از اين ده نفر بيرون مي‌آورد و هر كسي طبق آن سهمي كه معين كرده بودند تصاحب مي‌كرد، غير از آن سه نفري كه سهمي نداشتند و بايد پول جزور را هم پرداخت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بالاترين سهم تعيين شده براي آن تيري بود كه هفت سهم داشت و به آن القِدح المعلّي مي‌گفتند و از اين‌جا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 المعلّي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ادبيات عرب شد و به كسي كه در تلاشش به نصيب بالا دست مي‌يابد از باب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 المعلّي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او استعمال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بالقِدح المعلّي و النصيب الأوفر الأعلي، كما اين‌كه در فارسي هم بعضي مهره‌هاي بازي شطرنج را در تشبيه به كار مي‌برند؛ مانند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شطرنج نبرد آن‌چه رخ زيبا بُرد</w:t>
      </w:r>
      <w:r>
        <w:rPr>
          <w:rFonts w:eastAsia="IRNazanin" w:cs="IRNazanin"/>
          <w:color w:val="111111"/>
          <w:sz w:val="28"/>
          <w:szCs w:val="28"/>
          <w:rtl w:val="true"/>
          <w:lang w:bidi="fa-IR"/>
        </w:rPr>
        <w:t>»</w:t>
      </w:r>
      <w:bookmarkStart w:id="95" w:name="pg2375_19544"/>
    </w:p>
    <w:p>
      <w:pPr>
        <w:pStyle w:val="Heading6"/>
        <w:numPr>
          <w:ilvl w:val="5"/>
          <w:numId w:val="1"/>
        </w:numPr>
        <w:rPr/>
      </w:pPr>
      <w:bookmarkStart w:id="96" w:name="__RefHeading___Toc2902931_3804643083"/>
      <w:bookmarkStart w:id="97" w:name="_Toc36"/>
      <w:bookmarkEnd w:id="95"/>
      <w:bookmarkEnd w:id="96"/>
      <w:r>
        <w:rPr>
          <w:rtl w:val="true"/>
        </w:rPr>
        <w:t>آيا ميسر در آيه‌ي شريفه بر نفس جزور اطلاق شده يا اسم براي آن فعل است؟</w:t>
      </w:r>
      <w:bookmarkEnd w:id="97"/>
    </w:p>
    <w:p>
      <w:pPr>
        <w:pStyle w:val="BookText"/>
        <w:rPr/>
      </w:pPr>
      <w:r>
        <w:rPr>
          <w:rFonts w:ascii="Amiri" w:hAnsi="Amiri" w:eastAsia="Amiri" w:cs="Amiri"/>
          <w:color w:val="111111"/>
          <w:sz w:val="28"/>
          <w:sz w:val="28"/>
          <w:szCs w:val="28"/>
          <w:rtl w:val="true"/>
          <w:lang w:bidi="ar-SA"/>
        </w:rPr>
        <w:t xml:space="preserve">به نظر مي‌رسد ميسر در آيه‌ي مباركه در معناي حدثي؛ يعني قمار كردن استعمال شده و مصدر است، كما اين‌كه در روايتي 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حسن بن علي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 الْوَشَّاءِ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هُوَ الْقِمَارُ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قمار در معناي اصلي و اوّلي، حدث و مصدر است، بنابراين ميسر هم مصدر است و به اصطلاح مصدر ميمي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ميمي از ثلاثي مزيد بر وزن اسم مفعول است؛ مانند مُنطَلق، مُعتمَد و از ثلاثي مجرد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مَذْهَب، مَقْتَل، مَضْرَب، مَعْلَم كه هم وزن اسم زمان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كلمه‌اي مثال واوي باشد كه در مضارع فاء الفعل آن حذف مي‌شود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يَعِدُ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ميمي آن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بعضي از مصادر ميمي هم وجود دارد كه علي خلاف القياس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جمله مصادر ميمي كه بر خلاف قياس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آيه‌ي شريفه‌ي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&gt;</w:t>
      </w:r>
      <w:r>
        <w:rPr>
          <w:rStyle w:val="FootnoteAnchor"/>
          <w:rtl w:val="true"/>
        </w:rPr>
        <w:footnoteReference w:id="69"/>
      </w:r>
      <w:r>
        <w:rPr>
          <w:rFonts w:ascii="Amiri" w:hAnsi="Amiri" w:eastAsia="Amiri" w:cs="Amiri"/>
          <w:color w:val="111111"/>
          <w:sz w:val="28"/>
          <w:sz w:val="28"/>
          <w:szCs w:val="28"/>
          <w:rtl w:val="true"/>
          <w:lang w:bidi="ar-SA"/>
        </w:rPr>
        <w:t xml:space="preserve">ميسر در كنار خمر ذكر شده در حالي كه خمر اسم عين است، بنابراين مناسب است كه ميسر هم اسم براي جزور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 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آلت قمار باشد، نه خود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منافاتي ندارد كه خمر اسم عين باشد،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نام حدث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فارسي هم اين دو كنار هم استعمال شده و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شراب اسم عين و قمار نام 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در آيه‌ي سوم سوره‌ي مباركه‌ي مائده هم مراد از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أَنْ تَسْتَقْسِمُوا بِالْأَزْلامِ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حدث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حُرِّمَتْ عَلَيْكُمُ الْمَيْتَةُ وَ الدَّمُ وَ لَحْمُ الْخِنْزيرِ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ذُبِحَ عَلَى النُّصُبِ وَ أَنْ تَسْتَقْسِمُوا بِالْأَزْلامِ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در اين آيه‌ي شريفه گرچه در مورد ميته، دم و تا ما ذبح علي النصب بايد چيزي در تقدير گرفت؛ چون معني ندارد عين حرام باشد، بلكه عمل مناسب با آن حرام است؛ مثل اكل ـ كما اين‌كه در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حُرِّمَتْ عَلَيْكُمْ أُمَّهاتُكُمْ</w:t>
      </w:r>
      <w:r>
        <w:rPr>
          <w:rFonts w:eastAsia="IRNazanin" w:cs="IRNazanin"/>
          <w:color w:val="111111"/>
          <w:sz w:val="28"/>
          <w:szCs w:val="28"/>
          <w:rtl w:val="true"/>
          <w:lang w:bidi="fa-IR"/>
        </w:rPr>
        <w:t>&gt;</w:t>
      </w:r>
      <w:r>
        <w:rPr>
          <w:rStyle w:val="FootnoteAnchor"/>
          <w:rtl w:val="true"/>
        </w:rPr>
        <w:footnoteReference w:id="70"/>
      </w:r>
      <w:r>
        <w:rPr>
          <w:rFonts w:ascii="IRNazanin" w:hAnsi="IRNazanin" w:eastAsia="IRNazanin"/>
          <w:color w:val="111111"/>
          <w:sz w:val="28"/>
          <w:sz w:val="28"/>
          <w:szCs w:val="28"/>
          <w:rtl w:val="true"/>
          <w:lang w:bidi="fa-IR"/>
        </w:rPr>
        <w:t>هم بايد فعل در تقدير گرفت والا مادر كه</w:t>
      </w:r>
    </w:p>
    <w:p>
      <w:pPr>
        <w:pStyle w:val="BookText"/>
        <w:rPr/>
      </w:pPr>
      <w:r>
        <w:rPr>
          <w:rFonts w:ascii="IRNazanin" w:hAnsi="IRNazanin" w:eastAsia="IRNazanin"/>
          <w:color w:val="111111"/>
          <w:sz w:val="28"/>
          <w:sz w:val="28"/>
          <w:szCs w:val="28"/>
          <w:rtl w:val="true"/>
          <w:lang w:bidi="fa-IR"/>
        </w:rPr>
        <w:t xml:space="preserve">نمي‌تواند حرام باشد ـ امّا در مورد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أَنْ تَسْتَقْسِمُوا بِالْأَزْلامِ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كه دالّ بر حدث است، لازم نيست چيزي در تقدير گرفته شود و حرمت متعلّق به خود حدث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مورد آيه‌ي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بقره كه مي‌فرمايد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يَسْئَلُونَكَ عَنِ الْخَمْرِ وَ الْمَيْسِرِ قُلْ فيهِما إِثْمٌ كَبيرٌ وَ مَنافِعُ لِلنَّاسِ وَ إِثْمُهُما أَكْبَرُ مِنْ نَفْعِهِما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بايد مراد از ميسر، حدث باشد و الا ذات كه نمي‌تواند اثمِ كبير داشته باشد، مگر با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منفعت مغلوبه‌اي هم كه آيه‌ي شريفه براي خمر و ميسر بيان مي‌كند، اين منفعت براي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 خمر و بازي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مثلاً در مورد خمر كه ذات آن منفعتي ندارد و اگر هم داشته باشد مورد اشاره‌ي آيه‌ي شريفه نيست بلكه خوردن خمر است كه منفعت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ميسر هم اين‌گونه است كه آن عمل و حدث، اثم كبير و منفعت مغلوبه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بعضي از روايات ميسر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قُومِرَ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تُقُومِرَ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شده؛ مانند صحيحه‌ي معمر بن خلاد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قُومِرَ عَلَيْهِ فَهُوَ مَيْسِر</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مُعَمَّرِ بْنِ خَلَّادٍ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 وَ كُلُّ مَا قُومِرَ عَلَيْهِ فَهُوَ مَيْسِر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يَا رَسُولَ اللَّهِ</w:t>
      </w:r>
    </w:p>
    <w:p>
      <w:pPr>
        <w:pStyle w:val="BookText"/>
        <w:rPr/>
      </w:pPr>
      <w:r>
        <w:rPr>
          <w:rFonts w:ascii="Amiri" w:hAnsi="Amiri" w:eastAsia="Amiri" w:cs="Amiri"/>
          <w:color w:val="111111"/>
          <w:sz w:val="28"/>
          <w:sz w:val="28"/>
          <w:szCs w:val="28"/>
          <w:rtl w:val="true"/>
          <w:lang w:bidi="ar-SA"/>
        </w:rPr>
        <w:t>مَا الْمَيْسِرُ؟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 الْجَوْزُ</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أَحْمَدَ بْنِ النَّضْرِ عَنْ عَمْرِو بْنِ شِمْرٍ عَنْ جَابِرٍ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مَا الْمَيْسِرُ؟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 الْجَوْزُ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ذَبَحُوا لآِلِهَتِهِمْ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الْأَزْلَامُ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قِدَاحُهُمُ الَّتِي يَسْتَقْسِمُونَ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وَ رَوَاهُ الصَّدُوقُ بِإِسْنَادِهِ عَنْ عَمْرِو بْنِ شِمْرٍ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ميسر اسم آلت قمار يا رهني است كه در قمار گذاشته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قُومِرَ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وسيله‌ي قمار نيست، بلكه منظور اين است كه بر هر چيزي قمار شود،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بعضي از روايات بر نفس آلات قمار، ميسر اطلاق شده است، مانند روايت أبي بصير در الكافي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زِيَادٍ عَنِ ابْنِ أَبِي نَجْرَانَ عَنْ مُثَنًّى الْحَنَّاطِ عَنْ أَبِي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 النَّرْدُ هُمَا الْمَيْسِرُ</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روايت عبدالمطلب القمي در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عَبْدِ الْمَلِكِ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إِدْرِيسُ أَخِي عِنْدَ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مَا الْمَيْسِرُ؟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الشِّطْرَنْجُ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يَقُولُونَ إِنَّهَا النَّرْدُ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النَّرْدُ أَيْضا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فعل در تقدير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 بالشطرنج و النرد هما 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معلوم بوده، فعل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شواهدي هم از روايات بر اين مطلب وجود دارد كه راوي از حضرت درباره‌ي لعب به شطرنج سؤال مي‌كند ولي حضرت در جواب، خودِ شطرنج را ذكر مي‌كنند، پس منظور همان لعب به شطرنج است كه راوي در مورد آن سؤال كرده است، مثل روايت عيّاشي در تفسيرش</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 الْعَيَّاشِيُّ فِي تَفْسِيرِهِ عَنْ حَمْدَوَيْهِ عَنْ يَعْقُوبَ بْنِ يَزِيدَ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اللَّعِبِ بِالشِّطْرَنْجِ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مِنَ الْبَاطِلِ</w:t>
      </w:r>
      <w:r>
        <w:rPr>
          <w:rFonts w:eastAsia="Amiri" w:cs="Amiri" w:ascii="Amiri" w:hAnsi="Amiri"/>
          <w:color w:val="111111"/>
          <w:sz w:val="28"/>
          <w:szCs w:val="28"/>
          <w:rtl w:val="true"/>
          <w:lang w:bidi="ar-SA"/>
        </w:rPr>
        <w:t>.</w:t>
      </w:r>
      <w:r>
        <w:rPr>
          <w:rStyle w:val="FootnoteAnchor"/>
          <w:rtl w:val="true"/>
        </w:rPr>
        <w:footnoteReference w:id="76"/>
      </w:r>
      <w:bookmarkStart w:id="98" w:name="pg2375_19554"/>
    </w:p>
    <w:p>
      <w:pPr>
        <w:pStyle w:val="BookText"/>
        <w:rPr/>
      </w:pPr>
      <w:bookmarkEnd w:id="98"/>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بازي قمار است؛ نه آن رهن در قمار و نه آلت قمار، و در جايي هم كه بر نفس آلت قمار تطبيق شده به اعتبار اين است كه كلمه‌اي در تقدير گرفته شده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xml:space="preserve">و در روايتي هم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شده است به قرينه‌ي صحيحه‌ي معمّر بن خلّاد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2902933_3804643083"/>
      <w:bookmarkStart w:id="100" w:name="_Toc37"/>
      <w:bookmarkEnd w:id="99"/>
      <w:r>
        <w:rPr>
          <w:rtl w:val="true"/>
        </w:rPr>
        <w:t xml:space="preserve">بحث نهايي در مورد </w:t>
      </w:r>
      <w:r>
        <w:rPr>
          <w:rtl w:val="true"/>
        </w:rPr>
        <w:t>«</w:t>
      </w:r>
      <w:r>
        <w:rPr>
          <w:rtl w:val="true"/>
        </w:rPr>
        <w:t>ميسر</w:t>
      </w:r>
      <w:r>
        <w:rPr>
          <w:rtl w:val="true"/>
        </w:rPr>
        <w:t xml:space="preserve">» </w:t>
      </w:r>
      <w:r>
        <w:rPr>
          <w:rtl w:val="true"/>
        </w:rPr>
        <w:t>در آيه‌ي شريفه‌</w:t>
      </w:r>
      <w:bookmarkEnd w:id="100"/>
    </w:p>
    <w:p>
      <w:pPr>
        <w:pStyle w:val="BookText"/>
        <w:rPr/>
      </w:pPr>
      <w:r>
        <w:rPr>
          <w:rFonts w:ascii="IRNazanin" w:hAnsi="IRNazanin" w:eastAsia="IRNazanin"/>
          <w:color w:val="111111"/>
          <w:sz w:val="28"/>
          <w:sz w:val="28"/>
          <w:szCs w:val="28"/>
          <w:rtl w:val="true"/>
          <w:lang w:bidi="fa-IR"/>
        </w:rPr>
        <w:t xml:space="preserve">همان‌طور كه بيان كرديم دو معناي عمده در مورد ميسر وجود دارد كه يكي نفس جزور و ديگري آن عمل قماري است و با توضيحاتي كه داده شد، معناي دوم را برتري داديم و گفتيم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أَنْ تَسْتَقْسِمُوا بِالْأَزْلامِ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آيه‌ي سوم سوره‌ي مباركه‌ي مائده است كه مراد خود عمل قماري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نكته‌اي كه در اين‌جا وجود دارد اين است كه در بعضي تفاسير</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الأزلام حصى كانوا يضربون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هذا عن ابن جبير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أزلام العرب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التي يتخذها كل إنسان لنفسه في أحدها افعل و في الآخر لا تفعل و الثالث غفل فيجعلها في خريطة، فإذا أراد فعل شي‌ء أدخل يده في الخريطة منسابة، و ائتمر بما خرج له من الآمر أو الناهي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 الغفل أعاد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قداح كانت عندها في جوف الكعبة، في أحدها العقل في أمر الديات من يحمله منهم فيضرب بالسبعة، فمن خرج عليه قدح العقل لزمه العقل، و في آخر تصح، و في آخر لا، فإذا أرادوا أمرا ضرب فيتبع ما يخرج، و في آخر منكم، و في آخر من غيركم، و في آخر ملصق، فإذا اختلفوا في إنسان أهو منهم أم من غيرهم ضربوا فاتبعوا ما خرج، و في سائرها لأحكام المياه إذا أرادوا أن يحفروا لطلب المياه ضربوا بالقداح، و فيها ذلك القداح، فحيث ما خرج عملوا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السبعة أيضا متخذة عند كل كاهن من كهان العرب و حكامهم على ما كانت في الكعبة عند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 الميسر و هي عشرة، و تقدم شرح الميسر في 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التحرير و التنوير،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التفسير الحديث،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تفسير القرآن العظيم لابن كثير،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التفسير الواضح،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فتح القدير،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كتب لغت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تَسْتَقْسِمُوا بِالْأَزْلامِ ذلِكُمْ 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الاستقسام مذكور في موضعه، و الأَزْلامُ كانت لقريش في الجاهلية مكتوب عليها أَمر و نهي و افْعَلْ و لا تَفْعَلْ، قد زُلّمَتْ و سُوِّيَتْ و وضعتْ في الكعبة، يقوم بها سَدَنَةُ البيت، فإذا أَراد رجل سفراً أَو نكاحاً أَتى السادِنَ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لي زَلَماً، فيخرجه و ينظر إِليه، فإذا خرج قِدْحُ الأَمر مضى على ما عزم عليه، و إِن خرج قِدْحُ النهي قعد عما أَراده، و ربما كان مع الرجل زَلَمانِ وضعهما في قِرابِه، فإِذا أَراد الاستقسام أَخرج أَحدهما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معناي ديگري هم براي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أَنْ تَسْتَقْسِمُوا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بِالْأَزْلامِ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ذكر شده كه عرب جاهلي يك نوع استخاره‌اي با چوبه‌هاي تير انجام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بر روي يكي از اين چوبه‌ها و أزلام مي‌نوشتند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روي يكي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يعني بر آن چيزي نوشته نشده بود، و اين‌ها را در يك خريطه‌اي گذاشته و قاطي مي‌كردند،</w:t>
      </w:r>
      <w:bookmarkStart w:id="101" w:name="pg2375_19558"/>
    </w:p>
    <w:p>
      <w:pPr>
        <w:pStyle w:val="BookText"/>
        <w:rPr/>
      </w:pPr>
      <w:bookmarkEnd w:id="101"/>
      <w:r>
        <w:rPr>
          <w:rFonts w:ascii="IRNazanin" w:hAnsi="IRNazanin" w:eastAsia="IRNazanin"/>
          <w:color w:val="111111"/>
          <w:sz w:val="28"/>
          <w:sz w:val="28"/>
          <w:szCs w:val="28"/>
          <w:rtl w:val="true"/>
          <w:lang w:bidi="fa-IR"/>
        </w:rPr>
        <w:t xml:space="preserve">سپس كسي كه در كارش متحيّر بود پيش سادِن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و حافظ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 و به سادِن مي‌گفت يكي از تيرها را از خريط بيرون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مي‌آمد انجام مي‌داد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مي‌آمد تا يك سال انجام نمي‌داد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مي‌آمد، دوباره اين عمل را تكرار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اين‌كه مراد از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أَنْ تَسْتَقْسِمُوا بِالْأَزْلامِ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اين عمل باشد گرچه بعيد است؛ چون خلاف سياق آيه‌ي شريفه است؛ زيرا موارد قبلي كه در آيه‌ي شريفه ذكر شده همه مربوط به انواع گوشت‌هاي حرام است و مناسبت با سياق قبل اقتضاء مي‌كند كه اين فقره هم مربوط به همان گوشتي باشد كه از راه قمار به أزلام و أقداح به چنگ مي‌آوردند، امّا اين احتمال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آيه‌ي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سوره‌ي مباركه‌ي مائده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يا أَيُّهَا الَّذينَ آمَنُوا إِنَّمَا الْخَمْرُ وَ الْمَيْسِرُ وَ الْأَنْصابُ وَ الْأَزْلامُ رِجْسٌ مِنْ عَمَلِ الشَّيْطانِ فَاجْتَنِبُوهُ لَعَلَّكُمْ تُفْلِحُونَ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قوي‌تر است؛ زيرا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ذكر كرده است، بنابراين بعيد است منظور از أزلام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گرچه مشكلي هم ندارد كه بگوئيم مراد از ميسر آن عملي است كه رجس است و أقداح و أزلام آن عمل هم به اعتبار وسيله‌ي آن عمل، رجس باشد</w:t>
      </w:r>
      <w:r>
        <w:rPr>
          <w:rFonts w:eastAsia="IRNazanin" w:cs="IRNazanin"/>
          <w:color w:val="111111"/>
          <w:sz w:val="28"/>
          <w:szCs w:val="28"/>
          <w:rtl w:val="true"/>
          <w:lang w:bidi="fa-IR"/>
        </w:rPr>
        <w:t>.</w:t>
      </w:r>
    </w:p>
    <w:p>
      <w:pPr>
        <w:pStyle w:val="Heading4"/>
        <w:numPr>
          <w:ilvl w:val="3"/>
          <w:numId w:val="1"/>
        </w:numPr>
        <w:rPr/>
      </w:pPr>
      <w:bookmarkStart w:id="102" w:name="__RefHeading___Toc2902935_3804643083"/>
      <w:bookmarkStart w:id="103" w:name="_Toc38"/>
      <w:bookmarkEnd w:id="102"/>
      <w:r>
        <w:rPr>
          <w:rtl w:val="true"/>
        </w:rPr>
        <w:t>قسم دوم</w:t>
      </w:r>
      <w:r>
        <w:rPr>
          <w:rtl w:val="true"/>
        </w:rPr>
        <w:t xml:space="preserve">: </w:t>
      </w:r>
      <w:r>
        <w:rPr>
          <w:rtl w:val="true"/>
        </w:rPr>
        <w:t>لعب به آلات قمار بدون رهن</w:t>
      </w:r>
      <w:bookmarkEnd w:id="103"/>
    </w:p>
    <w:p>
      <w:pPr>
        <w:pStyle w:val="Heading5"/>
        <w:numPr>
          <w:ilvl w:val="4"/>
          <w:numId w:val="1"/>
        </w:numPr>
        <w:rPr/>
      </w:pPr>
      <w:bookmarkStart w:id="104" w:name="__RefHeading___Toc2902937_3804643083"/>
      <w:bookmarkStart w:id="105" w:name="_Toc39"/>
      <w:bookmarkEnd w:id="104"/>
      <w:r>
        <w:rPr>
          <w:rtl w:val="true"/>
        </w:rPr>
        <w:t>اشاره</w:t>
      </w:r>
      <w:bookmarkEnd w:id="10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مراد حكم تكليفي است و حكم وضعي ندارد؛ زيرا نقل و انتقالي صورت نمي‌گيرد</w:t>
      </w:r>
      <w:r>
        <w:rPr>
          <w:rFonts w:eastAsia="IRNazanin" w:cs="IRNazanin"/>
          <w:color w:val="111111"/>
          <w:sz w:val="28"/>
          <w:szCs w:val="28"/>
          <w:rtl w:val="true"/>
          <w:lang w:bidi="fa-IR"/>
        </w:rPr>
        <w:t>.</w:t>
      </w:r>
      <w:bookmarkStart w:id="106" w:name="pg2375_19560"/>
    </w:p>
    <w:p>
      <w:pPr>
        <w:pStyle w:val="Heading5"/>
        <w:numPr>
          <w:ilvl w:val="4"/>
          <w:numId w:val="1"/>
        </w:numPr>
        <w:rPr/>
      </w:pPr>
      <w:bookmarkStart w:id="107" w:name="__RefHeading___Toc2902939_3804643083"/>
      <w:bookmarkStart w:id="108" w:name="_Toc40"/>
      <w:bookmarkEnd w:id="106"/>
      <w:bookmarkEnd w:id="107"/>
      <w:r>
        <w:rPr>
          <w:rtl w:val="true"/>
        </w:rPr>
        <w:t>دليل شيخ</w:t>
      </w:r>
      <w:r>
        <w:rPr>
          <w:rtl w:val="true"/>
        </w:rPr>
        <w:t xml:space="preserve">- </w:t>
      </w:r>
      <w:r>
        <w:rPr>
          <w:rtl w:val="true"/>
        </w:rPr>
        <w:t xml:space="preserve">قدس سره </w:t>
      </w:r>
      <w:r>
        <w:rPr>
          <w:rtl w:val="true"/>
        </w:rPr>
        <w:t xml:space="preserve">- </w:t>
      </w:r>
      <w:r>
        <w:rPr>
          <w:rtl w:val="true"/>
        </w:rPr>
        <w:t>بر جواز قسم دوم</w:t>
      </w:r>
      <w:bookmarkEnd w:id="108"/>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صدق القِمار عليه نظر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بآلات القِمار من دون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صدق القِمار عليه نظر؛ لما عرفت، و مجرّد الاستعمال لا يوجب إجراء أحكام المطلقات و لو مع البناء على أصالة الحقيقة في الاستعمال؛ لقوّة انصرافها إلى الغالب من وجود الرهن في اللعب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اطلاق قمار بر لعب به آلات قمار بدون رهن، ثابت نيست، بنابراين حكم قمار را ندارد و عنوان محرّم ديگري بر آن منطبق نمي‌شود ـ البته به جز عنوان لهو كه آن هم نمي‌توانيم بگوييم مطلقاً حرام است ـ بنابراين به عنوان قمار، حكم به حرمت لعب به آلات قمار نمي‌شود</w:t>
      </w:r>
      <w:r>
        <w:rPr>
          <w:rFonts w:eastAsia="IRNazanin" w:cs="IRNazanin"/>
          <w:color w:val="111111"/>
          <w:sz w:val="28"/>
          <w:szCs w:val="28"/>
          <w:rtl w:val="true"/>
          <w:lang w:bidi="fa-IR"/>
        </w:rPr>
        <w:t>.</w:t>
      </w:r>
    </w:p>
    <w:p>
      <w:pPr>
        <w:pStyle w:val="Heading5"/>
        <w:numPr>
          <w:ilvl w:val="4"/>
          <w:numId w:val="1"/>
        </w:numPr>
        <w:rPr/>
      </w:pPr>
      <w:bookmarkStart w:id="109" w:name="__RefHeading___Toc2902941_3804643083"/>
      <w:bookmarkStart w:id="110" w:name="_Toc41"/>
      <w:bookmarkEnd w:id="109"/>
      <w:r>
        <w:rPr>
          <w:rtl w:val="true"/>
        </w:rPr>
        <w:t>بيان شيخ</w:t>
      </w:r>
      <w:r>
        <w:rPr>
          <w:rtl w:val="true"/>
        </w:rPr>
        <w:t xml:space="preserve">- </w:t>
      </w:r>
      <w:r>
        <w:rPr>
          <w:rtl w:val="true"/>
        </w:rPr>
        <w:t xml:space="preserve">قدس سره </w:t>
      </w:r>
      <w:r>
        <w:rPr>
          <w:rtl w:val="true"/>
        </w:rPr>
        <w:t xml:space="preserve">- </w:t>
      </w:r>
      <w:r>
        <w:rPr>
          <w:rtl w:val="true"/>
        </w:rPr>
        <w:t xml:space="preserve">در انصراف ادلّه‌ي حرمت قمار به لعب با رهن </w:t>
      </w:r>
      <w:r>
        <w:rPr>
          <w:rtl w:val="true"/>
        </w:rPr>
        <w:t>(</w:t>
      </w:r>
      <w:r>
        <w:rPr>
          <w:rtl w:val="true"/>
        </w:rPr>
        <w:t>در صورت اطلاق قمار بر اعم</w:t>
      </w:r>
      <w:r>
        <w:rPr>
          <w:rtl w:val="true"/>
        </w:rPr>
        <w:t>)</w:t>
      </w:r>
      <w:bookmarkEnd w:id="11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يك پله پا را فراتر گذاشته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بگوييم قمار بر لعب به آلات قمار بدون مراهنه هم صادق است، باز نمي‌توانيم با تمسك به ادلّه‌ي حرمت قمار حكم به حرمت كنيم؛ چون قمار با مراهنه شايع، و بدون مراهنه نادر است و لذا قمار انصراف به فرد شايع دارد و از اين‌جا مي‌توانيم بگوييم حتّي به ادلّه‌ي نهي از لعبِ به مثل شطرنج، نرد و اربعة عشر هم نمي‌توان تمسك كرد؛ چون آن ادلّه هم انصراف به بازي شايع شطرنج، نرد، اربع عشر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با مراهنه است</w:t>
      </w:r>
      <w:r>
        <w:rPr>
          <w:rFonts w:eastAsia="IRNazanin" w:cs="IRNazanin"/>
          <w:color w:val="111111"/>
          <w:sz w:val="28"/>
          <w:szCs w:val="28"/>
          <w:rtl w:val="true"/>
          <w:lang w:bidi="fa-IR"/>
        </w:rPr>
        <w:t>.</w:t>
      </w:r>
      <w:bookmarkStart w:id="111" w:name="pg2375_19562"/>
    </w:p>
    <w:p>
      <w:pPr>
        <w:pStyle w:val="Heading5"/>
        <w:numPr>
          <w:ilvl w:val="4"/>
          <w:numId w:val="1"/>
        </w:numPr>
        <w:rPr/>
      </w:pPr>
      <w:bookmarkStart w:id="112" w:name="__RefHeading___Toc2902943_3804643083"/>
      <w:bookmarkStart w:id="113" w:name="_Toc42"/>
      <w:bookmarkEnd w:id="111"/>
      <w:bookmarkEnd w:id="112"/>
      <w:r>
        <w:rPr>
          <w:rtl w:val="true"/>
        </w:rPr>
        <w:t>اشكال بعضي بر ادعاي انصراف شيخ</w:t>
      </w:r>
      <w:r>
        <w:rPr>
          <w:rtl w:val="true"/>
        </w:rPr>
        <w:t xml:space="preserve">- </w:t>
      </w:r>
      <w:r>
        <w:rPr>
          <w:rtl w:val="true"/>
        </w:rPr>
        <w:t xml:space="preserve">قدس سره </w:t>
      </w:r>
      <w:r>
        <w:rPr>
          <w:rtl w:val="true"/>
        </w:rPr>
        <w:t>-</w:t>
      </w:r>
      <w:bookmarkEnd w:id="113"/>
    </w:p>
    <w:p>
      <w:pPr>
        <w:pStyle w:val="Heading6"/>
        <w:numPr>
          <w:ilvl w:val="5"/>
          <w:numId w:val="1"/>
        </w:numPr>
        <w:rPr/>
      </w:pPr>
      <w:bookmarkStart w:id="114" w:name="__RefHeading___Toc2902945_3804643083"/>
      <w:bookmarkStart w:id="115" w:name="_Toc43"/>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بعضي بر كلام مرحوم شيخ اشكال كرده‌</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أجاب عنه المصنف بوجهين،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المطلقات منصرفة إلى الفرد الغالب، و هو اللعب بالآلات المذكورة مع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اللعب بآلات القمار من غير رهن كثير في نفسه لو لم يكن أكثر من اللعب بها مع المراهنة، أو مساويا له في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غلبة الوجود في الخارج لا توجب الانصراف، نعم ان دعوى الانصراف إنما تصح إذا كان لها منشأ صحيح، كأن يكون الفرد النادر أو غير الغالب على نحو لا يراه العرف فردا للعمومات و المطلقات، كانصراف الحيوان عن الإنسان في نظر العرف، مع انه من أكمل افراده، و لذا قلنا بانصراف الروايات المانعة عن الصلاة في غير المأكول عن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ان العرف يرى الإنسان مباينا للحيوان حتى انه لو خوطب احد بالحيوان فان العرف يعد ذلك من الاسباب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و كثرت يك فرد باعث انصراف اطلاق به آن نمي‌شود؛ فرضاً اگر به كسي گفته شود آب نخور، نمي‌توان گفت چون در شهر معمولاً از آب لوله كشي استفاده مي‌شود اين نهي انصراف به آب لوله كشي دارد، پس اگر كسي آب چاه بيرون كشيد و استفاده كرد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طبيعت آب مراد است و كثرت آب لوله كشي باعث انصراف به آن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قبول معناي اعم قمار كه شامل قمار بدون رهن هم مي‌شود، نمي‌توان به خاطر شيوع لعب مع الرهن ادعاي انصراف كرد و از ادلّه‌ي حرمت قمار رفع يد كرد</w:t>
      </w:r>
      <w:r>
        <w:rPr>
          <w:rFonts w:eastAsia="IRNazanin" w:cs="IRNazanin"/>
          <w:color w:val="111111"/>
          <w:sz w:val="28"/>
          <w:szCs w:val="28"/>
          <w:rtl w:val="true"/>
          <w:lang w:bidi="fa-IR"/>
        </w:rPr>
        <w:t>.</w:t>
      </w:r>
      <w:bookmarkStart w:id="116" w:name="pg2375_19564"/>
    </w:p>
    <w:p>
      <w:pPr>
        <w:pStyle w:val="Heading6"/>
        <w:numPr>
          <w:ilvl w:val="5"/>
          <w:numId w:val="1"/>
        </w:numPr>
        <w:rPr/>
      </w:pPr>
      <w:bookmarkStart w:id="117" w:name="__RefHeading___Toc2902947_3804643083"/>
      <w:bookmarkStart w:id="118" w:name="_Toc44"/>
      <w:bookmarkEnd w:id="116"/>
      <w:bookmarkEnd w:id="117"/>
      <w:r>
        <w:rPr>
          <w:rtl w:val="true"/>
        </w:rPr>
        <w:t>نقد اين اشكال</w:t>
      </w:r>
      <w:bookmarkEnd w:id="118"/>
    </w:p>
    <w:p>
      <w:pPr>
        <w:pStyle w:val="BookText"/>
        <w:rPr/>
      </w:pPr>
      <w:r>
        <w:rPr>
          <w:rFonts w:ascii="IRNazanin" w:hAnsi="IRNazanin" w:eastAsia="IRNazanin"/>
          <w:color w:val="111111"/>
          <w:sz w:val="28"/>
          <w:sz w:val="28"/>
          <w:szCs w:val="28"/>
          <w:rtl w:val="true"/>
          <w:lang w:bidi="fa-IR"/>
        </w:rPr>
        <w:t xml:space="preserve">واقع امر اين است كه اگر فرد نادر هيچ تفاوتي با فرد شايع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آب چاه نسبت به آب لوله 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مستشكل است، ولي مرحوم شيخ مي‌خواهد بفرمايد كه فرد شايع داراي خصوصياتي است كه آن را از فرد نادر جدا مي‌كند و فرد نادر اصلاً مورد إعتناء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ديگري بگويد براي من سيب بخر، اگر به جاي سيب معمولي سيب ترش بخرد آيا حقّ دارد آن شخص اين فرد را مورد مؤاخذه قرار دهد كه چرا سيب ترش خريدي و اگر عذر آورد كه كلام شما مطلق بود، بگويد معلوم است كه مراد من سيب ترش نبوده، بلكه سيب معمولي مي‌خواستم؟</w:t>
      </w:r>
    </w:p>
    <w:p>
      <w:pPr>
        <w:pStyle w:val="BookText"/>
        <w:rPr/>
      </w:pPr>
      <w:r>
        <w:rPr>
          <w:rFonts w:ascii="IRNazanin" w:hAnsi="IRNazanin" w:eastAsia="IRNazanin"/>
          <w:color w:val="111111"/>
          <w:sz w:val="28"/>
          <w:sz w:val="28"/>
          <w:szCs w:val="28"/>
          <w:rtl w:val="true"/>
          <w:lang w:bidi="fa-IR"/>
        </w:rPr>
        <w:t>ما نحن فيه نظير اين است و فرد شايع نسبت به فرد نادر امتيازي دارد كه فرد نادر را به عنوان فرد درجه‌ي دو مطرح مي‌كند و در چنين جايي كه نقصان فرديتِ فردي نسبت به فرد ديگري محسوس باشد، قول به انصراف بسيار قوي و قابل التزام است</w:t>
      </w:r>
      <w:r>
        <w:rPr>
          <w:rFonts w:eastAsia="IRNazanin" w:cs="IRNazanin"/>
          <w:color w:val="111111"/>
          <w:sz w:val="28"/>
          <w:szCs w:val="28"/>
          <w:rtl w:val="true"/>
          <w:lang w:bidi="fa-IR"/>
        </w:rPr>
        <w:t>.</w:t>
      </w:r>
    </w:p>
    <w:p>
      <w:pPr>
        <w:pStyle w:val="Heading5"/>
        <w:numPr>
          <w:ilvl w:val="4"/>
          <w:numId w:val="1"/>
        </w:numPr>
        <w:rPr/>
      </w:pPr>
      <w:bookmarkStart w:id="119" w:name="__RefHeading___Toc2902949_3804643083"/>
      <w:bookmarkStart w:id="120" w:name="_Toc45"/>
      <w:bookmarkEnd w:id="119"/>
      <w:r>
        <w:rPr>
          <w:rtl w:val="true"/>
        </w:rPr>
        <w:t>ادلّه‌ي حرمت قسم دوم</w:t>
      </w:r>
      <w:bookmarkEnd w:id="120"/>
    </w:p>
    <w:p>
      <w:pPr>
        <w:pStyle w:val="Heading6"/>
        <w:numPr>
          <w:ilvl w:val="5"/>
          <w:numId w:val="1"/>
        </w:numPr>
        <w:rPr/>
      </w:pPr>
      <w:bookmarkStart w:id="121" w:name="__RefHeading___Toc2902951_3804643083"/>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سپس مرحوم شيخ چنين دعواي انصرافي را نسبت به روايت أبي الربيع الشامي بعيد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چنين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فِي مَعَانِي الْأَخْبَارِ عَنْ أَبِيهِ عَنْ سَعْدٍ عَنْ يَعْقُوبَ بْنِ يَزِيدَ عَنِ الْحَسَنِ بْنِ</w:t>
      </w:r>
    </w:p>
    <w:p>
      <w:pPr>
        <w:pStyle w:val="BookText"/>
        <w:rPr/>
      </w:pPr>
      <w:r>
        <w:rPr>
          <w:rFonts w:ascii="Amiri" w:hAnsi="Amiri" w:eastAsia="Amiri" w:cs="Amiri"/>
          <w:color w:val="111111"/>
          <w:sz w:val="28"/>
          <w:sz w:val="28"/>
          <w:szCs w:val="28"/>
          <w:rtl w:val="true"/>
          <w:lang w:bidi="ar-SA"/>
        </w:rPr>
        <w:t>مَحْبُوبٍ وَ عَنْ مُحَمَّدِ بْنِ مُوسَى بْنِ الْمُتَوَكِّلِ عَنْ عَبْدِ اللَّهِ بْنِ جَعْفَرٍ الْحِمْيَرِيِّ عَنْ أَحْمَدَ بْنِ مُحَمَّدِ بْنِ عِيسَى عَنِ الْحَسَنِ بْنِ مَحْبُوبٍ عَنْ خَالِدِ بْنِ جَرِيرٍ عَنْ أَبِي الرَّبِيعِ الشَّامِيِّ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الشِّطْرَنْجِ وَ النَّرْدِ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 لَا تَقْرَبْهُ</w:t>
      </w:r>
      <w:r>
        <w:rPr>
          <w:rStyle w:val="FootnoteAnchor"/>
          <w:rtl w:val="true"/>
        </w:rPr>
        <w:footnoteReference w:id="8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اين روايت از لحاظ سند به خاطر أبي الربيع الشامي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أبي الربيع الشامي مي‌گويد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شطرنج و نرد سؤال شد،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آن دو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خيري در آن نيست، نزديكش نشو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كه مي‌فرمايد ادعاي انصراف</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نعم، قد يبعد دعوى الانصراف في رواية أبي الربيع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الشطرَنج و النرد؟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 لا تقربه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به لعب مع الرهن بعيد است، شايد به خاطر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بازي بدون رهن هم يك نوع قرب به شطرنج و نرد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بعضي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تلعبوا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بقيه‌ي</w:t>
      </w:r>
    </w:p>
    <w:p>
      <w:pPr>
        <w:pStyle w:val="BookText"/>
        <w:rPr/>
      </w:pPr>
      <w:r>
        <w:rPr>
          <w:rFonts w:ascii="Amiri" w:hAnsi="Amiri" w:eastAsia="Amiri" w:cs="Amiri"/>
          <w:color w:val="111111"/>
          <w:sz w:val="28"/>
          <w:sz w:val="28"/>
          <w:szCs w:val="28"/>
          <w:rtl w:val="true"/>
          <w:lang w:bidi="ar-SA"/>
        </w:rPr>
        <w:t>روايات تفاوتي ندارد</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لا فرق في دعوى الانصراف بين هذه الرّواية و غيرها في القرب و البعد و التعبير بلا تقربوهما أيضا منصرف إلى القرب المتعارف و هو القرب بعنوان المعاملة المشتملة على جعل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استبعد الانصراف في رواية أبي الربيع الشامي الناهية عن الاقتراب من النرد و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التزم به في المطلقات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من باب واحد، فإن النهي عن الاقتراب من النرد و الشطرنج كناية عن حرمة اللعب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 رواية أبي الربيع شأن المطلقات في الانصراف و عدمه، و لكن الرواية ضعيفة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امّا انصافاً اين‌چنين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از نزديك شدن به نرد و شطرنج است كه حتّي شامل لعب بدون رهن 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احتمال وجود دارد كه بگوييم منظور روايت، نهي از قرب به شطرنج و نرد است به نحوي كه مناسب آن دو است ـ كه آن لعب مع الرهن است ـ نه اين‌كه حتّي كسي نزديك آن دو هم قدم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اين روايت از لحاظ سند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شيخ به روايات ديگري</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الأولى الاستدلال على ذلك بما تقدّم في رواية تحف العقول من أنّ ما يجي‌ء منه الفساد محضاً لا يجوز التقلّب فيه من جميع وجوه الحركات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جهت استدلال بر حرمت قمار به آلات بدون رهن تمسّك مي‌كنند كه عبارتند از</w:t>
      </w:r>
      <w:r>
        <w:rPr>
          <w:rFonts w:eastAsia="Amiri" w:cs="Amiri" w:ascii="Amiri" w:hAnsi="Amiri"/>
          <w:color w:val="111111"/>
          <w:sz w:val="28"/>
          <w:szCs w:val="28"/>
          <w:rtl w:val="true"/>
          <w:lang w:bidi="ar-SA"/>
        </w:rPr>
        <w:t>:</w:t>
      </w:r>
      <w:bookmarkStart w:id="123" w:name="pg2375_19570"/>
    </w:p>
    <w:p>
      <w:pPr>
        <w:pStyle w:val="Heading6"/>
        <w:numPr>
          <w:ilvl w:val="5"/>
          <w:numId w:val="1"/>
        </w:numPr>
        <w:rPr/>
      </w:pPr>
      <w:bookmarkStart w:id="124" w:name="__RefHeading___Toc2902953_3804643083"/>
      <w:bookmarkStart w:id="125" w:name="_Toc47"/>
      <w:bookmarkEnd w:id="123"/>
      <w:bookmarkEnd w:id="124"/>
      <w:r>
        <w:rPr/>
        <w:t>1</w:t>
      </w:r>
      <w:r>
        <w:rPr>
          <w:rtl w:val="true"/>
        </w:rPr>
        <w:t xml:space="preserve">. </w:t>
      </w:r>
      <w:r>
        <w:rPr>
          <w:rtl w:val="true"/>
        </w:rPr>
        <w:t>روايت تحف العقول</w:t>
      </w:r>
      <w:r>
        <w:rPr>
          <w:rtl w:val="true"/>
        </w:rPr>
        <w:t>:</w:t>
      </w:r>
      <w:bookmarkEnd w:id="125"/>
    </w:p>
    <w:p>
      <w:pPr>
        <w:pStyle w:val="Heading6"/>
        <w:numPr>
          <w:ilvl w:val="5"/>
          <w:numId w:val="1"/>
        </w:numPr>
        <w:rPr/>
      </w:pPr>
      <w:bookmarkStart w:id="126" w:name="__RefHeading___Toc2902955_3804643083"/>
      <w:bookmarkStart w:id="127" w:name="_Toc48"/>
      <w:bookmarkEnd w:id="126"/>
      <w:r>
        <w:rPr>
          <w:rtl w:val="true"/>
        </w:rPr>
        <w:t>اشاره</w:t>
      </w:r>
      <w:bookmarkEnd w:id="12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يَكُونُ مِنْهُ وَ فِيهِ الْفَسَادُ مَحْضاً وَ لَا يَكُونُ مِنْهُ وَ لَا فِيهِ شَيْ‌ءٌ مِنْ وُجُوهِ الصَّلَاحِ فَحَرَامٌ تَعْلِيمُهُ وَ تَعَلُّمُهُ وَ الْعَمَلُ بِهِ وَ أَخْذُ الْأَجْرِ عَلَيْهِ وَ جَمِيعُ التَّقَلُّبِ فِيهِ مِنْ جَمِيعِ وُجُوهِ الْحَرَكَات </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فَقَال كَمْ جهَات مَعَايِشِ الْعِبَادِ الَتِي فِيهَا الاكتِسَاب أو التَعامل بَينِهم و وُجوه النَفَقات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الْمَعَايِشِ كُلِّهَا مِنْ وُجُوهِ الْمُعَامَلَاتِ فِيمَا بَيْنَهُمْ مِمَّا يَكُونُ لَهُمْ فِيهِ الْمَكَاسِبُ أَرْبَعُ جِهَاتٍ وَ يَكُونُ مِنْهَا حَلَالٌ مِنْ جِهَةٍ حَرَامٌ مِنْ جِهَةٍ فَأَوَّلُ هَذِهِ الْجِهَاتِ الْأَرْبَعَةِ الْوِلَايَةُ ثُمَّ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الْإِجَارَات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وَجْهُ الْحَرَامِ مِنَ الْوِلَايَةِ فَوِلَايَةُ الْوَالِي الْجَائِرِ وَ وِلَايَةُ وُلَاتِهِ فَالْعَمَلُ لَهُمْ وَ الْكَسْبُ مَعَهُمْ بِجِهَةِ الْوِلَايَةِ لَهُمْ حَرَامٌ مُحَرَّمٌ مُعَذَّبٌ فَاعِلُ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تَفْسِيرُ التِّجَارَاتِ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مَأْمُورٍ بِهِ مِمَّا هُوَ غِذَاءٌ لِلْعِبَادِ وَ قِوَامُهُمْ بِهِ فِي أُمُورِهِمْ فِي وُجُوهِ الصَّلَاحِ الَّذِي لَا يُقِيمُهُمْ غَيْرُهُ مِمَّا يَأْكُلُونَ وَ يَشْرَبُونَ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يَكُونُ لَهُمْ فِيهِ الصَّلَاحُ مِنْ جِهَةٍ مِنَ الْجِهَاتِ فَهَذَا كُلُّهُ حَلَالٌ بَيْعُهُ وَ شِرَاؤُهُ وَ إِمْسَاكُهُ وَ اسْتِعْمَالُهُ وَ هِبَتُهُ وَ عَارِيَّتُهُ وَ أَمَّا وُجُوهُ الْحَرَامِ مِنَ الْبَيْعِ وَ الشِّرَاءِ فَكُلُّ أَمْرٍ يَكُونُ فِيهِ الْفَسَادُ مِمَّا هُوَ مَنْهِيٌّ عَنْهُ مِنْ جِهَةِ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كُلُّهُ حَرَامٌ وَ مُحَرَّمٌ لِأَنَّ ذَلِكَ كُلَّهُ مَنْهِيٌّ عَنْ أَكْلِهِ وَ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تَفْسِيرُ الْإِجَارَاتِ فَإِجَارَةُ الْإِنْسَانِ نَفْسَهُ أَوْ مَا يَمْلِكُ أَوْ يَلِي أَمْرَهُ إِلَى أَنْ قَالَ وَ أَمَّا تَفْسِيرُ الصِّنَاعَاتِ فَكُلُّ مَا يَتَعَلَّمُ الْعِبَادُ أَوْ يُعَلِّمُونَ غَيْرَهُمْ مِنْ أَصْنَافِ الصِّنَاعَاتِ مِثْلِ الْكِتَابَةِ وَ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أَنْوَاعِ صُنُوفِ الْآلَاتِ الَّتِي يَحْتَاجُ إِلَيْهَا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بِصِنَاعَتِهِ وَ تَعْلِيمِهِ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الْإِثْمُ وَ الْوِزْرُ عَلَى الْمُتَصَرِّفِ بِهَا فِي وُجُوهِ الْفَسَادِ وَ الْحَرَامِ وَ ذَلِكَ إِنَّمَا حَرَّمَ اللَّهُ الصِّنَاعَةَ الَّتِي هِيَ حَرَامٌ كُلُّهَا الَّتِي يَجِي‌ءُ مِنْهَا الْفَسَادُ مَحْضاً نَظِيرَ الْبَرَابِطِ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مِنْهُ وَ فِيهِ الْفَسَادُ مَحْضاً وَ لَا يَكُونُ مِنْهُ وَ لَا فِيهِ شَيْ‌ءٌ مِنْ وُجُوهِ الصَّلَاحِ فَحَرَامٌ تَعْلِيمُهُ وَ تَعَلُّمُهُ وَ الْعَمَلُ بِهِ وَ أَخْذُ الْأَجْرِ عَلَيْهِ وَ جَمِيعُ التَّقَلُّبِ فِيهِ مِنْ جَمِيعِ وُجُوهِ الْحَرَكَاتِ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تَفْسِيرُ بَيَانِ وَجْهِ اكْتِسَابِ مَعَايِشِ الْعِبَادِ وَ تَعْلِيمِهِمْ فِي جَمِيعِ وُجُوهِ اكْتِسَابِهِمْ إِلَى أَنْ قَالَ وَ أَمَّا مَا يَجُوزُ مِنَ الْمِلْكِ وَ الْخِدْمَةِ فَسِتَّةُ وُجُوهٍ مِلْكُ الْغَنِيمَةِ وَ مِلْكُ الشِّرَاءِ وَ مِلْكُ الْمِيرَاثِ وَ مِلْكُ الْهِبَةِ وَ مِلْكُ الْعَارِيَّةِ وَ مِلْكُ الْأَجْرِ </w:t>
      </w:r>
      <w:r>
        <w:rPr>
          <w:rFonts w:eastAsia="Amiri" w:cs="Amiri" w:ascii="Amiri" w:hAnsi="Amiri"/>
          <w:color w:val="111111"/>
          <w:sz w:val="28"/>
          <w:szCs w:val="28"/>
          <w:rtl w:val="true"/>
          <w:lang w:bidi="ar-SA"/>
        </w:rPr>
        <w:t>... .</w:t>
      </w:r>
      <w:bookmarkStart w:id="128" w:name="pg2375_19572"/>
    </w:p>
    <w:p>
      <w:pPr>
        <w:pStyle w:val="BookText"/>
        <w:rPr/>
      </w:pPr>
      <w:bookmarkEnd w:id="128"/>
      <w:r>
        <w:rPr>
          <w:rFonts w:ascii="IRNazanin" w:hAnsi="IRNazanin" w:eastAsia="IRNazanin"/>
          <w:color w:val="111111"/>
          <w:sz w:val="28"/>
          <w:sz w:val="28"/>
          <w:szCs w:val="28"/>
          <w:rtl w:val="true"/>
          <w:lang w:bidi="fa-IR"/>
        </w:rPr>
        <w:t>هر چيزي كه از آن و در آن فساد محض وجود دارد و در آن وجهي از وجوه صلاح وجود ندارد تعليم، تعلّم، عمل به آن، اخذ اجرت در مقابل آن و جميع انواع تقلّب و حركات در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بازي پاسور، نرد، سدّر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چيزهايي است كه يجيئ منها الفساد محضاً، پس لايجوز التقلب فيه من جميع وجوه الحركات و از جمله وجوه حركات، استفاده از اين آلات به صورت لعب بدون 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تحف العقول دالّ بر حرمت لعب بدون رهن است</w:t>
      </w:r>
      <w:r>
        <w:rPr>
          <w:rFonts w:eastAsia="IRNazanin" w:cs="IRNazanin"/>
          <w:color w:val="111111"/>
          <w:sz w:val="28"/>
          <w:szCs w:val="28"/>
          <w:rtl w:val="true"/>
          <w:lang w:bidi="fa-IR"/>
        </w:rPr>
        <w:t>.</w:t>
      </w:r>
    </w:p>
    <w:p>
      <w:pPr>
        <w:pStyle w:val="Heading6"/>
        <w:numPr>
          <w:ilvl w:val="5"/>
          <w:numId w:val="1"/>
        </w:numPr>
        <w:rPr/>
      </w:pPr>
      <w:bookmarkStart w:id="129" w:name="__RefHeading___Toc2902957_3804643083"/>
      <w:bookmarkStart w:id="130" w:name="_Toc49"/>
      <w:bookmarkEnd w:id="129"/>
      <w:r>
        <w:rPr>
          <w:rtl w:val="true"/>
        </w:rPr>
        <w:t>مناقشه در استدلال به روايت تحف العقول</w:t>
      </w:r>
      <w:bookmarkEnd w:id="13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روايت تحف العقول متفرع بر آن است كه بدانيم فساد محض از بازي با شطرنج، پاسور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بدون رهان صادر مي‌شود، در حالي كه چنين علمي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نه فساد دارد و نه صلاح، و نهايت آن است كه كاري لغو و لهو است كه آن را هم نمي‌توانيم بگوييم حرام است؛ چون مطلق لهو و لغو حرام نيست و اگر هم حرام باشد، ديگر با استناد به روايت تحف العقول حرام نيست بلكه با استناد به ادلّه‌ي حرمت لهو و لغو حرام است</w:t>
      </w:r>
      <w:r>
        <w:rPr>
          <w:rFonts w:eastAsia="IRNazanin" w:cs="IRNazanin"/>
          <w:color w:val="111111"/>
          <w:sz w:val="28"/>
          <w:szCs w:val="28"/>
          <w:rtl w:val="true"/>
          <w:lang w:bidi="fa-IR"/>
        </w:rPr>
        <w:t>.</w:t>
      </w:r>
      <w:bookmarkStart w:id="131" w:name="pg2375_19574"/>
    </w:p>
    <w:p>
      <w:pPr>
        <w:pStyle w:val="BookText"/>
        <w:rPr/>
      </w:pPr>
      <w:bookmarkEnd w:id="131"/>
      <w:r>
        <w:rPr>
          <w:rFonts w:ascii="IRNazanin" w:hAnsi="IRNazanin" w:eastAsia="IRNazanin"/>
          <w:color w:val="111111"/>
          <w:sz w:val="28"/>
          <w:sz w:val="28"/>
          <w:szCs w:val="28"/>
          <w:rtl w:val="true"/>
          <w:lang w:bidi="fa-IR"/>
        </w:rPr>
        <w:t>علاوه آن‌كه در ابتداي مكاسب محرمه كه مرحوم شيخ اين روايت را ذكر فرمودند، گفتيم گرچه بعض فقرات اين روايت مشتمل بر معاني عاليه است، ولي تمام مطالب اين روايت به خاطر نداشتن سندِ صحيح و هم‌چنين اضطراب متن در برخي موارد، قابل اعتماد نيست و فقط در حدّ مؤيد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استناد به اين روايت براي اثبات حرمت لعب بدون رهن اولويتي ندارد ـ آن‌طور كه مرحوم شيخ مدعي شدند ـ بلكه اضعف هم مي‌باشد</w:t>
      </w:r>
      <w:r>
        <w:rPr>
          <w:rFonts w:eastAsia="IRNazanin" w:cs="IRNazanin"/>
          <w:color w:val="111111"/>
          <w:sz w:val="28"/>
          <w:szCs w:val="28"/>
          <w:rtl w:val="true"/>
          <w:lang w:bidi="fa-IR"/>
        </w:rPr>
        <w:t>.</w:t>
      </w:r>
    </w:p>
    <w:p>
      <w:pPr>
        <w:pStyle w:val="Heading6"/>
        <w:numPr>
          <w:ilvl w:val="5"/>
          <w:numId w:val="1"/>
        </w:numPr>
        <w:rPr/>
      </w:pPr>
      <w:bookmarkStart w:id="132" w:name="__RefHeading___Toc2902959_3804643083"/>
      <w:bookmarkStart w:id="133" w:name="_Toc50"/>
      <w:bookmarkEnd w:id="132"/>
      <w:r>
        <w:rPr/>
        <w:t>2</w:t>
      </w:r>
      <w:r>
        <w:rPr>
          <w:rtl w:val="true"/>
        </w:rPr>
        <w:t xml:space="preserve">. </w:t>
      </w:r>
      <w:r>
        <w:rPr>
          <w:rtl w:val="true"/>
        </w:rPr>
        <w:t>روايت أبي الجارود</w:t>
      </w:r>
      <w:r>
        <w:rPr>
          <w:rtl w:val="true"/>
        </w:rPr>
        <w:t>:</w:t>
      </w:r>
      <w:bookmarkEnd w:id="13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فِي تَفْسِيرِهِ عَنْ أَبِي الْجَارُودِ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فَكُلُّ مُسْكِرٍ مِنَ الشَّرَابِ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فَالنَّرْدُ وَ الشِّطْرَنْجُ وَ كُلُّ قِمَارٍ مَيْسِرٌ وَ أَمَّا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فَالْأَوْثَانُ الَّتِي كَانَتْ تَعْبُدُهَا الْمُشْرِكُونَ وَ أَمَّا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فَالْأَقْدَاحُ الَّتِي كَانَتْ تَسْتَقْسِمُ بِهَا الْمُشْرِكُونَ مِنَ الْعَرَبِ فِي الْجَاهِلِيَّةِ كُلُّ هَذَا بَيْعُهُ وَ شِرَاؤُهُ وَ الِانْتِفَاعُ بِشَيْ‌ءٍ مِنْ هَذَا حَرَامٌ مِنَ اللَّهِ مُحَرَّمٌ وَ هُوَ رِجْسٌ مِنْ عَمَلِ الشَّيْطَانِ وَ قَرَنَ اللَّهُ الْخَمْرَ وَ الْمَيْسِرَ مَعَ الْأَوْثَانِ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اين روايت مرسله است؛ زيرا أبو الجارود در زمان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علي بن ابراهيم او را درك نكرده است، بنابراين نمي‌تواند بدون واسطه از او نقل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آن‌كه خود أبي الجارود هم تضعيف شده و فرقه‌ي جاروديه منسوب به او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الجارود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إِنَّمَا الْخَمْرُ وَ الْمَيْسِرُ وَ الْأَنْصابُ وَ الْأَزْلامُ رِجْسٌ مِنْ عَمَلِ الشَّيْطانِ فَاجْتَنِبُوهُ لَعَلَّكُمْ تُفْلِحُونَ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هر مسكري از نوشيدني‌ها است، تا آن‌جا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الْمَيْسِرُ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نرد و شطرنج است و هر قماري ميسر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الْأَنْصابُ</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بت‌هايي است كه مشركين آن‌ها را مي‌پرستيدند و مراد از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الْأَزْلامُ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أقداح و تيرهايي است كه مشركين عرب در زمان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نوشتن فذ، توأم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آن، جزور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ديگري هم دارد كه مراد از آن ازلامي باشد كه با آن به گونه‌اي استخاره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موارد بيع، شراء و هرگونه انتفاعش حرام است و آن پليديي مي‌باشد كه از عمل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خمر و ميسر را در كنار اوثان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از اين روايت استفاده مي‌كنند كه مطلق لعب به آلات قمار حرام است به اين صورت كه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تصريح مي‌كند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بَيْعُهُ وَ شِرَاؤُهُ وَ الِانْتِفَاعُ بِشَيْ‌ءٍ مِنْ هَذَا حَرَامٌ مِنَ اللَّهِ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بيع و شراء نرد</w:t>
      </w:r>
    </w:p>
    <w:p>
      <w:pPr>
        <w:pStyle w:val="BookText"/>
        <w:rPr/>
      </w:pPr>
      <w:r>
        <w:rPr>
          <w:rFonts w:ascii="IRNazanin" w:hAnsi="IRNazanin" w:eastAsia="IRNazanin"/>
          <w:color w:val="111111"/>
          <w:sz w:val="28"/>
          <w:sz w:val="28"/>
          <w:szCs w:val="28"/>
          <w:rtl w:val="true"/>
          <w:lang w:bidi="fa-IR"/>
        </w:rPr>
        <w:t xml:space="preserve">و شطرنج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بقيه‌ي آلات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انتفاع به اين آلات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بيع و شراء به عين تعلق مي‌گيرد و به فعل تعلق نمي‌گيرد، پس مراد خود نرد و شطرنج و آلات قمار است كه خريد و فروش و إنتفاع به آن حرام است كه از جمله‌ي آن انتفاعات، لعب بدون رهن است، پس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نرد و شطرنج اطلاق شده، بنابراين نرد و شطرنج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فعلي را در تقدير بگيريم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مناسب با اين آلات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لعب به شطرنج و نرد حرام است و اطلاق دارد؛ يعني حتّي اگر بدون رهن هم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گفته شد روايات دالّ بر نهي لعب به آلات قمار، انصراف به لعب مع الرهن دارد و اطلاق ندارد، بنابراين در اين‌جا هم انصراف به لعب مع الرهن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روايات از قمار به معناي مصدري و لعب به نرد و شطرنج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شده كه انصراف به لعب مع الرهن دارد، امّا در اين روايت قمار به معناي مصدري نيست بلكه به قرينه‌ي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بَيْعُهُ وَ شِرَاؤُهُ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بيع و شراء به عين تعلق مي‌گيرد ـ و هم‌چنين تطبيق ميسر بر نفس نرد و شطرنج و اين‌كه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قِمَارٍ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مراد آلت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روايت نرد و شطرنج و آلات قمار مورد حرمت قرار گرفته</w:t>
      </w:r>
      <w:bookmarkStart w:id="134" w:name="pg2375_19579"/>
    </w:p>
    <w:p>
      <w:pPr>
        <w:pStyle w:val="BookText"/>
        <w:rPr/>
      </w:pPr>
      <w:bookmarkEnd w:id="134"/>
      <w:r>
        <w:rPr>
          <w:rFonts w:ascii="IRNazanin" w:hAnsi="IRNazanin" w:eastAsia="IRNazanin"/>
          <w:color w:val="111111"/>
          <w:sz w:val="28"/>
          <w:sz w:val="28"/>
          <w:szCs w:val="28"/>
          <w:rtl w:val="true"/>
          <w:lang w:bidi="fa-IR"/>
        </w:rPr>
        <w:t>كه ديگر نمي‌توانيم بگوئيم انصراف به لعب مع الرهن دارد، بلكه مطلق لعب مراد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ليس المراد بالقِمار هنا المعنى المصدري، حتّى يرد ما تقدّم من انصرافه إلى اللعب مع الرهن، بل المراد الآلات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بيعه و شراؤه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المَيسِر فهو النرد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2902961_3804643083"/>
      <w:bookmarkStart w:id="136" w:name="_Toc51"/>
      <w:bookmarkEnd w:id="135"/>
      <w:r>
        <w:rPr>
          <w:rtl w:val="true"/>
        </w:rPr>
        <w:t>نقد استدلال شيخ</w:t>
      </w:r>
      <w:r>
        <w:rPr>
          <w:rtl w:val="true"/>
        </w:rPr>
        <w:t xml:space="preserve">- </w:t>
      </w:r>
      <w:r>
        <w:rPr>
          <w:rtl w:val="true"/>
        </w:rPr>
        <w:t xml:space="preserve">قدس سره </w:t>
      </w:r>
      <w:r>
        <w:rPr>
          <w:rtl w:val="true"/>
        </w:rPr>
        <w:t xml:space="preserve">- </w:t>
      </w:r>
      <w:r>
        <w:rPr>
          <w:rtl w:val="true"/>
        </w:rPr>
        <w:t>به روايت أبي الجارود</w:t>
      </w:r>
      <w:bookmarkEnd w:id="136"/>
    </w:p>
    <w:p>
      <w:pPr>
        <w:pStyle w:val="BookText"/>
        <w:rPr/>
      </w:pPr>
      <w:r>
        <w:rPr>
          <w:rFonts w:ascii="IRNazanin" w:hAnsi="IRNazanin" w:eastAsia="IRNazanin"/>
          <w:color w:val="111111"/>
          <w:sz w:val="28"/>
          <w:sz w:val="28"/>
          <w:szCs w:val="28"/>
          <w:rtl w:val="true"/>
          <w:lang w:bidi="fa-IR"/>
        </w:rPr>
        <w:t xml:space="preserve">امّا اين‌كه جناب شيخ فرمود اين بخش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هَذَا بَيْعُهُ وَ شِرَاؤُهُ وَ الِانْتِفَاعُ بِشَيْ‌ءٍ مِنْ هَذَا حَرَامٌ مِنَ اللَّهِ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حرمت انتفاع است و از جمله‌ي انتفاعات، لعب بدون رهن است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انتفاع به نرد و شطرنج و بقيه‌ي آلات قمار، انتفاع متناسب با آن آلات است و إلا اگر متناسب نباشد نمي‌توان گفت حرام است؛ مثلاً اگر كسي با تخته‌ي نرد يا شطرنج بر سر ماري بزند و آن را بكشد، نمي‌توان به اين روايت استناد كرد و گفت اين كار چون انتفاع به نرد و شطرنج است پس حرام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بگوئيم مراد انتفاع متناسب با اين آلات است؛ نه هر انتفاعي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جايي كه لعب به نرد و شطرنج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رهن در زمان صدور روايات به اعتراف خود مرحوم شيخ نادر بوده و لعب مع الرهن معمول بوده، پس لعب مع الرهن، انتفاع متناسب در زمان صدور روايات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لعب بدون رهن را حداقل شك داريم كه متناسب بوده يا نه، بنابراين نمي‌توانيم</w:t>
      </w:r>
    </w:p>
    <w:p>
      <w:pPr>
        <w:pStyle w:val="BookText"/>
        <w:rPr/>
      </w:pPr>
      <w:r>
        <w:rPr>
          <w:rFonts w:ascii="Amiri" w:hAnsi="Amiri" w:eastAsia="Amiri" w:cs="Amiri"/>
          <w:color w:val="111111"/>
          <w:sz w:val="28"/>
          <w:sz w:val="28"/>
          <w:szCs w:val="28"/>
          <w:rtl w:val="true"/>
          <w:lang w:bidi="ar-SA"/>
        </w:rPr>
        <w:t>به اين روايت تمسك كنيم و مي‌تواند مجراي برائت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نرد و شطرنج اطلاق شده، پس نرد و شطرنج حرام است و انصراف به لعب مع الرهن ندارد،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نرد و شطرنج اطلاق شده چه فرقي با آن رواياتي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به شطرنج و 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نهي قرار داده است، كه در مورد آن روايات فرمود انصراف به لعب مع الرهن دارد ولي در اين روايت انصراف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مي‌تواند انصراف به لعب مع الرهن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 به اين‌كه طبق تحقيقي كه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بر آلات قمار اطلاق نشده است، يا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يقامر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اين‌جا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 و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شده بايد چيزي را در تقدير بگيريم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لعب به نرد و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لعب در تقدير است، رهن هم مي‌تواند در تقدير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احتمال قوي مي‌دهيم اين‌طور باشد، پس نمي‌توانيم به اين روايت تمسك كنيم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معلوم مي‌شود اين‌كه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قِمَارٍ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قرينه‌ي تطبيق ميسر بر نرد و شطرنج، مراد از قمار، آلات قمار است و معناي مصدري نيست، درست نيست و بايد قمار را يا به همان معناي مصدري بگيريم ـ كه اظهر است ـ كه در اين صورت با آن مُقَدَّري كه براي نرد و شطرنج گرفتيم هماهنگ مي‌شود؛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مع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خيلي تنزل كنيم به</w:t>
      </w:r>
      <w:bookmarkStart w:id="137" w:name="pg2375_19583"/>
    </w:p>
    <w:p>
      <w:pPr>
        <w:pStyle w:val="BookText"/>
        <w:rPr/>
      </w:pPr>
      <w:bookmarkEnd w:id="137"/>
      <w:r>
        <w:rPr>
          <w:rFonts w:ascii="IRNazanin" w:hAnsi="IRNazanin" w:eastAsia="IRNazanin"/>
          <w:color w:val="111111"/>
          <w:sz w:val="28"/>
          <w:sz w:val="28"/>
          <w:szCs w:val="28"/>
          <w:rtl w:val="true"/>
          <w:lang w:bidi="fa-IR"/>
        </w:rPr>
        <w:t xml:space="preserve">معناي ما يقامر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ايّ حالٍ نمي‌توانيم به معناي آلت قمار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روايت أبي الجارود علاوه بر ضعف سند، دلالتي بر مدعاي شيخ ندارد و نمي‌تواند مستند حرمت لعب به آلات قمار بدون رهن باشد</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2902963_3804643083"/>
      <w:bookmarkStart w:id="139" w:name="_Toc52"/>
      <w:bookmarkEnd w:id="138"/>
      <w:r>
        <w:rPr>
          <w:rtl w:val="true"/>
        </w:rPr>
        <w:t>نظر امام</w:t>
      </w:r>
      <w:r>
        <w:rPr>
          <w:rtl w:val="true"/>
        </w:rPr>
        <w:t xml:space="preserve">- </w:t>
      </w:r>
      <w:r>
        <w:rPr>
          <w:rtl w:val="true"/>
        </w:rPr>
        <w:t xml:space="preserve">قدس سره </w:t>
      </w:r>
      <w:r>
        <w:rPr>
          <w:rtl w:val="true"/>
        </w:rPr>
        <w:t xml:space="preserve">- </w:t>
      </w:r>
      <w:r>
        <w:rPr>
          <w:rtl w:val="true"/>
        </w:rPr>
        <w:t>بر استعمال ميسر در سه معناي قمار، آلت قمار و رهن</w:t>
      </w:r>
      <w:bookmarkEnd w:id="139"/>
    </w:p>
    <w:p>
      <w:pPr>
        <w:pStyle w:val="Heading6"/>
        <w:numPr>
          <w:ilvl w:val="5"/>
          <w:numId w:val="1"/>
        </w:numPr>
        <w:rPr/>
      </w:pPr>
      <w:bookmarkStart w:id="140" w:name="__RefHeading___Toc2902965_3804643083"/>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آيه‌ي مباركه مي‌تواند در سه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آلت قمار و ما يقامر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هرچند با كمك روايات ـ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رواياتي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النَّرْدُ وَ الشِّطْرَنْجُ هُمَا الْمَيْسِرُ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ابْنِ أَبِي نَجْرَانَ عَنْ مُثَنًّى الْحَنَّاطِ عَنْ أَبِي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هُمَا الْمَيْسِرُ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عَنْ مُوسَى بْنِ عُمَرَ عَنْ مُحَمَّدِ بْنِ عَلِيِّ بْنِ جَعْفَرِ بْنِ مُحَمَّدٍ عَنْ أَبِيهِ عَنْ أَخِيهِ مُوسَى بْنِ جَعْفَرٍ عَنْ أَبِيهِ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مِنَ الْمَيْسِرِ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دلالت مي‌كند كه ميسر اسم آلت قمار است و در بعضي روايات مثل صحيحه‌ي معمّر بن خلاد و</w:t>
      </w:r>
      <w:bookmarkStart w:id="142" w:name="pg2375_19585"/>
    </w:p>
    <w:p>
      <w:pPr>
        <w:pStyle w:val="BookText"/>
        <w:rPr/>
      </w:pPr>
      <w:bookmarkEnd w:id="142"/>
      <w:r>
        <w:rPr>
          <w:rFonts w:ascii="IRNazanin" w:hAnsi="IRNazanin" w:eastAsia="IRNazanin"/>
          <w:color w:val="111111"/>
          <w:sz w:val="28"/>
          <w:sz w:val="28"/>
          <w:szCs w:val="28"/>
          <w:rtl w:val="true"/>
          <w:lang w:bidi="fa-IR"/>
        </w:rPr>
        <w:t xml:space="preserve">هم‌چنين در لغت، ميسر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معناي مصدري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چون اصل در لغت است مي‌تواند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مشكلي وجود ندارد كه در هر سه معنا استعمال شود، هرچند به استعمال لفظ در اكثر از معنا به قرينه‌ي روايات، يا استعمال در جامع انتزاعي، يا اراده‌ي همه‌ي معاني به نحو كنايه باشد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الجمع بين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تجعل الرواية شاهدة جمع لسائر الروايات،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بالتفاسير المذكورة التفسير بالمصاديق، و يكون الميسر في الآية جميع المذكورات من الآلة و العمل و الرهن و لو باستعمال اللفظ في أكثر من معنى، مع قرينيّة الروايات، أو استعماله في جامع انتزاعي، أو إرادة المعاني و لو بنحو من الكناية، كما في غيره من الموارد الكثيرة الواردة في الكتاب العزيز المفسّرة بالروايات</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2902967_3804643083"/>
      <w:bookmarkStart w:id="144" w:name="_Toc54"/>
      <w:bookmarkEnd w:id="143"/>
      <w:r>
        <w:rPr>
          <w:rtl w:val="true"/>
        </w:rPr>
        <w:t>نقد كلام مرحوم امام</w:t>
      </w:r>
      <w:r>
        <w:rPr>
          <w:rtl w:val="true"/>
        </w:rPr>
        <w:t xml:space="preserve">- </w:t>
      </w:r>
      <w:r>
        <w:rPr>
          <w:rtl w:val="true"/>
        </w:rPr>
        <w:t xml:space="preserve">قدس سره </w:t>
      </w:r>
      <w:r>
        <w:rPr>
          <w:rtl w:val="true"/>
        </w:rPr>
        <w:t>-</w:t>
      </w:r>
      <w:bookmarkEnd w:id="14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كبرايي كه مرحوم امام فرمودند ما قبول داريم و گفتيم در قرآن كريم بعضي الفاظ با يك استعمال در معاني متعددي به كار رفته است؛ مثلاً در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&gt;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معناي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تقدير و 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و مانعي هم ندارد؛ چون در بحث اصول گفتيم استعمال لفظ مشترك در اكثر از معنا محال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متفرع بر يكي از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لفظ در آن معاني وضع شده باشد، و نيز دليلي بر</w:t>
      </w:r>
    </w:p>
    <w:p>
      <w:pPr>
        <w:pStyle w:val="BookText"/>
        <w:rPr/>
      </w:pPr>
      <w:r>
        <w:rPr>
          <w:rFonts w:ascii="IRNazanin" w:hAnsi="IRNazanin" w:eastAsia="IRNazanin"/>
          <w:color w:val="111111"/>
          <w:sz w:val="28"/>
          <w:sz w:val="28"/>
          <w:szCs w:val="28"/>
          <w:rtl w:val="true"/>
          <w:lang w:bidi="fa-IR"/>
        </w:rPr>
        <w:t>استعمال لفظ در همه‌ي اين معاني موجود باشد؛ يا اين‌كه قرينه‌ي قطعي قائم شده باشد كه مراد از لفظ، معاني متعدّد ـ هرچند به نحو مجازي يا كنايي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چند معنا نه بالوضع باشد و نه قرينه‌ي قطعي بر آن قائم شده باشد بلكه صرف احتمال باشد، نمي‌توانيم بپذيريم لفظ در آيه‌ي شريفه در آن معاني هم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فيه هيچ يك از اين دو امر وجود ندارد تا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آلت قمار هم استعمال شده است؛ زيرا نه در لغت لفظ ميسر بر نفس آلات قمار علي نحو الحقيقه اطلاق شده و نه در روايات صراحتي وجود دارد كه آلات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هيچ كدام از آن روايات داراي سند صحيح نيست؛ مگر موثقه‌ي زرارة</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ابْنِ فَضَّالٍ عَنْ عَلِيِّ بْنِ عُقْبَةَ عَنِ ابْنِ بُكَيْرٍ عَنْ زُرَارَةَ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الشِّطْرَنْجِ وَ عَنْ لُعْبَةِ شَبِيبٍ الَّتِي يُقَالُ لَهَا لُعْبَةُ الْأَمِيرِ وَ عَنْ لُعْبَةِ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 إِذَا مَيَّزَ اللَّهُ الْحَقَّ وَ الْبَاطِلَ مَعَ أَيِّهِمَا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ذكر خواهيم كرد در آن نيز قمار بر آلات قمار اطلاق نشده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كلام 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معنا استعمال شده، امكانش را مي‌پذيريم ولي براي قبول اين استعمال مي‌گوييم يكي از دو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لغت براي اين معاني وضع شده</w:t>
      </w:r>
      <w:bookmarkStart w:id="145" w:name="pg2375_19589"/>
    </w:p>
    <w:p>
      <w:pPr>
        <w:pStyle w:val="BookText"/>
        <w:rPr/>
      </w:pPr>
      <w:bookmarkEnd w:id="145"/>
      <w:r>
        <w:rPr>
          <w:rFonts w:ascii="IRNazanin" w:hAnsi="IRNazanin" w:eastAsia="IRNazanin"/>
          <w:color w:val="111111"/>
          <w:sz w:val="28"/>
          <w:sz w:val="28"/>
          <w:szCs w:val="28"/>
          <w:rtl w:val="true"/>
          <w:lang w:bidi="fa-IR"/>
        </w:rPr>
        <w:t>باشد كه با وجود قرينه ـ هرچند آن قرينه مناسبت حكم و موضوع باشد ـ مي‌توانيم بر آن معاني حمل كنيم و يا دليل و قرينه‌ي قطعي قائم شده باشد كه هر سه معنا ـ هرچند مجازاً ـ اراده شده است، و در ما نحن فيه هيچ يك از اين دو شرط وجود ندارد</w:t>
      </w:r>
      <w:r>
        <w:rPr>
          <w:rFonts w:eastAsia="IRNazanin" w:cs="IRNazanin"/>
          <w:color w:val="111111"/>
          <w:sz w:val="28"/>
          <w:szCs w:val="28"/>
          <w:rtl w:val="true"/>
          <w:lang w:bidi="fa-IR"/>
        </w:rPr>
        <w:t>.</w:t>
      </w:r>
    </w:p>
    <w:p>
      <w:pPr>
        <w:pStyle w:val="Heading5"/>
        <w:numPr>
          <w:ilvl w:val="4"/>
          <w:numId w:val="1"/>
        </w:numPr>
        <w:rPr/>
      </w:pPr>
      <w:bookmarkStart w:id="146" w:name="__RefHeading___Toc2902969_3804643083"/>
      <w:bookmarkStart w:id="147" w:name="_Toc55"/>
      <w:bookmarkEnd w:id="146"/>
      <w:r>
        <w:rPr>
          <w:rtl w:val="true"/>
        </w:rPr>
        <w:t>مؤيدات شيخ</w:t>
      </w:r>
      <w:r>
        <w:rPr>
          <w:rtl w:val="true"/>
        </w:rPr>
        <w:t xml:space="preserve">- </w:t>
      </w:r>
      <w:r>
        <w:rPr>
          <w:rtl w:val="true"/>
        </w:rPr>
        <w:t xml:space="preserve">قدس سره </w:t>
      </w:r>
      <w:r>
        <w:rPr>
          <w:rtl w:val="true"/>
        </w:rPr>
        <w:t xml:space="preserve">- </w:t>
      </w:r>
      <w:r>
        <w:rPr>
          <w:rtl w:val="true"/>
        </w:rPr>
        <w:t>بر حرمت لعب به آلات قمار بدون رهن</w:t>
      </w:r>
      <w:bookmarkEnd w:id="147"/>
    </w:p>
    <w:p>
      <w:pPr>
        <w:pStyle w:val="Heading6"/>
        <w:numPr>
          <w:ilvl w:val="5"/>
          <w:numId w:val="1"/>
        </w:numPr>
        <w:rPr/>
      </w:pPr>
      <w:bookmarkStart w:id="148" w:name="__RefHeading___Toc2902971_3804643083"/>
      <w:bookmarkStart w:id="149" w:name="_Toc56"/>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مرحوم شيخ بعد از اين‌كه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 به استدلال براي اثبات حرمت لعب به آلات قمار بدون رهن، تمسك به روايت تحف العقول و أبي الجارود است ـ كه ما گفتيم هر دو روايت، هم از لحاظ سند و هم از لحاظ دلالت مخدوش است ـ مؤيداتي را ذكر مي‌كنند كه عبارتند از</w:t>
      </w:r>
      <w:r>
        <w:rPr>
          <w:rFonts w:eastAsia="IRNazanin" w:cs="IRNazanin"/>
          <w:color w:val="111111"/>
          <w:sz w:val="28"/>
          <w:szCs w:val="28"/>
          <w:rtl w:val="true"/>
          <w:lang w:bidi="fa-IR"/>
        </w:rPr>
        <w:t>:</w:t>
      </w:r>
    </w:p>
    <w:p>
      <w:pPr>
        <w:pStyle w:val="Heading6"/>
        <w:numPr>
          <w:ilvl w:val="5"/>
          <w:numId w:val="1"/>
        </w:numPr>
        <w:rPr/>
      </w:pPr>
      <w:bookmarkStart w:id="150" w:name="__RefHeading___Toc2902973_3804643083"/>
      <w:bookmarkStart w:id="151" w:name="_Toc57"/>
      <w:bookmarkEnd w:id="150"/>
      <w:r>
        <w:rPr/>
        <w:t>1</w:t>
      </w:r>
      <w:r>
        <w:rPr>
          <w:rtl w:val="true"/>
        </w:rPr>
        <w:t xml:space="preserve">. </w:t>
      </w:r>
      <w:r>
        <w:rPr>
          <w:rtl w:val="true"/>
        </w:rPr>
        <w:t>روايت عبدالله بن علي</w:t>
      </w:r>
      <w:r>
        <w:rPr>
          <w:rtl w:val="true"/>
        </w:rPr>
        <w:t>:</w:t>
      </w:r>
      <w:bookmarkEnd w:id="151"/>
    </w:p>
    <w:p>
      <w:pPr>
        <w:pStyle w:val="BookText"/>
        <w:rPr/>
      </w:pPr>
      <w:r>
        <w:rPr>
          <w:rFonts w:ascii="Amiri" w:hAnsi="Amiri" w:eastAsia="Amiri" w:cs="Amiri"/>
          <w:color w:val="111111"/>
          <w:sz w:val="28"/>
          <w:sz w:val="28"/>
          <w:szCs w:val="28"/>
          <w:rtl w:val="true"/>
          <w:lang w:bidi="ar-SA"/>
        </w:rPr>
        <w:t>الْحَسَنُ بْنُ مُحَمَّدٍ الطُّوسِيُّ فِي مَجَالِسِهِ عَنْ أَبِيهِ عَنِ ابْنِ الصَّلْتِ عَنِ ابْنِ عُقْدَةَ عَنْ عَلِيِّ بْنِ مُحَمَّدِ بْنِ عَلِيٍّ الْحَلَبِيِّ عَنْ جَعْفَرِ بْنِ مُحَمَّدِ بْنِ عِيسَى عَنْ عَبْدِ اللَّهِ بْنِ عَلِيٍّ عَنْ عَلِيِّ بْنِ مُوسَى 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أَلْهَى عَنْ ذِكْرِ اللَّهِ فَهُوَ مِنَ الْمَيْسِرِ</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از لحاظ سند به خاطر ابن الصّلت، جعفر بن محمد بن عيسي و عبد الله بن علي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طاهرينشان از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كه انسان را از ياد خدا مشغول كند از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هر چيزي كه انسان را از ياد خدا مشغول كند از بازي فوتبال گرفته تا واليبال و تا بازي با تسبيح، لحيه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موجب غفلت شود را شامل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كسي با اين اطلاق نمي‌تواند ملتزم به حرمت شود و الا بايد بگوييم بخش بزرگي از عمر معمول مردم به حرام سپري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علي فرض صدور روايت، معناي آن اين است كه مؤمن هميشه بايد متذكر باشد و شايسته نيست مؤمن به چيزهايي مشغول شود كه او را از ياد خدا غافل كند، پس اين روايت دالّ بر حرمت نيست</w:t>
      </w:r>
      <w:r>
        <w:rPr>
          <w:rStyle w:val="FootnoteAnchor"/>
          <w:rtl w:val="true"/>
        </w:rPr>
        <w:footnoteReference w:id="94"/>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كتاب الحج، أبواب احكام الدواب في السفر و غيره، باب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المحاسن،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أَبِي عَبْدِ اللَّهِ الْبَرْقِيُّ فِي الْمَحَاسِنِ عَنْ مُحَمَّدِ بْنِ عِيسَى عَنْ أَبِي عَاصِمٍ عَنْ هَاشِمٍ الْمَذَارِيِّ عَنِ الْوَلِيدِ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زَاذَانَ فَرُّوخُ إِلَى أَبِي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الرَّجُلِ يَرْكُضُ فِي الصَّيْدِ لَا يُرِيدُ بِذَلِكَ طَلَبَ الصَّيْدِ وَ إِنَّمَا يُرِيدُ بِذَلِكَ التَّصَحُّحَ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إِلَّا اللَّهْوُ</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هيچ‌گونه تأييدي نسبت</w:t>
      </w:r>
      <w:bookmarkStart w:id="152" w:name="pg2375_19594"/>
    </w:p>
    <w:p>
      <w:pPr>
        <w:pStyle w:val="BookText"/>
        <w:rPr/>
      </w:pPr>
      <w:bookmarkEnd w:id="152"/>
      <w:r>
        <w:rPr>
          <w:rFonts w:ascii="Amiri" w:hAnsi="Amiri" w:eastAsia="Amiri" w:cs="Amiri"/>
          <w:color w:val="111111"/>
          <w:sz w:val="28"/>
          <w:sz w:val="28"/>
          <w:szCs w:val="28"/>
          <w:rtl w:val="true"/>
          <w:lang w:bidi="ar-SA"/>
        </w:rPr>
        <w:t xml:space="preserve">به ادعاي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لعب به آلات قمار بدون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2902975_3804643083"/>
      <w:bookmarkStart w:id="154" w:name="_Toc58"/>
      <w:bookmarkEnd w:id="153"/>
      <w:r>
        <w:rPr/>
        <w:t>2</w:t>
      </w:r>
      <w:r>
        <w:rPr>
          <w:rtl w:val="true"/>
        </w:rPr>
        <w:t xml:space="preserve">. </w:t>
      </w:r>
      <w:r>
        <w:rPr>
          <w:rtl w:val="true"/>
        </w:rPr>
        <w:t>روايت الفضيل بن يسار</w:t>
      </w:r>
      <w:r>
        <w:rPr>
          <w:rtl w:val="true"/>
        </w:rPr>
        <w:t>:</w:t>
      </w:r>
      <w:bookmarkEnd w:id="154"/>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 مُحَمَّدِ بْنِ عِيسَى عَنْ عَبْدِ اللَّهِ بْنِ عَاصِمٍ عَنْ عَلِيِّ بْنِ إِسْمَاعِيلَ الْمِيثَمِيِّ عَنْ رِبْعِيِّ بْنِ عَبْدِ اللَّهِ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الْأَشْيَاءِ الَّتِي يَلْعَبُ بِهَا النَّاسُ النَّرْدِ وَ الشِّطْرَنْجِ حَتَّى انْتَهَيْتُ إِلَى السُّدَّرِ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اللَّهُ الْحَقَّ مِنَ الْبَاطِلِ مَعَ أَيِّهِمَا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وَ لِلْبَاطِلِ</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اين روايت از لحاظ سند به خاطر سهل بن زياد و عبدالله بن عاصم ناتمام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 بن يسار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اين اشيائي كه مردم با آن بازي مي‌كنند، مانند نرد، شطرنج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سُدَّر شمردم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خداوند حقّ را از باطل جدا كند اين‌ها با كدام دسته است؟ گفتم با دسته‌ي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چه به باطل</w:t>
      </w:r>
      <w:r>
        <w:rPr>
          <w:rFonts w:eastAsia="IRNazanin" w:cs="IRNazanin"/>
          <w:color w:val="111111"/>
          <w:sz w:val="28"/>
          <w:szCs w:val="28"/>
          <w:rtl w:val="true"/>
          <w:lang w:bidi="fa-IR"/>
        </w:rPr>
        <w:t>!</w:t>
      </w:r>
      <w:bookmarkStart w:id="155" w:name="pg2375_19596"/>
    </w:p>
    <w:p>
      <w:pPr>
        <w:pStyle w:val="BookText"/>
        <w:rPr/>
      </w:pPr>
      <w:bookmarkEnd w:id="155"/>
      <w:r>
        <w:rPr>
          <w:rFonts w:ascii="IRNazanin" w:hAnsi="IRNazanin" w:eastAsia="IRNazanin"/>
          <w:color w:val="111111"/>
          <w:sz w:val="28"/>
          <w:sz w:val="28"/>
          <w:szCs w:val="28"/>
          <w:rtl w:val="true"/>
          <w:lang w:bidi="fa-IR"/>
        </w:rPr>
        <w:t>نهايت چيزي كه اين روايت دلالت مي‌كند اين است كه لعب به اين آلات باطل است؛ يعني بدون فايده است، ولي نمي‌توانيم بگوييم هر باطلي حرام است؛ چون خيلي از كارها بي‌فايده و باطل است امّا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به اين‌كه مي‌توانيم بگوييم مراد روايت، لعب مع الرهن است؛ چون اطمينان وجود دارد در بين آلاتي كه ذكر مي‌كند و تا سدّر كه ضعيف‌ترين بوده مي‌شمارد، آلاتي وجود دارد كه بازي با آن بدون رهن هيچ لذتي ندارد ـ هرچند در روايت تصريح به آن نشده ـ و اصلاً معقول نيست كسي بدون رهن با آن بازي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شطرنج و امثال آن، نفس بازي هم مطلوب است امّا در مورد بعضي آلات، بدون رهن هيچ لذتي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نگوييم استظهار از اين روايت لعب مع الرهن است، لااقل اين است كه ظنّ قوي وجود دارد لعب مع الرهن مراد است و در نتيجه لعب بدون رهن را نمي‌توانيم بگوييم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باطل بودن دالّ بر حرمت هم باشد از آن جايي كه نمي‌دانيم لعب بدون رهن مصداق باطل باشد، پس نمي‌توانيم بگوييم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در پاسخ گفته شود اللعب بكل شيئٍ بحسبه</w:t>
      </w:r>
      <w:r>
        <w:rPr>
          <w:rFonts w:eastAsia="IRNazanin" w:cs="IRNazanin"/>
          <w:color w:val="111111"/>
          <w:sz w:val="28"/>
          <w:szCs w:val="28"/>
          <w:rtl w:val="true"/>
          <w:lang w:bidi="fa-IR"/>
        </w:rPr>
        <w:t>.</w:t>
      </w:r>
    </w:p>
    <w:p>
      <w:pPr>
        <w:pStyle w:val="Heading6"/>
        <w:numPr>
          <w:ilvl w:val="5"/>
          <w:numId w:val="1"/>
        </w:numPr>
        <w:rPr/>
      </w:pPr>
      <w:bookmarkStart w:id="156" w:name="__RefHeading___Toc2902977_3804643083"/>
      <w:bookmarkStart w:id="157" w:name="_Toc59"/>
      <w:bookmarkEnd w:id="156"/>
      <w:r>
        <w:rPr/>
        <w:t>3</w:t>
      </w:r>
      <w:r>
        <w:rPr>
          <w:rtl w:val="true"/>
        </w:rPr>
        <w:t xml:space="preserve">. </w:t>
      </w:r>
      <w:r>
        <w:rPr>
          <w:rtl w:val="true"/>
        </w:rPr>
        <w:t>موثقه‌ي زُرارة</w:t>
      </w:r>
      <w:r>
        <w:rPr>
          <w:rtl w:val="true"/>
        </w:rPr>
        <w:t>:</w:t>
      </w:r>
      <w:bookmarkEnd w:id="15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ابْنِ فَضَّالٍ عَنْ عَلِيِّ بْنِ عُقْبَةَ عَنِ ابْنِ بُكَيْرٍ عَنْ زُرَارَةَ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الشِّطْرَنْجِ وَ ع</w:t>
      </w:r>
    </w:p>
    <w:p>
      <w:pPr>
        <w:pStyle w:val="BookText"/>
        <w:rPr/>
      </w:pPr>
      <w:r>
        <w:rPr>
          <w:rFonts w:ascii="Amiri" w:hAnsi="Amiri" w:eastAsia="Amiri" w:cs="Amiri"/>
          <w:color w:val="111111"/>
          <w:sz w:val="28"/>
          <w:sz w:val="28"/>
          <w:szCs w:val="28"/>
          <w:rtl w:val="true"/>
          <w:lang w:bidi="ar-SA"/>
        </w:rPr>
        <w:t>نْ لُعْبَةِ شَبِيبٍ الَّتِي يُقَالُ لَهَا لُعْبَةُ الْأَمِيرِ وَ عَنْ لُعْبَةِ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 إِذَا مَيَّزَ اللَّهُ الْحَقَّ وَ الْبَاطِلَ مَعَ أَيِّهِمَا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اين روايت از لحاظ سند تمام است و به خاطر ابن بكير</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عبد الله بن بكير فطحي المذهب إلا أنه ثقة، له كتاب، رويناه بالإسناد الأول عن ابن بطة عن أحمد بن محمد بن عيسى عن الحسن بن علي بن فضال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فطحي ثقه است، تعبير به موثقه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زرارة مي‌گويد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شطرنج و آلت بازي شبيب ـ كه بازي امير هم گفته مي‌شود ـ و از آلت بازي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همان سدّر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حقّ و باطل را تمييز دهد، اين آلات جزء كدام دسته قرار مي‌گيرد؟ در پاسخ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دسته‌ي باطل،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خيري در آن نيست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باز ابهامي وجود دارد كه شطرنج و لعبة الامير و لعبة الثلاث كه باطل و حرام است و قطعاً مراد خود اين آلات نيست چون ذات نمي‌تواند متعلق حرمت قرار بگيرد بلكه مراد لعب به اين آلات است آيا بر لعب شطرنج بدون رهن هم حقيقتاً لعب شطرنج صادق است؟ آيا لعب به لعبة الامير و لعبة الثلاث بدون رهن، حقيقتاً لعب به اين آلات است؟ از آن جايي كه نمي‌دانيم لعب بدون رهن واقعاً لعب شطرنج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w:t>
      </w:r>
      <w:bookmarkStart w:id="158" w:name="pg2375_19600"/>
    </w:p>
    <w:p>
      <w:pPr>
        <w:pStyle w:val="BookText"/>
        <w:rPr/>
      </w:pPr>
      <w:bookmarkEnd w:id="158"/>
      <w:r>
        <w:rPr>
          <w:rFonts w:ascii="IRNazanin" w:hAnsi="IRNazanin" w:eastAsia="IRNazanin"/>
          <w:color w:val="111111"/>
          <w:sz w:val="28"/>
          <w:sz w:val="28"/>
          <w:szCs w:val="28"/>
          <w:rtl w:val="true"/>
          <w:lang w:bidi="fa-IR"/>
        </w:rPr>
        <w:t xml:space="preserve">علي فرض دلالت باطل بر حرمت باز نمي‌توانيم بگوييم لعب با اين آلات بدون رهن حرام است؛ زيرا شايد داشتن رهن مقوّم لعب به شطرنج و لعبة الامير و لعبة الثلاث باشد، همان‌طور كه فرض دروازه و 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مقوّم بازي فوتبال است و بدون آن حقيقتاً فوتبال نيست و اگر هم فوتبال اطلاق شود مجازاً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اين احتمال وجود دارد كه در زمان صدور روايات بر لعب شطرنج بدون رهن حقيقتاً لعب شطرنج اطلاق نمي‌شده ـ گرچه در اين زمان حقيقتاً اطلاق مي‌شود ـ نمي‌توانيم به اين روايت علي فرض دلالت بر حرمت، تمسك كرده و بگوييم لعب بدون رهن هم حرام است</w:t>
      </w:r>
      <w:r>
        <w:rPr>
          <w:rFonts w:eastAsia="IRNazanin" w:cs="IRNazanin"/>
          <w:color w:val="111111"/>
          <w:sz w:val="28"/>
          <w:szCs w:val="28"/>
          <w:rtl w:val="true"/>
          <w:lang w:bidi="fa-IR"/>
        </w:rPr>
        <w:t>.</w:t>
      </w:r>
    </w:p>
    <w:p>
      <w:pPr>
        <w:pStyle w:val="Heading6"/>
        <w:numPr>
          <w:ilvl w:val="5"/>
          <w:numId w:val="1"/>
        </w:numPr>
        <w:rPr/>
      </w:pPr>
      <w:bookmarkStart w:id="159" w:name="__RefHeading___Toc2902979_3804643083"/>
      <w:bookmarkStart w:id="160" w:name="_Toc60"/>
      <w:bookmarkEnd w:id="159"/>
      <w:r>
        <w:rPr/>
        <w:t>4</w:t>
      </w:r>
      <w:r>
        <w:rPr>
          <w:rtl w:val="true"/>
        </w:rPr>
        <w:t xml:space="preserve">. </w:t>
      </w:r>
      <w:r>
        <w:rPr>
          <w:rtl w:val="true"/>
        </w:rPr>
        <w:t>روايت عبدالواحد بن المختار</w:t>
      </w:r>
      <w:r>
        <w:rPr>
          <w:rtl w:val="true"/>
        </w:rPr>
        <w:t>:</w:t>
      </w:r>
      <w:bookmarkEnd w:id="160"/>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عَنْ أَحْمَدَ بْنِ مُحَمَّدِ بْنِ يَحْيَى عَنْ أَبِيهِ عَنْ سَهْلِ بْنِ زِيَادٍ عَنْ مُحَمَّدِ بْنِ جَعْفَرِ بْنِ عُقْبَةَ عَنِ الْحَسَنِ بْنِ مُحَمَّدٍ ابْنِ أُخْتِ أَبِي مَالِكٍ عَنْ عَبْدِ اللَّهِ بْنِ سِنَانٍ عَنْ عَبْدِ الْوَاحِدِ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اللَّعِبِ بِالشِّطْرَنْجِ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لَمَشْغُولٌ عَنِ اللَّعِبِ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الْحِمْيَرِيُّ فِي قُرْبِ الْإِسْنَادِ عَنْ مُحَمَّدِ بْنِ الْوَلِيدِ الْخَرَّازِ عَنْ بُكَيْرٍ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اين روايت از لحاظ سند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يحيي فرزند محمد بن يحيي العطار القمي است كه هرچند عالم و عالم زاده است، امّا وثاقتش براي ما احراز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سهل بن زياد و محمد بن جعفر بن عقبه و عبدالواحد بن المختار ثابت الوثاقة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بن المختار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بازي با شطرنج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لعب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براي اين امور ندارد و كارهاي مهم‌تري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چون در اين روايت سائل از لعب به شطرنج سؤال مي‌كند و حضرت هم در جواب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لَمَشْغُولٌ عَنِ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مطلق لعب است و شامل لعب بدون رهن هم مي‌شود، در نتيجه اين روايت مؤيد آن است كه مطلق بازي با شطرنج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در استدلال به روايت عبد الواحد بن المختار</w:t>
      </w:r>
    </w:p>
    <w:p>
      <w:pPr>
        <w:pStyle w:val="BookText"/>
        <w:rPr/>
      </w:pPr>
      <w:r>
        <w:rPr>
          <w:rFonts w:ascii="IRNazanin" w:hAnsi="IRNazanin" w:eastAsia="IRNazanin"/>
          <w:color w:val="111111"/>
          <w:sz w:val="28"/>
          <w:sz w:val="28"/>
          <w:szCs w:val="28"/>
          <w:rtl w:val="true"/>
          <w:lang w:bidi="fa-IR"/>
        </w:rPr>
        <w:t>در ردّ استدلال به اين روايت علاوه بر ضعيف سند آن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عَنِ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استفاده نمي‌شود، بلكه اين عبارت با كراهت بيشتر سازگار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خلفاي بني عباس ظاهراً تا زمان هارون الرشيد رسماً شطرنج بازي نمي‌كردند و در تاريخ تصريح شده اوّل كسي كه از خلفاي بني عباس شطرنج بازي كرد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زمان خلفاي بني اميه مرسوم بوده، ولي بعيد است حضرت به خاطر خلفاي بني اميه تقيه كرده باشند</w:t>
      </w:r>
      <w:r>
        <w:rPr>
          <w:rFonts w:eastAsia="IRNazanin" w:cs="IRNazanin"/>
          <w:color w:val="111111"/>
          <w:sz w:val="28"/>
          <w:szCs w:val="28"/>
          <w:rtl w:val="true"/>
          <w:lang w:bidi="fa-IR"/>
        </w:rPr>
        <w:t>.</w:t>
      </w:r>
      <w:bookmarkStart w:id="161" w:name="pg2375_19604"/>
    </w:p>
    <w:p>
      <w:pPr>
        <w:pStyle w:val="BookText"/>
        <w:rPr/>
      </w:pPr>
      <w:bookmarkEnd w:id="161"/>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پاسخي كه در ردّ استدلال به روايت قبلي گفتيم، در اين‌جا هم مي‌گوييم و آن اين‌كه شايد هما‌ن‌طور كه بازي فوتبال بدون فرض دروازه و گُل معنا ندارد، بازي شطرنج بدون رهن هم معنا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فرضاً اگر كسي از حضرت درباره‌ي بازي فوتبال بپرسد و حضرت در جواب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لَمَشْغُولٌ عَنِ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اطلاق ندارد و شامل توپ بازي بدون گل زدن نمي‌شود؛ زيرا رسيدن به گل مقوّم فوتبال است، در بازي شطرنج هم اين احتمال وجود دارد كه رهن مقوّم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وجود اين احتمال نمي‌توانيم بگوييم لعب اطلاق دارد و شامل لعب بدون رهن هم مي‌شود</w:t>
      </w:r>
      <w:r>
        <w:rPr>
          <w:rFonts w:eastAsia="IRNazanin" w:cs="IRNazanin"/>
          <w:color w:val="111111"/>
          <w:sz w:val="28"/>
          <w:szCs w:val="28"/>
          <w:rtl w:val="true"/>
          <w:lang w:bidi="fa-IR"/>
        </w:rPr>
        <w:t>.</w:t>
      </w:r>
    </w:p>
    <w:p>
      <w:pPr>
        <w:pStyle w:val="Heading5"/>
        <w:numPr>
          <w:ilvl w:val="4"/>
          <w:numId w:val="1"/>
        </w:numPr>
        <w:rPr/>
      </w:pPr>
      <w:bookmarkStart w:id="162" w:name="__RefHeading___Toc2902981_3804643083"/>
      <w:bookmarkStart w:id="163" w:name="_Toc61"/>
      <w:bookmarkEnd w:id="162"/>
      <w:r>
        <w:rPr>
          <w:rtl w:val="true"/>
        </w:rPr>
        <w:t>آيا بازي شطرنج بدون رهان در زمان صدور روايات شيوع داشته است؟</w:t>
      </w:r>
      <w:bookmarkEnd w:id="163"/>
    </w:p>
    <w:p>
      <w:pPr>
        <w:pStyle w:val="Heading6"/>
        <w:numPr>
          <w:ilvl w:val="5"/>
          <w:numId w:val="1"/>
        </w:numPr>
        <w:rPr/>
      </w:pPr>
      <w:bookmarkStart w:id="164" w:name="__RefHeading___Toc2902983_3804643083"/>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 هستند كه لعب به شطرنج در ميان خلفاء و امراء معمولاً بدون رهان بوده؛ چون احتياجي به رهان نداشتند و از نفس بازي لذت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گفت لعب شطرنج بدون رهن هم شيوع داشته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يدلّ لو خلّي و نفسه على التحريم، لكن مقتضى إطلاق الشطرنج و غيره شمولها للّعب برهان، و لا شبهة في حرمته، فيكون ذلك قرينة على أنّه كناية عن حرمة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غير مسموعة، سيّما مع تداول المغالبة بلا رهن في عصر الصدور بين الخلفاء و أتباعهم، بل لا يبعد أن يكون كثير من الأسئلة مربوطة باللعب بلا رهن، حيث كان محلّ الخلاف بين فقهاء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ما با تحقيقي كه كرديم نتوانستيم شاهدي بر اين مطلب پيدا كنيم، بلكه شواهدي عكس آن پيدا كرديم كه خلفاء و امراء پول‌هاي حرام و مفتي را كه از مردم و بيت المال در دست داشتند، براي زياد شدن هيجان بازي رهن مي‌گذاشتند و چون مفت به دست آورده بودند، باختن آن هم خيلي برايشان مشكل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به جاي پول، انجام عمل زشتي را مورد رهن قرار مي‌دادند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نمونه، در مورد يزيد لعنة الله عليه روايتي در من لايحضره الفقيه وارد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يَلْعَبُ بِالشِّطْرَنْجِ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ادامه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قَامَرَ صَاحِبَهُ تَنَاوَلَ الْفُقَّاعَ</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روَى لَنَا عَبْدُ الْوَاحِدِ بْنُ مُحَمَّدِ بْنِ عُبْدُوسٍ النَّيْسَابُورِيُّ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أَمَرَ يَزِيدُ لَعَنَهُ اللَّهُ فَوُضِعَ وَ نُصِبَ عَلَيْهِ مَائِدَةٌ فَأَقْبَلَ هُوَ وَ أَصْحَابُهُ يَأْكُلُونَ وَ يَشْرَبُونَ الْفُقَّاعَ فَلَمَّا فَرَغُوا أَمَرَ بِالرَّأْسِ فَوُضِعَ فِي طَسْتٍ تَحْتَ سَرِيرَةٍ وَ بُسِطَ عَلَيْهِ رُقْعَةُ الشِّطْرَنْجِ وَ جَلَسَ يَزِيدُ لَعَنَهُ اللَّهُ يَلْعَبُ بِالشِّطْرَنْجِ وَ يَذْكُرُ الْحُسَيْنَ بْنَ عَلِيٍّ وَ أَبَاهُ 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يَسْتَهْزِئُ بِذِكْرِهِمْ فَمَتَى قَامَرَ صَاحِبَهُ تَنَاوَلَ الْفُقَّاعَ فَشَرِبَهُ ثَلَاثَ مَرَّاتٍ ثُمَّ صَبَّ فَضْلَتَهُ عَلَى مَا يَلِي الطَّسْتَ مِنَ الْأَرْضِ فَمَنْ كَانَ مِنْ شِيعَتِنَا فَلْيَتَوَرَّعْ عَنْ شُرْبِ الْفُقَّاعِ وَ اللَّعِبِ بِالشِّطْرَنْجِ وَ مَنْ نَظَرَ إِلَى الْفُقَّاعِ أَوْ إِلَى الشِّطْرَنْجِ فَلْيَذْكُرِ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لْيَلْعَنْ يَزِيدَ وَ آلَ زِيَادٍ يَمْحُو اللَّهُ عَزَّ وَ جَلَّ بِذَلِكَ ذُنُوبَهُ وَ لَوْ كَانَتْ بِعَدَدِ النُّجُومِ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مي‌شود</w:t>
      </w:r>
    </w:p>
    <w:p>
      <w:pPr>
        <w:pStyle w:val="BookText"/>
        <w:rPr/>
      </w:pPr>
      <w:r>
        <w:rPr>
          <w:rFonts w:ascii="IRNazanin" w:hAnsi="IRNazanin" w:eastAsia="IRNazanin"/>
          <w:color w:val="111111"/>
          <w:sz w:val="28"/>
          <w:sz w:val="28"/>
          <w:szCs w:val="28"/>
          <w:rtl w:val="true"/>
          <w:lang w:bidi="fa-IR"/>
        </w:rPr>
        <w:t>آن ملعون با شطرنج قمار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نقل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فَمَتَى قَمَرَ</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دارد كه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صورت هيچ‌گونه شاهدي بر مدّعا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احوال هارون الرشيد كه گفته‌اند اوّلين خليفه‌ي عباسي بود كه لعب به شطرنج كرد،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همسرش زبيده قمار كرد در حالي كه شرط كرده بودند در صورت باختن هارون، بايد با مراجل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مشغول در مطبخ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زشت‌ترين و كثيف‌ترين كنيز آن‌جا بود مجامعت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هارون بعد از باختن به زبيده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مصر و عراق را به تو مي‌بخشم تا از اين خواسته‌ات دست برداري، امّا زبيده قبول نكرد و هارون مجبور به مجامعت با مراجل شد كه مأمون نتيجه‌ي آن مجامعت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شعرهاي متعددي كه در مذمت مأمون سروده شده، يكي از تنقيص‌هايي كه به او وارد كرده‌اند اين بوده كه تو را چه به خلافت در حالي كه مادرت مراجل بوده كه در اسواق فروخته مي‌شد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ذكر صاحب عيون التواريخ وغيره، أن المأمون مرّ يوما على زبيدة أم الأمين، فرآها تحرك شفتيها بشيء لا يفهمه،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أتدعين عليّ لكوني قتلت ابنك و سلبته ملكه؟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الذي قلته؟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يعفيني أمير المؤمنين، فألح عليها و قال لا بد أن تقوليه،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قبح الله الملاححة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لعبت يوما مع أمير المؤمنين الرشيد بالشطرنج على الحكم و الرضا، فغلبني فأمرني أن أتجرد من أثوابي و أطوف القصر عريانة، فاستعفيته فلم يعفني، فتجردت من أثوابي و طفت القصر عريانة، و أنا حنقة عليه ثم عاودنا اللعب فغلبته، فأمرته أن يذهب إلى المطبخ، فيطأ أقبح جارية و أوشهها خلقة فيه فاستعفاني من ذلك فلم أعفه، فبذل إلى خراج مصر و العراق فأبيت،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لتفعلن ذلك فأبى، فألححت عليه، و أخذت بيده و جئت به للمطبخ، فلم أر جارية أقبح و لا أقذر و لا أشوه خلقة من أمك مراجل، فأمرته أن يطأها فوطئها، فعلقت منه بك فكنت سببا لقتل ولدي و سلبه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المأمون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الملاححة أي التي ألح عليها حتى أخبرته بهذا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بعضي از اشعار از مأمون به إبن مراجل ياد كرده‌اند،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فالحِلمُ في بَعضِ المَواطِنِ ذِلّةٌ</w:t>
      </w:r>
    </w:p>
    <w:p>
      <w:pPr>
        <w:pStyle w:val="BookText"/>
        <w:rPr/>
      </w:pPr>
      <w:r>
        <w:rPr>
          <w:rFonts w:ascii="Amiri" w:hAnsi="Amiri" w:eastAsia="Amiri" w:cs="Amiri"/>
          <w:color w:val="111111"/>
          <w:sz w:val="28"/>
          <w:sz w:val="28"/>
          <w:szCs w:val="28"/>
          <w:rtl w:val="true"/>
          <w:lang w:bidi="ar-SA"/>
        </w:rPr>
        <w:t>و البَغْيُ جُرْحٌ، و السّياسة ُ مَرهَمُ</w:t>
      </w:r>
    </w:p>
    <w:p>
      <w:pPr>
        <w:pStyle w:val="BookText"/>
        <w:rPr/>
      </w:pPr>
      <w:r>
        <w:rPr>
          <w:rFonts w:ascii="Amiri" w:hAnsi="Amiri" w:eastAsia="Amiri" w:cs="Amiri"/>
          <w:color w:val="111111"/>
          <w:sz w:val="28"/>
          <w:sz w:val="28"/>
          <w:szCs w:val="28"/>
          <w:rtl w:val="true"/>
          <w:lang w:bidi="ar-SA"/>
        </w:rPr>
        <w:t>بالبَطِش تَمّ المُلكُ لابنِ مَراجِلٍ</w:t>
      </w:r>
    </w:p>
    <w:p>
      <w:pPr>
        <w:pStyle w:val="BookText"/>
        <w:rPr/>
      </w:pPr>
      <w:r>
        <w:rPr>
          <w:rFonts w:ascii="Amiri" w:hAnsi="Amiri" w:eastAsia="Amiri" w:cs="Amiri"/>
          <w:color w:val="111111"/>
          <w:sz w:val="28"/>
          <w:sz w:val="28"/>
          <w:szCs w:val="28"/>
          <w:rtl w:val="true"/>
          <w:lang w:bidi="ar-SA"/>
        </w:rPr>
        <w:t>و تأخّرَ ابنُ زُبَيدَة َ المُتَقَدِّمُ</w:t>
      </w:r>
    </w:p>
    <w:p>
      <w:pPr>
        <w:pStyle w:val="BookText"/>
        <w:rPr/>
      </w:pPr>
      <w:r>
        <w:rPr>
          <w:rFonts w:ascii="Amiri" w:hAnsi="Amiri" w:eastAsia="Amiri" w:cs="Amiri"/>
          <w:color w:val="111111"/>
          <w:sz w:val="28"/>
          <w:sz w:val="28"/>
          <w:szCs w:val="28"/>
          <w:rtl w:val="true"/>
          <w:lang w:bidi="ar-SA"/>
        </w:rPr>
        <w:t>و عَنَتْ لمُعتصِم الرّقابُ ببأسِه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ودهى العبادَ بلينهِ المستعصمُ</w:t>
      </w:r>
    </w:p>
    <w:p>
      <w:pPr>
        <w:pStyle w:val="BookText"/>
        <w:rPr/>
      </w:pPr>
      <w:r>
        <w:rPr>
          <w:rFonts w:ascii="IRNazanin" w:hAnsi="IRNazanin" w:eastAsia="IRNazanin"/>
          <w:color w:val="111111"/>
          <w:sz w:val="28"/>
          <w:sz w:val="28"/>
          <w:szCs w:val="28"/>
          <w:rtl w:val="true"/>
          <w:lang w:bidi="fa-IR"/>
        </w:rPr>
        <w:t xml:space="preserve">در مطالعه‌ي احوال شاهان و امراء ديگر هم اين مطلب ديده مي‌شود كه قمار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را برده و يا مي‌باختند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اين‌چنين نيست كه فقط به صورت تفريحي بازي مي‌كردند و رهن داشتن در شأن آن‌ها نبوده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در مروج الذهب عبارتي نقل شده كه في‌الجمله مي‌توان استفاده كرد بدون رهن هم بازي مي‌شد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مسعودي در مروج الذهب درباره‌ي بازي شطرنج در هند ـ كه اكثراً مدعي هستند اصل آن در</w:t>
      </w:r>
    </w:p>
    <w:p>
      <w:pPr>
        <w:pStyle w:val="BookText"/>
        <w:rPr/>
      </w:pPr>
      <w:r>
        <w:rPr>
          <w:rFonts w:ascii="IRNazanin" w:hAnsi="IRNazanin" w:eastAsia="IRNazanin"/>
          <w:color w:val="111111"/>
          <w:sz w:val="28"/>
          <w:sz w:val="28"/>
          <w:szCs w:val="28"/>
          <w:rtl w:val="true"/>
          <w:lang w:bidi="fa-IR"/>
        </w:rPr>
        <w:t>هند ابداع شده و بعد به ايران منتقل شده و از ايران به جاهاي ديگر سرايت كرده است ـ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الأغلب عليهم القمار في لعبهم بالشطرنج و النرد علي الثياب و الجواهر و ربما انفد الواحد منهم ما معه فيلعب في قطع عضو من اعضاء جسمه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الأغلب في استعمال الهند العاج اتخاذها منه الشطرنج والنرد، والشطرنج ذو صور وأشكال على صور الحيوان من الناطقين وغيرهم، كل قطعة من الشطرنجِ كالشبر في عرض ذلك بل أكثر، فإذا لعبوا بها فإنما يقوم الواحد منهم قائماَ فينقلها في بيوتها، والأغلب عليهم القمار في لعبهم بالشطرنج والنرد على الثياب والجواهر، وربما أنفد الواحد منهم ما معه فيلعب في قَطْع عضو من أعضاء جسمه، وهو أن يجعلوا بحضرتهم قدرا ًمن النحاس صغيرة على نار فحم فيها دهن لحم أحمر فيغلي ذلك الدهن المدمل للجراح والماسك لسيلان الحم، فإذا لعب في إصبع، من أصابعه وقُمِرَ قطعها بذلك الخنجر، وهو مثل النار، ثم غمس يده في ذلك الدهن، فكواها، ثم عاد إلى لعبه، فإذا توجه عليه اللعب أبان إصبعا ثانية، وربما توجه عليه اللعب في قطع الأصابع والكف ثم الذراع والزند وسائر الأطراف، وكل ذلك يستعمل فيه الكي بذلك الدهن وهو دهن عجيب يعمل من أخلاط وعقاقير بأرض الهند عجيب المعنى، لما ذكرنا، وما ذكرناه عنهم فمستفيض من فعلهم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غالب و رائج بازي شطرنج و نرد 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قمار بود كه رهن آن البسه و جواهر بود و گاهي شخصي آن‌قدر بازي مي‌كرد كه تمام اموالش را مي‌باخت، سپس در مقابل قطع اعضاء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مي‌كرد و حتّي تا آن‌جا پيش مي‌رفت كه بعد از قطع شدن انگشتش ماده‌اي به آن مي‌زد كه سريع خونش بند بيايد تا</w:t>
      </w:r>
      <w:bookmarkStart w:id="166" w:name="pg2375_19614"/>
    </w:p>
    <w:p>
      <w:pPr>
        <w:pStyle w:val="BookText"/>
        <w:rPr/>
      </w:pPr>
      <w:bookmarkEnd w:id="166"/>
      <w:r>
        <w:rPr>
          <w:rFonts w:ascii="IRNazanin" w:hAnsi="IRNazanin" w:eastAsia="IRNazanin"/>
          <w:color w:val="111111"/>
          <w:sz w:val="28"/>
          <w:sz w:val="28"/>
          <w:szCs w:val="28"/>
          <w:rtl w:val="true"/>
          <w:lang w:bidi="fa-IR"/>
        </w:rPr>
        <w:t>دوباره بتواند در مقابل انگشت ديگرش قمار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واقعيت دارد و قصه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مسعودي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الأغلب عليهم القمار في لعبهم بالشطرنج و النرد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مفهوم گرفت كه لعب بدون قمار هم مرسوم بوده، ولي 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مقدار كه كم بوده در اطلاق لعب به شطرنج بر آن علي نحو الحقيقه شك داريم و شايد علي نحو المجاز بر آن اطلاق مي‌شده، كما اين‌كه اگر چند نفر بدون رسيدن به گل با هم توپ بازي كنند، علي نحو المجاز بر آن فوتبال اطلاق مي‌شود، نه حقيقتاً</w:t>
      </w:r>
      <w:r>
        <w:rPr>
          <w:rFonts w:eastAsia="IRNazanin" w:cs="IRNazanin"/>
          <w:color w:val="111111"/>
          <w:sz w:val="28"/>
          <w:szCs w:val="28"/>
          <w:rtl w:val="true"/>
          <w:lang w:bidi="fa-IR"/>
        </w:rPr>
        <w:t>.</w:t>
      </w:r>
    </w:p>
    <w:p>
      <w:pPr>
        <w:pStyle w:val="Heading6"/>
        <w:numPr>
          <w:ilvl w:val="5"/>
          <w:numId w:val="1"/>
        </w:numPr>
        <w:rPr/>
      </w:pPr>
      <w:bookmarkStart w:id="167" w:name="__RefHeading___Toc2902985_3804643083"/>
      <w:bookmarkStart w:id="168" w:name="_Toc63"/>
      <w:bookmarkEnd w:id="167"/>
      <w:r>
        <w:rPr>
          <w:rtl w:val="true"/>
        </w:rPr>
        <w:t>بيان امام</w:t>
      </w:r>
      <w:r>
        <w:rPr>
          <w:rtl w:val="true"/>
        </w:rPr>
        <w:t xml:space="preserve">- </w:t>
      </w:r>
      <w:r>
        <w:rPr>
          <w:rtl w:val="true"/>
        </w:rPr>
        <w:t xml:space="preserve">قدس سره </w:t>
      </w:r>
      <w:r>
        <w:rPr>
          <w:rtl w:val="true"/>
        </w:rPr>
        <w:t xml:space="preserve">- </w:t>
      </w:r>
      <w:r>
        <w:rPr>
          <w:rtl w:val="true"/>
        </w:rPr>
        <w:t>در ناظر بودن روايات نهي از شطرنج به فتاواي بعض عامه در جواز لعب بدون رهن</w:t>
      </w:r>
      <w:bookmarkEnd w:id="1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مي‌فرمايد رواياتي كه در نهي از شطرنج وارد شده ـ كه بعضي از اين روايات واقعاً تن انسان را مي‌لرزاند ـ بعيد نيست كه ناظر به فتواي بعض فقهاي عامه در آن زمان باشد كه لعب به شطرنج و نرد ـ خصوصاً شطرنج ـ را بدون رهن جايز مي‌دانستند، در حالي كه لعب مع الرهن را احدي از عامه نيز جايز نمي‌داند، پس سؤال‌هايي كه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بازي شطرنج و نرد مي‌شده، ناظر به همان فتواي بعض عامه بوده كه لعب بدون رهن را جايز مي‌دانستند وگرنه حرمت لعب مع</w:t>
      </w:r>
    </w:p>
    <w:p>
      <w:pPr>
        <w:pStyle w:val="BookText"/>
        <w:rPr/>
      </w:pPr>
      <w:r>
        <w:rPr>
          <w:rFonts w:ascii="Amiri" w:hAnsi="Amiri" w:eastAsia="Amiri" w:cs="Amiri"/>
          <w:color w:val="111111"/>
          <w:sz w:val="28"/>
          <w:sz w:val="28"/>
          <w:szCs w:val="28"/>
          <w:rtl w:val="true"/>
          <w:lang w:bidi="ar-SA"/>
        </w:rPr>
        <w:t>الرهن مفروغٌ عنه بوده و جاي سؤال نداشت</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يدلّ لو خلّي و نفسه على التحريم، لكن مقتضى إطلاق الشطرنج و غيره شمولها للّعب برهان، و لا شبهة في حرمته، فيكون ذلك قرينة على أنّه كناية عن حرمة الارتكاب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كناية عن معنى أعمّ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أنّ ذكر المذكور فيها من قبيل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لعبة الأمير و ما بعدها يمكن دعوى الخصوصيّة في الشطرنج لكثرة الروايات في خصوصه و تشديد الأمر فيه، لكن مع ذكر غيره لا يبقى مجال لتوهّم الخصوصيّة فتدلّ على حرمة اللعب بكلّ آلة، و مقتضى إطلاقها عدم الفرق بين جعل الرهن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غير مسموعة، سيّما مع تداول المغالبة بلا رهن في عصر الصدور بين الخلفاء و أتباعهم، بل لا يبعد أن يكون كثير من الأسئلة مربوطة باللعب بلا رهن، حيث كان محلّ الخلاف بين فقهاء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اللعب بالشطرنج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اللعب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مكروه و ليس بمحظور، و لا ترد شهادة اللاعب به إلّا ما كان فيه 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النرد مكروه و ليس بمحظور لا يفسق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إنّما هو مع اللعب بها بلا رهن و إلّا فالقمار حرام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فتوى بعض العامّة بعدم حرمة اللعب بها بلا رهن لجلب نظر الخلفاء و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ما ذكر يشكل استفادة الحرمة من الرواية، و كذا الرواية الآتية،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محطّ نظر السائل ما ذكر لا يوجب عدم الإطلاق، فلا يجوز رفع اليد عن إطلاقها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امام در ادامه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بعض از فقهاء عامه لعب بدون رهن را جايز مي‌دانستند، به خاطر مراعات جانب امراء و خلفاي جور بوده كه معمولاً بدون رهان بازي مي‌كردند و الا آن‌هم وجهي نداشت</w:t>
      </w:r>
      <w:r>
        <w:rPr>
          <w:rFonts w:eastAsia="Amiri" w:cs="Amiri" w:ascii="Amiri" w:hAnsi="Amiri"/>
          <w:color w:val="111111"/>
          <w:sz w:val="28"/>
          <w:szCs w:val="28"/>
          <w:rtl w:val="true"/>
          <w:lang w:bidi="ar-SA"/>
        </w:rPr>
        <w:t>.</w:t>
      </w:r>
      <w:bookmarkStart w:id="169" w:name="pg2375_19617"/>
    </w:p>
    <w:p>
      <w:pPr>
        <w:pStyle w:val="Heading6"/>
        <w:numPr>
          <w:ilvl w:val="5"/>
          <w:numId w:val="1"/>
        </w:numPr>
        <w:rPr/>
      </w:pPr>
      <w:bookmarkStart w:id="170" w:name="__RefHeading___Toc2902987_3804643083"/>
      <w:bookmarkStart w:id="171" w:name="_Toc64"/>
      <w:bookmarkEnd w:id="169"/>
      <w:bookmarkEnd w:id="170"/>
      <w:r>
        <w:rPr>
          <w:rtl w:val="true"/>
        </w:rPr>
        <w:t>بررسي كلام مرحوم امام</w:t>
      </w:r>
      <w:r>
        <w:rPr>
          <w:rtl w:val="true"/>
        </w:rPr>
        <w:t xml:space="preserve">- </w:t>
      </w:r>
      <w:r>
        <w:rPr>
          <w:rtl w:val="true"/>
        </w:rPr>
        <w:t xml:space="preserve">قدس سره </w:t>
      </w:r>
      <w:r>
        <w:rPr>
          <w:rtl w:val="true"/>
        </w:rPr>
        <w:t>-</w:t>
      </w:r>
      <w:bookmarkEnd w:id="171"/>
    </w:p>
    <w:p>
      <w:pPr>
        <w:pStyle w:val="BookText"/>
        <w:rPr/>
      </w:pPr>
      <w:r>
        <w:rPr>
          <w:rFonts w:ascii="IRNazanin" w:hAnsi="IRNazanin" w:eastAsia="IRNazanin"/>
          <w:color w:val="111111"/>
          <w:sz w:val="28"/>
          <w:sz w:val="28"/>
          <w:szCs w:val="28"/>
          <w:rtl w:val="true"/>
          <w:lang w:bidi="fa-IR"/>
        </w:rPr>
        <w:t>اين‌كه مرحوم امام مي‌فرمايد هيچ يك از فقهاء عامه قائل به جوار لعب مع الرهن نبوده، مؤيداتي براي آن پيدا كرديم از جمله كلام شافعي در كتاب الأم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كانوا هكذا فاللاعب بالشطرنج وإن كرهناها له وبالحمام وإن كرهناها له أخف حالا من هؤلاء بما لا يحصى ولا يقدر فأما إن قام</w:t>
      </w:r>
      <w:r>
        <w:rPr>
          <w:rStyle w:val="FootnoteAnchor"/>
          <w:rtl w:val="true"/>
        </w:rPr>
        <w:footnoteReference w:id="106"/>
      </w:r>
      <w:r>
        <w:rPr>
          <w:rFonts w:ascii="Amiri" w:hAnsi="Amiri" w:eastAsia="Amiri" w:cs="Amiri"/>
          <w:color w:val="111111"/>
          <w:sz w:val="28"/>
          <w:sz w:val="28"/>
          <w:szCs w:val="28"/>
          <w:rtl w:val="true"/>
          <w:lang w:bidi="ar-SA"/>
        </w:rPr>
        <w:t>رجل بالحمام أو بالشطرنج رددنا بذلك شهادته وكذلك لو قامر بغيره فقامر على أن يعادي إنسانا أو يسابقه أو يناضله وذلك أنا لا نعلم أحدا من الناس استحل القمار ولا تأوّله</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الناس أحد نعلمه إلا أن يكون قليلا يمحض الطاعة و المروءة حتى لا يخلطهما بشئ من معصية و لا ترك مروءة و لا يمحض المعصية و يترك المروءة حتى لا يخلطه بشئ من الطاعة و المروءة فإذا كان الاغلب على الرجل الاظهر من أمره الطاعة و المروءة قبلت شهادته و إذا كان الاغلب الاظهر من أمره المعصية و خلاف المروءة رددت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كانوا هكذا فاللاعب بالشطرنج و إن كرهناها له و بالحمام و إن كرهناها له أخف حالا من هؤلاء بما لا يحصى و لا يقدر فأما إن قام رجل بالحمام أو بالشطرنج رددنا بذلك شهادته و كذلك لو قامر بغيره فقامر على أن يعادي إنسانا أو يسابقه أو يناضله و ذلك أنا لا نعلم أحدا من الناس استحل القمار و لا تأوله و لكنه لو جعل فيها سبقا متأولا كالسبق في الرمى و في الخيل قيل له قد أخطأت خطأ فاحشا و لا ترد شهادته بذلك حتى يقيم عليه بعدما يبين له و ذلك أنه لا غفلة في هذا على أحد و أن العامة مجتمعة على أن هذا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شافعي در اين عبارت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مع الرهن را احدي قائل به جوازش نيست، ولي لعب بدون رهن مكروه است و حرام نيست، پس مي‌توان گفت لعب شطرنج مع الرهن را احدي از اهل سنّت قائل به جواز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لعب بدون رهن، شافعي قائل به جواز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ابوحنيفه و مالك هم نسبت داده شده كه آن‌ها هم لعب بدون رهن را جايز مي‌دانند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بعضي تصريح مي‌كنند اين نسبت درست نيست، بلكه آن دو هم لعب بدون رهن را حرام مي‌دانند، كما اين‌كه احمد حنبل هم قائل به حرمت است</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المالكية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المسابقة بالسفن و نحوها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اللعب بالنرد و الشطرنج و لو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المصارعة و المسابقة في السباحة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العوم في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لعب الشطرنج و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المشابكة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يحل بدون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المسابقة بدون عوض في كل ما ذكر عن الشافعية إلا الشطرنج فإنه حرام عندهم، لأنه يشغل صاحبه بالانكباب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الحنابلة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المسابقة بلا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بالمشي على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الرقص و مجالس الشعر و كل ما يسمى لعبا كاللعب بالطاب و النقيلة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النرد و الشطرنج، و كل ما أفضى إلى محرم فهو حرام إذا لم يكن فيه مصلحة راجحة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علي مذاهب الاربعه،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طبق تحقيقي كه ما انجام داديم در بين مذاهب چهارگانه‌ي اهل سنت، شافعيه تقريباً اتفاق بر عدم حرمت دارند و در بين مالكيه هم قائل به كراهت وجود دارد كه به بعضي از كتب آن‌ها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حنابله ظاهراً اتفاق بر حرمت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فقه ابن حنبل،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اللعب بالنرد والشطرنج وإن خلا من القمار لما روى أبو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لعب بالنردشير فقد عصى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النرد أشد من الشطرنج نص عليه أحمد للاتفاق عليه و ثبوت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الإقناع في فقه احمد بن حنبل،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تقبل شهادة مصافع و متمسخر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مشعوذ و من يلعب بنرد أو شطرنج لتحريمهما و إن عريا عن القمار غير مقلد في الشطرنج كمع عوض أو ترك واجب أو فعل محرم إجماعا و لا من يلعب بحمام طيارة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لابن قدامه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الشِّطْرَنْجُ فَهُوَ كَالنَّرْدِ فِي التَّحْرِيمِ، إلَّا أَنَّ النَّرْدَ آكَدُ مِنْهُ فِي التَّحْرِيمِ؛ لِوُرُودِ النَّصِّ فِي تَحْرِيمِهِ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ويحرم النرد بلا خلاف في المذهب ونص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الشيخ تقي الدين رحمه الله الشطرنج شر من النرد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المبدع شرح المقنع،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أبو موسى مرفوعا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لعب بالنرد فقد عصى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مالك و أحمد و غيرهما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أشد من الشطرنج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الامام أحمد،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يسلم على لاعب به ـ أي الشطرنج ـ 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بناء على أن اللعب بهاتين اللعبتين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مالكيه اكثراً قائل به حرمت و بعضي قائل به كراهت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المسالك،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اللَّعِبُ بِالنَّرْدِ وَ الشَّطْرَنْجِ وَ جَمِيعِ آلَةِ 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الاستذكار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يوسف بن عبدالله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النرد من ميسر العجم و أما الشطرنج فأجمع العلماء أن اللعب بها قماراً لا يجوز و أخذ المال و أكله قمارا بها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مالك و أصحابه على أنه لا يجوز اللعب بالنرد و لا بالشطرنج و قالوا لا تجوز شهادة المدمن المواظب على لعب الشطرنج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الامهات،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اللعب بالشطرنج حرام عند جماهير العلماء كالنرد فقد ثبت عن علي أنه مر بقوم يلعبون بالشطرنج فقال ما هذه التماثيل التي أنتم لها عاكفون و قلب الرقعة عليهم و قال أجمع العلماء على أن اللعب بالنرد و الشطرنج حرام عند الأئمة الأربعة سواء كان بعوض أو غيره و جوزه بعض أصحاب الشافعي إذا لم يكن بعوض و جمهور أصحاب مالك و أحمد و أبو حنيفة و غيرهم حرموه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الاستذكار،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سمعت مالكا يقول لا خير في الشطرنج و غيرها و سمعته يكره اللعب بها و يعدها من الباطل و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خليل الغرشي،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اللَّعِبِ بِالنَّرْدِ الْحُرْمَةُ بِخِلَافِ الشِّطْرَنْجِ فَإِنَّهُ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الدواني،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إمَامُنَا مَالِكٌ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أَلْهَى مِنْ النَّرْدِ وَ أَشَرُّ، وَ مُقْتَضَى اشْتِرَاطِ الْإِدْمَانِ فِي اللَّعِبِ بِهِ لِرَدِّ شَهَادَةِ مَنْ يَلْعَبُ بِهِ إبْقَاءُ الْكَرَاهَةِ عَلَى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ـ حنفيه ظاهراً اتفاق بر حرمت دارند گرچه تعبير به كراهت هم كرده‌اند، ولي ظاهراً منظورشان حرمت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الغدير،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الشِّطْرَنْجُ فَقَدْ اُخْتُلِفَ فِي إبَاحَتِهِ، فَعِنْدَنَا لَا يَجُوزُ، وَ كَذَا عِنْدَ الْإِمَامِ أَحْمَدَ لِمَا رَوَيْنَاهُ، فَإِنَّهُ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النَّرْدَشِيرَ هُوَ الشِّطْرَنْجُ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الانهر في شرح ملتقي الابهر،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اللَّعِبُ بِالنَّرْدِ أَوْ الشِّطْرَنْجِ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الكلام شرح غرر الاحكام،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 بِالشِّطْرَنْجِ وَ النَّرْدِ وَ كُلِّ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لَعِبِ ابْنِ آدَمَ حَرَامٌ إلَّا ثَلَاثَةً مُلَاعَبَةَ الرَّجُلِ أَهْلَهُ وَ تَأْدِيبَهُ لِفَرَسِهِ وَ مُنَاضَلَتَهُ لِقَوْسِهِ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أَبَاحَ الشَّافِعِيُّ الشِّطْرَنْجَ بِلَا 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 و شرحه نافع الكبير،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الشطرنج فعندنا مكروه لما روى أبو هريرة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بقوم يلعبون الشطرنج فقال لعن الله من لعب بها أخرجه العقيلي في الضعفاء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 وجود اين‌كه ابوحنيفه، مالك و احمد حنبل قائل به حرمت هستند، مي‌توانيم بگوييم قول به جواز در بين اهل سنت هم طرفدار ندارد و حتّي بعضي از اصحاب شافعي هم حرف او را قبول نكرده و فتواي به حرمت لعب بدون رهن داده‌اند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العلماء على أن اللعب بالنرد و الشطرنج حرام عند الأئمة الأربعة سواء كان بعوض أو غيره و جوزه بعض أصحاب الشافعي إذا لم يكن بعوض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الامهات،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ما در بين كتب شافعيه، چنين مطلبي را پيدا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در يك صورت گفته‌اند كه شطرنج حرام است، آن‌هم از باب إعانه‌ي بر إثم؛ يعني اگر يك شافعي مثلاً با يك حنفي شطرنج بازي كند، حرام است؛ زيرا إعانه‌ي حنفي بر چيزي كه در مذهب آن‌ها إثم است، از باب إعانه‌ي بر إثم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البيوع،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وقع بيع بمعاطاة بين مالكي و شافعي هل يحرم على المالكي ذلك لإعانته الشافعي على معصية في اعتقاده أم لا؟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 أن الأقرب الحرمة كما لو لعب الشافعي مع الحنفي الشطرنج حيث قيل يحرم على الشافعي لإعانته الحنفي على معصية في اعتقاده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اين‌كه بگوييم سؤالي كه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نرد و شطرنج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مي‌شده از آن جهت بوده كه فقهاي عامه لعب بدون رهن را جايز مي‌دانستند، اين كلام خيلي وجهي ندارد</w:t>
      </w:r>
      <w:r>
        <w:rPr>
          <w:rStyle w:val="FootnoteAnchor"/>
          <w:rtl w:val="true"/>
        </w:rPr>
        <w:footnoteReference w:id="110"/>
      </w:r>
      <w:r>
        <w:rPr>
          <w:rFonts w:ascii="IRNazanin" w:hAnsi="IRNazanin" w:eastAsia="IRNazanin"/>
          <w:color w:val="111111"/>
          <w:sz w:val="28"/>
          <w:sz w:val="28"/>
          <w:szCs w:val="28"/>
          <w:rtl w:val="true"/>
          <w:lang w:bidi="fa-IR"/>
        </w:rPr>
        <w:t xml:space="preserve">چراكه از بين معاريف اهل سنّت فقط شافعي قائل به جواز لعب بدون رهن بوده و امراء هم با رهن بازي مي‌كردند و علي فرض اين‌كه بيشتر فقهاي عامه قائل به جواز لعب بدون رهن بوده باشند، چه دليلي مي‌شود كه فقط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بدون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مي‌خواستند درباره‌ي لعب بدون رهن سؤال كنند مي‌توانستند تصريح كنند و بگويند حكم لعب بدون رهن چيست؛ خصوصاً اگر اين در بين عامه جا افتاده بود، بايد به اين صورت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مي‌كردند كه آيا لعب بدون رهن جايز است؟ در حالي كه در هيچ روايتي چنين تصريحي نشده و فقط در يك روايت خود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bookmarkStart w:id="172" w:name="pg2375_19624"/>
    </w:p>
    <w:p>
      <w:pPr>
        <w:pStyle w:val="BookText"/>
        <w:rPr/>
      </w:pPr>
      <w:bookmarkEnd w:id="172"/>
      <w:r>
        <w:rPr>
          <w:rFonts w:ascii="Amiri" w:hAnsi="Amiri" w:eastAsia="Amiri" w:cs="Amiri"/>
          <w:color w:val="111111"/>
          <w:sz w:val="28"/>
          <w:sz w:val="28"/>
          <w:szCs w:val="28"/>
          <w:rtl w:val="true"/>
          <w:lang w:bidi="ar-SA"/>
        </w:rPr>
        <w:t>ـ بر فرض صدور روايت ـ بدون اين‌كه سؤالي شود بين لعب بدون رهن و لعب مع الرهن تفصيل داده‌اند كه آن را ذكر خواهيم كرد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سُئِلَ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 النَّرْدُ أَشَدُّ مِنَ الشِّطْرَنْجِ فَأَمَّا الشِّطْرَنْجُ فَإِنَّ اتِّخَاذَهَا كُفْرٌ وَ اللَّعِبَ بِهَا شِرْكٌ وَ تَعْلِيمَهَا كَبِيرَةٌ مُوبِقَةٌ وَ السَّلَامَ عَلَى اللَّاهِي بِهَا مَعْصِيَةٌ وَ مُقَلِّبَهَا كَمُقَلِّبِ لَحْمِ الْخِنْزِيرِ وَ النَّاظِرَ إِلَيْهَا كَالنَّاظِرِ إِلَى فَرْجِ أُمِّهِ وَ اللَّاعِبَ بِالنَّرْدِ قِمَاراً مَثَلُهُ مَثَلُ مَنْ يَأْكُلُ لَحْمَ الْخِنْزِيرِ وَ مَثَلَ الَّذِي يَلْعَبُ بِهَا مِنْ غَيْرِ قِمَارٍ مَثَلُ مَنْ يَضَعُ يَدَهُ فِي لَحْمِ الْخِنْزِيرِ أَوْ فِي دَمِهِ وَ لَا يَجُوزُ اللَّعِبُ بِالْخَوَاتِيمِ وَ الْأَرْبَعَةَ عَشَرَ وَ كُلُّ ذَلِكَ وَ أَشْبَاهُهُ قِمَارٌ حَتَّى لَعِبُ الصِّبْيَانِ بِالْجَوْزِ هُوَ الْقِمَارُ وَ إِيَّاكَ وَ الضَّرْبَ بِالصَّوَانِيجِ فَإِنَّ الشَّيْطَانَ يَرْكُضُ مَعَكَ وَ الْمَلَائِكَةَ تَنْفِرُ عَنْكَ وَ مَنْ بَقِيَ فِي بَيْتِهِ طُنْبُورٌ أَرْبَعِينَ صَبَاحاً فَقَدْ بَاءَ بِغَضَبٍ مِنَ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نمي‌توانيم ملتزم شويم رواياتي كه در مذمت شطرنج، نرد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اختصاص به صورت لعب بدون رهن دارد و اين امر واضحي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آن است كه بررسي كنيم آيا اين روايات در مورد اعم از لعب مع الرهن و لعب بدون رهن است يا اين‌كه اختصاص به لعب مع الرهن دارد؟</w:t>
      </w:r>
    </w:p>
    <w:p>
      <w:pPr>
        <w:pStyle w:val="Heading5"/>
        <w:numPr>
          <w:ilvl w:val="4"/>
          <w:numId w:val="1"/>
        </w:numPr>
        <w:rPr/>
      </w:pPr>
      <w:bookmarkStart w:id="173" w:name="__RefHeading___Toc2902989_3804643083"/>
      <w:bookmarkStart w:id="174" w:name="_Toc65"/>
      <w:bookmarkEnd w:id="173"/>
      <w:r>
        <w:rPr>
          <w:rtl w:val="true"/>
        </w:rPr>
        <w:t>در روايات شطرنج و نرد، لعب مع الرهن مراد است يا مطلق لعب؟</w:t>
      </w:r>
      <w:bookmarkEnd w:id="174"/>
    </w:p>
    <w:p>
      <w:pPr>
        <w:pStyle w:val="Heading6"/>
        <w:numPr>
          <w:ilvl w:val="5"/>
          <w:numId w:val="1"/>
        </w:numPr>
        <w:rPr/>
      </w:pPr>
      <w:bookmarkStart w:id="175" w:name="__RefHeading___Toc2902991_3804643083"/>
      <w:bookmarkStart w:id="176" w:name="_Toc66"/>
      <w:bookmarkEnd w:id="175"/>
      <w:r>
        <w:rPr>
          <w:rtl w:val="true"/>
        </w:rPr>
        <w:t>اشاره</w:t>
      </w:r>
      <w:bookmarkEnd w:id="17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اين‌جا شواهد زيادي اقامه كرديم كه مراد از لعب به شطرنج و نرد، لعب قماري است؛ مثلاً در آن روايتي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النَّرْدُ وَ الشِّطْرَنْجُ وَ الْأَرْبَعَةَ عَشَرَ بِمَنْزِلَةٍ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قُومِرَ عَلَيْهِ فَهُوَ مَيْسِر</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مُعَمَّرِ بْنِ خَلَّادٍ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 وَ كُلُّ مَا قُومِرَ عَلَيْهِ فَهُوَ مَيْسِر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استشعار مي‌شود كه حضرت مي‌خواهند قاعده‌ي كليه‌اي بيان كنند كه منطبق بر نرد و شطرنج هم مي‌شود و از اين‌جا معلوم مي‌شود نرد و شطرنج وقتي به نحو مطلق هم گفته مي‌شود، نرد و شطرنج قماري مراد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در روايتي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النَّرْدُ وَ الشِّطْرَنْجُ هُمَا الْمَيْسِرُ</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ابْنِ أَبِي نَجْرَانَ عَنْ مُثَنًّى الْحَنَّاطِ عَنْ أَبِي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هُمَا الْمَيْسِرُ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از آن‌جايي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رهن وجود دارد و بدون رهن معنا ندارد، پس نرد و شطرنج هم كه مصداق ميسر است، بايد با رهن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مي‌دانيم به هر حال لعب بدون رهن هم في‌الجمله وجود داشته، حداقل براي تمرين هم كه شده بدون رهن بازي مي‌كردند ـ افرادي كه در ابتداي كار بوده و ناوارد بودند از همان اوّل كه با رهن بازي نمي‌كردند ـ علاوه آن‌كه در</w:t>
      </w:r>
    </w:p>
    <w:p>
      <w:pPr>
        <w:pStyle w:val="BookText"/>
        <w:rPr/>
      </w:pPr>
      <w:r>
        <w:rPr>
          <w:rFonts w:ascii="Amiri" w:hAnsi="Amiri" w:eastAsia="Amiri" w:cs="Amiri"/>
          <w:color w:val="111111"/>
          <w:sz w:val="28"/>
          <w:sz w:val="28"/>
          <w:szCs w:val="28"/>
          <w:rtl w:val="true"/>
          <w:lang w:bidi="ar-SA"/>
        </w:rPr>
        <w:t>روايت من لايحضره الفقيه</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سُئِلَ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 النَّرْدُ أَشَدُّ مِنَ الشِّطْرَنْجِ فَأَمَّا الشِّطْرَنْجُ فَإِنَّ اتِّخَاذَهَا كُفْرٌ وَ اللَّعِبَ بِهَا شِرْكٌ وَ تَعْلِيمَهَا كَبِيرَةٌ مُوبِقَةٌ وَ السَّلَامَ عَلَى اللَّاهِي بِهَا مَعْصِيَةٌ وَ مُقَلِّبَهَا كَمُقَلِّبِ لَحْمِ الْخِنْزِيرِ وَ النَّاظِرَ إِلَيْهَا كَالنَّاظِرِ إِلَى فَرْجِ أُمِّهِ وَ اللَّاعِبَ بِالنَّرْدِ قِمَاراً مَثَلُهُ مَثَلُ مَنْ يَأْكُلُ لَحْمَ الْخِنْزِيرِ وَ مَثَلَ الَّذِي يَلْعَبُ بِهَا مِنْ غَيْرِ قِمَارٍ مَثَلُ مَنْ يَضَعُ يَدَهُ فِي لَحْمِ الْخِنْزِيرِ أَوْ فِي دَمِهِ وَ لَا يَجُوزُ اللَّعِبُ بِالْخَوَاتِيمِ وَ الْأَرْبَعَةَ عَشَرَ وَ كُلُّ ذَلِكَ وَ أَشْبَاهُهُ قِمَارٌ حَتَّى لَعِبُ الصِّبْيَانِ بِالْجَوْزِ هُوَ الْقِمَارُ وَ إِيَّاكَ وَ الضَّرْبَ بِالصَّوَانِيجِ فَإِنَّ الشَّيْطَانَ يَرْكُضُ مَعَكَ وَ الْمَلَائِكَةَ تَنْفِرُ عَنْكَ وَ مَنْ بَقِيَ فِي بَيْتِهِ طُنْبُورٌ أَرْبَعِينَ صَبَاحاً فَقَدْ بَاءَ بِغَضَبٍ مِنَ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حكم لاعب بالنرد قماراً و من يلعب بها بغير قمارٍ تفصيل داده شده، پس معلوم مي‌شود لعب بدون رهن هم في‌الجمله رواج داشته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قضاوت در مورد روايات مطلقي كه در مذمّت شطرنج و نرد وارد شده ـ كه كمتر حرامي سراغ داريم اين‌قدر روايت با اين شدت در موردش وارد شده باشد ـ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خصوص لعب مع الرهن را بيان مي‌كند مشكل است و اگر بگوييم اعم است أشكل است؛ زيرا هرچند بر لعب بدون رهن هم اطلاق لعب شطرنج و نرد مي‌شود، ولي در استعمال علي وجه الحقيقه بودن آن شك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براي ما مشكوك مي‌شود، نمي‌توانيم به اين اطلاقات تمسك كنيم</w:t>
      </w:r>
      <w:r>
        <w:rPr>
          <w:rFonts w:eastAsia="IRNazanin" w:cs="IRNazanin"/>
          <w:color w:val="111111"/>
          <w:sz w:val="28"/>
          <w:szCs w:val="28"/>
          <w:rtl w:val="true"/>
          <w:lang w:bidi="fa-IR"/>
        </w:rPr>
        <w:t>.</w:t>
      </w:r>
      <w:bookmarkStart w:id="177" w:name="pg2375_19627"/>
    </w:p>
    <w:p>
      <w:pPr>
        <w:pStyle w:val="BookText"/>
        <w:rPr/>
      </w:pPr>
      <w:bookmarkEnd w:id="177"/>
      <w:r>
        <w:rPr>
          <w:rFonts w:ascii="IRNazanin" w:hAnsi="IRNazanin" w:eastAsia="IRNazanin"/>
          <w:color w:val="111111"/>
          <w:sz w:val="28"/>
          <w:sz w:val="28"/>
          <w:szCs w:val="28"/>
          <w:rtl w:val="true"/>
          <w:lang w:bidi="fa-IR"/>
        </w:rPr>
        <w:t xml:space="preserve">مضافاً به اين‌كه در كلمات فقهاي قديم تعبيراتي وجود دارد كه به نظر مي‌آيد عنايت داشتند كه لعب به شطرنج و امثال آن فقط از نوع قماري را بگويند حرام است، ولي متأخرين خصوصاً از زمان علامه حلّي به بعد تصريح كرده‌اند لعب به شطرنج، نرد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حرام است؛ چه لعب با رهن باشد و چه بدون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قدما هم شيخ طوسي</w:t>
      </w:r>
      <w:r>
        <w:rPr>
          <w:rStyle w:val="FootnoteAnchor"/>
          <w:rtl w:val="true"/>
        </w:rPr>
        <w:footnoteReference w:id="115"/>
      </w:r>
      <w:r>
        <w:rPr>
          <w:rFonts w:ascii="Amiri" w:hAnsi="Amiri" w:eastAsia="Amiri" w:cs="Amiri"/>
          <w:color w:val="111111"/>
          <w:sz w:val="28"/>
          <w:sz w:val="28"/>
          <w:szCs w:val="28"/>
          <w:rtl w:val="true"/>
          <w:lang w:bidi="ar-SA"/>
        </w:rPr>
        <w:t>و حلبي</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 حرمت لعب بدون رهن كرده‌اند</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2902993_3804643083"/>
      <w:bookmarkStart w:id="179" w:name="_Toc67"/>
      <w:bookmarkEnd w:id="178"/>
      <w:r>
        <w:rPr>
          <w:rtl w:val="true"/>
        </w:rPr>
        <w:t>كلمات قدما در مورد لعب به شطرنج</w:t>
      </w:r>
      <w:bookmarkEnd w:id="179"/>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المقنع</w:t>
      </w:r>
      <w:r>
        <w:rPr>
          <w:rStyle w:val="FootnoteAnchor"/>
          <w:rtl w:val="true"/>
        </w:rPr>
        <w:footnoteReference w:id="117"/>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الشّطرنج قد روي فيه نهي و إطلاق</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يعني در مورد جواز لعب به شطرنج هم روايتي وارد شده است كه اين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مصححين كتاب المقنع، رواياتي كه مي‌تواند مورد نظر شيخ صدوق باشد را در پاورقي آورده‌اند از جمله روايتي كه قبلاً ذكر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لَمَشْغُولٌ عَنِ اللَّعِبِ</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عَنْ أَحْمَدَ بْنِ مُحَمَّدِ بْنِ يَحْيَى عَنْ أَبِيهِ عَنْ سَهْلِ بْنِ زِيَادٍ عَنْ مُحَمَّدِ بْنِ جَعْفَرِ بْنِ عُقْبَةَ عَنِ الْحَسَنِ بْنِ مُحَمَّدٍ ابْنِ أُخْتِ أَبِي مَالِكٍ عَنْ عَبْدِ اللَّهِ بْنِ سِنَانٍ عَنْ عَبْدِ الْوَاحِدِ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اللَّعِبِ بِالشِّطْرَنْجِ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لَمَشْغُولٌ عَنِ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الْحِمْيَرِيُّ فِي قُرْبِ الْإِسْنَادِ عَنْ مُحَمَّدِ بْنِ الْوَلِيدِ الْخَرَّازِ عَنْ بُكَيْرٍ عَنْ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چون اين تعبير دالّ بر حرمت</w:t>
      </w:r>
    </w:p>
    <w:p>
      <w:pPr>
        <w:pStyle w:val="BookText"/>
        <w:rPr/>
      </w:pPr>
      <w:r>
        <w:rPr>
          <w:rFonts w:ascii="IRNazanin" w:hAnsi="IRNazanin" w:eastAsia="IRNazanin"/>
          <w:color w:val="111111"/>
          <w:sz w:val="28"/>
          <w:sz w:val="28"/>
          <w:szCs w:val="28"/>
          <w:rtl w:val="true"/>
          <w:lang w:bidi="fa-IR"/>
        </w:rPr>
        <w:t>نيست، پس دالّ بر جواز است، در حالي كه اين بيان درست نيست؛ چون همان‌طور كه حرمت از آن استفاده نمي‌شود، حلّيت هم از آن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ديگري هم كه ذكر كرده‌اند هيچ كدام دالّ بر جواز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اين‌كه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روايات در حلّيت بازي شطرنج وارد شده، وجه اين سخن مشخص نيست و معلوم نيست كدام روايت مراد ايشان است و در المقنع و من لايحضره الفقيه نيز چنين روايتي نقل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تقبل شهادة مقامر و لا لاعب نرد و شطرنج و غيره من أنواع القمار</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قمار باز پذيرفته نمي‌شود، سپس عطف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لاعب نرد و 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شهادت كسي كه نرد و شطرنج بازي مي‌كند پذيرفته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 شيخ مفيد</w:t>
      </w:r>
    </w:p>
    <w:p>
      <w:pPr>
        <w:pStyle w:val="BookText"/>
        <w:rPr/>
      </w:pPr>
      <w:r>
        <w:rPr>
          <w:rFonts w:ascii="IRNazanin" w:hAnsi="IRNazanin" w:eastAsia="IRNazanin"/>
          <w:color w:val="111111"/>
          <w:sz w:val="28"/>
          <w:sz w:val="28"/>
          <w:szCs w:val="28"/>
          <w:rtl w:val="true"/>
          <w:lang w:bidi="fa-IR"/>
        </w:rPr>
        <w:t xml:space="preserve">تا اين‌جا بود مي‌توانستيم بگوييم اشعار دارد بر اين‌كه لعب شطرنج و نرد، غير از قمار است، امّا چون در ادامه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 من أنواع القمار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شطرنج و نرد را از انواع قمار ذكر كرده است، پس مي‌توانيم بگوييم كلام شيخ مفيد اشعار دارد كه لعب بدون رهن 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مرتضي اعلي الله مقامه در رسائل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 بالشطرنج و النرد محرم محظور و اللعب بالنرد أغلظ و أعظم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قبحة عند الشيعة الإمامية في اللعب بشي‌ء منها على وجه لا شيب</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معلوم نيست مراد سيد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وجه لا 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مرادشان هر چه باشد مي‌توان از اين عبارت استفاده كرد كه به هر حال سيد مرتضي مي‌خواهند استثنائي از حرمت لعب ذكر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شيخ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خلاف تصريح مي‌كند كه لعب بدون رهن هم حرام است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 بالشطرنج حرام على أي وجه كان، و يفسق فاعله به، و لا تقبل شهادته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در مبسوط هم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اللاعب بالشطرنج عندنا لا تقبل شهادته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على وجه المقامرة أو لم يكن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اللاعب بالشطرنج عندنا لا تقبل شهادته بحال، و كذلك النرد و الأربعة عشر، و غير ذلك من أنواع القمار، سواء كان على وجه المقامرة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من لعب به لا يخلو من أحد أمرين إما أن يلعب بعوض أو بغيره، فان لعب بعوض نظرت، فان كان قمارا و هو أن يخرج كل واحد منهما شيئا على أن من غلب كان المخرج كله له، فهو القمار و أكل المال بالباطل، ترد به شهادته و إن كان العوض غير قمار و هو على معنى النضال و المسابقة على الخيل مثل أن يخرج العوض أحدهما فيقول إن غلبتني فهو لك و إن غلبتك فلا شي‌ء لك و لا لي، فهذا لا ترد به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 بغير عوض فاما أن يترك الصلاة أو لا يترك، فان ترك الصلاة حتى يخرج وقتها، فان كان عامدا فقد فسق بترك الصلاة لا باللعب بالشطرنج، لأن فعل هذا فسق و إن كان لتشاغله بصلاة النافلة و إن كان ترك الصلاة بغير عمد مثل أن فاته وقت الصلاة لتشاغله بها و لم يعلم ذلك، فان كان هذا مرة واحدة لم ترد شهادته و إن كان الخطأ موضوعا عنه، و إن تكرر هذا منه فسق و ردت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محافظا على صلاته مداوما عليها في أوقاتها و إنما يتشاغل بها في غير أوقاتها لم يحرم ذلك عليه غير أنه مكروه، و قال بعض التابعين و هو سعيد بن المسيب و سعيد بن جبير أنه مباح طلق و ذكر أنه كان يلعب به استدبارا و معناه أن يولى ظهره و يقول بما ذا دفع؟ قالوا له دفع بكذا، يقول فادفع أنت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خلافي هم كه در ذيل در مورد لعب بدون رهن ذكر مي‌كند مربوط به عامه است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حلبي هم در الكافي تصريح مي‌كند و مي‌فرمايد</w:t>
      </w:r>
      <w:r>
        <w:rPr>
          <w:rFonts w:eastAsia="Amiri" w:cs="Amiri" w:ascii="Amiri" w:hAnsi="Amiri"/>
          <w:color w:val="111111"/>
          <w:sz w:val="28"/>
          <w:szCs w:val="28"/>
          <w:rtl w:val="true"/>
          <w:lang w:bidi="ar-SA"/>
        </w:rPr>
        <w:t>:</w:t>
      </w:r>
      <w:bookmarkStart w:id="180" w:name="pg2375_19631"/>
    </w:p>
    <w:p>
      <w:pPr>
        <w:pStyle w:val="BookText"/>
        <w:rPr/>
      </w:pPr>
      <w:bookmarkEnd w:id="180"/>
      <w:r>
        <w:rPr>
          <w:rFonts w:ascii="Amiri" w:hAnsi="Amiri" w:eastAsia="Amiri" w:cs="Amiri"/>
          <w:color w:val="111111"/>
          <w:sz w:val="28"/>
          <w:sz w:val="28"/>
          <w:szCs w:val="28"/>
          <w:rtl w:val="true"/>
          <w:lang w:bidi="ar-SA"/>
        </w:rPr>
        <w:t xml:space="preserve">يحرم آلات الملاهي كالعود و الطنبور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النرد و الشطرنج و سائر آلات القمار، و اللعب بها، و القمار</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عبارات عدّه‌اي از فقهاي قديم از اين حيث كه آيا فقط لعب مع الرهن حرام است و يا مطلق لعب، مجمل است و تقريباً عين همان عبارات روايات را ذكر كرده‌اند، بعضي از اين عبارات اشعار دارد به اين‌كه حرمت لعب شطرنج و نرد اعم است، ولي در حدّي نيست كه بتوانيم به آن‌ها نسبت دهيم</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2902995_3804643083"/>
      <w:bookmarkStart w:id="182" w:name="_Toc68"/>
      <w:bookmarkEnd w:id="181"/>
      <w:r>
        <w:rPr>
          <w:rtl w:val="true"/>
        </w:rPr>
        <w:t>مروري ديگر بر روايات براي نتيجه گيري نهايي حكم لعب بدون رهن</w:t>
      </w:r>
      <w:bookmarkEnd w:id="182"/>
    </w:p>
    <w:p>
      <w:pPr>
        <w:pStyle w:val="Heading6"/>
        <w:numPr>
          <w:ilvl w:val="5"/>
          <w:numId w:val="1"/>
        </w:numPr>
        <w:rPr/>
      </w:pPr>
      <w:bookmarkStart w:id="183" w:name="__RefHeading___Toc2902997_3804643083"/>
      <w:bookmarkStart w:id="184" w:name="_Toc69"/>
      <w:bookmarkEnd w:id="183"/>
      <w:r>
        <w:rPr>
          <w:rtl w:val="true"/>
        </w:rPr>
        <w:t xml:space="preserve">روايات باب </w:t>
      </w:r>
      <w:r>
        <w:rPr/>
        <w:t>102</w:t>
      </w:r>
      <w:r>
        <w:rPr>
          <w:rtl w:val="true"/>
        </w:rPr>
        <w:t xml:space="preserve"> </w:t>
      </w:r>
      <w:r>
        <w:rPr>
          <w:rtl w:val="true"/>
        </w:rPr>
        <w:t>از ابواب ما يكتسب به</w:t>
      </w:r>
      <w:bookmarkEnd w:id="184"/>
    </w:p>
    <w:p>
      <w:pPr>
        <w:pStyle w:val="BookText"/>
        <w:rPr/>
      </w:pPr>
      <w:r>
        <w:rPr>
          <w:rFonts w:ascii="Amiri" w:hAnsi="Amiri" w:eastAsia="Amiri" w:cs="Amiri"/>
          <w:color w:val="111111"/>
          <w:sz w:val="28"/>
          <w:sz w:val="28"/>
          <w:szCs w:val="28"/>
          <w:rtl w:val="true"/>
          <w:lang w:bidi="ar-SA"/>
        </w:rPr>
        <w:t>ـ روايت زيد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مُحَمَّدِ بْنِ خَالِدٍ وَ الْحُسَيْنِ بْنِ سَعِيدٍ جَمِيعاً عَنِ النَّضْرِ بْنِ سُوَيْدٍ عَنْ دُرُسْتَ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الشِّطْرَنْجُ 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مُرْسَلًا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اين روايت از لحاظ سند به خاطر درست،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الشّحّام مي‌گويد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سؤال كردم، حضرت فرمودند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الرِّجْسُ مِنَ الْأَوْثَانِ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شطرنج 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غناء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مرسله‌ي حفص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حَفْصِ بْنِ الْبَخْتَرِيِّ عَمَّنْ ذَكَرَهُ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مِنَ الْبَاطِلِ</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اين روايت مرسله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بن البختري از كسي كه نامش را ذكر كرد نقل مي‌كند كه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شطرنج از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مرسله‌ي ابن أبي عُمَير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بَعْضِ أَصْحَابِهِ عَنْ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هُوَ الشِّطْرَنْجُ 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اين روايت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مُرْسِل إبن ابي عمير است، بعضي آن را تمام مي‌دانند ولي به نظر ما تمام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عمير از بعضي اصحابش نقل مي‌كند كه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درباره‌ي آيه‌ي شريفه‌ي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شطرنج 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غناء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مُحَمَّدِ بْنِ الْحَكَمِ أَخِي هِشَامِ بْنِ الْحَكَمِ عَنْ عُمَرَ بْنِ يَزِيدَ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فِي كُلِّ لَيْلَةٍ مِنْ شَهْرِ رَمَضَانَ عُتَقَاءَ مِنَ النَّارِ إِلَّا مَنْ أَفْطَرَ عَلَى مُسْكِرٍ أَوْ مُشَاحِنٍ أَوْ صَاحِبَ شَاهَيْنِ</w:t>
      </w:r>
      <w:r>
        <w:rPr>
          <w:rStyle w:val="FootnoteAnchor"/>
          <w:rtl w:val="true"/>
        </w:rPr>
        <w:footnoteReference w:id="12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صَاحِبُ الشَّاهَيْنِ؟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اين روايت از لحاظ سند به خاطر محمد بن الحكم كه برادر هشام بن حكم است، ناتمام است؛ زيرا توثيقي درباره‌ي ايشان به ما نرسيده 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يزيد نقل مي‌كند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هر شبي از شب‌هاي ماه مبارك رمضان آزاد شده‌هايي از آتش جهنم دارد، مگر كسي كه با مسكري افطار كرده يا مشاحن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معنايش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w:t>
      </w:r>
    </w:p>
    <w:p>
      <w:pPr>
        <w:pStyle w:val="BookText"/>
        <w:rPr/>
      </w:pPr>
      <w:r>
        <w:rPr>
          <w:rFonts w:ascii="Amiri" w:hAnsi="Amiri" w:eastAsia="Amiri" w:cs="Amiri"/>
          <w:color w:val="111111"/>
          <w:sz w:val="28"/>
          <w:sz w:val="28"/>
          <w:szCs w:val="28"/>
          <w:rtl w:val="true"/>
          <w:lang w:bidi="ar-SA"/>
        </w:rPr>
        <w:t>دشمني با مؤمني دارد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الشَّحْناء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و كذلك الشِّحْنة، بالكسر، و قد شَحِنَ عليه شَحْنَاً و شاحَنَه، و عَدُوٌّ مُشاحِنٌ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شاحَنَه مُشاحنةً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الشَّحْناء، و آحَنَه مُؤَاحَنة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الإِحْنةِ، و هو مُشاحِنٌ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لكل بَشَرٍ ما خلا مُشْرِكاً أَو مُشاحِناً؛ المُشاحِنُ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التَّشاحُنُ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من الشَّحْناء العداوة؛ و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بالمُشاحن هاهنا صاحِبَ البِدْعة و المُفارِقَ لجماعة الأُمَّة،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المُشاحَنةُ ما دون القتال من السَّبِّ، و التَّعايُر من الشَّحْناءِ مأْخوذ، و هي العداوة، و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رجلًا كان بينه و بين أَخيه شَحْناء أَي 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 الأثر،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يغفر اللّه لكل عبد ما خلا مشركا أو مُشَاحِناً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المعادى و الشَّحْنَاءُ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التَّشَاحُنُ تفاعل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الأوزاعى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بِالْمُشَاحِنِ هاهنا صاحب البدعة المفارق لجماعة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كسي كه صاحب شاهَين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پرسيدم صاحب شاهين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كسي كه مزاول و مصاحب شطرنج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بعدي روايت پنجم است كه قبلاً آن را خوانده‌ايم</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ابْنِ فَضَّالٍ عَنْ عَلِيِّ بْنِ عُقْبَةَ عَنِ ابْنِ بُكَيْرٍ عَنْ زُرَارَةَ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الشِّطْرَنْجِ وَ عَنْ لُعْبَةِ شَبِيبٍ الَّتِي يُقَالُ لَهَا لُعْبَةُ الْأَمِيرِ وَ عَنْ لُعْبَةِ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 إِذَا مَيَّزَ اللَّهُ الْحَقَّ وَ الْبَاطِلَ مَعَ أَيِّهِمَا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روايت ششم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روايت ديگر عمر بن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مُحَمَّدِ بْنِ عِيسَى عَنْ يُونُسَ عَنِ الْحُسَيْنِ بْنِ عُمَرَ بْنِ يَزِيدَ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فِي شَهْرِ رَمَضَانَ إِلَّا لِثَلَاثَةٍ صَاحِبِ مُسْكِرٍ أَوْ صَاحِبِ شَاهَيْنِ أَوْ مُشَاحِنٍ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اين روايت از لحاظ سند به خاطر سهل بن زياد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يزيد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ماه مبارك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مي‌آمرزد به جز سه گروه؛ كسي كه صاحب مسكر است يا كسي كه صاحب شاهَين است و يا كسي كه مشاحن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مُعادي يا 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مَسْعَدة بن زياد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هَارُونَ بْنِ مُسْلِمٍ عَنْ مَسْعَدَةَ بْنِ زِيَادٍ عَنْ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الْمَجُوسِيَّةَ لِأَهْلِهَا لَعَنَهَا اللَّهُ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اين روايت از لحاظ سند ناتمام است</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رجال دو شخص به نام مسعدة بن زياد وجود دارد؛ يكي مسعدة بن زياد الربعي كه توثيق شده است و ديگري مسعدة بن زياد العبدي كه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دليل مي‌توانيم اطمينان پيدا كنيم كه در اين روايت راوي مسعدة بن زياد الربعي است كه توثيق شده و روايت صحيحه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اين‌كه مسعدة بن زياد الربعي مشهور است و اگر مسعدة بن زياد به طور مطلق بيان شود، منصرف به ايشان است و مشهور فقهاء هم روايت را صحيحه 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مرحوم مجلسي اول در روضة المتقين، علامه‌ي مجلسي در مرآه العقول، مرحوم امام در المكاسب، مرحوم سيد خويي، مرحوم تبريزي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روايت از مسعدة بن زياد العبدي در مجامع روايي نقل شده كه آن هم در تهذيب الاحكام است و مرحوم شيخ همان روايت را با سند ديگري از مسعدة بن صدقة نقل كرده كه اسم كامل ايشان، مسعدة بن صدقة العبدي است، بنابراين شايد بتوان گفت كه در آن‌جا اشتباهي رخ داده و مراد شيخ، همان مسعدة بن صدقة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زياد مي‌گويد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شطرنج سؤال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مجوسيت را براي اهلش رها كنيد، خدا لعنتش كند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ـ روايت محمد بن علي بن جعفر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مُوسَى بْنِ الْقَاسِمِ عَنْ مُحَمَّدِ</w:t>
      </w:r>
    </w:p>
    <w:p>
      <w:pPr>
        <w:pStyle w:val="BookText"/>
        <w:rPr/>
      </w:pPr>
      <w:r>
        <w:rPr>
          <w:rFonts w:ascii="Amiri" w:hAnsi="Amiri" w:eastAsia="Amiri" w:cs="Amiri"/>
          <w:color w:val="111111"/>
          <w:sz w:val="28"/>
          <w:sz w:val="28"/>
          <w:szCs w:val="28"/>
          <w:rtl w:val="true"/>
          <w:lang w:bidi="ar-SA"/>
        </w:rPr>
        <w:t>بْنِ عَلِيِّ بْنِ جَعْفَرٍ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تَقُولُ فِي الشِّطْرَنْجِ الَّتِي يُلْعَبُ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عَلِيُّ بْنُ الْحُسَيْنِ عَنِ الْحُسَيْنِ بْنِ عَلِيٍّ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نَاطِقاً فَكَانَ مَنْطِقُهُ بِغَيْرِ ذِكْرِ اللَّهِ كَانَ لَاغِياً وَ مَنْ كَانَ صَامِتاً فَكَانَ صَمْتُهُ لِغَيْرِ ذِكْرِ اللَّهِ كَانَ سَاهِياً ثُمَّ سَكَتَ فَقَامَ الرَّجُلُ وَ انْصَرَفَ</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اين روايت از لحاظ سند به خاطر محمد بن علي بن جعفر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پسر علي بن جعفر برادر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ظاهراً توثيقي از ايشان به ما نرسيده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علي بن جعفر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خدمت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درباره‌ي شطرنجي كه با آن بازي مي‌كنند چيست؟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كه رسول گرامي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سخن بگويد و سخن گفتن او به غير ذكر خدا باشد، لغوگو است و كسي كه سكوت كند، ولي سكوتش براي غير ذكر خدا باشد، سهو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كردند و آن مرد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نه دلالت بر حرمت دارد و نه إباحه، و نهايت چيزي كه از اين روايت استفاده مي‌شود آن است كه لعب به شطرنج لغو است، امّا اين‌كه لغوِ حرام است يا مباح، دلالتي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بتوان استظهار اباحه كرد و گفت شطرنج مصداق آن لغوي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سخني به غير ذكر خدا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چنين لغوي 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النَّوْفَلِيِّ عَنِ السَّكُونِيِّ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اللَّعِبِ بِالشِّطْرَنْجِ وَ النَّرْدِ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اين روايت از لحاظ سند به خاطر نوفلي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سكوني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بازي با شطرنج و نرد نهي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روايات اين باب؛ يعني روايت دهم، يازدهم، دوازدهم، سيزدهم، چهاردهم و پانزدهم را قبلاً بررسي كرده‌ايم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الاخبار، 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فِي مَعَانِي الْأَخْبَارِ عَنْ أَبِيهِ عَنْ سَعْدٍ عَنْ يَعْقُوبَ بْنِ يَزِيدَ عَنِ الْحَسَنِ بْنِ مَحْبُوبٍ وَ عَنْ مُحَمَّدِ بْنِ مُوسَى بْنِ الْمُتَوَكِّلِ عَنْ عَبْدِ اللَّهِ بْنِ جَعْفَرٍ الْحِمْيَرِيِّ عَنْ أَحْمَدَ بْنِ مُحَمَّدِ بْنِ عِيسَى عَنِ الْحَسَنِ بْنِ مَحْبُوبٍ عَنْ خَالِدِ بْنِ جَرِيرٍ عَنْ أَبِي الرَّبِيعِ الشَّامِيِّ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الشِّطْرَنْجِ وَ النَّرْدِ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 لَا تَقْرَبْهُ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عَنْ أَحْمَدَ بْنِ مُحَمَّدِ بْنِ يَحْيَى عَنْ أَبِيهِ عَنْ سَهْلِ بْنِ زِيَادٍ عَنْ مُحَمَّدِ بْنِ جَعْفَرِ بْنِ عُقْبَةَ عَنِ الْحَسَنِ بْنِ مُحَمَّدٍ ابْنِ أُخْتِ أَبِي مَالِكٍ عَنْ عَبْدِ اللَّهِ بْنِ سِنَانٍ عَنْ عَبْدِ الْوَاحِدِ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اللَّعِبِ بِالشِّطْرَنْجِ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لَمَشْغُولٌ عَنِ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الْحِمْيَرِيُّ فِي قُرْبِ الْإِسْنَادِ عَنْ مُحَمَّدِ بْنِ الْوَلِيدِ الْخَرَّازِ عَنْ بُكَيْرٍ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القمي،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فِي تَفْسِيرِهِ عَنْ أَبِي الْجَارُودِ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مُسْكِرٍ مِنَ الشَّرَابِ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فَالنَّرْدُ وَ الشِّطْرَنْجُ وَ كُلُّ قِمَارٍ مَيْسِرٌ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فَالْأَوْثَانُ الَّتِي كَانَتْ تَعْبُدُهَا الْمُشْرِكُونَ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فَالْأَقْدَاحُ الَّتِي كَانَتْ تَسْتَقْسِمُ بِهَا الْمُشْرِكُونَ مِنَ الْعَرَبِ فِي الْجَاهِلِيَّةِ كُلُّ هَذَا بَيْعُهُ وَ شِرَاؤُهُ وَ الِانْتِفَاعُ بِشَيْ‌ءٍ مِنْ هَذَا حَرَامٌ مِنَ اللَّهِ مُحَرَّمٌ وَ هُوَ رِجْسٌ مِنْ عَمَلِ الشَّيْطَانِ وَ قَرَنَ اللَّهُ الْخَمْرَ وَ الْمَيْسِرَ مَعَ الْأَوْثَانِ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الْعَيَّاشِيُّ فِي تَفْسِيرِهِ عَنْ حَمْدَوَيْهِ عَنْ يَعْقُوبَ بْنِ يَزِيدَ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اللَّعِبِ بِالشِّطْرَنْجِ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مِنَ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جُنْدَبٍ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مَيْسِرٌ وَ النَّرْدُ مَيْسِرٌ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الْجُعْفِيِّ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 النَّرْدُ مَيْسِرٌ</w:t>
      </w:r>
      <w:r>
        <w:rPr>
          <w:rFonts w:eastAsia="Amiri" w:cs="Amiri" w:ascii="Amiri" w:hAnsi="Amiri"/>
          <w:color w:val="111111"/>
          <w:sz w:val="28"/>
          <w:szCs w:val="28"/>
          <w:rtl w:val="true"/>
          <w:lang w:bidi="ar-SA"/>
        </w:rPr>
        <w:t>.</w:t>
      </w:r>
      <w:bookmarkStart w:id="185" w:name="pg2375_19640"/>
    </w:p>
    <w:p>
      <w:pPr>
        <w:pStyle w:val="Heading6"/>
        <w:numPr>
          <w:ilvl w:val="5"/>
          <w:numId w:val="1"/>
        </w:numPr>
        <w:rPr/>
      </w:pPr>
      <w:bookmarkStart w:id="186" w:name="__RefHeading___Toc2902999_3804643083"/>
      <w:bookmarkStart w:id="187" w:name="_Toc70"/>
      <w:bookmarkEnd w:id="185"/>
      <w:bookmarkEnd w:id="186"/>
      <w:r>
        <w:rPr>
          <w:rtl w:val="true"/>
        </w:rPr>
        <w:t xml:space="preserve">روايات باب </w:t>
      </w:r>
      <w:r>
        <w:rPr/>
        <w:t>103</w:t>
      </w:r>
      <w:r>
        <w:rPr>
          <w:rtl w:val="true"/>
        </w:rPr>
        <w:t xml:space="preserve"> </w:t>
      </w:r>
      <w:r>
        <w:rPr>
          <w:rtl w:val="true"/>
        </w:rPr>
        <w:t>از ابواب ما يكتسب به</w:t>
      </w:r>
      <w:bookmarkEnd w:id="187"/>
    </w:p>
    <w:p>
      <w:pPr>
        <w:pStyle w:val="BookText"/>
        <w:rPr/>
      </w:pPr>
      <w:r>
        <w:rPr>
          <w:rFonts w:ascii="IRNazanin" w:hAnsi="IRNazanin" w:eastAsia="IRNazanin"/>
          <w:color w:val="111111"/>
          <w:sz w:val="28"/>
          <w:sz w:val="28"/>
          <w:szCs w:val="28"/>
          <w:rtl w:val="true"/>
          <w:lang w:bidi="fa-IR"/>
        </w:rPr>
        <w:t>در اين باب رواياتي كه شدت حرمت شطرنج را مي‌رساند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وسائل اين باب را چنين نام‌گذاري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تَحْرِيمِ الْحُضُورِ عِنْدَ اللَّاعِبِ بِالشِّطْرَنْجِ وَ السَّلَامِ عَلَيْهِ وَ بَيْعِهِ وَ شِرَائِهِ وَ أَكْلِ ثَمَنِهِ وَ اتِّخَاذِهِ وَ النَّظَرِ إِلَيْهِ وَ تَقْلِيبِهِ وَ أَنَّ مَنْ قَلَّبَهُ يَنْبَغِي أَنْ يَغْسِلَ يَدَهُ قَبْلَ أَنْ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اين باب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حماد بن 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الْبَصْرِيِّينَ عَلَى أَبِي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أَقْعُدُ مَعَ قَوْمٍ يَلْعَبُونَ بِالشِّطْرَنْجِ وَ لَسْتُ أَلْعَبُ بِهَا وَ لَكِنْ أَنْظُرُ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لِمَجْلِسٍ لَا يَنْظُرُ اللَّهُ إِلَى أَهْلِهِ</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بن عيسي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بصريين وارد بر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قوم و گروهي مي‌نشينم كه شطرنج بازي مي‌كنند، ولي من با آن‌ها بازي نمي‌كنم، فقط نگاه 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مجلسي كه خداوند به اهل آن نگاه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دلالت بر حرمت مطلق لعب ندارد؛ زيرا فوقش دلالت مي‌كند كه مجلس، مجلس معصيت است</w:t>
      </w:r>
      <w:r>
        <w:rPr>
          <w:rStyle w:val="FootnoteAnchor"/>
          <w:rtl w:val="true"/>
        </w:rPr>
        <w:footnoteReference w:id="140"/>
      </w:r>
      <w:r>
        <w:rPr>
          <w:rFonts w:ascii="IRNazanin" w:hAnsi="IRNazanin" w:eastAsia="IRNazanin"/>
          <w:color w:val="111111"/>
          <w:sz w:val="28"/>
          <w:sz w:val="28"/>
          <w:szCs w:val="28"/>
          <w:rtl w:val="true"/>
          <w:lang w:bidi="fa-IR"/>
        </w:rPr>
        <w:t>، امّا دلالت ندارد كه چگونه بازي كردن آن معصيت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سليمان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عَلِيِّ بْنِ سَعِيدٍ عَنْ سُلَيْمَانَ الْجَعْفَرِيِّ عَنْ أَبِي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 فِي الشِّطْرَنْجِ كَالْمُطَّلِعِ فِي النَّارِ</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اين روايت از لحاظ سند به خاطر سهل بن زياد و علي بن سعيد ناتمام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الجعفري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نگاه به شطرنج مي‌كند مثل كسي است كه نگاه به آتش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ايهامي دارد كه حرمت را برساند، ولي باز مشخص نكرده چه نوع اطلاع و نگاه كردني حرام است؛ زيرا قطعاً نگاه كردن از حيث بازي حرام است ـ و الا اگر كسي به شطرنج بدون بازي نگاه كند كه در آتش نظر نكرده است ـ امّا چه نوع بازيي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مي‌توان استيناس كرد كه شايد بازي بدون رهن هم حرام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ابن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الْمُقَلِّبُ لَهَا كَالْمُقَلِّبِ لَحْمَ الْخِنْزِيرِ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مَنْ قَلَّبَ لَحْمَ الْخِنْزِيرِ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يَدَهُ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اين روايت از لحاظ سند به خاطر سهل بن زياد ناتمام است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رئاب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شطرنج چه مي‌فرماييد؟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مي‌شود كه خيلي مورد ابتلاء بوده كه اين همه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شطرنج را زير و رو كند، مانند كسي است كه گوشت خوك را زير و رو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گوشت خوك را زير و رو كند چه حكمي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تنهايي نه دالّ بر حرمت است و نه دالّ بر حليت، گرچه بعضي گفته‌اند دالّ بر حلّيت است؛ زيرا به هر حال دست زدن به لحم خنزير كه حرام نيست، فقط براي نماز بايد دست‌ها را تطهير كرد، ولي به نظر مي‌رسد حضرت كأنّ مي‌خواهند بفرمايند كه با دست زدن به شطرنج، روح نجس مي‌شود و الا معلوم است كه دست نجس نمي‌شود و اگر مي‌خواهد توبه كند بايد دستش را بشويد و اين منافات با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دليلي دالّ بر حرمت باشد با اين روايت نمي‌توان آن را تخصيص زد، علاوه آن‌كه از لحاظ سند هم ناتمام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ـ صحيحه‌ي أبي بصير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إِدْرِيسَ فِي آخِرِ السَّرَائِرِ نَقْلًا مِنْ كِتَابِ جَامِعِ الْبَزَنْطِيِّ عَنْ أَبِي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w:t>
      </w:r>
    </w:p>
    <w:p>
      <w:pPr>
        <w:pStyle w:val="BookText"/>
        <w:rPr/>
      </w:pPr>
      <w:r>
        <w:rPr>
          <w:rFonts w:ascii="Amiri" w:hAnsi="Amiri" w:eastAsia="Amiri" w:cs="Amiri"/>
          <w:color w:val="111111"/>
          <w:sz w:val="28"/>
          <w:sz w:val="28"/>
          <w:szCs w:val="28"/>
          <w:rtl w:val="true"/>
          <w:lang w:bidi="ar-SA"/>
        </w:rPr>
        <w:t>الشِّطْرَنْجِ حَرَامٌ وَ أَكْلُ ثَمَنِهِ سُحْتٌ وَ اتِّخَاذُهَا كُفْرٌ وَ اللَّعِبُ بِهَا شِرْكٌ وَ السَّلَامُ عَلَى اللَّاهِي بِهَا مَعْصِيَةٌ وَ كَبِيرَةٌ مُوبِقَةٌ وَ الْخَائِضُ فِيهَا يَدَهُ كَالْخَائِضِ يَدَهُ فِي لَحْمِ الْخِنْزِيرِ لَا صَلَاةَ لَهُ حَتَّى يَغْسِلَ يَدَهُ كَمَا يَغْسِلُهَا مِنْ مَسِّ لَحْمِ الْخِنْزِيرِ وَ النَّاظِرُ إِلَيْهَا كَالنَّاظِرِ فِي فَرْجِ أُمِّهِ وَ اللَّاهِي بِهَا وَ النَّاظِرُ إِلَيْهَا فِي حَالِ مَا يُلْهَى بِهَا وَ السَّلَامُ عَلَى اللَّاهِي بِهَا فِي حَالَتِهِ تِلْكَ فِي الْإِثْمِ سَوَاءٌ وَ مَنْ جَلَسَ عَلَى اللَّعِبِ بِهَا فَقَدْ تَبَوَّأَ مَقْعَدَهُ مِنَ النَّارِ وَ كَانَ عَيْشُهُ ذَلِكَ حَسْرَةً عَلَيْهِ فِي الْقِيَامَةِ وَ إِيَّاكَ وَ مُجَالَسَةَ اللَّاهِي وَ الْمَغْرُورِ بِلَعِبِهَا فَإِنَّهَا مِنَ الْمَجَالِسِ الَّتِي بَاءَ أَهْلُهَا بِسَخَطٍ مِنَ اللَّهِ يَتَوَقَّعُونَهُ فِي كُلِّ سَاعَةٍ فَيَعُمُّكَ مَعَهُمْ</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بررسي سند روايت</w:t>
      </w:r>
    </w:p>
    <w:p>
      <w:pPr>
        <w:pStyle w:val="BookText"/>
        <w:rPr/>
      </w:pPr>
      <w:r>
        <w:rPr>
          <w:rFonts w:ascii="IRNazanin" w:hAnsi="IRNazanin" w:eastAsia="IRNazanin"/>
          <w:color w:val="111111"/>
          <w:sz w:val="28"/>
          <w:sz w:val="28"/>
          <w:szCs w:val="28"/>
          <w:rtl w:val="true"/>
          <w:lang w:bidi="fa-IR"/>
        </w:rPr>
        <w:t>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إِدْرِيسَ فِي آخِرِ السَّرَائِرِ نَقْلًا مِنْ كِتَابِ جَامِعِ الْبَزَنْطِيِّ عَنْ أَبِي بَصِيرٍ عَنْ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ادريس ـ كه معروف به فحل العلماء و از نوادگان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دوره‌اي بينِ شيخ طوسي و محقق حلّي</w:t>
      </w:r>
      <w:bookmarkStart w:id="188" w:name="pg2375_19645"/>
    </w:p>
    <w:p>
      <w:pPr>
        <w:pStyle w:val="BookText"/>
        <w:rPr/>
      </w:pPr>
      <w:bookmarkEnd w:id="188"/>
      <w:r>
        <w:rPr>
          <w:rFonts w:ascii="IRNazanin" w:hAnsi="IRNazanin" w:eastAsia="IRNazanin"/>
          <w:color w:val="111111"/>
          <w:sz w:val="28"/>
          <w:sz w:val="28"/>
          <w:szCs w:val="28"/>
          <w:rtl w:val="true"/>
          <w:lang w:bidi="fa-IR"/>
        </w:rPr>
        <w:t xml:space="preserve">حيات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متوفاي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فقه واقعاً فحل بودند، هرچند مسلك‌هاي خاصي هم داشتند ـ در آخر كتاب فقهي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الحاوي لتحرير الفتاوي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رواياتي را از اصول معتمده‌ي عند الشيعه كه منابع كتب اربعه نيز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جامع البزنطي، نوادر المصنّفِ محمد بن علي بن محبوب الاشعري، المشيخة الحسن بن محبوب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گلچين كرده و اسم آن را مستطرفات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سندي به اين كتب ارائه نمي‌دهد كه مثلاً با كدام سند از جامع بزنطي يا المشيخة حسن بن محبوب نقل مي‌كند</w:t>
      </w:r>
      <w:r>
        <w:rPr>
          <w:rFonts w:eastAsia="IRNazanin" w:cs="IRNazanin"/>
          <w:color w:val="111111"/>
          <w:sz w:val="28"/>
          <w:szCs w:val="28"/>
          <w:rtl w:val="true"/>
          <w:lang w:bidi="fa-IR"/>
        </w:rPr>
        <w:t>.</w:t>
      </w:r>
    </w:p>
    <w:p>
      <w:pPr>
        <w:pStyle w:val="Heading5"/>
        <w:numPr>
          <w:ilvl w:val="4"/>
          <w:numId w:val="1"/>
        </w:numPr>
        <w:rPr/>
      </w:pPr>
      <w:bookmarkStart w:id="189" w:name="__RefHeading___Toc2903001_3804643083"/>
      <w:bookmarkStart w:id="190" w:name="_Toc71"/>
      <w:bookmarkEnd w:id="189"/>
      <w:r>
        <w:rPr>
          <w:rtl w:val="true"/>
        </w:rPr>
        <w:t>بررسي سند صاحب وسائل تا ابن ادريس حلّي</w:t>
      </w:r>
      <w:r>
        <w:rPr>
          <w:rtl w:val="true"/>
        </w:rPr>
        <w:t xml:space="preserve">- </w:t>
      </w:r>
      <w:r>
        <w:rPr>
          <w:rtl w:val="true"/>
        </w:rPr>
        <w:t xml:space="preserve">قدس سرهما </w:t>
      </w:r>
      <w:r>
        <w:rPr>
          <w:rtl w:val="true"/>
        </w:rPr>
        <w:t>-</w:t>
      </w:r>
      <w:bookmarkEnd w:id="190"/>
    </w:p>
    <w:p>
      <w:pPr>
        <w:pStyle w:val="BookText"/>
        <w:rPr/>
      </w:pPr>
      <w:r>
        <w:rPr>
          <w:rFonts w:ascii="IRNazanin" w:hAnsi="IRNazanin" w:eastAsia="IRNazanin"/>
          <w:color w:val="111111"/>
          <w:sz w:val="28"/>
          <w:sz w:val="28"/>
          <w:szCs w:val="28"/>
          <w:rtl w:val="true"/>
          <w:lang w:bidi="fa-IR"/>
        </w:rPr>
        <w:t>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يحذو حذوه در مثل چنين جايي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صاحب وسائل به سرائر سند صحيح دارد، ولي چون ابن ادريس به جامع بزنطي سندي ارائه نمي‌دهد، پس رواياتي كه از اين كتاب نقل مي‌كند مرسله بوده و از حجّيت ساقط مي‌شود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ضعيف، لجهالة طريق ابن إدريس إلى جامع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أن الطريق قد وصل إليه إما بالتواتر أو بخبر محفوف بقرينة قطعية، لأنه لا يعمل بأخبار الآحاد 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نقل ابن ادريس عن كتاب حريز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ردّ هذه الدعوي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أقصى ما يترتب على هذه الدعوى هو أن ابن إدريس كان معتقداً اعتقاداً باتاً بأنّ ما وصل إليه باسم كتاب حريز كان هو كتابه حقاً، لكن من الواضح أنّ اعتقاده حجّة له بخصوصه و لا ينفع غيره ممن لا يحمل تلك العقيدة فهو المأمور بالعمل به لا غير، و من الضروري أنّ مجرد قطعه بذلك الناشئ عن القرائن الحدسية الاجتهادية لا يستوجب عدّ خبره من الإخبار عن الحس لتشمله أدلة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مجال للاعتماد على شي‌ء مما يرويه ابن إدريس عن الرواة الذين لا نعلم الوسائط بينه و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مرحوم سيد خويي در اواخر في‌الجمله از نظر خود برگشته‌اند و در بحث استقبال قبله، روايتي را از جامع بزنطي نقل مي‌كنند و سند ابن ادريس به جامع بزنطي را مي‌پذيرند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الخوئي،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ابن إدريس في آخر السرائر نقلًا من كتاب الجامع للبزنطي صاحب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يقدح فيه جهالة طريق ابن إدريس إلى كتاب الجامع، لما هو المعلوم من مسلكه من إنكاره حجية الخبر الواحد و انه لا يعتمد الا على الخبر المتواتر أو ما في حكمه مما يورث القطع بالصدور فيظهر أنّ الكتاب واصل اليه بالتواتر أو ما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صحيحة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قائل به عكس كلام سيد خويي هستيم 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جايي كه سند صاحب وسائل به سرائر اجازةً بوده،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يا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ارزش روايي به معني دقيق كلمه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برخي فوائد بر آن مترتب است، مثل اين‌كه به نظر مجيز، كتاب مورد اجازه از مؤلف مورد ذكر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كسي از استاد و شيخ خود روايات كتابي را كه نقل مي‌كند به نحو سماعي است، به اين صورت كه وقتي از آن كتاب نسخه برداري مي‌كرد، استاد آن روايات را بر او قرائت مي‌كرد تا مطابقت كند و او هم در نقل روايت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هم بر استاد قرائت مي‌كرد تا هر جا مطابق نبود استاد تذكر دهد و در نقل آن هم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هم به صورت اجازه بود كه اين خود دو صورت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نسخه‌اي از كتاب را كه در دست داشت به او مي‌داد و به 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اجازه‌ي نقل روايات اين كتاب را از طريق خودم به تو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كتابي را استنساخ مي‌كرد يا نسخه‌اي را به گونه‌اي تهيّه مي‌كرد و استاد به او مي‌گفت من اجازه مي‌دهم آن كتابي كه استنساخ كرده‌اي از طريق من روايت كني بدون آن‌كه استاد آن كتاب را 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اخير كه الآن هم مرسوم است، به تعبير بعضي بيشتر تبركاً و تيمناً است؛ چون استاد آن نسخه‌اي را كه او استنساخ كرده نديده، بلكه به طور كلّي اجازه‌ي نقل روايت از طريق خودش را به او داده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تتبع به اين اطمينان مي‌رسيم سندي كه 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كتاب سرائر دارد، از قسم اخير است و اصلاً عادتاً ممكن نبود كه اين همه كتاب را از اساتيد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گاهي به يك كتاب سندهاي مختلفي ارائه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كند يا بر آن‌ها قرائت كند يا اين‌كه اساتيد نسخه‌ي كتاب خودشان را به او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w:t>
      </w:r>
    </w:p>
    <w:p>
      <w:pPr>
        <w:pStyle w:val="BookText"/>
        <w:rPr/>
      </w:pPr>
      <w:r>
        <w:rPr>
          <w:rFonts w:ascii="IRNazanin" w:hAnsi="IRNazanin" w:eastAsia="IRNazanin"/>
          <w:color w:val="111111"/>
          <w:sz w:val="28"/>
          <w:sz w:val="28"/>
          <w:szCs w:val="28"/>
          <w:rtl w:val="true"/>
          <w:lang w:bidi="fa-IR"/>
        </w:rPr>
        <w:t>مورد آن‌چه نقل شده كه علامه‌ي مجلسي و 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 اساتيدي كه داشتند، با يك‌ديگر تبادل اجازه كرده‌اند؛ آيا مي‌توان اين را پذيرفت كه هر كدام كتاب‌هاي خودشان را براي ديگري در مدت مثلاً چند ماه قرائت كرده‌اند؟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شواهد ديگري نيز وجود دارد كه براي ما مثل آفتاب روشن است</w:t>
      </w:r>
      <w:r>
        <w:rPr>
          <w:rStyle w:val="FootnoteAnchor"/>
          <w:rtl w:val="true"/>
        </w:rPr>
        <w:footnoteReference w:id="147"/>
      </w:r>
      <w:r>
        <w:rPr>
          <w:rFonts w:ascii="Amiri" w:hAnsi="Amiri" w:eastAsia="Amiri" w:cs="Amiri"/>
          <w:color w:val="111111"/>
          <w:sz w:val="28"/>
          <w:sz w:val="28"/>
          <w:szCs w:val="28"/>
          <w:rtl w:val="true"/>
          <w:lang w:bidi="ar-SA"/>
        </w:rPr>
        <w:t xml:space="preserve">كه اين اجازات از قسم اخير مي‌باشد؛ مثلاً يكي از اجازات مهم، اجازه‌ي علّامه‌ي حلّي است كه قرن‌ها قبل از صاحب وسائل حيات داشتند ـ علّامه‌ي حلّي متوفاي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وسائل متوفاي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علّامه‌ي حلّي در اجازه‌اي كه به بني زهره مي‌دهند مي‌فرمايند</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صورة الإجازة الكبيرة المعروفة من العلامة لبني زهرة الحلبي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حمدا لله على تواتر نعمائه و تظافر 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في هذا العصر ورود الأمر الصادر من المولى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المحاسن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تبارك و تعالى بالعنايات الإلهية و أمده بالسعادات الربانية و أفاض على المستفيدين من جزيل كماله كما أسبغ عليهم من فواضل نواله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سبب إجازة صادرة من العبد له و لأقاربه السادات الأماجد المؤيدين من الله تعالى في المصادر و الموارد و أجوبة عن مسائل دقيقة لطيفة و مباحث عميقة شريفة فامتثلت أمره رفع الله قدره و بادرت إلى طاعته و إن استلزمت سوء الأدب المغتفر في جنب الاحتراز عن مخالفته و إلا فهو معدن الفضل و التحصيل و ذلك غني عن حجة و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أجزت له أدام الله أيامه و لولده المعظم و السيد المكرم شرف الملة و الدين أبي عبد الله الحسين و لأخيه الكبير الأمجد و السيد المعظم الممجد بدر الدين أبي عبد الله محمد و لولديه الكبيرين المعظمين أبي طالب أحمد أمين الدين و أبي محمد عز الدين حسن عضدهما الله تعالى بدوام أيام مولانا أن يروي هو و هم عني جميع ما صنفته في العلوم العقلية و النقلية أو أنشأته أو قرأته أو أجيز لي روايته أو سمعته من كتب أصحابنا السابقين رضوان الله عليهم أجمعين و جميع ما أجازه لي المشايخ الذين عاصرتهم و استفدت من أنفاسهم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اجازه دادم</w:t>
      </w:r>
    </w:p>
    <w:p>
      <w:pPr>
        <w:pStyle w:val="BookText"/>
        <w:rPr/>
      </w:pPr>
      <w:r>
        <w:rPr>
          <w:rFonts w:ascii="Amiri" w:hAnsi="Amiri" w:eastAsia="Amiri" w:cs="Amiri"/>
          <w:color w:val="111111"/>
          <w:sz w:val="28"/>
          <w:sz w:val="28"/>
          <w:szCs w:val="28"/>
          <w:rtl w:val="true"/>
          <w:lang w:bidi="ar-SA"/>
        </w:rPr>
        <w:t>تمام كتاب‌هايم را از من روايت كنيد ـ در حالي كه معلوم است بني زهره كه افراد زيادي بودند</w:t>
      </w:r>
      <w:r>
        <w:rPr>
          <w:rStyle w:val="FootnoteAnchor"/>
          <w:rtl w:val="true"/>
        </w:rPr>
        <w:footnoteReference w:id="149"/>
      </w:r>
      <w:r>
        <w:rPr>
          <w:rFonts w:ascii="Amiri" w:hAnsi="Amiri" w:eastAsia="Amiri" w:cs="Amiri"/>
          <w:color w:val="111111"/>
          <w:sz w:val="28"/>
          <w:sz w:val="28"/>
          <w:szCs w:val="28"/>
          <w:rtl w:val="true"/>
          <w:lang w:bidi="ar-SA"/>
        </w:rPr>
        <w:t>اين كتب را نزد علامه نخوانده بودند ـ حتّي در اجازه‌اي كه به سيد مهنا</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صورة إجازة أخرى له قدس الله روحه للسيد مهنا بن سنان المذكور طاب ثراه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العبد الفقير إلى الله تعالى حسن بن يوسف بن المطهر، قد أجزت للمولى السيد الحسيب النسيب المعظم المرتضى سيد الأشراف مفخر آل عبد مناف نجم الملة و الحق و الدين مهنا بن سنان العلوي الحسيني أدام الله إفضاله و أعز إقباله و بلغه في الدارين آماله و ختم بالصالحات أعماله، أن يروي عني جميع ما صنفته من الكتب في العلوم العقلية و النقلية و جميع ما أصنفه و أمليه في مستقبل الزمان إن وفق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أدام الله أيامه أن يروي عني جميع ما رويته و أجيز لي روايته في جميع العلوم العقلية و النقلية و كذا أجزت له أن يروي عني جميع ما صنفته و رويته و أجيز لي روايته و ثبت عنده روايتي له من جميع المصنفات و الروايات </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مي‌دهند، تصريح</w:t>
      </w:r>
    </w:p>
    <w:p>
      <w:pPr>
        <w:pStyle w:val="BookText"/>
        <w:rPr/>
      </w:pPr>
      <w:r>
        <w:rPr>
          <w:rFonts w:ascii="IRNazanin" w:hAnsi="IRNazanin" w:eastAsia="IRNazanin"/>
          <w:color w:val="111111"/>
          <w:sz w:val="28"/>
          <w:sz w:val="28"/>
          <w:szCs w:val="28"/>
          <w:rtl w:val="true"/>
          <w:lang w:bidi="fa-IR"/>
        </w:rPr>
        <w:t>مي‌كنند آن كتاب‌هايي كه هنوز تتميم نكرده‌ام يا در آينده خواهم نوشت را هم اجازه مي‌دهم از من نقل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به وضوح نشان مي‌دهد كه اين اجازه از قسم اخير است و الا بني زهره چطور كتابي را كه هنوز علامه آن را ننوشته، از ايشان سماع كرده يا بر ايشان قرائت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علامه فقط اين است كه اين كتب را مي‌توانيد و اجازه داريد از من نقل كنيد، امّا پيدا كردن نسخه‌ي صحيح اين كتب ديگر بر عهده‌ي خودشان است، پس اين اجازه صرفاً به جهت تبرك و تيمن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 اين‌كه در مواردي هم كه نسخه‌اي متواتر بوده يا محفوف به قرائن بوده است ـ مانند مواردي كه صاحب منتقي الجمان</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قد رأيت في نسخة التهذيب التى عندي بخط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مي‌فرمايد فلان كتاب كه به خط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نزد من مي‌باشد ـ باز آن كتاب را از اساتيدشان اجازه مي‌گرفتند و اين نشان مي‌دهد كه اين كار جهت اتصال سلسله تبركاً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مثلاً شيخ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نقل روايت از كتابي مي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سماعاً منه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عن علي بن الحسن بن فضال فقد أخبرني به أحمد بن عبدون المعروف بابن الحاشر سماعا منه و إجازة عن علي بن محمد بن الزبير عن علي بن الحسن بن فضال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در بعضي موارد 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الشّيخ المفيد أبو علىّ الطّوسى قرائة عليه عن شيخه قال أخبرنا الحفّار قال حدّثنا أبو القاسم الدّعبلى قال </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 xml:space="preserve">جاي ديگر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اجازةً منه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على ظهر نسخة من التبيان للشيخ الطوسي إجازة منه بخطه الشريف للشيخ أبي الوفاء عبد الجبّار هذا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معلوم است اين‌ها تفاوت‌هايي داشته است و الا اگر فرقي نداشت چرا اين تعابير را مي‌فرمود؟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اين قرائني كه توضيح داديم معلوم مي‌شود سند صاحب وسائل به سرائر ابن ادريس، به نحو اجازه بوده و تمام نيست، امّا با اين حال مي‌گوييم اجازه‌اي بودن سند صاحب وسائل به سرائر اهميتي ندارد؛ زيرا كتاب سرائر معروف و معلوم است و كسي در انتساب آن به جناب ابن ادريس شكي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مورد انتساب بعضي نسخ كتاب‌هايي مثل تفسير علي بن ابراهيم، از آن جايي كه در آن كلام هست و اطميناني در مورد آن وجود ندارد، داشتن سند اهميت دارد امّا در مورد كتبي مثل سرائر، شرايع، قواعد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كسي در انتساب نسخ به صاحبان آن شكي ندارد، نداشتن سند ضربه‌اي نمي‌زند</w:t>
      </w:r>
      <w:r>
        <w:rPr>
          <w:rFonts w:eastAsia="IRNazanin" w:cs="IRNazanin"/>
          <w:color w:val="111111"/>
          <w:sz w:val="28"/>
          <w:szCs w:val="28"/>
          <w:rtl w:val="true"/>
          <w:lang w:bidi="fa-IR"/>
        </w:rPr>
        <w:t>.</w:t>
      </w:r>
      <w:bookmarkStart w:id="191" w:name="pg2375_19652"/>
    </w:p>
    <w:p>
      <w:pPr>
        <w:pStyle w:val="Heading5"/>
        <w:numPr>
          <w:ilvl w:val="4"/>
          <w:numId w:val="1"/>
        </w:numPr>
        <w:rPr/>
      </w:pPr>
      <w:bookmarkStart w:id="192" w:name="__RefHeading___Toc2903003_3804643083"/>
      <w:bookmarkStart w:id="193" w:name="_Toc72"/>
      <w:bookmarkEnd w:id="191"/>
      <w:bookmarkEnd w:id="192"/>
      <w:r>
        <w:rPr>
          <w:rtl w:val="true"/>
        </w:rPr>
        <w:t>بررسي سند ابن ادريس به جامع بزنطي</w:t>
      </w:r>
      <w:bookmarkEnd w:id="193"/>
    </w:p>
    <w:p>
      <w:pPr>
        <w:pStyle w:val="BookText"/>
        <w:rPr/>
      </w:pPr>
      <w:r>
        <w:rPr>
          <w:rFonts w:ascii="IRNazanin" w:hAnsi="IRNazanin" w:eastAsia="IRNazanin"/>
          <w:color w:val="111111"/>
          <w:sz w:val="28"/>
          <w:sz w:val="28"/>
          <w:szCs w:val="28"/>
          <w:rtl w:val="true"/>
          <w:lang w:bidi="fa-IR"/>
        </w:rPr>
        <w:t>در مورد سند ابن ادريس به جامع بزنطي هم همين حرف را مي‌زنيم؛ يعني اگر ابن ادريس به جامع بزنطي سندي هم نداشته باشد ـ هرچند اجمالاً مي‌دانيم سند دارد ـ مشكلي ايجاد نمي‌شود؛ چون جامع بزنطي در آن زمان معروف بوده و اطمينان وجود داشت كه نسخ موجود، همان جامع بزنطي است و كسي در آن دسّ نكرده است، بنابراين اگر ابن ادريس سند هم نداشته باشد، مشكلي ندارد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كتابي معروف باشد و در انتساب آن به صاحبش شكي وجود نداشته باشد، احتياجي به داشتن سند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راه‌هاي تشخيص اين‌كه آيا كتابي معروف و قابل اعتماد بوده يا نه، اين است كه در كتب قديمه جستجو كنيم و ببينيم آيا نامي از اين كتاب در آن كتب برده شده تا معروف باشد يا اين‌كه نسخه‌ي استثنائي منحصر به فردي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بحمد الله با وجود رايانه، جستجو كردن آسان شده و با يك جستجوي ساده در مورد مثلاً جامع بزنطي، مي‌توان به راحتي مشاهده كرد كه چقدر در كتب قديمه 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رساله‌ي ابوغالب زراري كه از طايفه‌ي آل اعين است، در شرايع محقق حلّي، در منتهي المطلب علامه‌ي حلّي و در ذكري شهيد</w:t>
      </w:r>
    </w:p>
    <w:p>
      <w:pPr>
        <w:pStyle w:val="BookText"/>
        <w:rPr/>
      </w:pPr>
      <w:r>
        <w:rPr>
          <w:rFonts w:ascii="Amiri" w:hAnsi="Amiri" w:eastAsia="Amiri" w:cs="Amiri"/>
          <w:color w:val="111111"/>
          <w:sz w:val="28"/>
          <w:sz w:val="28"/>
          <w:szCs w:val="28"/>
          <w:rtl w:val="true"/>
          <w:lang w:bidi="ar-SA"/>
        </w:rPr>
        <w:t>اوّل از جامع البزنطي نقل مي‌كند</w:t>
      </w:r>
      <w:r>
        <w:rPr>
          <w:rStyle w:val="FootnoteAnchor"/>
          <w:rtl w:val="true"/>
        </w:rPr>
        <w:footnoteReference w:id="154"/>
      </w:r>
      <w:r>
        <w:rPr>
          <w:rFonts w:ascii="IRNazanin" w:hAnsi="IRNazanin" w:eastAsia="IRNazanin"/>
          <w:color w:val="111111"/>
          <w:sz w:val="28"/>
          <w:sz w:val="28"/>
          <w:szCs w:val="28"/>
          <w:rtl w:val="true"/>
          <w:lang w:bidi="fa-IR"/>
        </w:rPr>
        <w:t>، بنابراين جامع البزنطي كتاب معروفي بوده و اطمينان وجود دارد نسخ متفاوتي نداشته و آن نسخه‌ي معروف صحيح در دست ابن ادريس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سند روايت تا احمد بن محمد بن ابي نصر البزنطي تمام است و او هم از أبي بصير نقل مي‌كند كه ثقه است، پس روايت از لحاظ سند به نظر ما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ترجمه‌ي روايت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خريد و فروش شطرنج حرام و خوردن ثمن آن سحت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مي‌رسد اين‌كه حضرت هم خريد و فروش را مي‌فرمايند حرام است و هم خوردن ثمن آن سحت است؛ يعني هم حرمت تكليفي و هم حرمت وضعي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كفر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مقصود داشتني كه مناسب با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داشتن براي بازي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هم نيست مراد مطلق داشتن باشد</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بازي با آن شرك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شركي نيست كه از اسلام خارج مي‌كند و مهدور الدم مي‌شود، بلكه مرتبه‌اي از كفر و شرك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كردن بر كسي كه اهل شطرنج است، معصيت كبير و</w:t>
      </w:r>
    </w:p>
    <w:p>
      <w:pPr>
        <w:pStyle w:val="BookText"/>
        <w:rPr/>
      </w:pPr>
      <w:r>
        <w:rPr>
          <w:rFonts w:ascii="IRNazanin" w:hAnsi="IRNazanin" w:eastAsia="IRNazanin"/>
          <w:color w:val="111111"/>
          <w:sz w:val="28"/>
          <w:sz w:val="28"/>
          <w:szCs w:val="28"/>
          <w:rtl w:val="true"/>
          <w:lang w:bidi="fa-IR"/>
        </w:rPr>
        <w:t xml:space="preserve">مهلك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لاهي در اين‌جا؛ يعني كسي كه اهل شطرنج است، چه در حال بازي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دست در بازي شطرنج مي‌كند مانند كسي است كه دست در لحم خنزير مي‌كند و همان‌گونه كه كسي مسّ لحم خنزير كند تا دستش را نشويد نمي‌تواند نماز بخواند، مسّ كننده‌ي شطرنج هم تا دستش را نشويد، نمي‌تواند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كننده‌ي به شطرنج مانند نظر كننده‌ي به فرج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شطرنج بازي كند و كسي كه به آن بازي نگاه مي‌كند و سلام به كسي كه در حال بازي است، در گناه يكسان هستند</w:t>
      </w:r>
      <w:r>
        <w:rPr>
          <w:rStyle w:val="FootnoteAnchor"/>
          <w:rtl w:val="true"/>
        </w:rPr>
        <w:footnoteReference w:id="156"/>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كتاب الأَمر بالمعروف و النهي عن المنكر، أبواب الامر و النهي و ما يناسبهما، باب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البلاغة، حكمت</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الرَّضِيُّ فِي نَهْجِ الْبَلَاغَةِ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بِفِعْلِ قَوْمٍ كَالدَّاخِلِ مَعَهُمْ فِيه وَ عَلَى كُلِّ دَاخِلٍ فِي بَاطِلٍ إِثْمَانِ إِثْمُ الْعَمَلِ بِهِ وَ إِثْمُ الرِّضَا 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براي بازي شطرنج بنشيند، در آتش جايگاه دارد و روز قيامت حسرت مي‌خورد از اين زندگي كه بر اين عمل 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مجالست كسي كه با شطرنج بازي مي‌كند و مغرور به آن بازي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بازي شطرنج از مجالسي است كه اهلش به سوي سخط خداوند بر مي‌گردند و هر لحظه انتظار سخط و عذاب خداوند را دارند و اگر در آن مجلس بنشيني تو را هم فرا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شديدترين روايتي است كه در مورد شطرنج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تعبيرات شداد و غلاظ كه مي‌فرمايد بيعش حرام، ثمنش سحت، نگه‌داريش كفر، بازي با آن شرك، سلام دادن بر كسي كه بازي مي‌كند معصيت كبيره، دست زدن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شدن، ناظر به آن شريك در گناه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نزديك مي‌كند كه آن قدر شطرنج پليد است كه حتّي لعب بدون رهن آن نيز حرام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باز اين احتمال وجود دارد كه لعب به شطرنج بدون رهن، لعب بالمعني الحقيقي نباشد؛ يعني اگر في الواقع مصداق حقيقي لعب به شطرنج فقط لعب مع الرهن باشد و لعب بدون رهن مجازاً لعب به شطرنج باشد، در اين صورت مي‌توانيم بگوييم اين روايت شامل لعب بدون رهن نمي‌شود، ولي اين دور از ذهن است كه بگوييم لعب بدون رهن حقيقتاً لعب به شطرنج نيست و مجازاً لعب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مشتمل بر مطالبي است كه مسلماً ظاهرش مراد نيست از جمله اين‌كه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الْخَائِضُ فِيهَا يَدَهُ كَالْخَائِضِ يَدَهُ فِي لَحْمِ الْخِنْزِيرِ لَا صَلَاةَ لَهُ حَتَّى يَغْسِلَ يَدَهُ كَمَا يَغْسِلُهَا مِنْ مَسِّ لَحْمِ الْخِنْزِيرِ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كسي كه دست در بازي شطرنج كند، مانند كسي است كه دست در لحم خنزير كرده است و همان‌گونه كه اگر مسّ لحم خنزير كند تا دستش را نشويد نمي‌تواند نماز بخواند، كسي كه دست در بازي شطرنج مي‌كند هم بايد براي نماز</w:t>
      </w:r>
      <w:bookmarkStart w:id="194" w:name="pg2375_19656"/>
    </w:p>
    <w:p>
      <w:pPr>
        <w:pStyle w:val="BookText"/>
        <w:rPr/>
      </w:pPr>
      <w:bookmarkEnd w:id="194"/>
      <w:r>
        <w:rPr>
          <w:rFonts w:ascii="IRNazanin" w:hAnsi="IRNazanin" w:eastAsia="IRNazanin"/>
          <w:color w:val="111111"/>
          <w:sz w:val="28"/>
          <w:sz w:val="28"/>
          <w:szCs w:val="28"/>
          <w:rtl w:val="true"/>
          <w:lang w:bidi="fa-IR"/>
        </w:rPr>
        <w:t>دستش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قطعاً اين‌طور نيست كه حتّي اگر لعب مع الرهن كند نمازش بدون شستن دست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مي‌شود اين تعبيرات مقداري مبالغه براي دور كردن مردم از شطرنج است و شايد اصلاً دالّ بر حرمت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بعض از فقرات روايت را بدانيم ظاهرش مراد نيست و كنايه از شدت قذارت و پليدي اين آلت و لعب به آن و كنايه از نجاست معنوي آن است، ضربه‌اي نمي‌زند كه به ظهور بقيه‌ي روايت و بلكه بالاتر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كنيم</w:t>
      </w:r>
      <w:r>
        <w:rPr>
          <w:rFonts w:eastAsia="IRNazanin" w:cs="IRNazanin"/>
          <w:color w:val="111111"/>
          <w:sz w:val="28"/>
          <w:szCs w:val="28"/>
          <w:rtl w:val="true"/>
          <w:lang w:bidi="fa-IR"/>
        </w:rPr>
        <w:t>.</w:t>
      </w:r>
    </w:p>
    <w:p>
      <w:pPr>
        <w:pStyle w:val="Heading5"/>
        <w:numPr>
          <w:ilvl w:val="4"/>
          <w:numId w:val="1"/>
        </w:numPr>
        <w:rPr/>
      </w:pPr>
      <w:bookmarkStart w:id="195" w:name="__RefHeading___Toc2903005_3804643083"/>
      <w:bookmarkStart w:id="196" w:name="_Toc73"/>
      <w:bookmarkEnd w:id="195"/>
      <w:r>
        <w:rPr>
          <w:rtl w:val="true"/>
        </w:rPr>
        <w:t>نتيجه‌ي كلام در خصوص حكم لعب شطرنج بدون رهن</w:t>
      </w:r>
      <w:bookmarkEnd w:id="196"/>
    </w:p>
    <w:p>
      <w:pPr>
        <w:pStyle w:val="BookText"/>
        <w:rPr/>
      </w:pPr>
      <w:r>
        <w:rPr>
          <w:rFonts w:ascii="IRNazanin" w:hAnsi="IRNazanin" w:eastAsia="IRNazanin"/>
          <w:color w:val="111111"/>
          <w:sz w:val="28"/>
          <w:sz w:val="28"/>
          <w:szCs w:val="28"/>
          <w:rtl w:val="true"/>
          <w:lang w:bidi="fa-IR"/>
        </w:rPr>
        <w:t>با وجود اين صحيحه‌ي ابي بصير و شواهد ديگري كه ذكر كرديم و اين‌كه في‌الجمله مي‌دانيم بر لعب بدون رهن هم اطلاق لعب شطرنج مي‌شده ـ فقط شك داريم كه علي وجه الحقيقه بوده يا مجازاً ـ يا بايد حكم به حرمت لعب شطرنج بدون رهن كنيم و يا حدّاقل با احتياط وجوبي قريب به فتوا بگوييم بايد از لعب بدون رهن اجتناب شود</w:t>
      </w:r>
      <w:r>
        <w:rPr>
          <w:rFonts w:eastAsia="IRNazanin" w:cs="IRNazanin"/>
          <w:color w:val="111111"/>
          <w:sz w:val="28"/>
          <w:szCs w:val="28"/>
          <w:rtl w:val="true"/>
          <w:lang w:bidi="fa-IR"/>
        </w:rPr>
        <w:t>.</w:t>
      </w:r>
    </w:p>
    <w:p>
      <w:pPr>
        <w:pStyle w:val="Heading5"/>
        <w:numPr>
          <w:ilvl w:val="4"/>
          <w:numId w:val="1"/>
        </w:numPr>
        <w:rPr/>
      </w:pPr>
      <w:bookmarkStart w:id="197" w:name="__RefHeading___Toc2903007_3804643083"/>
      <w:bookmarkStart w:id="198" w:name="_Toc74"/>
      <w:bookmarkEnd w:id="197"/>
      <w:r>
        <w:rPr>
          <w:rtl w:val="true"/>
        </w:rPr>
        <w:t>حكم لعب به ساير آلات قمار بدون رهن</w:t>
      </w:r>
      <w:bookmarkEnd w:id="198"/>
    </w:p>
    <w:p>
      <w:pPr>
        <w:pStyle w:val="Heading5"/>
        <w:numPr>
          <w:ilvl w:val="4"/>
          <w:numId w:val="1"/>
        </w:numPr>
        <w:rPr/>
      </w:pPr>
      <w:bookmarkStart w:id="199" w:name="__RefHeading___Toc2903009_3804643083"/>
      <w:bookmarkStart w:id="200" w:name="_Toc75"/>
      <w:bookmarkEnd w:id="199"/>
      <w:r>
        <w:rPr>
          <w:rtl w:val="true"/>
        </w:rPr>
        <w:t>آيا حكم مذكور شطرنج را مي‌توان به ساير آلات قمار تسرّي داد؟</w:t>
      </w:r>
      <w:bookmarkEnd w:id="200"/>
    </w:p>
    <w:p>
      <w:pPr>
        <w:pStyle w:val="Heading6"/>
        <w:numPr>
          <w:ilvl w:val="5"/>
          <w:numId w:val="1"/>
        </w:numPr>
        <w:rPr/>
      </w:pPr>
      <w:bookmarkStart w:id="201" w:name="__RefHeading___Toc2903011_3804643083"/>
      <w:bookmarkStart w:id="202" w:name="_Toc76"/>
      <w:bookmarkEnd w:id="201"/>
      <w:r>
        <w:rPr>
          <w:rtl w:val="true"/>
        </w:rPr>
        <w:t>اشاره</w:t>
      </w:r>
      <w:bookmarkEnd w:id="20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عمدتاً در مورد شطرنج بود و گاهي هم نرد همراه آن ذكر شده و در بعضي موارد اربعة‌عشر و در رواياتي كه از لحاظ</w:t>
      </w:r>
    </w:p>
    <w:p>
      <w:pPr>
        <w:pStyle w:val="BookText"/>
        <w:rPr/>
      </w:pPr>
      <w:r>
        <w:rPr>
          <w:rFonts w:ascii="IRNazanin" w:hAnsi="IRNazanin" w:eastAsia="IRNazanin"/>
          <w:color w:val="111111"/>
          <w:sz w:val="28"/>
          <w:sz w:val="28"/>
          <w:szCs w:val="28"/>
          <w:rtl w:val="true"/>
          <w:lang w:bidi="fa-IR"/>
        </w:rPr>
        <w:t>سند تمام نبود، سدّر هم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شطرنج كشش فوق العاده‌اي دارد و خصوصيتي دارد كه كاملاً آن را از بازي‌ها و آلات ديگر متمايز مي‌كند، شايد به خاطر اين خصوصيت در روايات مورد مذمت قرار گرفته و لعب بدون رهن آن هم مورد حرمت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مي‌گوييم حكمي كه در مورد شطرنج بيان كرديم را نمي‌توانيم به ساير آلات تسرّي دهيم، بله در خصوص آن آلاتي كه در صحيحه‌ي معمّر بن خلّاد</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مُعَمَّرِ بْنِ خَلَّادٍ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 وَ كُلُّ مَا قُومِرَ عَلَيْهِ فَهُوَ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النَّرْدُ وَ الشِّطْرَنْجُ وَ الْأَرْبَعَةَ عَشَرَ بِمَنْزِلَةٍ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يا آلات ديگري كه يقين داشته باشيم به منزله‌ي شطرنج است، مي‌توانيم بگوييم ملحق به حكم شطرنج هستند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گفته شود اين‌كه در روايت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النَّرْدُ وَ</w:t>
      </w:r>
      <w:bookmarkStart w:id="203" w:name="pg2375_19658"/>
    </w:p>
    <w:p>
      <w:pPr>
        <w:pStyle w:val="BookText"/>
        <w:rPr/>
      </w:pPr>
      <w:bookmarkEnd w:id="203"/>
      <w:r>
        <w:rPr>
          <w:rFonts w:ascii="Amiri" w:hAnsi="Amiri" w:eastAsia="Amiri" w:cs="Amiri"/>
          <w:color w:val="111111"/>
          <w:sz w:val="28"/>
          <w:sz w:val="28"/>
          <w:szCs w:val="28"/>
          <w:rtl w:val="true"/>
          <w:lang w:bidi="ar-SA"/>
        </w:rPr>
        <w:t>الشِّطْرَنْجُ وَ الْأَرْبَعَةَ عَشَرَ بِمَنْزِلَةٍ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مثال باشد و منظور اين است كه همه‌ي آلات قمار به منزله‌ي واحد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جواب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بعيد است و روايت ديگري هم كه تمام آلات قمار را ذكر كرده، فقط فرموده باطل است و نفرموده به منزله‌ي واحد است تا بگوييم حكمشان با شطرنج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آلاتي كه به منزله‌ي شطرنج نيستند، نمي‌توانيم بگوييم لعب به آن‌ها بدون رهن حرام است و احتياط واجب در آن‌ها هم ضعيف‌تر از آلاتي است كه به منزله‌ي شطرنج است</w:t>
      </w:r>
      <w:r>
        <w:rPr>
          <w:rFonts w:eastAsia="IRNazanin" w:cs="IRNazanin"/>
          <w:color w:val="111111"/>
          <w:sz w:val="28"/>
          <w:szCs w:val="28"/>
          <w:rtl w:val="true"/>
          <w:lang w:bidi="fa-IR"/>
        </w:rPr>
        <w:t>.</w:t>
      </w:r>
    </w:p>
    <w:p>
      <w:pPr>
        <w:pStyle w:val="Heading6"/>
        <w:numPr>
          <w:ilvl w:val="5"/>
          <w:numId w:val="1"/>
        </w:numPr>
        <w:rPr/>
      </w:pPr>
      <w:bookmarkStart w:id="204" w:name="__RefHeading___Toc2903013_3804643083"/>
      <w:bookmarkStart w:id="205" w:name="_Toc77"/>
      <w:bookmarkEnd w:id="204"/>
      <w:r>
        <w:rPr>
          <w:rtl w:val="true"/>
        </w:rPr>
        <w:t xml:space="preserve">آيا امكان خروج شطرنج، نرد و </w:t>
      </w:r>
      <w:r>
        <w:rPr>
          <w:rtl w:val="true"/>
        </w:rPr>
        <w:t xml:space="preserve">... </w:t>
      </w:r>
      <w:r>
        <w:rPr>
          <w:rtl w:val="true"/>
        </w:rPr>
        <w:t>از آلات قمار وجود دارد تا لعب به آن بدون رهن جايز باشد؟</w:t>
      </w:r>
      <w:bookmarkEnd w:id="20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اين سؤال مي‌گوييم اگر بازي شطرنج، نرد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شده و تبديل به شيئ ديگري شود، نظير لفظي كه از معنايي به معناي ديگر منتقل مي‌شود و معناي سابق را ندارد، در اين صورت مانعي ندارد كه بگوييم لعب به شطرنج جايز است؛ چون لعب به شطرنج انقلاب ماهيت پيدا كرده است؛ فرضاً اگر بتوان روزي با بازي شطرنج تربيت فرزند كرد يا مثلاً در محاسبه‌ي مهندسي ساختمان استفاده كرد، از آن جايي كه حقيقتاً لعب نيست مي‌توانيم بگوييم جايز است؛ زيرا نهايت آن‌چه از روايت استفاده كرديم، حرمت لعب به شطرنج است در حالي كه اين ديگر لعب نيست</w:t>
      </w:r>
      <w:r>
        <w:rPr>
          <w:rFonts w:eastAsia="IRNazanin" w:cs="IRNazanin"/>
          <w:color w:val="111111"/>
          <w:sz w:val="28"/>
          <w:szCs w:val="28"/>
          <w:rtl w:val="true"/>
          <w:lang w:bidi="fa-IR"/>
        </w:rPr>
        <w:t>.</w:t>
      </w:r>
      <w:bookmarkStart w:id="206" w:name="pg2375_19659"/>
    </w:p>
    <w:p>
      <w:pPr>
        <w:pStyle w:val="BookText"/>
        <w:rPr/>
      </w:pPr>
      <w:bookmarkEnd w:id="206"/>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فرمود كه بيع آن حرام، اتخاذش شرك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حتّي اگر لعب به آن هم نكند، خريدن آن و اتخاذ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حكم و موضوع، آن خريد، فروش و اتخاذي كه براي شطرنجِ معمول باشد حرام است و الا اگر از شطرنج به عنوان ماشين حساب نيز استفاده شد، ديگر حرمتي ندارد و بالجمله اگر از اين وسيله در عرف، هم استفاده‌ي حرام و هم استفاده‌ي حلال مي‌شود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بيعش جايز و اتخاذش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استفاده‌ي از آن هم كه معلوم است و اگر فرد خاصّي مي‌خواهد از آن استفاده به نحو غير لعبي كند بدون آن‌كه عرفاً دوكاره شناخته شود، احتمال جواز صحّت بيع در آن وجود دارد ـ چنان‌كه در مباحث هياكل عبادت گذشت ـ گرچه خلاف احتياط است</w:t>
      </w:r>
      <w:r>
        <w:rPr>
          <w:rFonts w:eastAsia="IRNazanin" w:cs="IRNazanin"/>
          <w:color w:val="111111"/>
          <w:sz w:val="28"/>
          <w:szCs w:val="28"/>
          <w:rtl w:val="true"/>
          <w:lang w:bidi="fa-IR"/>
        </w:rPr>
        <w:t>.</w:t>
      </w:r>
    </w:p>
    <w:p>
      <w:pPr>
        <w:pStyle w:val="Heading4"/>
        <w:numPr>
          <w:ilvl w:val="3"/>
          <w:numId w:val="1"/>
        </w:numPr>
        <w:rPr/>
      </w:pPr>
      <w:bookmarkStart w:id="207" w:name="__RefHeading___Toc2903015_3804643083"/>
      <w:bookmarkStart w:id="208" w:name="_Toc78"/>
      <w:bookmarkEnd w:id="207"/>
      <w:r>
        <w:rPr>
          <w:rtl w:val="true"/>
        </w:rPr>
        <w:t>قسم سوم</w:t>
      </w:r>
      <w:r>
        <w:rPr>
          <w:rtl w:val="true"/>
        </w:rPr>
        <w:t xml:space="preserve">: </w:t>
      </w:r>
      <w:r>
        <w:rPr>
          <w:rtl w:val="true"/>
        </w:rPr>
        <w:t>لعب به غير آلات قمار با رهن</w:t>
      </w:r>
      <w:bookmarkEnd w:id="208"/>
    </w:p>
    <w:p>
      <w:pPr>
        <w:pStyle w:val="Heading5"/>
        <w:numPr>
          <w:ilvl w:val="4"/>
          <w:numId w:val="1"/>
        </w:numPr>
        <w:rPr/>
      </w:pPr>
      <w:bookmarkStart w:id="209" w:name="__RefHeading___Toc2903017_3804643083"/>
      <w:bookmarkStart w:id="210" w:name="_Toc7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اگر وسيله‌اي كه طرفين با هم بازي كرده و رهن مي‌گذارند از آلات معدّه‌ي للقمار نباشد؛ مثلاً در مورد وزنه زدن با هم رهن بگذارند كه هر كسي بيشتر وزنه زد مالك آن رهن شود، چه حكمي دارد؟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مراهنه بر لعب به غير آلات قمار ملحق به قمار است، هم از لحاظ حرمت و هم از لحاظ فساد؛</w:t>
      </w:r>
      <w:bookmarkStart w:id="211" w:name="pg2375_19660"/>
    </w:p>
    <w:p>
      <w:pPr>
        <w:pStyle w:val="BookText"/>
        <w:rPr/>
      </w:pPr>
      <w:bookmarkEnd w:id="211"/>
      <w:r>
        <w:rPr>
          <w:rFonts w:ascii="IRNazanin" w:hAnsi="IRNazanin" w:eastAsia="IRNazanin"/>
          <w:color w:val="111111"/>
          <w:sz w:val="28"/>
          <w:sz w:val="28"/>
          <w:szCs w:val="28"/>
          <w:rtl w:val="true"/>
          <w:lang w:bidi="fa-IR"/>
        </w:rPr>
        <w:t>يعني هم تكليفاً چنين مراهنه‌اي حرام است و هم برنده مالك آن جُعل نمي‌شود و نقل و انتقالي صورت نمي‌گيرد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المراهنة على اللعب بغير الآلات المعدّة للقِمار كالمراهنة على حمل الحجر الثقيل و على المصارعة و على الطيور و على الطفرة، و نحو ذلك ممّا عدّوها في باب السبق و الرماية من أفراد غير ما نصّ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الإلحاق بالقِمار في الحرمة و الفساد، بل صريح بعض أنّه قِمار و صرّح العلّامة الطباطبائي رحمه اللّه في مصابيحه بعدم الخلاف في الحرمة و الفساد، و هو ظاهر كلّ من نفى الخلاف في تحريم المسابقة فيما عدا المنصوص مع العوض و جعل محلّ الخلاف فيها بدون العوض؛ فإنّ ظاهر ذلك أنّ محلّ الخلاف هنا هو محلّ الوفاق هناك، و من المعلوم أنّه ليس هنا إلّا الحرمة التكليفية، دون خصوص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شيخ ادلّه‌اي را بر حرمت مراهنه اقامه مي‌كنند كه عبارتند از</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2903019_3804643083"/>
      <w:bookmarkStart w:id="213" w:name="_Toc80"/>
      <w:bookmarkEnd w:id="212"/>
      <w:r>
        <w:rPr>
          <w:rtl w:val="true"/>
        </w:rPr>
        <w:t>ادلّه‌ي حرمت قسم سوم</w:t>
      </w:r>
      <w:bookmarkEnd w:id="213"/>
    </w:p>
    <w:p>
      <w:pPr>
        <w:pStyle w:val="Heading6"/>
        <w:numPr>
          <w:ilvl w:val="5"/>
          <w:numId w:val="1"/>
        </w:numPr>
        <w:rPr/>
      </w:pPr>
      <w:bookmarkStart w:id="214" w:name="__RefHeading___Toc2903021_3804643083"/>
      <w:bookmarkStart w:id="215" w:name="_Toc81"/>
      <w:bookmarkEnd w:id="214"/>
      <w:r>
        <w:rPr>
          <w:rtl w:val="true"/>
        </w:rPr>
        <w:t>ـ روايت العلاء بن سَيابة</w:t>
      </w:r>
      <w:r>
        <w:rPr>
          <w:rtl w:val="true"/>
        </w:rPr>
        <w:t>:</w:t>
      </w:r>
      <w:bookmarkEnd w:id="21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أَحْمَدَ بْنِ مُحَمَّدِ بْنِ عِيسَى عَنْ مُحَمَّدِ بْنِ مُوسَى عَنْ أَحْمَدَ بْنِ الْحَسَنِ عَنْ أَبِيهِ عَنْ عَلِيِّ بْنِ عُقْبَةَ عَنْ مُوسَى بْنِ النُّمَيْرِيِّ عَنِ الْعَلَاءِ بْنِ سَيَابَةَ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بِشَهَادَةِ الَّذِي يَلْعَبُ بِالْحَمَامِ وَ لَا بَأْسَ بِشَهَادَةِ الْمُرَاهِنِ عَلَيْهِ فَإِنَّ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أَجْرَى الْخَيْلَ وَ</w:t>
      </w:r>
    </w:p>
    <w:p>
      <w:pPr>
        <w:pStyle w:val="BookText"/>
        <w:rPr/>
      </w:pPr>
      <w:r>
        <w:rPr>
          <w:rFonts w:ascii="Amiri" w:hAnsi="Amiri" w:eastAsia="Amiri" w:cs="Amiri"/>
          <w:color w:val="111111"/>
          <w:sz w:val="28"/>
          <w:sz w:val="28"/>
          <w:szCs w:val="28"/>
          <w:rtl w:val="true"/>
          <w:lang w:bidi="ar-SA"/>
        </w:rPr>
        <w:t>سَابَقَ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تَحْضُرُ الرِّهَانَ فِي الْخُفِّ وَ الْحَافِرِ وَ الرِّيشِ وَ مَا سِوَى ذَلِكَ فَهُوَ قِمَارٌ حَرَامٌ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اين روايت از لحاظ سند به خاطر محمد بن موسي</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محمد بن موسى بن عيسى أبو جعفر الهمداني السمان، ضعفه القميون بالغلو، و كان ابن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الحديث،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ما روي في أيام الأسبوع، و كتاب الرد على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شاذان، عن أحمد بن محمد بن يحيى، عن أبيه، عنه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العلاء بن سيابة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علاء بن سيابة مي‌گويد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كسي كه با حمام بازي مي‌كند اشكالي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شهادت كسي هم كه در بازي حَمام رهن مي‌گذارد پذيرفته مي‌شود، همانا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 را به حركت انداختند و مسابقه دادند و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در رهان در خفّ</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البعير، و هو مَجْمَعُ فِرْسِن البعير و الناقة،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خُفُّ البعير و هذه فِرْسِنُه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خُفٍّ أَو نَصْلٍ أَو 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فالخُفُّ الإِبل هاهنا، و الحافِرُ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واحد أَخْفافِ البعير و هو للبعير كالحافر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الخف للنعام، سَوَّوْا بينهما للتَّشابُهِ، و خُفُّ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الأَرضَ من باطن قَدَمِه،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الخف من الحيوان إلا للبعير و النعامة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مورد مثل شتر، فيل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حافر</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الحافِرُ من الدواب يكون للخيل و البغال و الحمير اسم كالكاهل و الغارب، و الجمع حَوافِرُ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الحافِرُ واحد حَوَافِر الدابة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مي‌شوند، امّا رهان در غير اين سه مورد قمار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اشعاري هم دارد كه لعب بدون رهان در چنين مسابقاتي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دلالت روايت</w:t>
      </w:r>
    </w:p>
    <w:p>
      <w:pPr>
        <w:pStyle w:val="BookText"/>
        <w:rPr/>
      </w:pPr>
      <w:r>
        <w:rPr>
          <w:rFonts w:ascii="IRNazanin" w:hAnsi="IRNazanin" w:eastAsia="IRNazanin"/>
          <w:color w:val="111111"/>
          <w:sz w:val="28"/>
          <w:sz w:val="28"/>
          <w:szCs w:val="28"/>
          <w:rtl w:val="true"/>
          <w:lang w:bidi="fa-IR"/>
        </w:rPr>
        <w:t>در اين روايت مي‌فرمايد رهان در غير خفّ و حافر و ريش، قمار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رهان در اين سه مورد مي‌گوييم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ساير روايات، مراماة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تيراندازي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آن اضافه شده</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حَفْصِ بْنِ الْبَخْتَرِيِّ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يَحْضُرُ الرَّمْيَ وَ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رهان در تيراندازي جايز است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رهان در ريش، علماي ما قبول نكرده‌اند كه جايز است، در مورد حمام هم كه در صدر روايت آمده، صاحب وسائل در توضيح آن مي‌فرمايد</w:t>
      </w:r>
      <w:r>
        <w:rPr>
          <w:rFonts w:eastAsia="Amiri" w:cs="Amiri" w:ascii="Amiri" w:hAnsi="Amiri"/>
          <w:color w:val="111111"/>
          <w:sz w:val="28"/>
          <w:szCs w:val="28"/>
          <w:rtl w:val="true"/>
          <w:lang w:bidi="ar-SA"/>
        </w:rPr>
        <w:t>:</w:t>
      </w:r>
      <w:bookmarkStart w:id="216" w:name="pg2375_19663"/>
    </w:p>
    <w:p>
      <w:pPr>
        <w:pStyle w:val="BookText"/>
        <w:rPr/>
      </w:pPr>
      <w:bookmarkEnd w:id="2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فُضَلَائِنَا الْحَمَامُ فِي عُرْفِ أَهْلِ مَكَّةَ وَ الْمَدِينَةِ يُطْلَقُ عَلَى الْخَيْلِ فَلَعَلَّهُ الْمُرَادُ مِنَ الْحَدِيثِ بِدَلَالَةِ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الْخَيْلِ فَيَحْصُلُ الشَّكُّ فِي تَخْصِيصِ الْحَصْرِ السَّابِقِ بِغَيْرِ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شايد مراد چيزي ديگري باشد؛ چون حمام در عرفِ اهل مكه و مدينه بر خيل اطلاق مي‌شده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ايّ حالٍ اين روايت چون سند صحيح ندارد نمي‌تواند به عنوان مستند باشد و فقط به عنوان مؤيد است، البته آن‌هم در غير جايي كه اصحاب از آن اعراض كرده‌اند</w:t>
      </w:r>
      <w:r>
        <w:rPr>
          <w:rFonts w:eastAsia="IRNazanin" w:cs="IRNazanin"/>
          <w:color w:val="111111"/>
          <w:sz w:val="28"/>
          <w:szCs w:val="28"/>
          <w:rtl w:val="true"/>
          <w:lang w:bidi="fa-IR"/>
        </w:rPr>
        <w:t>.</w:t>
      </w:r>
    </w:p>
    <w:p>
      <w:pPr>
        <w:pStyle w:val="Heading6"/>
        <w:numPr>
          <w:ilvl w:val="5"/>
          <w:numId w:val="1"/>
        </w:numPr>
        <w:rPr/>
      </w:pPr>
      <w:bookmarkStart w:id="217" w:name="__RefHeading___Toc2903023_3804643083"/>
      <w:bookmarkStart w:id="218" w:name="_Toc82"/>
      <w:bookmarkEnd w:id="217"/>
      <w:r>
        <w:rPr>
          <w:rtl w:val="true"/>
        </w:rPr>
        <w:t>ـ روايت ديگري از العلاء بن سَيابة</w:t>
      </w:r>
      <w:r>
        <w:rPr>
          <w:rtl w:val="true"/>
        </w:rPr>
        <w:t>:</w:t>
      </w:r>
      <w:bookmarkEnd w:id="218"/>
    </w:p>
    <w:p>
      <w:pPr>
        <w:pStyle w:val="BookText"/>
        <w:rPr/>
      </w:pPr>
      <w:r>
        <w:rPr>
          <w:rFonts w:ascii="Amiri" w:hAnsi="Amiri" w:eastAsia="Amiri" w:cs="Amiri"/>
          <w:color w:val="111111"/>
          <w:sz w:val="28"/>
          <w:sz w:val="28"/>
          <w:szCs w:val="28"/>
          <w:rtl w:val="true"/>
          <w:lang w:bidi="ar-SA"/>
        </w:rPr>
        <w:t>مُحَمَّدُ بْنُ عَلِيِّ بْنِ الْحُسَيْنِ بِإِسْنَادِهِ</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ما كان فيه عن العلاء بن سيابة فقد رويته عن أبي ـ رضي اللّه عنه ـ عن سعد ابن عبد اللّه، عن أحمد بن محمّد بن عيسى، عن الحسن بن عليّ الوشّاء، عن أبان بن عثمان عن العلاء بن سيابة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مَنْ يَلْعَبُ بِالْحَمَامِ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كَانَ لَا يُعْرَفُ بِفِسْقٍ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لَتَنْفُرُ عِنْدَ الرِّهَانِ وَ تَلْعَنُ صَاحِبَهُ مَا خَلَا الْحَافِرَ وَ الْخُفَّ وَ الرِّيشَ وَ النَّصْلَ</w:t>
      </w:r>
      <w:bookmarkStart w:id="219" w:name="pg2375_19664"/>
    </w:p>
    <w:p>
      <w:pPr>
        <w:pStyle w:val="BookText"/>
        <w:rPr/>
      </w:pPr>
      <w:bookmarkEnd w:id="219"/>
      <w:r>
        <w:rPr>
          <w:rFonts w:ascii="Amiri" w:hAnsi="Amiri" w:eastAsia="Amiri" w:cs="Amiri"/>
          <w:color w:val="111111"/>
          <w:sz w:val="28"/>
          <w:sz w:val="28"/>
          <w:szCs w:val="28"/>
          <w:rtl w:val="true"/>
          <w:lang w:bidi="ar-SA"/>
        </w:rPr>
        <w:t>فَإِنَّهَا تَحْضُرُهُ الْمَلَائِكَةُ وَ قَدْ سَابَقَ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وَ أَجْرَى الْخَيْلَ</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مُحَمَّدُ بْنُ عَلِيِّ بْنِ الْحُسَيْنِ بِإِسْنَادِهِ عَنِ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مَنْ يَلْعَبُ بِالْحَمَامِ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لَا يُعْرَفُ بِفِسْقٍ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قِبَلَنَا يَقُولُونَ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مَا عَلِمْتَ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لَتَنْفُرُ عِنْدَ الرِّهَانِ وَ تَلْعَنُ صَاحِبَهُ مَا خَلَا الْحَافِرَ وَ الْخُفَّ وَ الرِّيشَ وَ النَّصْلَ فَإِنَّهَا تَحْضُرُهُ الْمَلَائِكَةُ وَ قَدْ سَابَقَ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وَ أَجْرَى الْخَيْلَ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علاء بن سيابة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شهادت كسي كه با حمام بازي مي‌كند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اشكالي ندارد اگر معروف به فسق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گريزانند و صاحبان رهان را لعن مي‌كنند، مگر در مورد خُف و حافر و 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آلت تيزي كه مي‌توان با آن مبارزه كرد، مثل شمشير، خنجر، و حتّي سكّين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ملائكه در رهان آن حاضر مي‌شوند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اسامة بن زيد مسابقه دادند و 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اين روايت مانند روايت سابق است</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2903025_3804643083"/>
      <w:bookmarkStart w:id="221" w:name="_Toc83"/>
      <w:bookmarkEnd w:id="220"/>
      <w:r>
        <w:rPr>
          <w:rtl w:val="true"/>
        </w:rPr>
        <w:t>ـ روايت ياسر الخادم</w:t>
      </w:r>
      <w:r>
        <w:rPr>
          <w:rtl w:val="true"/>
        </w:rPr>
        <w:t>:</w:t>
      </w:r>
      <w:bookmarkEnd w:id="22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يَاسِرٍ الْخَادِمِ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 مِنْ كُلِّ</w:t>
      </w:r>
      <w:bookmarkStart w:id="222" w:name="pg2375_19665"/>
    </w:p>
    <w:p>
      <w:pPr>
        <w:pStyle w:val="BookText"/>
        <w:rPr/>
      </w:pPr>
      <w:bookmarkEnd w:id="222"/>
      <w:r>
        <w:rPr>
          <w:rFonts w:ascii="Amiri" w:hAnsi="Amiri" w:eastAsia="Amiri" w:cs="Amiri"/>
          <w:color w:val="111111"/>
          <w:sz w:val="28"/>
          <w:sz w:val="28"/>
          <w:szCs w:val="28"/>
          <w:rtl w:val="true"/>
          <w:lang w:bidi="ar-SA"/>
        </w:rPr>
        <w:t>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التَّفَلُ مَا يُخَرَّجُ بَيْنَ الْمُتَرَاهِنَيْنِ مِنَ الدَّرَاهِمِ وَ غَيْرِهِ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اين روايت مرسله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ياسر الخادم مي‌گويد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ميسر سؤال كردم،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 و تفل آن چيزي است كه از بين متراهنين از درهم و غير درهم خارج مي‌شود</w:t>
      </w:r>
      <w:r>
        <w:rPr>
          <w:rFonts w:eastAsia="IRNazanin" w:cs="IRNazanin"/>
          <w:color w:val="111111"/>
          <w:sz w:val="28"/>
          <w:szCs w:val="28"/>
          <w:rtl w:val="true"/>
          <w:lang w:bidi="fa-IR"/>
        </w:rPr>
        <w:t>.</w:t>
      </w:r>
    </w:p>
    <w:p>
      <w:pPr>
        <w:pStyle w:val="Heading6"/>
        <w:numPr>
          <w:ilvl w:val="5"/>
          <w:numId w:val="1"/>
        </w:numPr>
        <w:rPr/>
      </w:pPr>
      <w:bookmarkStart w:id="223" w:name="__RefHeading___Toc2903027_3804643083"/>
      <w:bookmarkStart w:id="224" w:name="_Toc84"/>
      <w:bookmarkEnd w:id="223"/>
      <w:r>
        <w:rPr>
          <w:rtl w:val="true"/>
        </w:rPr>
        <w:t>ـ صحيحه‌ي مُعمَّر بن خَلَّاد</w:t>
      </w:r>
      <w:r>
        <w:rPr>
          <w:rtl w:val="true"/>
        </w:rPr>
        <w:t>:</w:t>
      </w:r>
      <w:bookmarkEnd w:id="224"/>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مُعَمَّرِ بْنِ خَلَّادٍ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 وَ كُلُّ مَا قُومِرَ عَلَيْهِ فَهُوَ مَيْسِر</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اين روايت از لحاظ سند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معمّر بن خلاد نقل مي‌كند كه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و شطرنج و اربعة عشر به منزله‌ي واحد هستند و هر چيزي كه بر آن قمار شود، ميسر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چه كه بر آن قمار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 رهان، برد و باخت</w:t>
      </w:r>
      <w:bookmarkStart w:id="225" w:name="pg2375_19666"/>
    </w:p>
    <w:p>
      <w:pPr>
        <w:pStyle w:val="BookText"/>
        <w:rPr/>
      </w:pPr>
      <w:bookmarkEnd w:id="225"/>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 است؛ يعني مصداق آيه‌ي شريفه‌ي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&gt;</w:t>
      </w:r>
      <w:r>
        <w:rPr>
          <w:rStyle w:val="FootnoteAnchor"/>
          <w:rtl w:val="true"/>
        </w:rPr>
        <w:footnoteReference w:id="168"/>
      </w:r>
      <w:r>
        <w:rPr>
          <w:rFonts w:ascii="Amiri" w:hAnsi="Amiri" w:eastAsia="Amiri" w:cs="Amiri"/>
          <w:color w:val="111111"/>
          <w:sz w:val="28"/>
          <w:sz w:val="28"/>
          <w:szCs w:val="28"/>
          <w:rtl w:val="true"/>
          <w:lang w:bidi="ar-SA"/>
        </w:rPr>
        <w:t>است و بايد از آن اجتناب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اين روايت بر حرمت لعب به غير آلات قمار مع الرهن تمام است</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2903029_3804643083"/>
      <w:bookmarkStart w:id="227" w:name="_Toc85"/>
      <w:bookmarkEnd w:id="226"/>
      <w:r>
        <w:rPr>
          <w:rtl w:val="true"/>
        </w:rPr>
        <w:t xml:space="preserve">ـ مكاتبه‌ي ابراهيم بن عَنبسة </w:t>
      </w:r>
      <w:r>
        <w:rPr>
          <w:rtl w:val="true"/>
        </w:rPr>
        <w:t>:</w:t>
      </w:r>
      <w:bookmarkEnd w:id="227"/>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إِبْرَاهِيمُ بْنُ عَنْبَسَةَ يَعْنِي إِلَى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سَيِّدِي وَ مَوْلَايَ أَنْ يُخْبِرَنِي عَنْ قَوْلِ اللَّهِ عَزَّ وَ 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يَسْئَلُونَكَ عَنِ الْخَمْرِ وَ الْمَيْسِرِ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الْآيَةَ فَمَا الْمَيْسِرُ جُعِلْتُ فِدَاكَ؟ فَكَتَبَ كُلُّ مَا قُومِرَ بِهِ فَهُوَ الْمَيْسِرُ وَ كُلُّ مُسْكِرٍ حَرَامٌ</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عياشي در تفسيرش اين روايت را با سند صحيحي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نسخه‌ي تفسير عياشي اگر اطمينان پيدا شود كه مثل بقيه‌ي كتب معروف نسخه‌هاي آن در ميان علماء بوده، اين روايت صحيحه مي‌شود، ولي اگر چنين اطميناني نباشد به عنوان مؤيد است كه هرچه با آن قمار شود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عيسي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عنبسه به امام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 و مولايم صلاح مي‌دانند درباره‌ي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يَسْئَلُونَكَ عَنِ الْخَمْرِ وَ الْمَيْسِرِ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توضيح دهند كه مراد از ميسر در آيه‌ي شريفه چيست فدايتان شوم؟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كه با آن قمار شود ميسر است و هر مسكري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حرمت لعب به غير آلات قمار مع الرهن، اصلاً جاي بحث ندارد و همان‌طور كه لعب به آلات قمار مع الرهن حرام است، لعب به غير آلات قمار مع الرهن هم حرام است و خلاف قابل اعتنايي هم در اين مسأله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مرحوم شيخ در آخر مسأله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نمي‌كنم كه اشكال يا خلافي در حرمت تكليفي و فساد وضعي مراهنه بر لعب به غير آلات قمار باشد، الا مناقشه‌اي كه بعض مشايخ معاصر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اختصاص به آلات معدّه‌ي للقمار دارد، امّا لعب به غير آلات قمار حتّي اگر با رهن باشد، تكليفاً حرام نيست و فقط حرمت وضعي دارد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هذه الروايات الظاهرة بل الصريحة في التحريم المعتضدة بدعوى عدم الخلاف في الحكم ممّن تقدّم فقد استظهر بعض مشايخنا المعاصرين اختصاص الحرمة بما كان بالآلات المعدّة للقِمار، و أمّا مطلق الرهان على المغالبة بغيرها فليس فيه إلّا فساد المعاملة و عدم تملّك الرهن فيحرم التصرّف فيه؛ لأنّه أكل مال بالباطل، و لا معصية من جهة العمل كما في القِمار، بل لو أخذ الرهن هنا بعنوان الوفاء بالعهد، الذي هو نذر لا كفّارة له مع طيب النفس من الباذل لا بعنوان أنّ المقامرة المذكورة أوجبته و ألزمته أمكن القول بجوازه</w:t>
      </w:r>
      <w:r>
        <w:rPr>
          <w:rFonts w:eastAsia="Amiri" w:cs="Amiri" w:ascii="Amiri" w:hAnsi="Amiri"/>
          <w:color w:val="111111"/>
          <w:sz w:val="28"/>
          <w:szCs w:val="28"/>
          <w:rtl w:val="true"/>
          <w:lang w:bidi="ar-SA"/>
        </w:rPr>
        <w:t>.</w:t>
      </w:r>
      <w:bookmarkStart w:id="228" w:name="pg2375_19668"/>
    </w:p>
    <w:p>
      <w:pPr>
        <w:pStyle w:val="Heading5"/>
        <w:numPr>
          <w:ilvl w:val="4"/>
          <w:numId w:val="1"/>
        </w:numPr>
        <w:rPr/>
      </w:pPr>
      <w:bookmarkStart w:id="229" w:name="__RefHeading___Toc2903031_3804643083"/>
      <w:bookmarkStart w:id="230" w:name="_Toc86"/>
      <w:bookmarkEnd w:id="228"/>
      <w:bookmarkEnd w:id="229"/>
      <w:r>
        <w:rPr>
          <w:rtl w:val="true"/>
        </w:rPr>
        <w:t>كلام صاحب جواهر</w:t>
      </w:r>
      <w:r>
        <w:rPr>
          <w:rtl w:val="true"/>
        </w:rPr>
        <w:t xml:space="preserve">- </w:t>
      </w:r>
      <w:r>
        <w:rPr>
          <w:rtl w:val="true"/>
        </w:rPr>
        <w:t xml:space="preserve">قدس سره </w:t>
      </w:r>
      <w:r>
        <w:rPr>
          <w:rtl w:val="true"/>
        </w:rPr>
        <w:t xml:space="preserve">- </w:t>
      </w:r>
      <w:r>
        <w:rPr>
          <w:rtl w:val="true"/>
        </w:rPr>
        <w:t>در عدم حرمت مراهنه در لعب به غير آلات قمار</w:t>
      </w:r>
      <w:bookmarkEnd w:id="230"/>
    </w:p>
    <w:p>
      <w:pPr>
        <w:pStyle w:val="Heading6"/>
        <w:numPr>
          <w:ilvl w:val="5"/>
          <w:numId w:val="1"/>
        </w:numPr>
        <w:rPr/>
      </w:pPr>
      <w:bookmarkStart w:id="231" w:name="__RefHeading___Toc2903033_3804643083"/>
      <w:bookmarkStart w:id="232" w:name="_Toc87"/>
      <w:bookmarkEnd w:id="231"/>
      <w:r>
        <w:rPr>
          <w:rtl w:val="true"/>
        </w:rPr>
        <w:t>اشاره</w:t>
      </w:r>
      <w:bookmarkEnd w:id="232"/>
    </w:p>
    <w:p>
      <w:pPr>
        <w:pStyle w:val="BookText"/>
        <w:rPr/>
      </w:pPr>
      <w:r>
        <w:rPr>
          <w:rFonts w:ascii="Amiri" w:hAnsi="Amiri" w:eastAsia="Amiri" w:cs="Amiri"/>
          <w:color w:val="111111"/>
          <w:sz w:val="28"/>
          <w:sz w:val="28"/>
          <w:szCs w:val="28"/>
          <w:rtl w:val="true"/>
          <w:lang w:bidi="ar-SA"/>
        </w:rPr>
        <w:t>صاحب 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مغالبه به آلات قمار حرام است، ولي مغالبه به غير آلات قمار حتّي مع الرهن هم باشد تكليفاً حرام نيست و فقط وضعاً حرام است؛ يعني برنده مالك آن رهن نمي‌شود</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محرم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بلا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ذلك بين الشطرنج و النرد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اعتيد المقامرة به سابقا أو لاحقا، أما إذا لم يعتد المقامرة به، فالظاهر عدم حرمته مع عدم الرهان، للأصل و انصراف أدلة المقام إلى غيره، و السيرة القطعية من الأعوام و العلماء، في المغالبة بالأبدان و غيرها، و قد روى مغالبة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مع الرهان أيضا و إن حرم هو، لأنه أكل مال بالباطل دونه، لما عرفت مما لا 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مراد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در لغت به اين معني نيامده، بلكه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حالي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مقابل خاصّ است،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 وَ الْعَامَّةُ خِلَافُ الْخَاصَّةِ وَ الْجَمْعُ 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و النِّسْبَةُ إِلَيْهِ عَلَى لَفْظِهِ فَيُقَالُ 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عَلَيْهِ حَوْلٌ فَهُوَ يَابِسٌ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تَقْدِيرِ فَعَلٍ بِفَتْحَتَيْنِ وَ لِهذَا 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431</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 الحَوْلُ يأْتي على شَتْوَة و صَيْفَة و الجمع أَعْوامٌ، لا يكسَّرُ على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بر لعب به جوز و كعاب مع الرهن، اطلاق قمار شده است</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أَحْمَدَ بْنِ النَّضْرِ عَنْ عَمْرِو بْنِ شِمْرٍ عَنْ جَابِرٍ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 الْجَوْزُ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ذَبَحُوا لآِلِهَتِهِمْ قِيلَ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قِدَاحُهُمُ الَّتِي يَسْتَقْسِمُونَ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وَ رَوَاهُ الصَّدُوقُ بِإِسْنَادِهِ عَنْ عَمْرِو بْنِ شِمْرٍ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حالي كه از آلات قمار نيستند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گردو بازي و بازي با كعاب مع الرهن عادي بوده، پس اين دو از آلات قمار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محل كلام در جايي است كه مغالبه‌ي با رهن در مورد آن غير عادي باشد؛ مثلاً اگر در مورد اين‌كه چه كسي بيشتر مي‌تواند سرش را زير آب نگه دارد رهن بگذارند، اين نوع قرارداد و مراهنه تكليفاً حرام نيست، هرچند در صورت بردن مالك آن رهن نمي‌شود؛ چون مصداق اكل مال بالباطل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صاحب جواهر 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برنده مالك رهن نمي‌شود؛ چون اكل مال به باطل است، ولي اگر آن رهن را با طيب نفس ـ نه به خاطر مراهنه كه مثل ساير عقود شرعيه اثر داشته باشد ـ به برنده بذل كند، از باب اين‌كه در حقيقت عهدي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منظورشان وعد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قائل به جواز آن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امكن القول بجوازه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لو أخذ الرهن الذي فرض لهذا القسم بعنوان الوفاء بالوعد الذي هو نذر لا كفارة له، و مع طيب النفس من الباذل لا بعنوان أن المقامرة المزبورة، أوجبته و ألزمته، و انها كغيرها من العقود المشروعة، أمكن القول بجوازه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اگر از باب وعد باشد بايد بگوييم مستحب است؛ زيرا در روايات وارد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الْمُؤْمِنِ أَخَاهُ نَذْرٌ لَا كَفَّارَةَ لَهُ</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الْمُؤْمِنِ أَخَاهُ نَذْرٌ لَا كَفَّارَةَ لَهُ فَمَنْ أَخْلَفَ فَبِخُلْفِ اللَّهِ بَدَأَ وَ لِمَقْتِهِ تَعَرَّضَ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خيلي سفارش شده كه هر كسي وعده‌اي به برادر مؤمنش داد وفا كند و اگر اجماع قطعي بر عدم وجوب وفاي به وعد نبود، مي‌گفتيم روايات</w:t>
      </w:r>
      <w:bookmarkStart w:id="233" w:name="pg2375_19671"/>
    </w:p>
    <w:p>
      <w:pPr>
        <w:pStyle w:val="BookText"/>
        <w:rPr/>
      </w:pPr>
      <w:bookmarkEnd w:id="233"/>
      <w:r>
        <w:rPr>
          <w:rFonts w:ascii="IRNazanin" w:hAnsi="IRNazanin" w:eastAsia="IRNazanin"/>
          <w:color w:val="111111"/>
          <w:sz w:val="28"/>
          <w:sz w:val="28"/>
          <w:szCs w:val="28"/>
          <w:rtl w:val="true"/>
          <w:lang w:bidi="fa-IR"/>
        </w:rPr>
        <w:t>دالّ بر وجوبش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بذل آن جُعل از باب وفاي به وعد باشد بايد بگوييم نه تنها جايز، بلكه مستحب هم هست</w:t>
      </w:r>
      <w:r>
        <w:rPr>
          <w:rFonts w:eastAsia="IRNazanin" w:cs="IRNazanin"/>
          <w:color w:val="111111"/>
          <w:sz w:val="28"/>
          <w:szCs w:val="28"/>
          <w:rtl w:val="true"/>
          <w:lang w:bidi="fa-IR"/>
        </w:rPr>
        <w:t>.</w:t>
      </w:r>
    </w:p>
    <w:p>
      <w:pPr>
        <w:pStyle w:val="Heading6"/>
        <w:numPr>
          <w:ilvl w:val="5"/>
          <w:numId w:val="1"/>
        </w:numPr>
        <w:rPr/>
      </w:pPr>
      <w:bookmarkStart w:id="234" w:name="__RefHeading___Toc2903035_3804643083"/>
      <w:bookmarkStart w:id="235" w:name="_Toc88"/>
      <w:bookmarkEnd w:id="234"/>
      <w:r>
        <w:rPr>
          <w:rtl w:val="true"/>
        </w:rPr>
        <w:t>اشكال شيخ انصاري</w:t>
      </w:r>
      <w:r>
        <w:rPr>
          <w:rtl w:val="true"/>
        </w:rPr>
        <w:t xml:space="preserve">- </w:t>
      </w:r>
      <w:r>
        <w:rPr>
          <w:rtl w:val="true"/>
        </w:rPr>
        <w:t xml:space="preserve">قدس سره </w:t>
      </w:r>
      <w:r>
        <w:rPr>
          <w:rtl w:val="true"/>
        </w:rPr>
        <w:t xml:space="preserve">- </w:t>
      </w:r>
      <w:r>
        <w:rPr>
          <w:rtl w:val="true"/>
        </w:rPr>
        <w:t>بر كلام صاحب جواهر</w:t>
      </w:r>
      <w:r>
        <w:rPr>
          <w:rtl w:val="true"/>
        </w:rPr>
        <w:t xml:space="preserve">- </w:t>
      </w:r>
      <w:r>
        <w:rPr>
          <w:rtl w:val="true"/>
        </w:rPr>
        <w:t xml:space="preserve">قدس سره </w:t>
      </w:r>
      <w:r>
        <w:rPr>
          <w:rtl w:val="true"/>
        </w:rPr>
        <w:t>-</w:t>
      </w:r>
      <w:bookmarkEnd w:id="235"/>
    </w:p>
    <w:p>
      <w:pPr>
        <w:pStyle w:val="BookText"/>
        <w:rPr/>
      </w:pPr>
      <w:r>
        <w:rPr>
          <w:rFonts w:ascii="IRNazanin" w:hAnsi="IRNazanin" w:eastAsia="IRNazanin"/>
          <w:color w:val="111111"/>
          <w:sz w:val="28"/>
          <w:sz w:val="28"/>
          <w:szCs w:val="28"/>
          <w:rtl w:val="true"/>
          <w:lang w:bidi="fa-IR"/>
        </w:rPr>
        <w:t>شيخ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بخش كلام استادشان صاحب جواهر اشكال مي‌كند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ايشان فرمود مراهنه بر لعب به غير آلات قمار تكليفاً حرام نيست، صحيح نمي‌باشد؛ چون روايات بر آن اطلاق قمار كرده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أَحْمَدَ بْنِ مُحَمَّدِ بْنِ عِيسَى عَنْ مُحَمَّدِ بْنِ مُوسَى عَنْ أَحْمَدَ بْنِ الْحَسَنِ عَنْ أَبِيهِ عَنْ عَلِيِّ بْنِ عُقْبَةَ عَنْ مُوسَى النُّمَيْرِيِّ عَنِ الْعَلَاءِ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بِشَهَادَةِ الَّذِي يَلْعَبُ بِالْحَمَامِ وَ لَا بَأْسَ بِشَهَادَةِ صَاحِبِ السِّبَاقِ الْمُرَاهِنِ عَلَيْهِ فَإِنَّ رَسُولَ اللَّهِ ص قَدْ أَجْرَى الْخَيْلَ وَ سَابَقَ وَ كَانَ يَقُولُ إِنَّ الْمَلَائِكَةَ تَحْضُرُ الرِّهَانَ فِي الْخُفِّ وَ الْحَافِرِ وَ الرِّيشِ وَ مَا سِوَى ذَلِكَ قِمَارٌ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روايت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مراهنه در غير خفّ، حافر و ريش، موجب تنفر ملائكه و لعن آن‌ها بر صاحبان رهان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عَلِيِّ بْنِ الْحُسَيْنِ بِإِسْنَادِهِ عَنِ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مَنْ يَلْعَبُ بِالْحَمَامِ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كَانَ لَا يُعْرَفُ بِفِسْقٍ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لَتَنْفُرُ عِنْدَ الرِّهَانِ وَ تَلْعَنُ صَاحِبَهُ مَا خَلَا الْحَافِرَ وَ الْخُفَّ وَ الرِّيشَ وَ النَّصْلَ فَإِنَّهَا تَحْضُرُهُ الْمَلَائِكَةُ وَ قَدْ سَابَقَ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وَ أَجْرَى الْخَيْلَ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هم‌چنين در</w:t>
      </w:r>
    </w:p>
    <w:p>
      <w:pPr>
        <w:pStyle w:val="BookText"/>
        <w:rPr/>
      </w:pPr>
      <w:r>
        <w:rPr>
          <w:rFonts w:ascii="Amiri" w:hAnsi="Amiri" w:eastAsia="Amiri" w:cs="Amiri"/>
          <w:color w:val="111111"/>
          <w:sz w:val="28"/>
          <w:sz w:val="28"/>
          <w:szCs w:val="28"/>
          <w:rtl w:val="true"/>
          <w:lang w:bidi="ar-SA"/>
        </w:rPr>
        <w:t>بعض روايات فرمود از ميسر است</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مُعَمَّرِ بْنِ خَلَّادٍ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 وَ كُلُّ مَا قُومِرَ عَلَيْهِ فَهُوَ مَيْسِر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ميسري كه در آيه‌ي شريفه مقرون خمر شمرده شده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ادلّه دالّ بر حرمت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عرفت من الأخبار إطلاق القِمار عليه، و كونه موجباً للعن الملائكة و تنفّرهم، و أنّه من المَيسِر المقرون بالخمر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فرضاً اين ادلّه‌ي مرحوم شيخ بر حرمت كافي نباشد، از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 تَأْكُلُوا أَمْوالَكُمْ بَيْنَكُمْ بِالْباطِلِ</w:t>
      </w:r>
      <w:r>
        <w:rPr>
          <w:rFonts w:eastAsia="IRNazanin" w:cs="IRNazanin"/>
          <w:color w:val="111111"/>
          <w:sz w:val="28"/>
          <w:szCs w:val="28"/>
          <w:rtl w:val="true"/>
          <w:lang w:bidi="fa-IR"/>
        </w:rPr>
        <w:t>&gt;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هم مي‌توان حرمت آن را استفاده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اين‌كه صاحب جواهر فرمود از باب وفاي به عهد جايز است آن جُعل را به برنده بدهد و برنده جايز است آن را بگيرد، مرحوم شيخ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أفهم معناه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أمّا ما ذكره أخيراً من جواز أخذ الرهن بعنوان الوفاء بالعهد، فلم أفهم معناه؛ لأنّ العهد الذي تضمّنه العقد الفاسد لا معنى لاستحباب الوفاء به؛ إذ لا يستحبّ ترتيب آثار الملك على ما لم يحصل فيه سبب تملّك، إلّا أن يراد صورة الوفاء، بأن يملّكه تمليكاً جديداً بعد الغلبة في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حِلّ الأكل على هذا الوجه جارٍ في القِمار المحرّم أيضاً، غاية الأمر الفرق بينهما بأنّ الوفاء لا يستحبّ في المحرّم، لكنّ الكلام في تصرف المبذول له بعد التمليك الجديد، لا في فعل الباذل و أنّه يستحب له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أظنّ الحكم بحرمة الفعل مضافاً إلى الفساد محلّ إشكال، بل و لا محلّ خلاف، كما يظهر من كتاب السبق و الرماية، و كتاب الشهادات، و تقدّم دعواه صريحاً من بعض الأعلام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اگر مقصود</w:t>
      </w:r>
    </w:p>
    <w:p>
      <w:pPr>
        <w:pStyle w:val="BookText"/>
        <w:rPr/>
      </w:pPr>
      <w:r>
        <w:rPr>
          <w:rFonts w:ascii="IRNazanin" w:hAnsi="IRNazanin" w:eastAsia="IRNazanin"/>
          <w:color w:val="111111"/>
          <w:sz w:val="28"/>
          <w:sz w:val="28"/>
          <w:szCs w:val="28"/>
          <w:rtl w:val="true"/>
          <w:lang w:bidi="fa-IR"/>
        </w:rPr>
        <w:t>صاحب جواهر از رجحان بذل آن جعل از باب وفاي به عهد، عهد در ضمن عقد باشد، از آن جايي كه اين عقد فاسد است تمام متعلقات آن از جمله عهد در ضمن آن هم فاسد مي‌باشد و وفاي به عهد در اين‌جا به منزله‌ي آن است كه بگوييم چيزي كه ملك ديگري نيست، استحباباً آثار ملك بر آن بار مي‌شود، در حالي كه اين معنا ندارد و لم يتفوّه به فقيهٌ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مقصود اين باشد كه آن جعل را به برنده تمليك جديد كند، در اين صورت ديگر فرقي بين اين‌جا و جاهايي كه قمار و حرام است نمي‌باشد و نهايت فرقي كه مي‌توان بيان كرد اين است كه در مورد قمار حرام، تمليك جديد مستحب نيست، ولي در قمار غير حرام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اصلاً محل كلام در عمل باذل نيست كه آيا عملش مستحب است يا نه، بلكه بحث ما در مبذولٌ له است كه آيا جايز است در آن جُعل تصرّف كند يا خير، و در اين جهت چه قمار حرام باشد و چه غير حرام، تفاوتي ندارد و بعد از تمليك جديد مالك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گمان نمي‌كنم كسي در حرمت و فساد مراهنه به غير آلات قمار با وجود آن روايات شك داشته باشد و به جز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در مسأله خلاف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شيخ روايتي را كه سندش هم تمام است نقل مي‌كند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كسي به اين روايت به نفع صاحب جواهر استشهاد كند و در مقابل ما بايستد، آن روايت صحيحه‌ي محمد بن قيس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مُحَمَّدِ بْنِ عِيسَى عَنْ يُوسُفَ بْنِ عَقِيلٍ</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يُوسُفَ بْنِ عَقِيلٍ عَنْ مُحَمَّدِ بْنِ قَيْسٍ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رَجُلًا وَرِقاً فَلَا يَشْتَرِطْ إِلَّا مِثْلَهَا فَإِنْ جُوزِيَ أَجْوَدَ مِنْهَا فَلْيَقْبَلْ وَ لَا يَأْخُذْ أَحَدٌ مِنْكُمْ رُكُوبَ دَابَّةٍ أَوْ عَارِيَّةَ مَتَاعٍ يَشْتَرِطُهُ مِنْ أَجْلِ قَرْضِ وَرِقِهِ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تتمة كتاب التجارة، أبواب الدين و القرض، 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قَيْسٍ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أَكَلَ وَ أَصْحَابٌ لَهُ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أَكَلْتُمُوهَا فَهِيَ لَكُمْ وَ إِنْ لَمْ تَأْكُلُوهَا فَعَلَيْكُمْ كَذَا وَ كَذَا فَقَضَى فِيهِ أَنَّ ذَلِكَ بَاطِلٌ لَا شَيْ‌ءَ فِي الْمُؤَاكَلَةِ مِنَ</w:t>
      </w:r>
    </w:p>
    <w:p>
      <w:pPr>
        <w:pStyle w:val="BookText"/>
        <w:rPr/>
      </w:pPr>
      <w:r>
        <w:rPr>
          <w:rFonts w:ascii="Amiri" w:hAnsi="Amiri" w:eastAsia="Amiri" w:cs="Amiri"/>
          <w:color w:val="111111"/>
          <w:sz w:val="28"/>
          <w:sz w:val="28"/>
          <w:szCs w:val="28"/>
          <w:rtl w:val="true"/>
          <w:lang w:bidi="ar-SA"/>
        </w:rPr>
        <w:t>الطَّعَامِ مَا قَلَّ مِنْهُ وَ مَا كَثُرَ وَ مَنَعَ غَرَامَتَهُ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أَحْمَدَ بْنِ مُحَمَّدِ بْنِ عِيسَى عَنْ يُوسُفَ بْنِ عَقِيلٍ نَحْوَهُ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بررسي سند روايت</w:t>
      </w:r>
    </w:p>
    <w:p>
      <w:pPr>
        <w:pStyle w:val="BookText"/>
        <w:rPr/>
      </w:pPr>
      <w:r>
        <w:rPr>
          <w:rFonts w:ascii="IRNazanin" w:hAnsi="IRNazanin" w:eastAsia="IRNazanin"/>
          <w:color w:val="111111"/>
          <w:sz w:val="28"/>
          <w:sz w:val="28"/>
          <w:szCs w:val="28"/>
          <w:rtl w:val="true"/>
          <w:lang w:bidi="fa-IR"/>
        </w:rPr>
        <w:t>اين روايت از لحاظ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محمد بن عيسي كلام است كه اگر محمد بن عيسي بن عبيد يقطيني باشد ـ كه به احتمال زياد همان است ـ ثقه است و اگر محمد بن عيسي الاشعري القمي پدر احمد بن عيسي باشد در شأن او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القميين و وجه الاشاعرة</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محمد بن عيسى بن عبد الله بن سعد بن مالك الأشعري أبو علي، شيخ القميين و وجه الأشاعرة متقدم عند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شايد بتوان از اين كلام توثيق او را به دست آورد، و اگر كسي در آن دغدغه داشته باشد شايد بتوان گفت در نسخه‌اي كه تهذيب نقل مي‌كند محمد بن عيسي را ذكر نمي‌كند و احمد بن محمد مستقيماً از يوسف بن عقيل نقل مي‌كند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عِيسَى عَنْ يُوسُفَ بْنِ عَقِيلٍ عَنْ مُحَمَّدِ بْنِ قَيْسٍ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در اين صورت هيچ دغدغه‌اي در صحّت سند باقي نمي‌ماند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 و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يوسف بن عقيل و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ممكن است كسي بگويد به اين عبارت نمي‌توان اعتماد كرد؛ زيرا معجم الرجال مواردي كه در روايات آمده را استقصاء كرده و نقل مي‌كند ـ خود 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قبول نمي‌كند كه نسخه‌اي كه بدون واسطه نقل كرده صحيح باشد ـ امّا از آن جايي كه همين روايت در بعضي نسخ كافي، محمد بن عيسي ندارد و در روايت ديگري از 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احمد بن محمد بن عيسي مستقيماً از يوسف بن عقيل نقل كرده ـ گرچه در مورد آن هم در بعضي از نسخ كافي محمد بن عيسي دارد ـ و در تهذيب هم مستقيماً نقل كرده، مي‌توان گفت احمد بن محمد بن عيسي مي‌تواند مستقيماً از يوسف بن عقيل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شيخ در الفهرست، ناقل كتاب يوسف بن عقيل را محمد بن عيسي ذكر مي‌كند، ولي اين منافاتي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ترجمه‌ي روايت</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كردند در مورد دعوايي كه مردي با اصحابش گوسفندي را مؤاكله</w:t>
      </w:r>
      <w:r>
        <w:rPr>
          <w:rStyle w:val="FootnoteAnchor"/>
          <w:rtl w:val="true"/>
        </w:rPr>
        <w:footnoteReference w:id="18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آكَلْتُها أَي أَطْعَمْتُها، و كذلك كل شي‌ءٍ أَطْعَمْتَه 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آكَلْتُه إِيكَالًا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آكَلْتُه مُؤَاكَلَةً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 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آكَلْتُهُ إِيكَالًا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آكَلْتُهُ مُؤَاكَلَةً، أى أَكَلْتُ معه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كردند، به اين</w:t>
      </w:r>
      <w:bookmarkStart w:id="236" w:name="pg2375_19677"/>
    </w:p>
    <w:p>
      <w:pPr>
        <w:pStyle w:val="BookText"/>
        <w:rPr/>
      </w:pPr>
      <w:bookmarkEnd w:id="236"/>
      <w:r>
        <w:rPr>
          <w:rFonts w:ascii="IRNazanin" w:hAnsi="IRNazanin" w:eastAsia="IRNazanin"/>
          <w:color w:val="111111"/>
          <w:sz w:val="28"/>
          <w:sz w:val="28"/>
          <w:szCs w:val="28"/>
          <w:rtl w:val="true"/>
          <w:lang w:bidi="fa-IR"/>
        </w:rPr>
        <w:t>صورت كه آن مرد به اصحابش گفت كه اگر همه را خورديد مال شما و چيزي بر عهده‌ي شما نيست، امّا اگر همه را نتوانستيد بخوريد بر شما است كه فلان مقدار را بپردازيد ـ كه قاعدتاً چند برابر پول آن گوسفند بوده است ـ حضرت در اين قضاوت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باطلي است، در مؤاكله‌ي طعام، هيچ چيزي چه كم باشد و چه زياد بر عهده‌ي كسي نيست و غرامت اكل از طعام را منع كردند</w:t>
      </w:r>
      <w:r>
        <w:rPr>
          <w:rFonts w:eastAsia="IRNazanin" w:cs="IRNazanin"/>
          <w:color w:val="111111"/>
          <w:sz w:val="28"/>
          <w:szCs w:val="28"/>
          <w:rtl w:val="true"/>
          <w:lang w:bidi="fa-IR"/>
        </w:rPr>
        <w:t>.</w:t>
      </w:r>
    </w:p>
    <w:p>
      <w:pPr>
        <w:pStyle w:val="Heading6"/>
        <w:numPr>
          <w:ilvl w:val="5"/>
          <w:numId w:val="1"/>
        </w:numPr>
        <w:rPr/>
      </w:pPr>
      <w:bookmarkStart w:id="237" w:name="__RefHeading___Toc2903037_3804643083"/>
      <w:bookmarkStart w:id="238" w:name="_Toc89"/>
      <w:bookmarkEnd w:id="237"/>
      <w:r>
        <w:rPr>
          <w:rtl w:val="true"/>
        </w:rPr>
        <w:t>استفاده‌ي شيخ</w:t>
      </w:r>
      <w:r>
        <w:rPr>
          <w:rtl w:val="true"/>
        </w:rPr>
        <w:t xml:space="preserve">- </w:t>
      </w:r>
      <w:r>
        <w:rPr>
          <w:rtl w:val="true"/>
        </w:rPr>
        <w:t xml:space="preserve">قدس سره </w:t>
      </w:r>
      <w:r>
        <w:rPr>
          <w:rtl w:val="true"/>
        </w:rPr>
        <w:t xml:space="preserve">- </w:t>
      </w:r>
      <w:r>
        <w:rPr>
          <w:rtl w:val="true"/>
        </w:rPr>
        <w:t>از صحيحه‌ي محمد بن قيس، هم به نفع صاحب جواهر و هم عليه ايشان</w:t>
      </w:r>
      <w:bookmarkEnd w:id="238"/>
    </w:p>
    <w:p>
      <w:p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حضرت فقط از حيث حكم وضعي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حكم تكليفي چيزي نفرمودند، در حالي كه اگر حرام بود مناسب بود از باب نهي از منكر ـ در صورتي كه آن‌ها علم به حرمت داشتند ـ يا از باب ارشاد جاهل ـ در صورتي كه علم به حرمت نداشتند ـ بيان كنند، استفاده مي‌شود كه حرمت تكليفي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مي‌تواند به نفع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مراهنه‌ي به غير آلات معدّه‌ي للقمار حرام نيست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اين روايت مي‌تواند عليه صاحب جواهر هم باشد؛ زيرا ايشان فرمودند تصرّف در جُعل از آن جايي كه اكل مال به باطل</w:t>
      </w:r>
    </w:p>
    <w:p>
      <w:pPr>
        <w:pStyle w:val="BookText"/>
        <w:rPr/>
      </w:pPr>
      <w:r>
        <w:rPr>
          <w:rFonts w:ascii="IRNazanin" w:hAnsi="IRNazanin" w:eastAsia="IRNazanin"/>
          <w:color w:val="111111"/>
          <w:sz w:val="28"/>
          <w:sz w:val="28"/>
          <w:szCs w:val="28"/>
          <w:rtl w:val="true"/>
          <w:lang w:bidi="fa-IR"/>
        </w:rPr>
        <w:t xml:space="preserve">است، حرام مي‌باشد و اگر تصرّف كرد طبق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الغير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روايت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غَرَامَتَهُ مِنْهُ يا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تفاوت دارد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يعني حضرت غرامت اكل از آن شاة يا غرامت صاحب شاة از خوردن اين شاة را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از اين جهت كه ضمانت را منع مي‌كند، عليه نظر صاحب جواهر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نعم، عن الكافي و التهذيب بسندهما عن محمد بن قيس،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آكَلَ و أصحابٌ له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أكلتموها فهي لكم، و إن لم تأكلوها فعليكم كذا و كذا، فقضى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باطل، لا شي‌ء في المؤاكلة من الطعام ما قلّ منه أو كثر، و منع غرامة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ظاهرها من حيث عدم ردع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فعل مثل هذا أنّه ليس بحرام، إلّا أنّه لا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وارد على تقدير القول بالبطلان و عدم التحريم؛ لأنّ التصرف في هذا المال مع فساد المعاملة حرام أيضاً، فتأمّل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در مورد اين روايت به همين قدر بسنده مي‌كنند و راه حلّي را ارائه نمي‌دهند</w:t>
      </w:r>
      <w:r>
        <w:rPr>
          <w:rFonts w:eastAsia="Amiri" w:cs="Amiri" w:ascii="Amiri" w:hAnsi="Amiri"/>
          <w:color w:val="111111"/>
          <w:sz w:val="28"/>
          <w:szCs w:val="28"/>
          <w:rtl w:val="true"/>
          <w:lang w:bidi="ar-SA"/>
        </w:rPr>
        <w:t>.</w:t>
      </w:r>
      <w:bookmarkStart w:id="239" w:name="pg2375_19679"/>
    </w:p>
    <w:p>
      <w:pPr>
        <w:pStyle w:val="Heading5"/>
        <w:numPr>
          <w:ilvl w:val="4"/>
          <w:numId w:val="1"/>
        </w:numPr>
        <w:rPr/>
      </w:pPr>
      <w:bookmarkStart w:id="240" w:name="__RefHeading___Toc2903039_3804643083"/>
      <w:bookmarkStart w:id="241" w:name="_Toc90"/>
      <w:bookmarkEnd w:id="239"/>
      <w:bookmarkEnd w:id="240"/>
      <w:r>
        <w:rPr>
          <w:rtl w:val="true"/>
        </w:rPr>
        <w:t>تأملي بر فرمايشات صاحب جواهر</w:t>
      </w:r>
      <w:r>
        <w:rPr>
          <w:rtl w:val="true"/>
        </w:rPr>
        <w:t xml:space="preserve">- </w:t>
      </w:r>
      <w:r>
        <w:rPr>
          <w:rtl w:val="true"/>
        </w:rPr>
        <w:t xml:space="preserve">قدس سره </w:t>
      </w:r>
      <w:r>
        <w:rPr>
          <w:rtl w:val="true"/>
        </w:rPr>
        <w:t>-</w:t>
      </w:r>
      <w:bookmarkEnd w:id="241"/>
    </w:p>
    <w:p>
      <w:pPr>
        <w:pStyle w:val="Heading6"/>
        <w:numPr>
          <w:ilvl w:val="5"/>
          <w:numId w:val="1"/>
        </w:numPr>
        <w:rPr/>
      </w:pPr>
      <w:bookmarkStart w:id="242" w:name="__RefHeading___Toc2903041_3804643083"/>
      <w:bookmarkStart w:id="243" w:name="_Toc91"/>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رهان در لعب به غير آلات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قرارداد بر اين‌كه اگر كسي سرش را بيشتر زير آب نگه دارد مالك پنجاه هزار تومان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بر بازنده واجب نيست آن را پرداخت كند؛ و اگر هم بازنده داد، برنده مالك آن نمي‌شود و حقّ تصرف در آن را ندارد؛ زيرا مصداق اكل مال به باطل بوده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بازنده به عنوان وفاي به وعد آن را به برنده بدهد، مي‌تواند در آن تصرّف كند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محرم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بلا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ذلك بين الشطرنج و النرد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اعتيد المقامرة به سابقا أو لاحقا، أما إذا يعتد المقامرة به، فالظاهر عدم حرمته مع عدم الرهان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مع الرهان أيضا و إن حرم هو، لأنه أكل مال بالباطل دونه، لما عرفت مما لا معارض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أخذ الرهن الذي فرض لهذا القسم بعنوان الوفاء بالوعد الذي هو نذر لا كفارة له، و مع طيب النفس من الباذل لا بعنوان أن المقامرة المزبورة، أوجبته و ألزمته، و انها كغيرها من العقود المشروعة، أمكن القول بجوازه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آن اشكالي كه مرحوم شيخ مطرح كردند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 يا عهد علي القاعده بايد در ضمن اين قرارداد بوده باشد؛ يعني اين قراردادِ باطل مشتمل بر وعدي است كه آن وعد باطل نيست و طبق قاعده‌ي كلّي، عمل به اين وعد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سؤالي كه اين‌جا مطرح مي‌شود اين است كه چطور اين قرارداد به يك تمليك باطل و وعد تحليل شد؟ آيا معاملات ديگر را هم مي‌توان چنين تحليل كرد؛ مثلاً در مورد</w:t>
      </w:r>
    </w:p>
    <w:p>
      <w:pPr>
        <w:pStyle w:val="BookText"/>
        <w:rPr/>
      </w:pPr>
      <w:r>
        <w:rPr>
          <w:rFonts w:ascii="IRNazanin" w:hAnsi="IRNazanin" w:eastAsia="IRNazanin"/>
          <w:color w:val="111111"/>
          <w:sz w:val="28"/>
          <w:sz w:val="28"/>
          <w:szCs w:val="28"/>
          <w:rtl w:val="true"/>
          <w:lang w:bidi="fa-IR"/>
        </w:rPr>
        <w:t>هبه بگوييم يك تمليك وجود دارد و يك وعده‌ي 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مورد بيع بگوييم كه مشتمل بر وعد مطلق و يك فصل مقوّمي است كه آن را از ساير معاملات جدا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لازمه‌ي كلام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مي‌فرمايد اين مراهنه مشتمل بر وعد است، اين است كه بگوييم هر عقدي مشتمل بر يك وعد مطلق و يك فصل مقوّمي است كه آن را از ساير عقود جدا مي‌كند و با باطل بودن آن فصل مقوّم ـ كه در ما نحن فيه اشتمال بر رهان است ـ آن وعد مطلق كه به منزله‌ي جنس است به قوت خود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كلام درست نيست و نظير آن است كه بگوييم كسي كه قرار بود مثلاً طاووسي را به ديگري بدهد، بعد از اين‌كه نتوانست طاووس را تهيه كند كلاغي را به جاي آن بدهد؛ چون طاووس مشتمل بر حيوانيت و فصل مميز است كه فصل مميز را نتوانست تهيه كند، ولي جنس آن را كه حيوانيت است و در ضمن كلاغ موجود است، مي‌تواند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حقيقت هر چيزي به صورت آن است و جنس هم در ضمن فصل موجود است و اگر بر فرض مي‌توانست حقيقت طاووسي را كه متمحض در صورت آن است بدون حيوانيت بدهد، كافي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تحليل اين مراهنه به يك وعد و فصل مميز كه اگر فصل مميز باطل بود وعد سر جاي خود باقي است، مورد پسند هيچ يك از عرف، عقل و شرع نيست و اصلاً وعدي در آن نيست؛ چه مستقلاً و چه ضمناً، و اگر از باب وعد آن جُعل به برنده داده</w:t>
      </w:r>
      <w:bookmarkStart w:id="244" w:name="pg2375_19681"/>
    </w:p>
    <w:p>
      <w:pPr>
        <w:pStyle w:val="BookText"/>
        <w:rPr/>
      </w:pPr>
      <w:bookmarkEnd w:id="244"/>
      <w:r>
        <w:rPr>
          <w:rFonts w:ascii="IRNazanin" w:hAnsi="IRNazanin" w:eastAsia="IRNazanin"/>
          <w:color w:val="111111"/>
          <w:sz w:val="28"/>
          <w:sz w:val="28"/>
          <w:szCs w:val="28"/>
          <w:rtl w:val="true"/>
          <w:lang w:bidi="fa-IR"/>
        </w:rPr>
        <w:t>شود، چه بسا ممكن است مخالفت كند و بگويد چون من برنده شدم مستحق آن جُعل هستم و از باب هديه و وعد قبول نمي‌كنم</w:t>
      </w:r>
      <w:r>
        <w:rPr>
          <w:rFonts w:eastAsia="IRNazanin" w:cs="IRNazanin"/>
          <w:color w:val="111111"/>
          <w:sz w:val="28"/>
          <w:szCs w:val="28"/>
          <w:rtl w:val="true"/>
          <w:lang w:bidi="fa-IR"/>
        </w:rPr>
        <w:t>.</w:t>
      </w:r>
    </w:p>
    <w:p>
      <w:pPr>
        <w:pStyle w:val="Heading6"/>
        <w:numPr>
          <w:ilvl w:val="5"/>
          <w:numId w:val="1"/>
        </w:numPr>
        <w:rPr/>
      </w:pPr>
      <w:bookmarkStart w:id="245" w:name="__RefHeading___Toc2903043_3804643083"/>
      <w:bookmarkStart w:id="246" w:name="_Toc92"/>
      <w:bookmarkEnd w:id="245"/>
      <w:r>
        <w:rPr>
          <w:rtl w:val="true"/>
        </w:rPr>
        <w:t>نقضي ديگر بر كلام صاحب جواهر</w:t>
      </w:r>
      <w:r>
        <w:rPr>
          <w:rtl w:val="true"/>
        </w:rPr>
        <w:t xml:space="preserve">- </w:t>
      </w:r>
      <w:r>
        <w:rPr>
          <w:rtl w:val="true"/>
        </w:rPr>
        <w:t xml:space="preserve">قدس سره </w:t>
      </w:r>
      <w:r>
        <w:rPr>
          <w:rtl w:val="true"/>
        </w:rPr>
        <w:t>-</w:t>
      </w:r>
      <w:bookmarkEnd w:id="24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صُوري را مي‌توانيم فرض كنيم كه حتّي احتمال اين‌كه عهد و وعدي در ضمنش باشد وجود نداشته باشد و آن اين‌كه شرط كنند آن جُعلي كه در وسط گذاشته‌اند به نحو شرط نتيجه</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شرط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صحيح بودن عقد، جُعل خود به خود و به نحو اتوماتيك ملك برنده مي‌شود و احتياج به تمليك ندارد تا بگوييم حال كه عقد باطل است، وعده‌ي تمليك جاي خود باقي است</w:t>
      </w:r>
      <w:r>
        <w:rPr>
          <w:rFonts w:eastAsia="IRNazanin" w:cs="IRNazanin"/>
          <w:color w:val="111111"/>
          <w:sz w:val="28"/>
          <w:szCs w:val="28"/>
          <w:rtl w:val="true"/>
          <w:lang w:bidi="fa-IR"/>
        </w:rPr>
        <w:t>.</w:t>
      </w:r>
      <w:bookmarkStart w:id="247" w:name="pg2375_19682"/>
    </w:p>
    <w:p>
      <w:pPr>
        <w:pStyle w:val="Heading6"/>
        <w:numPr>
          <w:ilvl w:val="5"/>
          <w:numId w:val="1"/>
        </w:numPr>
        <w:rPr/>
      </w:pPr>
      <w:bookmarkStart w:id="248" w:name="__RefHeading___Toc2903045_3804643083"/>
      <w:bookmarkStart w:id="249" w:name="_Toc93"/>
      <w:bookmarkEnd w:id="247"/>
      <w:bookmarkEnd w:id="248"/>
      <w:r>
        <w:rPr>
          <w:rtl w:val="true"/>
        </w:rPr>
        <w:t>نقد سيد خويي</w:t>
      </w:r>
      <w:r>
        <w:rPr>
          <w:rtl w:val="true"/>
        </w:rPr>
        <w:t xml:space="preserve">- </w:t>
      </w:r>
      <w:r>
        <w:rPr>
          <w:rtl w:val="true"/>
        </w:rPr>
        <w:t xml:space="preserve">قدس سره </w:t>
      </w:r>
      <w:r>
        <w:rPr>
          <w:rtl w:val="true"/>
        </w:rPr>
        <w:t xml:space="preserve">- </w:t>
      </w:r>
      <w:r>
        <w:rPr>
          <w:rtl w:val="true"/>
        </w:rPr>
        <w:t>بر استدلال به صحيحه‌ي محمد بن قيس به نفع صاحب جواهر</w:t>
      </w:r>
      <w:r>
        <w:rPr>
          <w:rtl w:val="true"/>
        </w:rPr>
        <w:t xml:space="preserve">- </w:t>
      </w:r>
      <w:r>
        <w:rPr>
          <w:rtl w:val="true"/>
        </w:rPr>
        <w:t xml:space="preserve">قدس سره </w:t>
      </w:r>
      <w:r>
        <w:rPr>
          <w:rtl w:val="true"/>
        </w:rPr>
        <w:t>-</w:t>
      </w:r>
      <w:bookmarkEnd w:id="249"/>
    </w:p>
    <w:p>
      <w:pPr>
        <w:pStyle w:val="BookText"/>
        <w:rPr/>
      </w:pPr>
      <w:r>
        <w:rPr>
          <w:rFonts w:ascii="Amiri" w:hAnsi="Amiri" w:eastAsia="Amiri" w:cs="Amiri"/>
          <w:color w:val="111111"/>
          <w:sz w:val="28"/>
          <w:sz w:val="28"/>
          <w:szCs w:val="28"/>
          <w:rtl w:val="true"/>
          <w:lang w:bidi="ar-SA"/>
        </w:rPr>
        <w:t>سيد خويي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اين روايت مي‌فرمايد</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الرواية أجنبية عن المقام، و إنما هي مسوقة لبيان حكم عقد المؤاكلة في الطعام، فان مالك الشاة قد أباحها لأشخاص معينين بشرط متأخر،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أكلتموها فهي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اشترط عليهم الضمان إذا تخلف الشرط المذكور،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تأكلوها فعليكم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بفساد هذه المعاملة، و عدم ترتب الأثر عليها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في المؤاكلة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ليست من المعاملات التي أمضاها الشارع كما أمضى المزارعة و المضاربة و المساقاة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فمفاد الرواية ينحل الى 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موجبة، و هي إباحة الشاة بشرط متأخر إباحة 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سالبة، و هي عدم تحقق الإباحة المالكية مع تخلف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القضية الاولى هو الجواز وضعا و تكليفا من غير غرامة على الآكلين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القضية الثانية هو عدم الجواز وضعا، لا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عليه غرامة الأكل، لكونه مشمولا لعمومات أدلة الضمان، لا لأنها معاملة خاصة توجب الضمان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من الرواية أمران،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في المؤاكلة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ان الصادر بين مالك الشاة و أصحابه إنما هو عقد المؤاكلة في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أكلتموها فهي لكم، و إن لم تأكلوها فعليكم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 أن هذا القول من المالك صيغة لعقد المؤاكلة، و أن المتعاملين بها يحاولون إيجاد معاملة خاصة كسائر المعاملات المقررة في الشريعة المقدسة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متضمن دو مطلب است كه يكي اثباتي و ديگري سلبي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اثباتي اين است كه صاحب شاة، آن شاة را با يك شرط متأخر براي آن‌ها اباحه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اباحه كردن؛ يعني اين‌كه مثلاً وقتي مهماني به خانه مي‌آيد، مي‌تواند از غذا بخورد، امّا تمليك او نشده كه بتواند با خودش به منزل هم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صاحب شاة آن گوسفند را با يك شرط متأخر اباحه كرده كه آن شرط متأخر عبارتست از اين‌كه تا آخرين جزء آن شاة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توانستند آن شاة را تا آخر بخورند، كشف مي‌شود از اوّل اباحه بوده است و الا اباحه‌اي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امر سلبي آن است كه اگر تخلّف شرط شد و نتوانستند به شرط عمل كنند و تا آخر آن را بخورند، ضامن هستند كه فلان مقدار پول به صاحب شاة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قضاوت نسبت به هر دو بخش اثباتي و سلبي نظر داده‌اند، امّا نسبت به بخش اثباتي فرموده‌اند كه يجوز وضعا‌ً و تكليفاً؛ يعني اباحه‌اش وضعاً جايز است و واقعاً براي آن‌ها مباح مي‌شود و تكليفاً هم براي آن‌ها مشكلي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بخش سلبي فرموده‌اند كه از لحاظ وضعي نافذ نيست؛ يعني اگر تخلف شرط شد آن‌ها ضامن آن مقدار پول معين نيستند، ولي از لحاظ تكليفي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اين مي‌شود كه در صورت تخلف شرط، ضامن آن ضمان المسمّي نيستند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خويي در ادامه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 كه طبق قضاوت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آن ضمان المسمي كه صاحب شاة معين كرده</w:t>
      </w:r>
      <w:bookmarkStart w:id="250" w:name="pg2375_19684"/>
    </w:p>
    <w:p>
      <w:pPr>
        <w:pStyle w:val="BookText"/>
        <w:rPr/>
      </w:pPr>
      <w:bookmarkEnd w:id="250"/>
      <w:r>
        <w:rPr>
          <w:rFonts w:ascii="IRNazanin" w:hAnsi="IRNazanin" w:eastAsia="IRNazanin"/>
          <w:color w:val="111111"/>
          <w:sz w:val="28"/>
          <w:sz w:val="28"/>
          <w:szCs w:val="28"/>
          <w:rtl w:val="true"/>
          <w:lang w:bidi="fa-IR"/>
        </w:rPr>
        <w:t xml:space="preserve">نيستند، ولي طبق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الغير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آن شاة هستند كه در اين‌جا چون شاة قيمي است، ضامن قيمت آن هستند و بايد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اصلاً ربطي به ما نحن فيه و قضيه‌ي قمار ندارد و نمي‌تواند مؤيّدي براي كلام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251" w:name="__RefHeading___Toc2903047_3804643083"/>
      <w:bookmarkStart w:id="252" w:name="_Toc94"/>
      <w:bookmarkEnd w:id="251"/>
      <w:r>
        <w:rPr>
          <w:rtl w:val="true"/>
        </w:rPr>
        <w:t>نقد كلام سيد خويي</w:t>
      </w:r>
      <w:r>
        <w:rPr>
          <w:rtl w:val="true"/>
        </w:rPr>
        <w:t xml:space="preserve">- </w:t>
      </w:r>
      <w:r>
        <w:rPr>
          <w:rtl w:val="true"/>
        </w:rPr>
        <w:t xml:space="preserve">قدس سره </w:t>
      </w:r>
      <w:r>
        <w:rPr>
          <w:rtl w:val="true"/>
        </w:rPr>
        <w:t>-</w:t>
      </w:r>
      <w:bookmarkEnd w:id="252"/>
    </w:p>
    <w:p>
      <w:pPr>
        <w:pStyle w:val="BookText"/>
        <w:rPr/>
      </w:pPr>
      <w:r>
        <w:rPr>
          <w:rFonts w:ascii="IRNazanin" w:hAnsi="IRNazanin" w:eastAsia="IRNazanin"/>
          <w:color w:val="111111"/>
          <w:sz w:val="28"/>
          <w:sz w:val="28"/>
          <w:szCs w:val="28"/>
          <w:rtl w:val="true"/>
          <w:lang w:bidi="fa-IR"/>
        </w:rPr>
        <w:t>فرمايش سيد خويي چيزي نظير فرمايش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قرارداد را به يك وعد مطلق و يك عقد باطل تحليل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خويي هم اين قرارداد را به دو قضيه تحليل كردند كه يكي موجبه و ديگري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همان‌گونه كه بيان كرديم، اين قرارداد در نزد عرف، يك واحد به هم پيوسته است و صاحب شاة هرگز حاضر نبود گوسفندش را با شرط متأخر اباحه كند، بدون اين‌كه قسمت دوم كلامش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چون مي‌دانست يا احتمال قوي مي‌داد كه نمي‌توانند به شرط عمل كنند و او مي‌تواند آن مقداري را كه معين كرده تصاحب كند، قسمت اوّل را بيان كرده است، پس عمده‌ي نظرش به قسمت دوم بوده و قسمت اوّل را براي تحريك آن‌ها گفته تا به هدفش كه قسمت دوم بوده برسد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لحاظ عرفي اين يك عقد پيوسته و واحد است و قابل تجزيه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بعضي معاملات مي‌تواند به چند معامله</w:t>
      </w:r>
    </w:p>
    <w:p>
      <w:pPr>
        <w:pStyle w:val="BookText"/>
        <w:rPr/>
      </w:pPr>
      <w:r>
        <w:rPr>
          <w:rFonts w:ascii="IRNazanin" w:hAnsi="IRNazanin" w:eastAsia="IRNazanin"/>
          <w:color w:val="111111"/>
          <w:sz w:val="28"/>
          <w:sz w:val="28"/>
          <w:szCs w:val="28"/>
          <w:rtl w:val="true"/>
          <w:lang w:bidi="fa-IR"/>
        </w:rPr>
        <w:t>انحلال پيدا كند؛ مثلاً اگر كسي پنج جلد كتاب نهج البلاغه بخرد، اين در حقيقت منحل به پنج بيع مي‌شود، امّا با اين حال اگر يكي از كتاب‌ها مثلاً مال ديگري باشد، خيار تبعّض صفقه پيدا مي‌كند و مي‌تواند آن چهار معامله را هم فسخ كند، چه رسد به ما نحن فيه كه اصلاً آن انحلال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هرچند اين معامله عرفاً انحلال پيدا نمي‌كند، ولي از روايت استفاده مي‌شود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آن را به دو معامله انحلال داده‌اند، چيزي نظير اين‌كه بعضي قائلند اگر در اجراي صيغه‌ي موقت، زمان را بيان نكند، تعبداً ـ نه عرفاً ـ منقلب به دائم مي‌شود، هرچند ازدواج دائم را قصد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شارع مي‌تواند چنين تعبّدي بكند، ولي اين احتياج به دالّ دارد كه بگوييم شارع حتماً چنين تعبّدي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اين مطلب هم فقط همين روايت مباركه است كه وقتي آن را دقيق بررسي مي‌كنيم، مي‌بينيم دلالتي ندارد؛ زيرا اين روايت مشتمل بر سه فقره است كه هيچ كدام مدعاي سيد خويي را اثبات نمي‌كند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فقره‌ي اوّل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ذَلِكَ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عقد است؛ يعني آن عقد و قراردادي كه بسته‌اند و عرفاً يك مجموعه‌ي واحد و پيوسته است، باطل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فقره از روايت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معامله باطل است، نه اين‌كه ـ همان‌گونه كه سيد خويي فرمودند ـ معامله داراي دو بخش باشد</w:t>
      </w:r>
    </w:p>
    <w:p>
      <w:pPr>
        <w:pStyle w:val="BookText"/>
        <w:rPr/>
      </w:pPr>
      <w:r>
        <w:rPr>
          <w:rFonts w:ascii="IRNazanin" w:hAnsi="IRNazanin" w:eastAsia="IRNazanin"/>
          <w:color w:val="111111"/>
          <w:sz w:val="28"/>
          <w:sz w:val="28"/>
          <w:szCs w:val="28"/>
          <w:rtl w:val="true"/>
          <w:lang w:bidi="fa-IR"/>
        </w:rPr>
        <w:t>و فقط بخش دوم معامله باطل باشد، امّا بخش اوّل وضعاً و تكليفاً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فقره‌ي اوّل، كل معامله را كه عرفاً واحد است باطل مي‌كند و مدعاي سيد خويي را اثبات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فقره‌ي دوم روايت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فِي الْمُؤَاكَلَةِ مِنَ الطَّعَامِ مَا قَلَّ مِنْهُ وَ مَا 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شيئي در مؤاكله‌ي از طعام نيست، چه كم باشد و 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اشاره به كل قرارداد باشد، همان مضمون فقره‌ي اوّل را دارد و فرقي با آن نمي‌كند و عطف بيان بر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ذَلِكَ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اشاره به بخشي از قرارداد باشد، بايد منظور سيد خويي اين باشد كه حضرت در اين فقره مي‌خواهند نفي ضمان كنند؛ يعني در مؤاكله چه كم باشد و چه زياد، ضماني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فقره هم معامله را تفكيك و تجزيه نمي‌كند كه بگوييم اگر طبق شرط عمل كردند و همه‌ي شاة را خوردند ضماني نيست، ولي اگر تخلف شرط كردند و بعض شاة را خوردند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عكس آن را مي‌فرمايد و حضرت تصريح مي‌كنند كه در اين مؤاكله هيچ چيزي نيست؛ يعني ضماني ندارد چه آن طعامي كه خورده شده كم باشد و 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سيد خويي مي‌فرمايد اگر كم خورده باشند ضمان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فقره‌ي سوم روايت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مَنَعَ غَرَامَتَهُ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احتمال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هر صورت مدعاي سيد خويي را اثبات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مرجع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يعني آن غرامتي كه طبق عقد بر عهده‌ي آكلين گذاشته شده بود، حضرت آن را منع كردند كه اگر مراد از غرامت اعم از غرامت مسمّي و قيمت شاة باشد، عليه مدعاي سيد خويي است و اگر مراد فقط غرامت مسمّي باشد باز اثبات نمي‌كند كه دو قضيه است كه اگر همه را بخورند اباحه كرده و اگر همه را نخورند گرچه غرامت مسمّي بر عهده‌ي آنان نيست، ولي قيمت شاة را بايد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ضمير به عقد برگردد و مراد از غرامت حتّي غرامت مسمّي باشد، باز اثبات نمي‌كند كه در صورت تخلف شرط غرامت غير مسمّي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بپردازند، بلكه بالاتر حتّي اگر در اين فقره فقط غرامت مسمّي را نفي كرده باشد، مي‌گوييم در فقره‌ي قبل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 فِي الْمُؤَاكَلَةِ مِنَ الطَّعَامِ مَا قَلَّ مِنْهُ وَ مَا 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غير مسمّي را هم نفي كرده است؛ زيرا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 مِنْهُ وَ مَا 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مضمون دو جمله يكي مي‌شود كه خلاف ظاهر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ضمير به طعام يا أكل برگردد، نتيجه اين مي‌شود كه حضرت غرامت صاحب شاة را از أكل يا طعام منع كردند و اين اطلاق دارد چه كم بخورند، چه زياد بخورند و چه همه‌ي آن را بخورند، در هر صورت غرامتي براي صاحب شاة نيست</w:t>
      </w:r>
      <w:r>
        <w:rPr>
          <w:rFonts w:eastAsia="IRNazanin" w:cs="IRNazanin"/>
          <w:color w:val="111111"/>
          <w:sz w:val="28"/>
          <w:szCs w:val="28"/>
          <w:rtl w:val="true"/>
          <w:lang w:bidi="fa-IR"/>
        </w:rPr>
        <w:t>.</w:t>
      </w:r>
      <w:bookmarkStart w:id="253" w:name="pg2375_19688"/>
    </w:p>
    <w:p>
      <w:pPr>
        <w:pStyle w:val="Heading5"/>
        <w:numPr>
          <w:ilvl w:val="4"/>
          <w:numId w:val="1"/>
        </w:numPr>
        <w:rPr/>
      </w:pPr>
      <w:bookmarkStart w:id="254" w:name="__RefHeading___Toc2903049_3804643083"/>
      <w:bookmarkStart w:id="255" w:name="_Toc95"/>
      <w:bookmarkEnd w:id="253"/>
      <w:bookmarkEnd w:id="254"/>
      <w:r>
        <w:rPr>
          <w:rtl w:val="true"/>
        </w:rPr>
        <w:t>خلاصه‌ي مناقشه در كلام سيد خويي</w:t>
      </w:r>
      <w:r>
        <w:rPr>
          <w:rtl w:val="true"/>
        </w:rPr>
        <w:t xml:space="preserve">- </w:t>
      </w:r>
      <w:r>
        <w:rPr>
          <w:rtl w:val="true"/>
        </w:rPr>
        <w:t xml:space="preserve">قدس سره </w:t>
      </w:r>
      <w:r>
        <w:rPr>
          <w:rtl w:val="true"/>
        </w:rPr>
        <w:t>-</w:t>
      </w:r>
      <w:bookmarkEnd w:id="255"/>
    </w:p>
    <w:p>
      <w:pPr>
        <w:pStyle w:val="Heading6"/>
        <w:numPr>
          <w:ilvl w:val="5"/>
          <w:numId w:val="1"/>
        </w:numPr>
        <w:rPr/>
      </w:pPr>
      <w:bookmarkStart w:id="256" w:name="__RefHeading___Toc2903051_3804643083"/>
      <w:bookmarkStart w:id="257" w:name="_Toc96"/>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پس خلاصه‌ي مناقشه در كلام 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ايشان مي‌فرمايد عقد و قرارداد منحل به دو قضيه مي‌شود، مي‌گوييم آيا عرف اين را به دو قضيه منحل مي‌كند يا تعبد؟ اگر مراد عرف باشد، مي‌گوييم عرف چنين تحليلي نمي‌كند بلكه آن را يك واحد پيوسته مي‌بيند و اگر مراد تعبداً باشد، مي‌گوييم بايد دالّي بر آن وجود داشته باشد ولي هيچ يك از سه فقره‌ي اين روايت دالّ بر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فقره‌ي اوّل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كل عقد كه عرفاً واحد است دارد، پس كل عقد باطل است و تفكيك آن به دو بخش كه فقط بخش دوم مراد باشد درست نيست و روايت بر آن دلالت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فقره‌ي دوم روايت هم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فِي الْمُؤَاكَلَةِ مِنَ الطَّعَامِ مَا قَلَّ مِنْهُ وَ مَا 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نفي ضمان است، هم نسبت به خوردن كل آن و هم نسبت به خوردن بعض، بنابراين هر نوع ضماني را نفي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نمي‌توان گفت اگر بعض آن را خوردند طبق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الغير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هستند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فقره‌ي سوم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غَرَامَتَهُ مِنْهُ يا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غرامت اعم از مسمّي يا غير مسمّي باشد، اين عليه مدعاي سيد خويي است و اگر مراد فقط غرامت مسمّي باشد،</w:t>
      </w:r>
      <w:bookmarkStart w:id="258" w:name="pg2375_19689"/>
    </w:p>
    <w:p>
      <w:pPr>
        <w:pStyle w:val="BookText"/>
        <w:rPr/>
      </w:pPr>
      <w:bookmarkEnd w:id="258"/>
      <w:r>
        <w:rPr>
          <w:rFonts w:ascii="IRNazanin" w:hAnsi="IRNazanin" w:eastAsia="IRNazanin"/>
          <w:color w:val="111111"/>
          <w:sz w:val="28"/>
          <w:sz w:val="28"/>
          <w:szCs w:val="28"/>
          <w:rtl w:val="true"/>
          <w:lang w:bidi="fa-IR"/>
        </w:rPr>
        <w:t>باز مي‌گوييم چون در فقره‌ي قبل غرامت غير مسمّي را هم نفي كرد، پس روايت عليه مدعاي 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روايت هيچ گونه دلالتي بر مدعاي سيد خويي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اين‌جا نتيجه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مرحوم شيخ فرمودند اين روايت مربوط به ما نحن فيه است، لكن اين مشكل هنوز باقي است كه اگر عقد باطل است و نافذ نيست، چرا طبق فرموده‌ي حضرت ضامن غرامت غير مسمّي هم نيست؟</w:t>
      </w:r>
      <w:r>
        <w:rPr>
          <w:rFonts w:eastAsia="IRNazanin" w:cs="IRNazanin"/>
          <w:color w:val="111111"/>
          <w:sz w:val="28"/>
          <w:szCs w:val="28"/>
          <w:rtl w:val="true"/>
          <w:lang w:bidi="fa-IR"/>
        </w:rPr>
        <w:t>!</w:t>
      </w:r>
    </w:p>
    <w:p>
      <w:pPr>
        <w:pStyle w:val="Heading6"/>
        <w:numPr>
          <w:ilvl w:val="5"/>
          <w:numId w:val="1"/>
        </w:numPr>
        <w:rPr/>
      </w:pPr>
      <w:bookmarkStart w:id="259" w:name="__RefHeading___Toc2903053_3804643083"/>
      <w:bookmarkStart w:id="260" w:name="_Toc97"/>
      <w:bookmarkEnd w:id="259"/>
      <w:r>
        <w:rPr>
          <w:rtl w:val="true"/>
        </w:rPr>
        <w:t>كلام مرحوم امام</w:t>
      </w:r>
      <w:r>
        <w:rPr>
          <w:rtl w:val="true"/>
        </w:rPr>
        <w:t xml:space="preserve">- </w:t>
      </w:r>
      <w:r>
        <w:rPr>
          <w:rtl w:val="true"/>
        </w:rPr>
        <w:t xml:space="preserve">قدس سره </w:t>
      </w:r>
      <w:r>
        <w:rPr>
          <w:rtl w:val="true"/>
        </w:rPr>
        <w:t xml:space="preserve">- </w:t>
      </w:r>
      <w:r>
        <w:rPr>
          <w:rtl w:val="true"/>
        </w:rPr>
        <w:t>درباره‌ي صحيحه‌ي محمد بن قيس</w:t>
      </w:r>
      <w:bookmarkEnd w:id="260"/>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علي القاعده كلام 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نداشتند، امّا شايد كسي مشابه كلام ايشان را زده كه مرحوم امام في‌الجمله متعرض آن شده و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بعضي گفته‌اند كه در اين‌جا اباحه‌ي به شرط است،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 مي‌كنند كه تحليل و تفكيك اين قرارداد به دو قضيه كه يكي اباحه‌ي به شرط باشد، درست نيست بلكه اگر إباحه هم باشد در ضمن عقد فاسد است؛ نه مستقل، و إباحه‌اي در ضمن عقد فاسد مانع غرامت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معاقده فاسد بوده، أكل شاة طبق قواعد اوليه موجب ضمان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يضمن بصحيحه يضمن بفاسده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ثمّ إنّ في الرواية إشكالا، و هو أنّ نفي الغرامة خلاف القواعد، لأنّ المعاقدة إن كانت فاسدة كان الأكل موجبا للغرامة، لأنّه كالمقبوض بالبيع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الإباحة المالكيّة ترفع الغرامة ليس بشي‌ء، لأنّ ما يوجب رفعها هو الإباحة المطلقة لا في ضمن معاملة فاسدة، فلو باع شاة في بيع فاسد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كلها، فهل يمكن دفع الغرامة بالإباحة المذكورة؟</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كيفيّة الدعوى و المدّعي و المدّعى عليه غير مذكورة في الرواية، و لم يكن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تمام الواقعة، بل كان بصدد بيان نحو القضاء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يحتمل أن يكون المدّعي في الواقعة صاحب الشاة، مع إظهار أصحابه العجز عن الأكل بعد تماميّة المشارطة و قبل التصرّف في الشاة، فأراد أخذ الغرامة الّتي جاءت بعهدة أصحابه بتوهّم صحّة المعاقدة، فمنع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اين روايت كه نفي ضمان مي‌كند، أولي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در مورد قضيه‌ي خارجيه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في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مربوط به قضاء است و ما كيفيت دعوا، مدّعي و مدّعي‌عليه را نمي‌دانيم و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نمي‌خواستند همه‌ي آن‌چه را كه مربوط به واقعه بوده بيان كنند، بلكه فقط مي‌خواستند نحوه‌ي قضاوت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كنند و شايد اين‌چنين بوده كه افراد بعد از بستن قرارداد و قبل از خوردن شاة، از اين قرارداد منصرف مي‌شوند ـ چون متوجه مي‌شوند نمي‌توانند تا آخر بخورند ـ لذا بينشان اختلاف ايجاد مي‌شود و پيش حضرت مي‌روند تا حضرت درباره‌ي آن‌ها قضاوت كند، حضرت هم مي‌فرمايد آن قرارداد باطل بوده و چون چيزي از آن گوسفند خورده نشده، هيچ ضماني بر عهده‌ي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قضاوت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ربطي به</w:t>
      </w:r>
      <w:bookmarkStart w:id="261" w:name="pg2375_19691"/>
    </w:p>
    <w:p>
      <w:pPr>
        <w:pStyle w:val="BookText"/>
        <w:rPr/>
      </w:pPr>
      <w:bookmarkEnd w:id="261"/>
      <w:r>
        <w:rPr>
          <w:rFonts w:ascii="Amiri" w:hAnsi="Amiri" w:eastAsia="Amiri" w:cs="Amiri"/>
          <w:color w:val="111111"/>
          <w:sz w:val="28"/>
          <w:sz w:val="28"/>
          <w:szCs w:val="28"/>
          <w:rtl w:val="true"/>
          <w:lang w:bidi="ar-SA"/>
        </w:rPr>
        <w:t xml:space="preserve">قاعده‌ي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زيرا تصرّفي نكرده‌اند تا ضامن باشند</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2903055_3804643083"/>
      <w:bookmarkStart w:id="263" w:name="_Toc98"/>
      <w:bookmarkEnd w:id="262"/>
      <w:r>
        <w:rPr>
          <w:rtl w:val="true"/>
        </w:rPr>
        <w:t>نقد كلام مرحوم امام</w:t>
      </w:r>
      <w:r>
        <w:rPr>
          <w:rtl w:val="true"/>
        </w:rPr>
        <w:t xml:space="preserve">- </w:t>
      </w:r>
      <w:r>
        <w:rPr>
          <w:rtl w:val="true"/>
        </w:rPr>
        <w:t xml:space="preserve">قدس سره </w:t>
      </w:r>
      <w:r>
        <w:rPr>
          <w:rtl w:val="true"/>
        </w:rPr>
        <w:t>-</w:t>
      </w:r>
      <w:bookmarkEnd w:id="263"/>
    </w:p>
    <w:p>
      <w:pPr>
        <w:pStyle w:val="BookText"/>
        <w:rPr/>
      </w:pPr>
      <w:r>
        <w:rPr>
          <w:rFonts w:ascii="IRNazanin" w:hAnsi="IRNazanin" w:eastAsia="IRNazanin"/>
          <w:color w:val="111111"/>
          <w:sz w:val="28"/>
          <w:sz w:val="28"/>
          <w:szCs w:val="28"/>
          <w:rtl w:val="true"/>
          <w:lang w:bidi="fa-IR"/>
        </w:rPr>
        <w:t xml:space="preserve">در نقد كلام مرحوم امام مي‌گوييم اين احتمالي كه ايشان مطرح كردند گرچه مشكل را حلّ مي‌كند، ولي واقعيت آن است كه با ظاهر روايت سازگار نيست؛ زيرا حضرت 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 فِي الْمُؤَاكَلَةِ مِنَ الطَّعَامِ مَا قَلَّ مِنْهُ وَ مَا 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در اين دارد كه مؤاكله‌ي خارجي اتفاق افتاده است</w:t>
      </w:r>
      <w:r>
        <w:rPr>
          <w:rFonts w:eastAsia="IRNazanin" w:cs="IRNazanin"/>
          <w:color w:val="111111"/>
          <w:sz w:val="28"/>
          <w:szCs w:val="28"/>
          <w:rtl w:val="true"/>
          <w:lang w:bidi="fa-IR"/>
        </w:rPr>
        <w:t>.</w:t>
      </w:r>
    </w:p>
    <w:p>
      <w:pPr>
        <w:pStyle w:val="Heading5"/>
        <w:numPr>
          <w:ilvl w:val="4"/>
          <w:numId w:val="1"/>
        </w:numPr>
        <w:rPr/>
      </w:pPr>
      <w:bookmarkStart w:id="264" w:name="__RefHeading___Toc2903057_3804643083"/>
      <w:bookmarkStart w:id="265" w:name="_Toc99"/>
      <w:bookmarkEnd w:id="264"/>
      <w:r>
        <w:rPr>
          <w:rtl w:val="true"/>
        </w:rPr>
        <w:t>تأمّلي ديگر در صحيحه‌ي معمّر بن خلاد براي اثبات حرمت تكليفي مراهنه بر لعب به غير آلات قمار</w:t>
      </w:r>
      <w:bookmarkEnd w:id="265"/>
    </w:p>
    <w:p>
      <w:pPr>
        <w:pStyle w:val="BookText"/>
        <w:rPr/>
      </w:pPr>
      <w:r>
        <w:rPr>
          <w:rFonts w:ascii="IRNazanin" w:hAnsi="IRNazanin" w:eastAsia="IRNazanin"/>
          <w:color w:val="111111"/>
          <w:sz w:val="28"/>
          <w:sz w:val="28"/>
          <w:szCs w:val="28"/>
          <w:rtl w:val="true"/>
          <w:lang w:bidi="fa-IR"/>
        </w:rPr>
        <w:t>قبل از اين‌كه كلام نهايي را درباره‌ي صحيحه‌ي محمد بن قيس بيان كنيم، لازم است تأملي ديگر در صحيحه‌ي معمّر بن خلاد و مكاتبه‌ي ابراهيم بن عنبسة كه عمده‌ي دليل ما بر اثبات حرمت تكليفي مراهنه در لعب به غير آلات معدّه‌ي للقمار بود، داشته باشيم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صحيحه‌ي معمّر بن خلاد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النَّرْدُ وَ الشِّطْرَنْجُ وَ الْأَرْبَعَةَ عَشَرَ بِمَنْزِلَةٍ وَاحِدَةٍ وَ كُلُّ مَا قُومِرَ عَلَيْهِ فَهُوَ مَيْسِر</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و در مكاتبه‌ي ابراهيم بن عنبسة ـ كه گفتيم بعيد نيست</w:t>
      </w:r>
    </w:p>
    <w:p>
      <w:pPr>
        <w:pStyle w:val="BookText"/>
        <w:rPr/>
      </w:pPr>
      <w:r>
        <w:rPr>
          <w:rFonts w:ascii="Amiri" w:hAnsi="Amiri" w:eastAsia="Amiri" w:cs="Amiri"/>
          <w:color w:val="111111"/>
          <w:sz w:val="28"/>
          <w:sz w:val="28"/>
          <w:szCs w:val="28"/>
          <w:rtl w:val="true"/>
          <w:lang w:bidi="ar-SA"/>
        </w:rPr>
        <w:t>صحيحه باشد ـ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قُومِرَ بِهِ فَهُوَ الْمَيْسِرُ</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إِبْرَاهِيمُ بْنُ عَنْبَسَةَ يَعْنِي إِلَى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سَيِّدِي وَ مَوْلَايَ أَنْ يُخْبِرَنِي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فَمَا الْمَيْسِرُ جُعِلْتُ فِدَاكَ؟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قُومِرَ بِهِ فَهُوَ الْمَيْسِرُ وَ 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دو بيان مي‌توانيم از اين دو روايت استفاده‌ي حرمت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كنكاشي كه درباره‌ي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آيه‌ي شريفه كرديم، به اين نتيجه رسيديم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ميمي علي خلاف القياس است و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صحيحه‌ي معمّر بن خلاد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قُومِرَ عَلَيْهِ فَهُوَ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مكاتبه‌ي ابراهيم بن عنبسة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قُومِرَ بِهِ فَهُوَ 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قرينه‌ي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ظهور اوّلي آن مصدر است،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قُومِرَ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قُومِرَ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برمي‌گردانيم و مؤيّد اين مطلب روايتي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قِمَارٍ مَيْسِرٌ</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عَلِيُّ بْنُ إِبْرَاهِيمَ فِي تَفْسِيرِهِ عَنْ أَبِي الْجَارُودِ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مُسْكِرٍ مِنَ الشَّرَابِ إِلَى أَنْ قَالَ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فَالنَّرْدُ وَ الشِّطْرَنْجُ وَ كُلُّ قِمَارٍ مَيْسِرٌ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فَالْأَوْثَانُ الَّتِي كَانَتْ تَعْبُدُهَا الْمُشْرِكُونَ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فَالْأَقْدَاحُ الَّتِي كَانَتْ تَسْتَقْسِمُ بِهَا الْمُشْرِكُونَ مِنَ الْعَرَبِ فِي الْجَاهِلِيَّةِ كُلُّ هَذَا بَيْعُهُ وَ شِرَاؤُهُ وَ الِانْتِفَاعُ بِشَيْ‌ءٍ مِنْ هَذَا حَرَامٌ مِنَ اللَّهِ مُحَرَّمٌ وَ هُوَ رِجْسٌ مِنْ عَمَلِ الشَّيْطَانِ وَ قَرَنَ اللَّهُ الْخَمْرَ وَ الْمَيْسِرَ مَعَ الْأَوْثَانِ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اين روايت سندش ناتمام</w:t>
      </w:r>
    </w:p>
    <w:p>
      <w:pPr>
        <w:pStyle w:val="BookText"/>
        <w:rPr/>
      </w:pPr>
      <w:r>
        <w:rPr>
          <w:rFonts w:ascii="IRNazanin" w:hAnsi="IRNazanin" w:eastAsia="IRNazanin"/>
          <w:color w:val="111111"/>
          <w:sz w:val="28"/>
          <w:sz w:val="28"/>
          <w:szCs w:val="28"/>
          <w:rtl w:val="true"/>
          <w:lang w:bidi="fa-IR"/>
        </w:rPr>
        <w:t>است، ولي از آن‌جايي كه اگر كسي هم جعل كرده باشد اهل زبان عربي بوده، مي‌توانيم به عنوان شاهد از آن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بگوييم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برمي‌گردد كه در اين صورت مراد، جُعل خواهد بود و مراد از ميسر هم همان جزور خواهد بود و معنا اين‌طور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جُعلي كه در قمار قرار داده مي‌شود مانند آن جزور در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اين سؤال مطرح مي‌شود كه تشابه جُعل در قمار با جزور در ميسر در چيست؟ در حرمت اكل يا حرمت لعب به آن؟ در پاسخ مي‌گوييم از آن‌جايي كه اثر اولي و بارز ميسر حرمت قمار بر آن است ـ زيرا همان‌طور كه قبلاً بيان كرديم از آيه‌ي شريفه، اوّل حرمت تكليفي قمار بر جزور استفاده مي‌شود و از ادلّه‌ي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از خود آيه‌ي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استفاده‌ي حرمت آن جزور مي‌شود ـ بنابراين اين‌كه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جُعلي كه در قمار قرار داده مي‌شود مانند جزور در ميسر است، مراد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قمار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قمار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حرام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مناقشه‌اي كه بعضي در چگونگي استفاده‌ي حرمت از اين دو روايت كرده‌اند با اين دو بيان دفع مي‌شود</w:t>
      </w:r>
      <w:r>
        <w:rPr>
          <w:rFonts w:eastAsia="IRNazanin" w:cs="IRNazanin"/>
          <w:color w:val="111111"/>
          <w:sz w:val="28"/>
          <w:szCs w:val="28"/>
          <w:rtl w:val="true"/>
          <w:lang w:bidi="fa-IR"/>
        </w:rPr>
        <w:t>.</w:t>
      </w:r>
      <w:bookmarkStart w:id="266" w:name="pg2375_19694"/>
    </w:p>
    <w:p>
      <w:pPr>
        <w:pStyle w:val="Heading5"/>
        <w:numPr>
          <w:ilvl w:val="4"/>
          <w:numId w:val="1"/>
        </w:numPr>
        <w:rPr/>
      </w:pPr>
      <w:bookmarkStart w:id="267" w:name="__RefHeading___Toc2903059_3804643083"/>
      <w:bookmarkStart w:id="268" w:name="_Toc100"/>
      <w:bookmarkEnd w:id="266"/>
      <w:bookmarkEnd w:id="267"/>
      <w:r>
        <w:rPr>
          <w:rtl w:val="true"/>
        </w:rPr>
        <w:t>حرمت وضعي مراهنه‌ي در لعب به غير آلات قمار</w:t>
      </w:r>
      <w:bookmarkEnd w:id="268"/>
    </w:p>
    <w:p>
      <w:pPr>
        <w:pStyle w:val="Heading6"/>
        <w:numPr>
          <w:ilvl w:val="5"/>
          <w:numId w:val="1"/>
        </w:numPr>
        <w:rPr/>
      </w:pPr>
      <w:bookmarkStart w:id="269" w:name="__RefHeading___Toc2903061_3804643083"/>
      <w:bookmarkStart w:id="270" w:name="_Toc101"/>
      <w:bookmarkEnd w:id="269"/>
      <w:r>
        <w:rPr>
          <w:rtl w:val="true"/>
        </w:rPr>
        <w:t>اشاره</w:t>
      </w:r>
      <w:bookmarkEnd w:id="270"/>
    </w:p>
    <w:p>
      <w:pPr>
        <w:pStyle w:val="BookText"/>
        <w:rPr/>
      </w:pPr>
      <w:r>
        <w:rPr>
          <w:rFonts w:ascii="Amiri" w:hAnsi="Amiri" w:eastAsia="Amiri" w:cs="Amiri"/>
          <w:color w:val="111111"/>
          <w:sz w:val="28"/>
          <w:sz w:val="28"/>
          <w:szCs w:val="28"/>
          <w:rtl w:val="true"/>
          <w:lang w:bidi="ar-SA"/>
        </w:rPr>
        <w:t>براي اثبات حرمت وضعي مراهنه‌ي در لعب به غير آلات قمار به دو دليل مي‌توانيم تمسك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تمسك به آيه‌ي شريفه‌ي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عمده دليل ما بر اثبات حرمت وضعي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شدن رهن به وسيله‌ي لعب به غير آلات قمار، مالك شدن از طريق باطل است، بنابراين مشمول آيه‌ي شريفه مي‌باشد، خصوصاً با توجه به اين‌كه در روايات نيز آيه‌ي شريفه بر قمار تطبيق داده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فِي تَفْسِيرِهِ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الْقِمَارَ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للاشعري، 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عِيسَى فِي نَوَادِرِهِ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الْقِمَارُ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عِدَّةٍ مِنْ أَصْحَابِنَا عَنْ أَحْمَدَ بْنِ مُحَمَّدٍ عَنْ عَلِيِّ بْنِ الْحَكَمِ عَنْ سَيْفِ بْنِ عَمِيرَةَ عَنْ زِيَادِ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تُقَامِرُ الرَّجُلَ بِأَهْلِهِ وَ مَالِهِ فَنَهَاهُمُ اللَّهُ عَزَّ وَ جَلَّ عَنْ ذَلِكَ</w:t>
      </w:r>
      <w:r>
        <w:rPr>
          <w:rFonts w:eastAsia="Amiri" w:cs="Amiri" w:ascii="Amiri" w:hAnsi="Amiri"/>
          <w:color w:val="111111"/>
          <w:sz w:val="28"/>
          <w:szCs w:val="28"/>
          <w:rtl w:val="true"/>
          <w:lang w:bidi="ar-SA"/>
        </w:rPr>
        <w:t>.</w:t>
      </w:r>
      <w:bookmarkStart w:id="271" w:name="pg2375_19695"/>
    </w:p>
    <w:p>
      <w:pPr>
        <w:pStyle w:val="BookText"/>
        <w:rPr/>
      </w:pPr>
      <w:bookmarkEnd w:id="27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رواياتي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خُفٍّ أَوْ حَافِرٍ أَوْ نَصْلٍ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الْوَشَّاءِ عَنْ عَبْدِ اللَّهِ بْنِ سِنَانٍ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خُفٍّ أَوْ حَافِرٍ أَوْ نَصْلٍ يَعْنِي النِّضَالَ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رهاني نيست مگر در خُف، حافر و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صحت رهان را فقط در خُف، حافر و نصل اختصاص مي‌دهد، بنابراين رهان در لعب به غير آلات قمار، وضعاً باطل است</w:t>
      </w:r>
      <w:r>
        <w:rPr>
          <w:rFonts w:eastAsia="IRNazanin" w:cs="IRNazanin"/>
          <w:color w:val="111111"/>
          <w:sz w:val="28"/>
          <w:szCs w:val="28"/>
          <w:rtl w:val="true"/>
          <w:lang w:bidi="fa-IR"/>
        </w:rPr>
        <w:t>.</w:t>
      </w:r>
    </w:p>
    <w:p>
      <w:pPr>
        <w:pStyle w:val="Heading6"/>
        <w:numPr>
          <w:ilvl w:val="5"/>
          <w:numId w:val="1"/>
        </w:numPr>
        <w:rPr/>
      </w:pPr>
      <w:bookmarkStart w:id="272" w:name="__RefHeading___Toc2903063_3804643083"/>
      <w:bookmarkStart w:id="273" w:name="_Toc102"/>
      <w:bookmarkEnd w:id="272"/>
      <w:r>
        <w:rPr>
          <w:rtl w:val="true"/>
        </w:rPr>
        <w:t>عدم حرمت مراهنه در لعبي كه قمار بر آن صدق نمي‌كند</w:t>
      </w:r>
      <w:bookmarkEnd w:id="273"/>
    </w:p>
    <w:p>
      <w:pPr>
        <w:pStyle w:val="BookText"/>
        <w:rPr/>
      </w:pPr>
      <w:r>
        <w:rPr>
          <w:rFonts w:ascii="IRNazanin" w:hAnsi="IRNazanin" w:eastAsia="IRNazanin"/>
          <w:color w:val="111111"/>
          <w:sz w:val="28"/>
          <w:sz w:val="28"/>
          <w:szCs w:val="28"/>
          <w:rtl w:val="true"/>
          <w:lang w:bidi="fa-IR"/>
        </w:rPr>
        <w:t>بيان كرديم دليل ما بر حرمت مراهنه‌ي در لعب به غير آلات معدّه‌ي للقمار، صحيحه‌ي معمّر بن خلاد و مكاتبه‌ي ابراهيم بن عنبسة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آن‌جايي كه در اين دو روايت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قُومِرَ عَلَيْهِ فَهُوَ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قُومِرَ بِهِ فَهُوَ 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مي‌گوييم حرمت اختصاص به جايي دارد كه بر آن قمار صدق كند و اگر احياناً بر لعبي ـ حتّي مع الرهان ـ قمار صدق نكند يا شك در صدق قمار داشته باشيم،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قامَرَ الرجلَ مُقامَرَةً و قِماراً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راهنه و هو التقامرُ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نمي‌توانيم بگوييم تكليفاً حرام</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حَفْصٍ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خُفٍّ أَوْ حَافِرٍ أَوْ نَصْلٍ يَعْنِي النِّضَالَ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همان‌طور كه بعضي لغويين مانند ابن منظور قمار را به مطلق مراهنه معني كرده‌اند، معني كنيم، نمي‌توان فرض كرد جايي مراهنه باشد، ولي قمار صدق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مثلاً اگر چند نفر رهاني بگذارند كه هر كدام فلان قصيده را حفظ كرد مالك آن شود، اگر بر اين مراهنه قمار صدق نكند يا شك در صدق قمار داشته باشيم، نمي‌توانيم بگوييم حرام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حرمت تكليفي ندارد، امّا آيا حرمت وضعي دارد يا نه، مي‌توانيم از صحيحه‌اي كه در باب سبق و رماية وارد شده، حرمت وضعي را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روايت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حَفْصٍ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خُفٍّ أَوْ حَافِرٍ أَوْ نَصْلٍ يَعْنِي النِّضَالَ</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حفص بن البختري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مسابقه‌اي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در خُف، حافر و نصل؛ يعني نضال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از لحاظ سند صحيحه است، گرچه نقل شده كه حفص بن البختري از طرف آل أعين متهم به لعب شطرنج</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شده، ولي با اين حال نجاشي ايشان را توثيق كرده است</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حفص بن البختري مولى، بغدادي، أصله كوفي، ثقة، روى عن أبي عبد الله و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بينه و بين آل أعين نبوة فغمزوا عليه بلعب الشطرنج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اتهام به بازي شطرنج هم مي‌توانيم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نيست اين اتهام از طرف اشخاص قابل اعتماد زده شده باشد، شايد بين طائفه‌ي آل أعين و حفص بن البختري كه دعوا و نَبْوه‌اي بوده، باعث شده اين حرف را بزنند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هم بازي كرده، بعدش توبه كرده ولي فقط بازي كردن او را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جزء كساني بوده كه لعب بدون رهن را حرام نمي‌دانسته است</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فِي خُفٍّ أَوْ حَافِرٍ أَوْ 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مي‌توانيم هم به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فتح آن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مصدر است و به معناي مسابقه است و اگر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معناي آن جُعلي است كه مسابقه دهندگان وسط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باشد ـ چه سَبَق باشد</w:t>
      </w:r>
      <w:bookmarkStart w:id="274" w:name="pg2375_19698"/>
    </w:p>
    <w:p>
      <w:pPr>
        <w:pStyle w:val="BookText"/>
        <w:rPr/>
      </w:pPr>
      <w:bookmarkEnd w:id="274"/>
      <w:r>
        <w:rPr>
          <w:rFonts w:ascii="IRNazanin" w:hAnsi="IRNazanin" w:eastAsia="IRNazanin"/>
          <w:color w:val="111111"/>
          <w:sz w:val="28"/>
          <w:sz w:val="28"/>
          <w:szCs w:val="28"/>
          <w:rtl w:val="true"/>
          <w:lang w:bidi="fa-IR"/>
        </w:rPr>
        <w:t>و چه سَبْق ـ دالّ بر فساد وضعي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سَبْق ـ به سكون باء ـ باشد معني روايت اين‌چنين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مسابقه‌اي در غير خُف، حافر و نصل نيست؛ يعني مشروع نيست و امضاء نشده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معني اين‌چنين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جُعلي در غير خُف، حافر و نصل نيست؛ يعني چنين جُعلي مشروع نيست و وضعاً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ايّ حالٍ اين روايت دالّ بر حرمت وضعي مراهنه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مراهنه در جايي كه قمار صدق نكند، تكليفاً حرام نيست ولي وضعاً حرام است</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2903065_3804643083"/>
      <w:bookmarkStart w:id="276" w:name="_Toc103"/>
      <w:bookmarkEnd w:id="275"/>
      <w:r>
        <w:rPr>
          <w:rtl w:val="true"/>
        </w:rPr>
        <w:t>كلام نهايي در مورد صحيحه‌ي محمد بن قيس</w:t>
      </w:r>
      <w:bookmarkEnd w:id="276"/>
    </w:p>
    <w:p>
      <w:pPr>
        <w:pStyle w:val="BookText"/>
        <w:rPr/>
      </w:pPr>
      <w:r>
        <w:rPr>
          <w:rFonts w:ascii="IRNazanin" w:hAnsi="IRNazanin" w:eastAsia="IRNazanin"/>
          <w:color w:val="111111"/>
          <w:sz w:val="28"/>
          <w:sz w:val="28"/>
          <w:szCs w:val="28"/>
          <w:rtl w:val="true"/>
          <w:lang w:bidi="fa-IR"/>
        </w:rPr>
        <w:t>با توجه به نكته‌ي اخيري كه بيان كرديم ـ كه اگر در مراهنه‌اي عرفاً قمار صدق نكند، حرمت تكليفي ندارد ـ در مورد صحيحه‌ي محمد بن قيس مي‌گوييم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آن‌جايي كه بعيد است بر مراهنه‌ي در مورد خوردن شاة عرفاً قمار صدق كند، پس حرمت تكليفي ندارد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آن نهي نكرده‌اند، مضاف به اين‌كه اگر حرمت تكليفي هم داشته باشد باز مي‌گوييم چون حضرت در مقام قضاوت درباره‌ي</w:t>
      </w:r>
    </w:p>
    <w:p>
      <w:pPr>
        <w:pStyle w:val="BookText"/>
        <w:rPr/>
      </w:pPr>
      <w:r>
        <w:rPr>
          <w:rFonts w:ascii="IRNazanin" w:hAnsi="IRNazanin" w:eastAsia="IRNazanin"/>
          <w:color w:val="111111"/>
          <w:sz w:val="28"/>
          <w:sz w:val="28"/>
          <w:szCs w:val="28"/>
          <w:rtl w:val="true"/>
          <w:lang w:bidi="fa-IR"/>
        </w:rPr>
        <w:t>حكم وضعي بودند كه آيا پرداخت غرامت بر آكلين لازم است يا نه و از حيث حرمت تكليفي درصدد بيان نبودند، آن را بيان نكرده‌اند و شايد 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تكليفي را بيان كرده‌اند، ولي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حيث حكم وضعي قضيه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روايت از لحاظ حكم تكليفي چيزي بيان نمي‌كند و ممكن است بگوييم چون بر اين مراهنه عرفاً قمار صدق نمي‌كند، حرمت تكليفي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حيث حكم وضعي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آن‌جايي كه ظهور اين روايت در آن است كه هيچ گونه ضماني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ضمان مسمي و نه ضمان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عهده‌ي آكلين نيست، پس از باب تعبّد آن را در خصوص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مراهنه در مورد أكل يا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مي‌پذيريم و مي‌گوييم چنين مراهنه‌اي كه عقدش فاسد است و نافذ نيست، ضماني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يضمن بصحيحه يضمن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مي‌شود؟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در هيچ روايتي نيامده بلكه قاعده‌ي مصطاده و صيد شده است، بنابراين آن‌قدر اطلاق ندارد كه بتواند ما نحن فيه را شامل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مضمون اين قاعده در متن روايت آمده باشد، مي‌توانيم اين مورد را از باب تخصيص و تقييد به بركت صحيحه‌ي محمد بن قيس خارج كنيم</w:t>
      </w:r>
      <w:r>
        <w:rPr>
          <w:rFonts w:eastAsia="IRNazanin" w:cs="IRNazanin"/>
          <w:color w:val="111111"/>
          <w:sz w:val="28"/>
          <w:szCs w:val="28"/>
          <w:rtl w:val="true"/>
          <w:lang w:bidi="fa-IR"/>
        </w:rPr>
        <w:t>.</w:t>
      </w:r>
      <w:bookmarkStart w:id="277" w:name="pg2375_19700"/>
    </w:p>
    <w:p>
      <w:pPr>
        <w:pStyle w:val="BookText"/>
        <w:rPr/>
      </w:pPr>
      <w:bookmarkEnd w:id="277"/>
      <w:r>
        <w:rPr>
          <w:rFonts w:ascii="IRNazanin" w:hAnsi="IRNazanin" w:eastAsia="IRNazanin"/>
          <w:color w:val="111111"/>
          <w:sz w:val="28"/>
          <w:sz w:val="28"/>
          <w:szCs w:val="28"/>
          <w:rtl w:val="true"/>
          <w:lang w:bidi="fa-IR"/>
        </w:rPr>
        <w:t>بنابراين نتيجه‌ي نهايي اين شد كه مراهنه در مورد أكل شاة وضعاً فاسد است، ولي خوردن آن ضماني ندارد، هرچند مراعات احتياط حسن است</w:t>
      </w:r>
      <w:r>
        <w:rPr>
          <w:rFonts w:eastAsia="IRNazanin" w:cs="IRNazanin"/>
          <w:color w:val="111111"/>
          <w:sz w:val="28"/>
          <w:szCs w:val="28"/>
          <w:rtl w:val="true"/>
          <w:lang w:bidi="fa-IR"/>
        </w:rPr>
        <w:t>.</w:t>
      </w:r>
    </w:p>
    <w:p>
      <w:pPr>
        <w:pStyle w:val="Heading5"/>
        <w:numPr>
          <w:ilvl w:val="4"/>
          <w:numId w:val="1"/>
        </w:numPr>
        <w:rPr/>
      </w:pPr>
      <w:bookmarkStart w:id="278" w:name="__RefHeading___Toc2903067_3804643083"/>
      <w:bookmarkStart w:id="279" w:name="_Toc104"/>
      <w:bookmarkEnd w:id="278"/>
      <w:r>
        <w:rPr>
          <w:rtl w:val="true"/>
        </w:rPr>
        <w:t xml:space="preserve">خلاصه‌ي نظر مختار در مورد حكم لعب در سه فرض سابق </w:t>
      </w:r>
      <w:r>
        <w:rPr>
          <w:rtl w:val="true"/>
        </w:rPr>
        <w:t>(</w:t>
      </w:r>
      <w:r>
        <w:rPr>
          <w:rtl w:val="true"/>
        </w:rPr>
        <w:t>الف، ب و ج</w:t>
      </w:r>
      <w:r>
        <w:rPr>
          <w:rtl w:val="true"/>
        </w:rPr>
        <w:t>)</w:t>
      </w:r>
      <w:bookmarkEnd w:id="279"/>
    </w:p>
    <w:p>
      <w:pPr>
        <w:pStyle w:val="BookText"/>
        <w:rPr/>
      </w:pPr>
      <w:r>
        <w:rPr>
          <w:rFonts w:ascii="IRNazanin" w:hAnsi="IRNazanin" w:eastAsia="IRNazanin"/>
          <w:color w:val="111111"/>
          <w:sz w:val="28"/>
          <w:sz w:val="28"/>
          <w:szCs w:val="28"/>
          <w:rtl w:val="true"/>
          <w:lang w:bidi="fa-IR"/>
        </w:rPr>
        <w:t>قبل از اين‌كه مسأله‌ي چهارم يعني حكم لعب به غير آلات معدّه‌ي للقمار بدون رهن را بيان كنيم، مناسب است خلاصه‌ي نظر مختار در مورد سه صورت قبل؛ يعني حكم لعب به آلات قمار مع الرهن، حكم لعب به آلات قمار بدون رهن و حكم لعب به غير آلات قمار مع الرهن را ذكر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 به الات قمار مع الرهن را گفتيم واضح است كه تكليفاً و وضعاً حرام است و تسالم قطعي هم بر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لعب به آلات معدّه‌ي للقمار بدون رهن را گفتيم اگر آن آلت، مثل شطرنج، نرد و اربعة‌عشر باشد، احتياط واجب شديد آن است كه ترك شود، امّا اگر نباشد ـ هرچند فعلاً نمي‌توانم تعيين مصداق كنم كه كدام آلت مثل اين سه است و كدام نيست ـ احتياط مستحب در ترك آن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لعب به غير آلات قمار مع الرهن را هم گفتيم اگر عرفاً قمار صادق باشد ـ هرچند لعب صادق نباشد ـ تكليفاً و وضعاً حرام است؛ حرمت تكليفي از صحيحه‌ي معمّر بن خلاد و مكاتبه‌ي ابراهيم بن عنبسه و تأييد روايات ديگر استفاده مي‌شود</w:t>
      </w:r>
      <w:r>
        <w:rPr>
          <w:rFonts w:eastAsia="IRNazanin" w:cs="IRNazanin"/>
          <w:color w:val="111111"/>
          <w:sz w:val="28"/>
          <w:szCs w:val="28"/>
          <w:rtl w:val="true"/>
          <w:lang w:bidi="fa-IR"/>
        </w:rPr>
        <w:t>.</w:t>
      </w:r>
      <w:bookmarkStart w:id="280" w:name="pg2375_19701"/>
    </w:p>
    <w:p>
      <w:pPr>
        <w:pStyle w:val="BookText"/>
        <w:rPr/>
      </w:pPr>
      <w:bookmarkEnd w:id="280"/>
      <w:r>
        <w:rPr>
          <w:rFonts w:ascii="IRNazanin" w:hAnsi="IRNazanin" w:eastAsia="IRNazanin"/>
          <w:color w:val="111111"/>
          <w:sz w:val="28"/>
          <w:sz w:val="28"/>
          <w:szCs w:val="28"/>
          <w:rtl w:val="true"/>
          <w:lang w:bidi="fa-IR"/>
        </w:rPr>
        <w:t xml:space="preserve">حرمت وضعي هم از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 تَأْكُلُوا أَمْوالَكُمْ بَيْنَكُمْ بِالْباطِلِ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صحيحه‌ي حفص بن البختري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فِي خُفٍّ أَوْ حَافِرٍ أَوْ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عرفاً قمار صادق نباشد، حرمت تكليفي ندارد ولي به مقتضاي صحيحه‌ي حفص بن البختري حرمت وضعي دارد</w:t>
      </w:r>
      <w:r>
        <w:rPr>
          <w:rFonts w:eastAsia="IRNazanin" w:cs="IRNazanin"/>
          <w:color w:val="111111"/>
          <w:sz w:val="28"/>
          <w:szCs w:val="28"/>
          <w:rtl w:val="true"/>
          <w:lang w:bidi="fa-IR"/>
        </w:rPr>
        <w:t>.</w:t>
      </w:r>
    </w:p>
    <w:p>
      <w:pPr>
        <w:pStyle w:val="Heading4"/>
        <w:numPr>
          <w:ilvl w:val="3"/>
          <w:numId w:val="1"/>
        </w:numPr>
        <w:rPr/>
      </w:pPr>
      <w:bookmarkStart w:id="281" w:name="__RefHeading___Toc2903069_3804643083"/>
      <w:bookmarkStart w:id="282" w:name="_Toc105"/>
      <w:bookmarkEnd w:id="281"/>
      <w:r>
        <w:rPr>
          <w:rtl w:val="true"/>
        </w:rPr>
        <w:t>قسم چهارم</w:t>
      </w:r>
      <w:r>
        <w:rPr>
          <w:rtl w:val="true"/>
        </w:rPr>
        <w:t xml:space="preserve">: </w:t>
      </w:r>
      <w:r>
        <w:rPr>
          <w:rtl w:val="true"/>
        </w:rPr>
        <w:t>مغالبه‌ي به غير آلات قمار بدون رهن</w:t>
      </w:r>
      <w:bookmarkEnd w:id="282"/>
    </w:p>
    <w:p>
      <w:pPr>
        <w:pStyle w:val="Heading5"/>
        <w:numPr>
          <w:ilvl w:val="4"/>
          <w:numId w:val="1"/>
        </w:numPr>
        <w:rPr/>
      </w:pPr>
      <w:bookmarkStart w:id="283" w:name="__RefHeading___Toc2903071_3804643083"/>
      <w:bookmarkStart w:id="284" w:name="_Toc106"/>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 xml:space="preserve">مغالبه‌ي به غير آلات معدّه‌ي للقمار بدون رهان، مانند مغالبه در فوتبال، واليبال، كُشتي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مغالبه در فتح سريع قلّه، مغالبه در بيشتر نگه داشتن سر در زير آب، مغالبه در خوردن، مغالبه در خواندن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حرام است يا نه؟</w:t>
      </w:r>
    </w:p>
    <w:p>
      <w:pPr>
        <w:pStyle w:val="BookText"/>
        <w:rPr/>
      </w:pPr>
      <w:r>
        <w:rPr>
          <w:rFonts w:ascii="Amiri" w:hAnsi="Amiri" w:eastAsia="Amiri" w:cs="Amiri"/>
          <w:color w:val="111111"/>
          <w:sz w:val="28"/>
          <w:sz w:val="28"/>
          <w:szCs w:val="28"/>
          <w:rtl w:val="true"/>
          <w:lang w:bidi="ar-SA"/>
        </w:rPr>
        <w:t>صاحب جواهر مي‌فرمايد</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محرم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بلا خلاف أجده فيه، بل الإجماع بقسميه عليه، و النصوص مستفيضة، أو متواترة فيه بل فيها ما يقتضي كونه من الباطل، الذي نهى الله عن أكل المال به، و أنه من الميسر الذي هو رجس من عمل الشيطان، فتتفق حينئذ الأدلة الشرعية الثلاثة على حرمته، بل حرمة المال الذي يؤخذ به، سواء كان منهما أو من ثالث بذله لأحدهما لو صار مغلوبا، بل قيل ان أصل القمار الرهن على اللعب بشي‌ء من الآلة، كما هو ظاهر القاموس و النهاية أو صريحهما و صريح مجمع البحرين، نعم عن ظاهر الصحاح و المصباح المنير و كذلك التكملة و الذيل، أنه قد يطلق على اللعب بها مطلقا مع الرهن و دونه و لا فرق في ذلك بين الشطرنج و النرد، و بين غيرهما من أفراده، كلعبة الأمير و الثلاثة و الأربعة عشر، و الجوز و البيض و الكعاب و نحوها، مما اعتيد المقامرة به سابقا أو لاحقا، أما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يعتد المقامرة به، فالظاهر عدم حرمته مع عدم الرهان، للأصل و انصراف أدلة المقام إلى غيره، و السيرة القطعية من الأعوام و العلماء، في المغالبة بالأبدان و غيرها، و قد روى مغالبة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بمحضر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مع الرهان أيضا و إن حرم هو، لأنه أكل مال بالباطل دونه، لما عرفت مما لا معارض له، و دعوى أنه من اللعب و اللهو المشغول عنهما المؤمن، يدفعه منع كونه من اللعب المحرم، إذ لا عموم، بل و لا إطلاق على وجه يصلح لشمول ذلك و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ينبغي أن يعلم أن التحقيق الحرمة و عدم الصحة إذا أريد إيجاد عقد السبق بذلك، إذ لا ريب في عدم مشروعيته، سواء كان بعوض أو بدونه، و لو للأصل، فضلاً عن النهي في خبر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فعله لا على جهة كونه عقد سبق، فالظاهر جوازه، للأصل و السيرة المستمرة على فعله في جميع الأعصار و الأمصار من الأعوام و العلماء، و‌ما ورد من مصارعة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مكاتبتهما و التقاطهما حب قلادة أمهما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بودن مغالبه به غير آلات</w:t>
      </w:r>
    </w:p>
    <w:p>
      <w:pPr>
        <w:pStyle w:val="BookText"/>
        <w:rPr/>
      </w:pPr>
      <w:r>
        <w:rPr>
          <w:rFonts w:ascii="Amiri" w:hAnsi="Amiri" w:eastAsia="Amiri" w:cs="Amiri"/>
          <w:color w:val="111111"/>
          <w:sz w:val="28"/>
          <w:sz w:val="28"/>
          <w:szCs w:val="28"/>
          <w:rtl w:val="true"/>
          <w:lang w:bidi="ar-SA"/>
        </w:rPr>
        <w:t>معدّه‌ي للقمار بدون رهان، جزء واضحات است و سيره‌ي علماء هم بر آن دلالت مي‌كند</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ولي حقيقت آن است كه اين سيره‌ي بين علماء، سيره‌ي متشرعه بما هم متشرعه نيست، و اين‌كه به كُشتي امام حسن و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اشاره مي‌كند</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عن فضالة بن أيوب عن الشحام عن أبي عبد الله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أبيه محمد بن علي الباقر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المرضة التي عوفي منها فعادته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النساء و معها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وَ اصْطَرِعَا فَقَامَا لِيَصْطَرِعَا وَ قَدْ خَرَجَتْ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حَاجَاتِهَا فَسَمِعَتِ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حَسَنُ شُدَّ عَلَى الْحُسَيْنِ فَاصْرَعْهُ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وَا عَجَباً أَ تُشَجِّعُ هَذَا عَلَى هَذَا تُشَجِّعُ الْكَبِيرَ عَلَى الصَّغِيرِ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يَا بُنَيَّةِ أَ مَا تَرْضَيْنَ أَنْ 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شُدَّ عَلَى الْحُسَيْنِ فَاصْرَعْهُ وَ هَذَا حَبِيبِي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شُدَّ عَلَى الْحَسَنِ فَاصْرَعْهُ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از آن جايي كه آن</w:t>
      </w:r>
      <w:bookmarkStart w:id="285" w:name="pg2375_19703"/>
    </w:p>
    <w:p>
      <w:pPr>
        <w:pStyle w:val="BookText"/>
        <w:rPr/>
      </w:pPr>
      <w:bookmarkEnd w:id="285"/>
      <w:r>
        <w:rPr>
          <w:rFonts w:ascii="Amiri" w:hAnsi="Amiri" w:eastAsia="Amiri" w:cs="Amiri"/>
          <w:color w:val="111111"/>
          <w:sz w:val="28"/>
          <w:sz w:val="28"/>
          <w:szCs w:val="28"/>
          <w:rtl w:val="true"/>
          <w:lang w:bidi="ar-SA"/>
        </w:rPr>
        <w:t>روايت سند صحيحي ندارد</w:t>
      </w:r>
      <w:r>
        <w:rPr>
          <w:rStyle w:val="FootnoteAnchor"/>
          <w:rtl w:val="true"/>
        </w:rPr>
        <w:footnoteReference w:id="200"/>
      </w:r>
      <w:r>
        <w:rPr>
          <w:rFonts w:ascii="Amiri" w:hAnsi="Amiri" w:eastAsia="Amiri" w:cs="Amiri"/>
          <w:color w:val="111111"/>
          <w:sz w:val="28"/>
          <w:sz w:val="28"/>
          <w:szCs w:val="28"/>
          <w:rtl w:val="true"/>
          <w:lang w:bidi="ar-SA"/>
        </w:rPr>
        <w:t>، نمي‌تواند به عنوان مستند فقهي باشد</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2903073_3804643083"/>
      <w:bookmarkStart w:id="287" w:name="_Toc107"/>
      <w:bookmarkEnd w:id="286"/>
      <w:r>
        <w:rPr>
          <w:rtl w:val="true"/>
        </w:rPr>
        <w:t>ادلّه‌ي حرمت قسم چهارم و مناقشه در آن</w:t>
      </w:r>
      <w:bookmarkEnd w:id="287"/>
    </w:p>
    <w:p>
      <w:pPr>
        <w:pStyle w:val="Heading6"/>
        <w:numPr>
          <w:ilvl w:val="5"/>
          <w:numId w:val="1"/>
        </w:numPr>
        <w:rPr/>
      </w:pPr>
      <w:bookmarkStart w:id="288" w:name="__RefHeading___Toc2903075_3804643083"/>
      <w:bookmarkStart w:id="289" w:name="_Toc108"/>
      <w:bookmarkEnd w:id="288"/>
      <w:r>
        <w:rPr/>
        <w:t>1</w:t>
      </w:r>
      <w:r>
        <w:rPr>
          <w:rtl w:val="true"/>
        </w:rPr>
        <w:t xml:space="preserve">. </w:t>
      </w:r>
      <w:r>
        <w:rPr>
          <w:rtl w:val="true"/>
        </w:rPr>
        <w:t>اجماع</w:t>
      </w:r>
      <w:bookmarkEnd w:id="289"/>
    </w:p>
    <w:p>
      <w:pPr>
        <w:pStyle w:val="BookText"/>
        <w:rPr/>
      </w:pPr>
      <w:r>
        <w:rPr>
          <w:rFonts w:ascii="IRNazanin" w:hAnsi="IRNazanin" w:eastAsia="IRNazanin"/>
          <w:color w:val="111111"/>
          <w:sz w:val="28"/>
          <w:sz w:val="28"/>
          <w:szCs w:val="28"/>
          <w:rtl w:val="true"/>
          <w:lang w:bidi="fa-IR"/>
        </w:rPr>
        <w:t>معلوم است اگر چنين اجماعي هم بر حرمت وجود داشته باشد، از آن جايي كه مدركي و يا حداقل محتمل المدرك است، نمي‌تواند حجّت بوده و كاشف از قول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اين‌كه بعضي گفته‌اند سيره بر خلاف آن است</w:t>
      </w:r>
      <w:r>
        <w:rPr>
          <w:rFonts w:eastAsia="IRNazanin" w:cs="IRNazanin"/>
          <w:color w:val="111111"/>
          <w:sz w:val="28"/>
          <w:szCs w:val="28"/>
          <w:rtl w:val="true"/>
          <w:lang w:bidi="fa-IR"/>
        </w:rPr>
        <w:t>.</w:t>
      </w:r>
      <w:r>
        <w:rPr>
          <w:rStyle w:val="FootnoteAnchor"/>
          <w:rtl w:val="true"/>
        </w:rPr>
        <w:footnoteReference w:id="201"/>
      </w:r>
    </w:p>
    <w:p>
      <w:pPr>
        <w:pStyle w:val="Heading6"/>
        <w:numPr>
          <w:ilvl w:val="5"/>
          <w:numId w:val="1"/>
        </w:numPr>
        <w:rPr/>
      </w:pPr>
      <w:bookmarkStart w:id="290" w:name="__RefHeading___Toc2903077_3804643083"/>
      <w:bookmarkStart w:id="291" w:name="_Toc109"/>
      <w:bookmarkEnd w:id="290"/>
      <w:r>
        <w:rPr/>
        <w:t>2</w:t>
      </w:r>
      <w:r>
        <w:rPr>
          <w:rtl w:val="true"/>
        </w:rPr>
        <w:t xml:space="preserve">. </w:t>
      </w:r>
      <w:r>
        <w:rPr>
          <w:rtl w:val="true"/>
        </w:rPr>
        <w:t>صدق عنوان قمار بر آن</w:t>
      </w:r>
      <w:bookmarkEnd w:id="291"/>
    </w:p>
    <w:p>
      <w:pPr>
        <w:pStyle w:val="BookText"/>
        <w:rPr/>
      </w:pPr>
      <w:r>
        <w:rPr>
          <w:rFonts w:ascii="IRNazanin" w:hAnsi="IRNazanin" w:eastAsia="IRNazanin"/>
          <w:color w:val="111111"/>
          <w:sz w:val="28"/>
          <w:sz w:val="28"/>
          <w:szCs w:val="28"/>
          <w:rtl w:val="true"/>
          <w:lang w:bidi="fa-IR"/>
        </w:rPr>
        <w:t xml:space="preserve">برخي گفته‌اند قمار به معناي مطلق مغالبه است و داشتن عوض و رهان در مفهوم قمار نهفته نيست و الا بايد بگوييم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مطلق مغالبه، قمار صدق مي‌كند و حرام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اين ادعا درست نيست و داشتن رهان مقوّم قمار است و</w:t>
      </w:r>
      <w:bookmarkStart w:id="292" w:name="pg2375_19704"/>
    </w:p>
    <w:p>
      <w:pPr>
        <w:pStyle w:val="BookText"/>
        <w:rPr/>
      </w:pPr>
      <w:bookmarkEnd w:id="292"/>
      <w:r>
        <w:rPr>
          <w:rFonts w:ascii="IRNazanin" w:hAnsi="IRNazanin" w:eastAsia="IRNazanin"/>
          <w:color w:val="111111"/>
          <w:sz w:val="28"/>
          <w:sz w:val="28"/>
          <w:szCs w:val="28"/>
          <w:rtl w:val="true"/>
          <w:lang w:bidi="fa-IR"/>
        </w:rPr>
        <w:t>بدون رهان قمار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تعبير عِوَض القمار هم غلط نيست و نظير آن است كه گفته شود توپ فوتبال، در حالي كه فوتبال بدون توپ معنا ندارد، علاوه آن‌كه مي‌توانيم بگوييم وقتي عوض به قمار اضافه مي‌شود، معناي قمار از اشتمالش بر عوض سلب مي‌شود</w:t>
      </w:r>
      <w:r>
        <w:rPr>
          <w:rFonts w:eastAsia="IRNazanin" w:cs="IRNazanin"/>
          <w:color w:val="111111"/>
          <w:sz w:val="28"/>
          <w:szCs w:val="28"/>
          <w:rtl w:val="true"/>
          <w:lang w:bidi="fa-IR"/>
        </w:rPr>
        <w:t>.</w:t>
      </w:r>
    </w:p>
    <w:p>
      <w:pPr>
        <w:pStyle w:val="Heading6"/>
        <w:numPr>
          <w:ilvl w:val="5"/>
          <w:numId w:val="1"/>
        </w:numPr>
        <w:rPr/>
      </w:pPr>
      <w:bookmarkStart w:id="293" w:name="__RefHeading___Toc2903079_3804643083"/>
      <w:bookmarkStart w:id="294" w:name="_Toc110"/>
      <w:bookmarkEnd w:id="293"/>
      <w:r>
        <w:rPr/>
        <w:t>3</w:t>
      </w:r>
      <w:r>
        <w:rPr>
          <w:rtl w:val="true"/>
        </w:rPr>
        <w:t xml:space="preserve">. </w:t>
      </w:r>
      <w:r>
        <w:rPr>
          <w:rtl w:val="true"/>
        </w:rPr>
        <w:t>مصداق لهو</w:t>
      </w:r>
      <w:bookmarkEnd w:id="294"/>
    </w:p>
    <w:p>
      <w:pPr>
        <w:pStyle w:val="BookText"/>
        <w:rPr/>
      </w:pPr>
      <w:r>
        <w:rPr>
          <w:rFonts w:ascii="IRNazanin" w:hAnsi="IRNazanin" w:eastAsia="IRNazanin"/>
          <w:color w:val="111111"/>
          <w:sz w:val="28"/>
          <w:sz w:val="28"/>
          <w:szCs w:val="28"/>
          <w:rtl w:val="true"/>
          <w:lang w:bidi="fa-IR"/>
        </w:rPr>
        <w:t>از آن جايي كه مغالبه مصداق لهو بوده و روايات هم دالّ بر حرمت مطلق لهو است، پس مطلق مغالبه حرام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روايات دالّ بر حرمت مطلق لهو، رواياتي است كه حرمت شطرنج و نرد را تعليل به باطل و لعب بودن آن مي‌كند</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حَفْصِ بْنِ الْبَخْتَرِيِّ عَمَّنْ ذَكَرَهُ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مِنَ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عَنْ أَحْمَدَ بْنِ مُحَمَّدِ بْنِ يَحْيَى عَنْ أَبِيهِ عَنْ سَهْلِ بْنِ زِيَادٍ عَنْ مُحَمَّدِ بْنِ جَعْفَرِ بْنِ عُقْبَةَ عَنِ الْحَسَنِ بْنِ مُحَمَّدٍ ابْنِ أُخْتِ أَبِي مَالِكٍ عَنْ عَبْدِ اللَّهِ بْنِ سِنَانٍ عَنْ عَبْدِ الْوَاحِدِ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اللَّعِبِ بِالشِّطْرَنْجِ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لَمَشْغُولٌ عَنِ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الْحِمْيَرِيُّ فِي قُرْبِ الْإِسْنَادِ عَنْ مُحَمَّدِ بْنِ الْوَلِيدِ الْخَرَّازِ عَنْ بُكَيْرٍ عَنْ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روايتي كه</w:t>
      </w:r>
    </w:p>
    <w:p>
      <w:p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أَلْهَى عَنْ ذِكْرِ اللَّهِ فَهُوَ مِنَ الْمَيْسِرِ</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الْحَسَنُ بْنُ مُحَمَّدٍ الطُّوسِيُّ فِي مَجَالِسِهِ عَنْ أَبِيهِ عَنِ ابْنِ الصَّلْتِ عَنِ ابْنِ عُقْدَةَ عَنْ عَلِيِّ بْنِ مُحَمَّدِ بْنِ عَلِيٍّ الْحَلَبِيِّ عَنْ جَعْفَرِ بْنِ مُحَمَّدِ بْنِ عِيسَى عَنْ عَبْدِ اللَّهِ بْنِ عَلِيٍّ عَنْ عَلِيِّ بْنِ مُوسَى 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أَلْهَى عَنْ ذِكْرِ اللَّهِ فَهُوَ مِنَ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روايتي كه در سؤال از حكم اربعة‌عشر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نَسْتَحِبُّ شَيْئاً مِنَ اللَّعِبِ غَيْرَ الرِّهَانِ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بْنُ جَعْفَرٍ فِي كِتَابِهِ عَنْ أَخِيهِ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اللَّعِبِ بِأَرْبَعَةَ عَشَرَ وَ شِبْهِهَا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نَسْتَحِبُّ شَيْئاً مِنَ اللَّعِبِ غَيْرَ الرِّهَانِ وَ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مؤيد حرمت است رواياتي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لَهْوِ الْمُؤْمِنِ بَاطِلٌ إِلَّا فِي ثَلَاثٍ فِي تَأْدِيبِهِ الْفَرَسَ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عِمْرَانَ بْنِ مُوسَى عَنِ الْحَسَنِ بْنِ ظَرِيفٍ عَنْ عَبْدِ اللَّهِ بْنِ الْمُغِيرَةِ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لَهْوِ الْمُؤْمِنِ بَاطِلٌ إِلَّا فِي ثَلَاثٍ فِي تَأْدِيبِهِ الْفَرَسَ وَ رَمْيِهِ عَنْ قَوْسِهِ وَ مُلَاعَبَتِهِ امْرَأَتَهُ فَإِنَّهُنَّ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شيخ ظاهراً اين استدلال بر حرمت مطلق لهو را مي‌پذيرد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خاطر همين ادلّه در رياض</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 لا يصح المسابقة في غيرها أي غير الثلاثة المزبورة بل يحرم مع العوض بإجماعنا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جوازها بدونه إشكال ينشأ من اختلاف الروايات في فتح الباء من لفظ السبق و سكونه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هو المشهور كما في المسالك و غيره و الموافق للأصل المعتمد عليه و لذا اختاره الشهيد الثاني مع تأيده بأصالة جواز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الأشهر خلافه بل ظاهر المهذب و المحقق الثاني و صريح المحكي عن التذكرة أن عليه إجماع الإمامية في جميع الأمور المذكورة فالمنع أظهر لحجية الإجماع المنقول سيما مع التعدد و الاعتضاد بالشهرة و بما دل على حرمة اللهو و اللعب لكون المسابقة في المذكورات منهما بلا تأمل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مهذّب</w:t>
      </w:r>
      <w:r>
        <w:rPr>
          <w:rStyle w:val="FootnoteAnchor"/>
          <w:rtl w:val="true"/>
        </w:rPr>
        <w:footnoteReference w:id="205"/>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البارع في شرح المختصر النافع،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يقتصر في الجواز على الثلاثة المذكورة،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الملائكة لتنفر عند الرهان و تعلن صاحبه ما عدى الحافر و الخف و 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تحت الحافر الخيل و البغال و الحمير، و تحت الخف الإبل و الفيل، و تحت النصل النشاب، و هي للعجم، و السهام، و هي للعرب، و المزاريق، و هي الردينات و الرماح و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في غيرها سواء كان بعوض أو خلت عنه، عملا بعموم النهي عن الرهان في غير الثلاثة، و لأنها لهو و قداح إلّا ما خرج النص، و هي الثلاثة المذكورة، و لا يجوز فيما عداها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استدلال به حرمت مطلق لهو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يستدل على التحريم أيضاً بما تقدم من أخبار حرمة الشطرَنج و النرد؛ معلّلة بكونهما من الباطل و اللعب،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ألهى عن ذكر اللّه عزّ و جلّ فهو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اللعب بالأربعة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نستحبّ شيئاً من اللعب غير الرهان و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رهان الفرس، و لا شكّ في صدق اللهو و اللعب في ما نحن فيه؛ ضرورة أنّ العوض لا دخل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دلّ على أنّ كل لَهو المؤمن باطل خلا ثلاثة، و عدّ منها إجراء الخيل، و ملاعبة الرجل امرأته و لعلّه لذلك كلّه استدلّ في الرياض تبعاً للمهذب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حرمة اللهو</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w:t>
      </w:r>
      <w:bookmarkStart w:id="295" w:name="pg2375_19707"/>
    </w:p>
    <w:p>
      <w:pPr>
        <w:pStyle w:val="BookText"/>
        <w:rPr/>
      </w:pPr>
      <w:bookmarkEnd w:id="295"/>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براي اثبات حرمت مغالبه در صورتي صحيح است كه غرض عقلائي بر آن مغالبه مترتب نباشد، امّا در صورتي كه غرض عقلايي بر مغالبه‌اي تعلق بگيرد</w:t>
      </w:r>
      <w:r>
        <w:rPr>
          <w:rStyle w:val="FootnoteAnchor"/>
          <w:rtl w:val="true"/>
        </w:rPr>
        <w:footnoteReference w:id="206"/>
      </w:r>
      <w:r>
        <w:rPr>
          <w:rFonts w:ascii="IRNazanin" w:hAnsi="IRNazanin" w:eastAsia="IRNazanin"/>
          <w:color w:val="111111"/>
          <w:sz w:val="28"/>
          <w:sz w:val="28"/>
          <w:szCs w:val="28"/>
          <w:rtl w:val="true"/>
          <w:lang w:bidi="fa-IR"/>
        </w:rPr>
        <w:t>و عرفاً از صدق لهو بر آن خارج شود، ديگر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احداث قول ثالث بشود كه بگوييم مغالبه اگر لهوي باشد حرام و اگر غرض عقلايي بر آن تعلّق بگيرد جايز است</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لكن قد يشكل الاستدلال في ما إذا تعلّق بهذه الأفعال غرض صحيح يخرجه عن صدق اللهو عرفاً، فيمكن إناطة الحكم باللهو و يحكم في غير مصاديقه بالإباحة، إلّا أن يكون قولًا بالفصل، و هو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بعض الكلام في ذلك عند التعرض لحكم اللهو و موضوعه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ولي معلوم نيست احداث قول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اشكال ما به اين استدلال آن است كه اين استدلال از اصل غلط است و هر لهوي حرام نيست و الا بايد بگوييم بسياري از اوقاتِ مؤمنين، حتّي مؤمنين درجه‌ي يك هم به حرام سپري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قطع داريم كه مطلق لهو حرام نيست و سيره‌ي مستمره‌ي قطعيه هم بر انجام اين امور وجود دارد</w:t>
      </w:r>
      <w:r>
        <w:rPr>
          <w:rFonts w:eastAsia="IRNazanin" w:cs="IRNazanin"/>
          <w:color w:val="111111"/>
          <w:sz w:val="28"/>
          <w:szCs w:val="28"/>
          <w:rtl w:val="true"/>
          <w:lang w:bidi="fa-IR"/>
        </w:rPr>
        <w:t>.</w:t>
      </w:r>
    </w:p>
    <w:p>
      <w:pPr>
        <w:pStyle w:val="Heading6"/>
        <w:numPr>
          <w:ilvl w:val="5"/>
          <w:numId w:val="1"/>
        </w:numPr>
        <w:rPr/>
      </w:pPr>
      <w:bookmarkStart w:id="296" w:name="__RefHeading___Toc2903081_3804643083"/>
      <w:bookmarkStart w:id="297" w:name="_Toc111"/>
      <w:bookmarkEnd w:id="296"/>
      <w:r>
        <w:rPr/>
        <w:t>4</w:t>
      </w:r>
      <w:r>
        <w:rPr>
          <w:rtl w:val="true"/>
        </w:rPr>
        <w:t xml:space="preserve">. </w:t>
      </w:r>
      <w:r>
        <w:rPr>
          <w:rtl w:val="true"/>
        </w:rPr>
        <w:t>روايات مشتمل بر</w:t>
      </w:r>
      <w:r>
        <w:rPr>
          <w:rtl w:val="true"/>
        </w:rPr>
        <w:t>: «</w:t>
      </w:r>
      <w:r>
        <w:rPr>
          <w:rtl w:val="true"/>
        </w:rPr>
        <w:t>لَا سَبَقَ إِلَّا فِي خُفٍّ أَوْ حَافِرٍ أَوْ نَصْلٍ</w:t>
      </w:r>
      <w:r>
        <w:rPr>
          <w:rtl w:val="true"/>
        </w:rPr>
        <w:t>»</w:t>
      </w:r>
      <w:bookmarkEnd w:id="29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روايت با اين مضمون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حسنه‌ي كالصحيحه‌ي حفص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حَفْصٍ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خُفٍّ أَوْ حَافِرٍ أَوْ نَصْلٍ يَعْنِي النِّضَالَ</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ـ روايت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w:t>
      </w:r>
      <w:r>
        <w:rPr>
          <w:rStyle w:val="FootnoteAnchor"/>
          <w:rtl w:val="true"/>
        </w:rPr>
        <w:footnoteReference w:id="209"/>
      </w:r>
      <w:r>
        <w:rPr>
          <w:rFonts w:ascii="Amiri" w:hAnsi="Amiri" w:eastAsia="Amiri" w:cs="Amiri"/>
          <w:color w:val="111111"/>
          <w:sz w:val="28"/>
          <w:sz w:val="28"/>
          <w:szCs w:val="28"/>
          <w:rtl w:val="true"/>
          <w:lang w:bidi="ar-SA"/>
        </w:rPr>
        <w:t>عَنِ الْوَشَّاءِ عَنْ عَبْدِ اللَّهِ بْنِ سِنَانٍ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خُفٍّ أَوْ حَافِرٍ أَوْ نَصْلٍ يَعْنِي النِّضَالَ</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نحوه‌ي استدلال به روايت به اين صورت است كه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مسابقه‌اي در غير خُف، حافر و نصل ـ كه توضيح آن خواهد آمد ـ نيست؛ يعني جايز نيست، پس مغالبه‌ي در غير خُف، حافر و نصل، مثل كُشتي، رالي، سر زير آب نگه داشتن، دويدن، فوتبال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روايت شريفه بوده و جايز نيست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اين استدلال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Amiri" w:hAnsi="Amiri" w:eastAsia="Amiri" w:cs="Amiri"/>
          <w:color w:val="111111"/>
          <w:sz w:val="28"/>
          <w:sz w:val="28"/>
          <w:szCs w:val="28"/>
          <w:rtl w:val="true"/>
          <w:lang w:bidi="ar-SA"/>
        </w:rPr>
        <w:t xml:space="preserve">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بخوانيم به معناي مسابقه</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السَّبَقُ 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من المال رهنا على الْمُسَابَقَةِ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سَبَقْتُ أَسْبِقُ سَبْقاً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السَّبْق و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أسْبَقَ القومُ إلى الأَمر و تَسابَقوا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الذي يوضع بين أهل السِّباق،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خُفٍّ أو نَصْل أو حافر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السَّبَق، 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من المال رَهْناً على المُسابَقةِ، و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سَبَقْت أسْبِق؛ المعنى لا يحل أخذ المال بالمُسابَقةِ إلا في هذه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مي‌شود و دالّ بر عدم جواز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تكليفي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سه مورد مي‌باشد، ولي اگر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به معناي جُعل و رهان در مسابقه است كه در اين صورت ديگر دالّ بر مدعا نمي‌باشد، تنها مفيد سلب صحّت مسابقه‌ي با رهان مي‌باشد، نه عدم جواز مسابقه‌ي بدون عوض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الرواية رواها العامّة في الصحيح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رواها أصحابنا في الحسن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في الرواية فتح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العوض المبذول للعمل كما سيأتي، و ماهيّته المنفيّة غير مرادة، بل المراد نفي حكم من أحكامها أو مجموعها بطريق المجاز كنظائره، و أقرب المجازات إليه نفي الصحّة، و المراد أنّه لا يصحّ بذل العوض في هذه المعاملة إلّا في هذه الثلاثة، و على هذا لا ينفي جواز غيرها بغير 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رواه بعضهم بسكون الباء، و هو المصدر، أي لا يقع هذا الفعل إلا في الثلاثة، فيكون ما عداها غير جائز، و من ثمَّ اختلف في المسابقة بنحو الأقدام، و رمي الحجر، و رفعه، و المصارعة، و بالآلات التي تشتمل على نصل، بغير عوض هل يجوز أم لا؟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رواية الفتح يجوز، و على السكون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الجواز مع شهرة روايته بين المحدّثين موافقةٌ للأصل، خصوصا مع ترتّب غرض صحيح على تلك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 به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است؛ زيرا قرائت مشهور بين محدّثين، به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روايت دالّ بر حرمت وضعي مراهنه است و دلالتي بر حرمت تكليفي مطلق مغالبه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دلالت بر حرمت تكليفي مراهنه ندارد؛ زيرا خيلي بعيد است مراد اين باشد كه حتّي انشاء عقد مراهنه نيز حرام است، بلكه ظاهر روايت آن است كه حضرت مي‌خواهند بيان بفرمايند اين مراهنه حرمت وضعي دارد و اثري بر آن مترتب نيست؛ يعني در صورت بُردن، مستحق آن جُعل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از آن جايي كه غالباً مسابقات همراه جُعل بوده، احتمال دارد مراد حرمت وضعي باشد و با وجود اين احتمال ديگر نمي‌توان براي اثبات حرمت تكليفي مطلق مسابقات به اين روايت ـ حتّي به سكون باء در سَبْق ـ استناد كرد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يحتمل 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تدل إلّا على تحريم المراهنة، بل هي غير ظاهرة في التحريم أيضاً؛ لاحتمال إرادة فسادها، بل هو الأظهر؛ لأنّ نفي العوض ظاهر في نفي استحقاقه، و إرادة نفي جواز العقد عليه في غاية البعد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السكون، فكما يحتمل نفي الجواز التكليفي يحتمل نفي الصحة؛ لوروده مورد الغالب، من اشتمال المسابقة على العوض</w:t>
      </w:r>
      <w:r>
        <w:rPr>
          <w:rFonts w:eastAsia="Amiri" w:cs="Amiri" w:ascii="Amiri" w:hAnsi="Amiri"/>
          <w:color w:val="111111"/>
          <w:sz w:val="28"/>
          <w:szCs w:val="28"/>
          <w:rtl w:val="true"/>
          <w:lang w:bidi="ar-SA"/>
        </w:rPr>
        <w:t>.</w:t>
      </w:r>
      <w:bookmarkStart w:id="298" w:name="pg2375_19711"/>
    </w:p>
    <w:p>
      <w:pPr>
        <w:pStyle w:val="BookText"/>
        <w:rPr/>
      </w:pPr>
      <w:bookmarkEnd w:id="298"/>
      <w:r>
        <w:rPr>
          <w:rFonts w:ascii="IRNazanin" w:hAnsi="IRNazanin" w:eastAsia="IRNazanin"/>
          <w:color w:val="111111"/>
          <w:sz w:val="28"/>
          <w:sz w:val="28"/>
          <w:szCs w:val="28"/>
          <w:rtl w:val="true"/>
          <w:lang w:bidi="fa-IR"/>
        </w:rPr>
        <w:t>اين كلام اخير شيخ، مورد تأمل واضح است؛ زيرا مسابقات بدون عوض فراوان است و هرگز در ندرت به گونه‌اي نيست كه موجب رفع يد از اطلاق روايت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آن است كه حسنه‌ي كالصحيحه‌ي حفص، يا ظاهر در حرمت وضعي مسابقه‌ي با عوض است و يا ظاهر در حرمت تكليفي مطلق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از 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نتيجه به مقتضاي علم اجمالي بايد احتياط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از آن‌جا كه حرمت تكليفي مطلق مسابقه حتّي در مثل حفظ شعر يا رسيدن به مقصد يا رساندن پيغام به اشخاص دور يا رؤيت هلال معهود نيست؛ زيرا اگر مثل اين امور حرام بود، به خاطر كثرت ابتلاء به آن به نحو بارزي در روايات و سيره‌ي مسلمين آشكار مي‌شد، در حالي كه چنين چيزي وجود ندارد، پس معلوم مي‌شود مصححه‌ي حفص بيان كننده‌ي حرمت مطلق مسابقه نيست</w:t>
      </w:r>
      <w:r>
        <w:rPr>
          <w:rFonts w:eastAsia="IRNazanin" w:cs="IRNazanin"/>
          <w:color w:val="111111"/>
          <w:sz w:val="28"/>
          <w:szCs w:val="28"/>
          <w:rtl w:val="true"/>
          <w:lang w:bidi="fa-IR"/>
        </w:rPr>
        <w:t>.</w:t>
      </w:r>
    </w:p>
    <w:p>
      <w:pPr>
        <w:pStyle w:val="Heading5"/>
        <w:numPr>
          <w:ilvl w:val="4"/>
          <w:numId w:val="1"/>
        </w:numPr>
        <w:rPr/>
      </w:pPr>
      <w:bookmarkStart w:id="299" w:name="__RefHeading___Toc2903083_3804643083"/>
      <w:bookmarkStart w:id="300" w:name="_Toc112"/>
      <w:bookmarkEnd w:id="299"/>
      <w:r>
        <w:rPr>
          <w:rtl w:val="true"/>
        </w:rPr>
        <w:t>آيا از صحيحه‌ي ابن البختري مي‌توان استفاده‌ي جواز رهان در ادوات جنگي امروزي كرد؟</w:t>
      </w:r>
      <w:bookmarkEnd w:id="300"/>
    </w:p>
    <w:p>
      <w:pPr>
        <w:pStyle w:val="Heading6"/>
        <w:numPr>
          <w:ilvl w:val="5"/>
          <w:numId w:val="1"/>
        </w:numPr>
        <w:rPr/>
      </w:pPr>
      <w:bookmarkStart w:id="301" w:name="__RefHeading___Toc2903085_3804643083"/>
      <w:bookmarkStart w:id="302" w:name="_Toc113"/>
      <w:bookmarkEnd w:id="301"/>
      <w:r>
        <w:rPr>
          <w:rtl w:val="true"/>
        </w:rPr>
        <w:t>اشاره</w:t>
      </w:r>
      <w:bookmarkEnd w:id="30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 در خُف، حافر و نصل جايز است، آيا خُف، حافر و نصل بما هو خُف و حافر و نصل مراد است يا از آن جهت كه در جنگ استفاده مي‌شوند؟ اگر از آن جهت كه در جنگ استفاده مي‌شوند مراد باشد و حكمت اين رهان،</w:t>
      </w:r>
    </w:p>
    <w:p>
      <w:pPr>
        <w:pStyle w:val="BookText"/>
        <w:rPr/>
      </w:pPr>
      <w:r>
        <w:rPr>
          <w:rFonts w:ascii="IRNazanin" w:hAnsi="IRNazanin" w:eastAsia="IRNazanin"/>
          <w:color w:val="111111"/>
          <w:sz w:val="28"/>
          <w:sz w:val="28"/>
          <w:szCs w:val="28"/>
          <w:rtl w:val="true"/>
          <w:lang w:bidi="fa-IR"/>
        </w:rPr>
        <w:t>تدريب و آمادگي براي حرب باشد مي‌توانيم بگوييم اين سه مورد از باب مثال است و مي‌توان در مطلق ادوات جنگي رهان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علامه‌ي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تذكرة</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السبق و الرمى شرع للاستعداد للقتال و ممارسته النصال لدعاء الحاجة اليه في جهاد العدوّ و قد ثبت جوازه بالنص و الاجماع اما النص فالكتاب و السنة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 إِنّا ذَهَبْنا نَسْتَبِقُ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اللّه تعالى بذلك و لم يعقبه بانكار فدل على مشروعية عندنا 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عقبة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 ان القوة الرّمى قاله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ان اللّه تعالى امرنا باعداد الرمى و رباط الخيل للحرب و لقاء العدو و الاعداد لذلك انما يحصل بالتعلم و النهاية في التعلم المسابقة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السّنة فاروى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الا في نصل او خف او 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النصل يشمل النشاب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المزاريق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رهان الخيل طلق اى حلال و مر رسول اللّه بقوم من الانصار يرامون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 الحزب الذى فيه ابن الاورع فامسك الحزب الآخر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حزب فيه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 فإني ارمى معكم فرمى مع كل واحد منهم رشقا فلم يسبق بعضهم بعضا و لم يزالوا يترامون و اولادهم و اولاد اولادهم لا يسبق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طريق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تنتفر عند الرهان و تلعن صاحبه ما خلا الحافر و الخف و الريش و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الاجماع فلا خلاف بين الامة في جوازه على الجملة و ان اختلفوا في تفاصيله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تصحّ المسابقة على ما هو عدة للقتال اذ الغرض الاقصى انما هو الاستعداد للجهاد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الاجماع دل عليه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كلامي دارد كه از آن استفاده مي‌شود هر چيزي كه در جنگ كارايي نداشته باشد، نمي‌توان در مورد مسابقه‌ي با آن رهان گذاشت، بنابراين امروزه كه اسب، شتر، فيل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كارايي ندارد و هم‌چنين تيركمان كه در</w:t>
      </w:r>
    </w:p>
    <w:p>
      <w:pPr>
        <w:pStyle w:val="BookText"/>
        <w:rPr/>
      </w:pPr>
      <w:r>
        <w:rPr>
          <w:rFonts w:ascii="IRNazanin" w:hAnsi="IRNazanin" w:eastAsia="IRNazanin"/>
          <w:color w:val="111111"/>
          <w:sz w:val="28"/>
          <w:sz w:val="28"/>
          <w:szCs w:val="28"/>
          <w:rtl w:val="true"/>
          <w:lang w:bidi="fa-IR"/>
        </w:rPr>
        <w:t>جنگ‌ها استفاده نمي‌شود، مي‌توانيم بگوييم مسابقه‌ي با رهان در اين امور حكمت خود را از دست داده و ديگر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بعضي گفته‌اند چون حكمت جواز رهن در اين مسابقات تدريب بر حرب است، مي‌توانيم بگوييم هر چيزي كه امروزه به عنوان ادوات جنگ محسوب مي‌شود و مسابقه در مورد آن باعث تدريب بر حرب مي‌شود، مثل توپ‌هاي جنگي، خمپاره، تانك، هواپيما، موشك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رهان در مسابقه‌ي با اين ادوات حرمتي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براي تعميم جواز، بايد احراز كنيم حكم دائر مدار ادوات جنگي است؟ و احراز اين مطلب متفرع بر آن است كه روايات اين ابواب را مرور كنيم تا ببينيم آيا مي‌توان استفاده كرد كه حكم دائر مدار ادوات جنگي است تا توسعه ـ نسبت به ادوات جنگي جديد ـ و تضييق ـ نسبت به ادواتي كه امروزه در جنگ كارايي ندارد ـ دهيم به نحوي كه براي ما حجّت باشد يا چنين حجّتي وجود ندارد؟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بخواهيم به اصطلاح با روشنفكري حكم صادر كنيم، نتيجه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دنبال حجّت هستيم كه آيا چنين حجّتي وجود دارد يا نه؟ اين را هم بايد توجه داشته باشيم كه تنها راه تدريب براي حرب، اين نيست كه رهان از طرف مسابقه دهندگان گذاشته شود ـ تا استدلال شود چون تدريب بر حرب متفرع بر آن است، پس جايز است ـ بلكه اگر رهان از طرف شخص ثالثي از جمله دولت هم باشد اين نتيجه را دارد</w:t>
      </w:r>
      <w:r>
        <w:rPr>
          <w:rFonts w:eastAsia="IRNazanin" w:cs="IRNazanin"/>
          <w:color w:val="111111"/>
          <w:sz w:val="28"/>
          <w:szCs w:val="28"/>
          <w:rtl w:val="true"/>
          <w:lang w:bidi="fa-IR"/>
        </w:rPr>
        <w:t>.</w:t>
      </w:r>
      <w:bookmarkStart w:id="303" w:name="pg2375_19714"/>
    </w:p>
    <w:p>
      <w:pPr>
        <w:pStyle w:val="Heading6"/>
        <w:numPr>
          <w:ilvl w:val="5"/>
          <w:numId w:val="1"/>
        </w:numPr>
        <w:rPr/>
      </w:pPr>
      <w:bookmarkStart w:id="304" w:name="__RefHeading___Toc2903087_3804643083"/>
      <w:bookmarkStart w:id="305" w:name="_Toc114"/>
      <w:bookmarkEnd w:id="303"/>
      <w:bookmarkEnd w:id="304"/>
      <w:r>
        <w:rPr>
          <w:rtl w:val="true"/>
        </w:rPr>
        <w:t>مرور روايات كتاب سبق و رمايه براي استنباط ملاك جواز رهن در بعضي مسابقات</w:t>
      </w:r>
      <w:bookmarkEnd w:id="305"/>
    </w:p>
    <w:p>
      <w:pPr>
        <w:pStyle w:val="Heading6"/>
        <w:numPr>
          <w:ilvl w:val="5"/>
          <w:numId w:val="1"/>
        </w:numPr>
        <w:rPr/>
      </w:pPr>
      <w:bookmarkStart w:id="306" w:name="__RefHeading___Toc2903089_3804643083"/>
      <w:bookmarkStart w:id="307" w:name="_Toc115"/>
      <w:bookmarkEnd w:id="306"/>
      <w:r>
        <w:rPr>
          <w:rtl w:val="true"/>
        </w:rPr>
        <w:t>اشاره</w:t>
      </w:r>
      <w:bookmarkEnd w:id="307"/>
    </w:p>
    <w:p>
      <w:pPr>
        <w:pStyle w:val="BookText"/>
        <w:rPr/>
      </w:pPr>
      <w:r>
        <w:rPr>
          <w:rFonts w:ascii="Amiri" w:hAnsi="Amiri" w:eastAsia="Amiri" w:cs="Amiri"/>
          <w:color w:val="111111"/>
          <w:sz w:val="28"/>
          <w:sz w:val="28"/>
          <w:szCs w:val="28"/>
          <w:rtl w:val="true"/>
          <w:lang w:bidi="ar-SA"/>
        </w:rPr>
        <w:t>مرور روايات باب سبق و رمايه به جهت اين است كه ببينيم آيا يكي از دو زمينه‌ي ذيل را براي ما ايجاد مي‌كند يا خير؟</w:t>
      </w:r>
    </w:p>
    <w:p>
      <w:pPr>
        <w:pStyle w:val="BookText"/>
        <w:rPr/>
      </w:pPr>
      <w:r>
        <w:rPr>
          <w:rFonts w:ascii="IRNazanin" w:hAnsi="IRNazanin" w:eastAsia="IRNazanin"/>
          <w:color w:val="111111"/>
          <w:sz w:val="28"/>
          <w:sz w:val="28"/>
          <w:szCs w:val="28"/>
          <w:rtl w:val="true"/>
          <w:lang w:bidi="fa-IR"/>
        </w:rPr>
        <w:t>زمينه‌ي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اساساً در سبق و رمايه، حكم دائر مدار كاربرد اين ابزار در جنگ است يا اين‌كه اعم است؟</w:t>
      </w:r>
    </w:p>
    <w:p>
      <w:pPr>
        <w:pStyle w:val="BookText"/>
        <w:rPr/>
      </w:pPr>
      <w:r>
        <w:rPr>
          <w:rFonts w:ascii="IRNazanin" w:hAnsi="IRNazanin" w:eastAsia="IRNazanin"/>
          <w:color w:val="111111"/>
          <w:sz w:val="28"/>
          <w:sz w:val="28"/>
          <w:szCs w:val="28"/>
          <w:rtl w:val="true"/>
          <w:lang w:bidi="fa-IR"/>
        </w:rPr>
        <w:t>زمينه‌ي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نتوانستيم بفهميم حكم دائر مدار حرب است، آيا به نوع ديگري مي‌توان الغاء خصوصيت كرد يا خير؟ اين روايات عبارتند از</w:t>
      </w:r>
      <w:r>
        <w:rPr>
          <w:rFonts w:eastAsia="IRNazanin" w:cs="IRNazanin"/>
          <w:color w:val="111111"/>
          <w:sz w:val="28"/>
          <w:szCs w:val="28"/>
          <w:rtl w:val="true"/>
          <w:lang w:bidi="fa-IR"/>
        </w:rPr>
        <w:t>:</w:t>
      </w:r>
    </w:p>
    <w:p>
      <w:pPr>
        <w:pStyle w:val="Heading6"/>
        <w:numPr>
          <w:ilvl w:val="5"/>
          <w:numId w:val="1"/>
        </w:numPr>
        <w:rPr/>
      </w:pPr>
      <w:bookmarkStart w:id="308" w:name="__RefHeading___Toc2903091_3804643083"/>
      <w:bookmarkStart w:id="309" w:name="_Toc116"/>
      <w:bookmarkEnd w:id="308"/>
      <w:r>
        <w:rPr>
          <w:rtl w:val="true"/>
        </w:rPr>
        <w:t>ـ روايت غياث بن ابراهيم</w:t>
      </w:r>
      <w:r>
        <w:rPr>
          <w:rtl w:val="true"/>
        </w:rPr>
        <w:t>:</w:t>
      </w:r>
      <w:bookmarkEnd w:id="309"/>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مُحَمَّدِ بْنِ يَحْيَى عَنْ غِيَاثِ بْنِ إِبْرَاهِيمَ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الْخَيْلَ وَ جَعَلَ سَبَقَهَا أَوَاقِيَّ مِنْ فِضَّةٍ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غياث بن ابراهيم نقل مي‌كند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 خود از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كه پيامبر گرامي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درآوردند و جُعل آن را اوقيه‌هايي</w:t>
      </w:r>
      <w:r>
        <w:rPr>
          <w:rStyle w:val="FootnoteAnchor"/>
          <w:rtl w:val="true"/>
        </w:rPr>
        <w:footnoteReference w:id="21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الأَوَاقِيّ جمع أُوقِيَّة، بضم الهمزة و تشديد الياء، و الجمع يشدّد و يخفف، مثل أثفيّة و أثافىّ و أثاف، و ربما يجى‌ء في الحديث وقيّة، و ليست بالعالية، و همزتها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الأُوقِيَّة قديما عبارة عن أربعين درهما، و هى في غير الحديث نصف سدس الرطل، و هو جزء من اثنى عشر جزءا و تختلف باختلاف اصطلاح البلاد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نقره قرار دادند</w:t>
      </w:r>
      <w:r>
        <w:rPr>
          <w:rFonts w:eastAsia="IRNazanin" w:cs="IRNazanin"/>
          <w:color w:val="111111"/>
          <w:sz w:val="28"/>
          <w:szCs w:val="28"/>
          <w:rtl w:val="true"/>
          <w:lang w:bidi="fa-IR"/>
        </w:rPr>
        <w:t>.</w:t>
      </w:r>
      <w:bookmarkStart w:id="310" w:name="pg2375_19715"/>
    </w:p>
    <w:p>
      <w:pPr>
        <w:pStyle w:val="BookText"/>
        <w:rPr/>
      </w:pPr>
      <w:bookmarkEnd w:id="310"/>
      <w:r>
        <w:rPr>
          <w:rFonts w:ascii="Amiri" w:hAnsi="Amiri" w:eastAsia="Amiri" w:cs="Amiri"/>
          <w:color w:val="111111"/>
          <w:sz w:val="28"/>
          <w:sz w:val="28"/>
          <w:szCs w:val="28"/>
          <w:rtl w:val="true"/>
          <w:lang w:bidi="ar-SA"/>
        </w:rPr>
        <w:t>اين روايت دلالتي بر اين‌كه حكم جواز دائر مدار امكان استفاده در حرب است ندارد و فقط دلالت مي‌كند كه حضرت بر مسابقه‌ي خيل، جُعل قرار دادند</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2903093_3804643083"/>
      <w:bookmarkStart w:id="312" w:name="_Toc117"/>
      <w:bookmarkEnd w:id="311"/>
      <w:r>
        <w:rPr>
          <w:rtl w:val="true"/>
        </w:rPr>
        <w:t>ـ روايت طلحةَ بن زَيد</w:t>
      </w:r>
      <w:r>
        <w:rPr>
          <w:rtl w:val="true"/>
        </w:rPr>
        <w:t>:</w:t>
      </w:r>
      <w:bookmarkEnd w:id="31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مُحَمَّدِ بْنِ يَحْيَى عَنْ طَلْحَةَ بْنِ زَيْدٍ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الْمُشْرِكُونَ عَلَى سَرْحِ الْمَدِينَةِ فَنَادَى فِيهَا مُنَادٍ يَا سُوءَ صَبَاحَاهْ فَسَمِعَهَا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الْجَبَلِ فَرَكِبَ فَرَسَهُ فِي طَلَبِ الْعَدُوِّ وَ كَانَ أَوَّلُ أَصْحَابِهِ لَحِقَهُ أَبُو قَتَادَةَ عَلَى فَرَسٍ لَهُ وَ كَانَ تَحْتَ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 دَفَّتَاهُ لِيفٌ لَيْسَ فِيهِ أَشَرٌ وَ لَا بَطَرٌ</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البطر، و قد أَشِرَ يَأْشَرُ أَشَراً،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سَيَعْلَمُونَ غَداً مَنِ الْكَذّابُ الْأَشِرُ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آيه‌ي</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فالأشر أبلغ من البطر، و البطر أبلغ من الفرح</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فَطَلَبَ الْعَدُوَّ فَلَمْ يَلْقَوْا أَحَداً وَ تَتَابَعَتِ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يَا رَسُولَ اللَّهِ إِنَّ الْعَدُوَّ قَدِ انْصَرَفَ فَإِنْ رَأَيْتَ أَنْ نَسْتَبِقَ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فَاسْتَبَقُوا فَخَرَجَ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عَلَيْهِمْ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الْعَوَاتِكِ</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إذا قَدُمَتْ و احمرّتْ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عَاتِكَةُ من أسماء النساء، 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الْعَوَاتِكِ من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جَدَّاتِهِ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تِسْعُ عَوَاتِكَ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عَاتِكَةُ بنت هلال أمّ جدّ هاشم، و عَاتِكَةُ بنت مُرّة بن هلالٍ أمّ هاشم، و عَاتِكَةُ بنت الأوقص ابن مُرّة بن هلال أمّ وهبِ بن عبد مناف بن زهرة جدّ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أمّه آمنة بنت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الْعَوَاتِك أمّهات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بنى سُلَيْمٍ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العَاتِكَة المتضمّخة بالطّيب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نسوة كنّ من أمّهات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من العَوَاتِك عمّة الثانية، و الثانية عمّة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سليم تفخر بهذه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قُرَيْشٍ إِنَّهُ لَهُوَ الْجَوَادُ الْبَحْرُ يَعْنِي فَرَسَهُ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روايت از لحاظ سند به خاطر طلحة بن زيد</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طلحة بن زيد، له كتاب، و هو عامي المذهب إلا أن كتابه معتمد أخبرنا به ابن أبي جيد عن ابن الوليد عن الصفار عن محمد بن الحسين عن محمد بن سنان عنه، و أخبرنا جماعة عن أبي المفضل عن حميد عن أبي محمد القاسم بن إسماعيل القرشي عن طلحة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زيد أبو الخزرج النهدي الشامي و يقال الخزري، عامي، روى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أصحاب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يختلف برواياتهم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زيد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به منطقه‌اي 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كرده و آن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منادي‌اي در اين منطقه صدا زد چه صبح 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صداي او را در كوه شنيدند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بعضي از نسخ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الْخَيْلِ فَرَكِبَ فَرَسَهُ فِي طَلَبِ الْعَدُو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سوار بر اسب شده و خود به تعقيب دشمن رفتند و اوّلين كسي كه از اصحاب با اسبش ملحق به حضرت شد، ابو قتادة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زيني بود كه دو طرف آن از ليف خرما بود و زين زينتي آن‌چناني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دنبال دشمن رفتند، ولي كسي را نيافتند و اسبان هم دنبال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قتادة به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فرار كرد، اگر صلاح مي‌دانيد مسابقه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مسابقه دادند و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همه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آن‌ها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عاتكه‌هاي از قريش هستم و اسبم هم اسب بحر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دريا سير مي‌كند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هم دلالت بر مطلب ندارد و فقط از آن استفاده مي‌شود كه خود حضرت نيز در مسابقه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هرچند در اين روايت حرفي از جُعل به ميان نيامده و مطلق ذكر شده، ولي احتمال قوي وجود دارد كه سَبَق و جُعلي كنار گذاشته باشند و اين مي‌تواند شاهد بر آن باشد وقتي گفته</w:t>
      </w:r>
      <w:bookmarkStart w:id="313" w:name="pg2375_19718"/>
    </w:p>
    <w:p>
      <w:pPr>
        <w:pStyle w:val="BookText"/>
        <w:rPr/>
      </w:pPr>
      <w:bookmarkEnd w:id="313"/>
      <w:r>
        <w:rPr>
          <w:rFonts w:ascii="IRNazanin" w:hAnsi="IRNazanin" w:eastAsia="IRNazanin"/>
          <w:color w:val="111111"/>
          <w:sz w:val="28"/>
          <w:sz w:val="28"/>
          <w:szCs w:val="28"/>
          <w:rtl w:val="true"/>
          <w:lang w:bidi="fa-IR"/>
        </w:rPr>
        <w:t xml:space="preserve">مي‌شود لعب به شطرنج، نرد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گرچه وجود جُعل در آن تصريح نشده امّا بودن آن در لعب مفروغٌ عنه بوده است</w:t>
      </w:r>
      <w:r>
        <w:rPr>
          <w:rFonts w:eastAsia="IRNazanin" w:cs="IRNazanin"/>
          <w:color w:val="111111"/>
          <w:sz w:val="28"/>
          <w:szCs w:val="28"/>
          <w:rtl w:val="true"/>
          <w:lang w:bidi="fa-IR"/>
        </w:rPr>
        <w:t>.</w:t>
      </w:r>
    </w:p>
    <w:p>
      <w:pPr>
        <w:pStyle w:val="Heading6"/>
        <w:numPr>
          <w:ilvl w:val="5"/>
          <w:numId w:val="1"/>
        </w:numPr>
        <w:rPr/>
      </w:pPr>
      <w:bookmarkStart w:id="314" w:name="__RefHeading___Toc2903095_3804643083"/>
      <w:bookmarkStart w:id="315" w:name="_Toc118"/>
      <w:bookmarkEnd w:id="314"/>
      <w:r>
        <w:rPr>
          <w:rtl w:val="true"/>
        </w:rPr>
        <w:t>ـ صحيحه‌ي حفص بن البختري</w:t>
      </w:r>
      <w:r>
        <w:rPr>
          <w:rtl w:val="true"/>
        </w:rPr>
        <w:t>:</w:t>
      </w:r>
      <w:bookmarkEnd w:id="315"/>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مُحَمَّدِ بْنِ يَحْيَى عَنْ طَلْحَةَ بْنِ زَيْدٍ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الْخَيْلَ الَّتِي أُضْمِرَتْ</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تُضَمَّر فيه الخيل، و تَضْمِيرها أن تُعلَف قوتا بعد السمن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تَضْمِيرُ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يُظاهِرَ عليها بالعَلفِ حتى تَسْمَنَ ثم لا تُعْلف إِلَّا قُوتاً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المِضْمارُ وقتاً للأَيام التي تُضَمَّر فيها الخيلُ للسِّباقِ أَو للرَّكضِ إِلى العَدُوِّ، و تَضْميرُها أَن تُشَدّ عليها سُروجُها و تُجَلَّل بالأَجِلَّة حتَّى تَعْرق تحتها، فيذهب رَهَلُها و يشتدّ لحمها و يُحْمل عليها غِلمانٌ خِفافٌ يُجْرُونها و لا يَعْنُفونَ بها، فإِذا فُعل ذلك بها أُمِنَ عليها البُهْرُ الشديد عند حُضْرها و لم يقطعها الشَّدُّ؛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التَّضْميرُ الذي شاهدتُ العرب تَفْعله، يُسمّون ذلك مِضْماراً و تَضْمِيراً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تَضْمِيرُ الفرس أَيضاً أَن تَعْلِفَه حتى يَسْمَن ثم تردّه إِلى القُوت، و ذلك في أَربعين يوماً، و هذه المدّة تسمى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الْحَصَى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مَسْجِدِ بَنِي زُرَيْقٍ الْحَدِيثَ</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إِبْرَاهِيمَ عَنْ أَبِيهِ عَنِ ابْنِ أَبِي عُمَيْرٍ عَنْ حَفْصِ بْنِ الْبَخْتَرِيِّ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221"/>
      </w:r>
      <w:bookmarkStart w:id="316" w:name="pg2375_19719"/>
    </w:p>
    <w:p>
      <w:pPr>
        <w:pStyle w:val="BookText"/>
        <w:rPr/>
      </w:pPr>
      <w:bookmarkEnd w:id="316"/>
      <w:r>
        <w:rPr>
          <w:rFonts w:ascii="IRNazanin" w:hAnsi="IRNazanin" w:eastAsia="IRNazanin"/>
          <w:color w:val="111111"/>
          <w:sz w:val="28"/>
          <w:sz w:val="28"/>
          <w:szCs w:val="28"/>
          <w:rtl w:val="true"/>
          <w:lang w:bidi="fa-IR"/>
        </w:rPr>
        <w:t>مرحوم 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از دو طريق نقل كرده كه يكي به خاطر طلحة بن زيد ناتمام است، امّا طريق ديگر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البختري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رسول گرامي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مضمره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تضمير اسب؛ يعني اين‌كه به اسب غذا مي‌دادند تا چاق شود، سپس غذاي او را كم مي‌كردند تا چالاك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حركت دادند و از حَصي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منطقه‌اي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مسجد بني زُريق مسابقه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هم دلالتي بر مطلب ندارد</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2903097_3804643083"/>
      <w:bookmarkStart w:id="318" w:name="_Toc119"/>
      <w:bookmarkEnd w:id="317"/>
      <w:r>
        <w:rPr>
          <w:rtl w:val="true"/>
        </w:rPr>
        <w:t>ـ روايت أَبي بصير</w:t>
      </w:r>
      <w:r>
        <w:rPr>
          <w:rtl w:val="true"/>
        </w:rPr>
        <w:t>:</w:t>
      </w:r>
      <w:bookmarkEnd w:id="31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أَحْمَدَ بْنِ إِسْحَاقَ عَنْ سَعْدَانَ عَنْ أَبِي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تَحْضُرُهُ الْمَلَائِكَةُ إِلَّا الرِّهَانُ وَ مُلَاعَبَةُ الرَّجُلِ أَهْلَهُ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اين روايت از لحاظ سند به خاطر سعدان بن مسلم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بصير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در هيچ چيز حاضر نمي‌شوند، به جز در رهان و ملاعبه‌ي مرد با همسرش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رهان در اين‌جا عموميت دارد و شامل هر رهاني مي‌شود</w:t>
      </w:r>
      <w:r>
        <w:rPr>
          <w:rStyle w:val="FootnoteAnchor"/>
          <w:rtl w:val="true"/>
        </w:rPr>
        <w:footnoteReference w:id="223"/>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يراهن القوم على سباق الخيل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المُسابقَةُ على الخَيْلِ و غير ذلك و الرِّهان في الخيْلِ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في اللغة،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مُرَاهَنَةُ القَوْم على سِباقِ الخَيْلِ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الرِّهانُ في الخيل؛ قال قَعْنَب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سُعادُ، و أَمْسَى دُونها عَدَنُ و غَلِقَتْ عندَها من قَبْلِكَ الرُّهُنُ</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فَرُهُن فهي جمع رِهانٍ مثل ثُمُرٍ جمع 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الرهان في الخيل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اين‌كه در روايات متعددي رهان به نحو مطلق ذكر شده و حكم به جواز شده است، منظور رهان الفرس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روايات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نَسْتَحِبُّ شَيْئاً مِنَ اللَّعِبِ غَيْرَ الرِّهَانِ وَ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يَحْضُرُ الرَّمْيَ وَ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تَحْضُرُهُ الْمَلَائِكَةُ إِلَّا الرِّهَانُ وَ مُلَاعَبَةُ الرَّجُلِ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319" w:name="pg2375_19720"/>
    </w:p>
    <w:p>
      <w:pPr>
        <w:pStyle w:val="BookText"/>
        <w:rPr/>
      </w:pPr>
      <w:bookmarkEnd w:id="319"/>
      <w:r>
        <w:rPr>
          <w:rFonts w:ascii="IRNazanin" w:hAnsi="IRNazanin" w:eastAsia="IRNazanin"/>
          <w:color w:val="111111"/>
          <w:sz w:val="28"/>
          <w:sz w:val="28"/>
          <w:szCs w:val="28"/>
          <w:rtl w:val="true"/>
          <w:lang w:bidi="fa-IR"/>
        </w:rPr>
        <w:t xml:space="preserve">مگر اين‌كه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عهد باشد كه در اين صورت مراد رهان‌هاي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حافر و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320" w:name="__RefHeading___Toc2903099_3804643083"/>
      <w:bookmarkStart w:id="321" w:name="_Toc120"/>
      <w:bookmarkEnd w:id="320"/>
      <w:r>
        <w:rPr>
          <w:rtl w:val="true"/>
        </w:rPr>
        <w:t>ـ مرفوعه‌ي عبدالله بن الْمُغِيرة</w:t>
      </w:r>
      <w:r>
        <w:rPr>
          <w:rtl w:val="true"/>
        </w:rPr>
        <w:t>:</w:t>
      </w:r>
      <w:bookmarkEnd w:id="32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عِمْرَانَ بْنِ مُوسَى عَنِ الْحَسَنِ بْنِ ظَرِيفٍ عَنْ عَبْدِ اللَّهِ بْنِ الْمُغِيرَةِ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bookmarkStart w:id="322" w:name="pg2375_19721"/>
    </w:p>
    <w:p>
      <w:pPr>
        <w:pStyle w:val="BookText"/>
        <w:rPr/>
      </w:pPr>
      <w:bookmarkEnd w:id="322"/>
      <w:r>
        <w:rPr>
          <w:rFonts w:ascii="Amiri" w:hAnsi="Amiri" w:eastAsia="Amiri" w:cs="Amiri"/>
          <w:color w:val="111111"/>
          <w:sz w:val="28"/>
          <w:sz w:val="28"/>
          <w:szCs w:val="28"/>
          <w:rtl w:val="true"/>
          <w:lang w:bidi="ar-SA"/>
        </w:rPr>
        <w:t>كُلُّ لَهْوِ الْمُؤْمِنِ بَاطِلٌ إِلَّا فِي ثَلَاثٍ فِي تَأْدِيبِهِ الْفَرَسَ وَ رَمْيِهِ عَنْ قَوْسِهِ وَ مُلَاعَبَتِهِ امْرَأَتَهُ فَإِنَّهُنَّ حَقٌّ</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اين روايت مرفوعه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لهوهاي مؤمن باطل است،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اسب، تيراندازي و ملاعبه‌ي با همسرش، همانا اين سه مورد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هم در مورد جنگ چيزي ندارد تا از آن عموميت را به دست آوريم</w:t>
      </w:r>
      <w:r>
        <w:rPr>
          <w:rFonts w:eastAsia="IRNazanin" w:cs="IRNazanin"/>
          <w:color w:val="111111"/>
          <w:sz w:val="28"/>
          <w:szCs w:val="28"/>
          <w:rtl w:val="true"/>
          <w:lang w:bidi="fa-IR"/>
        </w:rPr>
        <w:t>.</w:t>
      </w:r>
    </w:p>
    <w:p>
      <w:pPr>
        <w:pStyle w:val="Heading6"/>
        <w:numPr>
          <w:ilvl w:val="5"/>
          <w:numId w:val="1"/>
        </w:numPr>
        <w:rPr/>
      </w:pPr>
      <w:bookmarkStart w:id="323" w:name="__RefHeading___Toc2903101_3804643083"/>
      <w:bookmarkStart w:id="324" w:name="_Toc121"/>
      <w:bookmarkEnd w:id="323"/>
      <w:r>
        <w:rPr>
          <w:rtl w:val="true"/>
        </w:rPr>
        <w:t>ـ مرسله‌ي صدوق</w:t>
      </w:r>
      <w:r>
        <w:rPr>
          <w:rtl w:val="true"/>
        </w:rPr>
        <w:t>:</w:t>
      </w:r>
      <w:bookmarkEnd w:id="324"/>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لَتَنْفُرُ عِنْدَ الرِّهَانِ وَ تَلْعَنُ صَاحِبَهُ مَا خَلَا الْحَافِرَ وَ الْخُفَّ وَ الرِّيشَ وَ النَّصْلَ وَ قَدْ سَابَقَ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وَ أَجْرَى الْخَيْلَ</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اين روايت مرسله است</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مَنْ يَلْعَبُ بِالْحَمَامِ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لَا يُعْرَفُ بِفِسْقٍ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قِبَلَنَا يَقُولُونَ قَالَ عُمَرُ هُوَ 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مَا عَلِمْتَ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لَتَنْفُر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ممكن است منظور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همان روايت علاء بن سيابه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روايت علاء بن سيابه باشد، گرچه شيخ صدوق در مشيخه به علاء بن سيابه سندي ذكر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فيه عن العلاء بن سيابة فقد رويته عن أبي ـ رضي اللّه عنه ـ عن سعد ابن عبد اللّه، عن أحمد بن محمّد بن عيسى، عن الحسن بن عليّ الوشّاء، عن أبان بن عثمان عن العلاء بن سيابة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علاء بن سيابه توثيق ندارد، امّا در اين جا چون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مجهول مي‌كند، معلوم مي‌شود با آن سند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ايّ حالٍ از لحاظ سند ناتمام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اين جا مي‌توان گفت اين‌كه شيخ صدوق بعضي از روايات را با ضرس قاطع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مي‌دهد، قابل مناقشه است و اطميناني به صدور آن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بگوييم منظور شيخ صدوق از اين روايت، روايت علاء بن سيابه نبوده، بلكه روايت ديگري است، گرچه بعضي به خاطر اسناد مستقيم صدوق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مي‌كنند كه روايت صادر شده، ولي به نظر حضرت استاد دام ظله، اين وجه تمام نيست و روايت مرسله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bookmarkStart w:id="325" w:name="pg2375_19722"/>
    </w:p>
    <w:p>
      <w:pPr>
        <w:pStyle w:val="BookText"/>
        <w:rPr/>
      </w:pPr>
      <w:bookmarkEnd w:id="325"/>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هنگام رهان فرار مي‌كنند و صاحب آن را لعن مي‌كنند، به جز در حافر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أُسامة بن زيد مسابقه دادند و اسب‌ها را به حركت درآوردند</w:t>
      </w:r>
      <w:r>
        <w:rPr>
          <w:rFonts w:eastAsia="IRNazanin" w:cs="IRNazanin"/>
          <w:color w:val="111111"/>
          <w:sz w:val="28"/>
          <w:szCs w:val="28"/>
          <w:rtl w:val="true"/>
          <w:lang w:bidi="fa-IR"/>
        </w:rPr>
        <w:t>.</w:t>
      </w:r>
    </w:p>
    <w:p>
      <w:pPr>
        <w:pStyle w:val="Heading6"/>
        <w:numPr>
          <w:ilvl w:val="5"/>
          <w:numId w:val="1"/>
        </w:numPr>
        <w:rPr/>
      </w:pPr>
      <w:bookmarkStart w:id="326" w:name="__RefHeading___Toc2903103_3804643083"/>
      <w:bookmarkStart w:id="327" w:name="_Toc122"/>
      <w:bookmarkEnd w:id="326"/>
      <w:r>
        <w:rPr>
          <w:rtl w:val="true"/>
        </w:rPr>
        <w:t>ـ روايت طلحة بن زيد</w:t>
      </w:r>
      <w:r>
        <w:rPr>
          <w:rtl w:val="true"/>
        </w:rPr>
        <w:t>:</w:t>
      </w:r>
      <w:bookmarkEnd w:id="32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مُحَمَّدِ بْنِ يَحْيَى عَنْ أَحْمَدَ بْنِ مُحَمَّدٍ عَنْ مُحَمَّدِ بْنِ يَحْيَى عَنْ طَلْحَةَ بْنِ زَيْدٍ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سَهْمٌ مِنْ سِهَامِ الْإِسْلَامِ</w:t>
      </w:r>
      <w:r>
        <w:rPr>
          <w:rFonts w:eastAsia="Amiri" w:cs="Amiri" w:ascii="Amiri" w:hAnsi="Amiri"/>
          <w:color w:val="111111"/>
          <w:sz w:val="28"/>
          <w:szCs w:val="28"/>
          <w:rtl w:val="true"/>
          <w:lang w:bidi="ar-SA"/>
        </w:rPr>
        <w:t>.</w:t>
      </w:r>
      <w:r>
        <w:rPr>
          <w:rStyle w:val="FootnoteAnchor"/>
          <w:rtl w:val="true"/>
        </w:rPr>
        <w:footnoteReference w:id="227"/>
      </w:r>
      <w:bookmarkStart w:id="328" w:name="pg2375_19723"/>
    </w:p>
    <w:p>
      <w:pPr>
        <w:pStyle w:val="BookText"/>
        <w:rPr/>
      </w:pPr>
      <w:bookmarkEnd w:id="328"/>
      <w:r>
        <w:rPr>
          <w:rFonts w:ascii="Amiri" w:hAnsi="Amiri" w:eastAsia="Amiri" w:cs="Amiri"/>
          <w:color w:val="111111"/>
          <w:sz w:val="28"/>
          <w:sz w:val="28"/>
          <w:szCs w:val="28"/>
          <w:rtl w:val="true"/>
          <w:lang w:bidi="ar-SA"/>
        </w:rPr>
        <w:t>طلحة بن زيد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و تيراندازي، تيري از تيرهاي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از لحاظ سند به خاطر طلحة بن زيد ناتمام است و از لحاظ دلالت هم ربطي به مسابقه ندارد و بعيد است اشاره‌ي به مسابقه هم باشد</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2903105_3804643083"/>
      <w:bookmarkStart w:id="330" w:name="_Toc123"/>
      <w:bookmarkEnd w:id="329"/>
      <w:r>
        <w:rPr>
          <w:rtl w:val="true"/>
        </w:rPr>
        <w:t>ـ مرفوعه‌ي عبد الله بن الْمغِيرة</w:t>
      </w:r>
      <w:r>
        <w:rPr>
          <w:rtl w:val="true"/>
        </w:rPr>
        <w:t>:</w:t>
      </w:r>
      <w:bookmarkEnd w:id="330"/>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مُوسَى عَنِ الْحَسَنِ بْنِ ظَرِيفٍ عَنْ عَبْدِ اللَّهِ بْنِ الْمُغِيرَةِ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أَعِدُّوا لَهُمْ مَا اسْتَطَعْتُمْ مِنْ قُوَّةٍ وَ مِنْ رِباطِ الْخَيْلِ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أَعِدُّوا لَهُمْ مَا اسْتَطَعْتُمْ مِنْ قُوَّةٍ وَ مِنْ رِباطِ الْخَيْلِ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هم ربطي به مسابقه و رهان ندارد، مگر اين‌كه بگوييم اطلاق آن دالّ بر هر نوع آمادگي براي رمي است؛ اعم از تراشيدن رمي، گذاشتن پَر در عقب آن، تمرين و مهارت بر تيراندازي، كه يكي از مصاديق مهارت پيدا كردن، مسابقه و رهان است</w:t>
      </w:r>
      <w:r>
        <w:rPr>
          <w:rFonts w:eastAsia="IRNazanin" w:cs="IRNazanin"/>
          <w:color w:val="111111"/>
          <w:sz w:val="28"/>
          <w:szCs w:val="28"/>
          <w:rtl w:val="true"/>
          <w:lang w:bidi="fa-IR"/>
        </w:rPr>
        <w:t>.</w:t>
      </w:r>
      <w:bookmarkStart w:id="331" w:name="pg2375_19724"/>
    </w:p>
    <w:p>
      <w:pPr>
        <w:pStyle w:val="Heading6"/>
        <w:numPr>
          <w:ilvl w:val="5"/>
          <w:numId w:val="1"/>
        </w:numPr>
        <w:rPr/>
      </w:pPr>
      <w:bookmarkStart w:id="332" w:name="__RefHeading___Toc2903107_3804643083"/>
      <w:bookmarkStart w:id="333" w:name="_Toc124"/>
      <w:bookmarkEnd w:id="331"/>
      <w:bookmarkEnd w:id="332"/>
      <w:r>
        <w:rPr>
          <w:rtl w:val="true"/>
        </w:rPr>
        <w:t>ـ حسنه‌ي كالصحيحه ي حفص بن البختري</w:t>
      </w:r>
      <w:r>
        <w:rPr>
          <w:rtl w:val="true"/>
        </w:rPr>
        <w:t>:</w:t>
      </w:r>
      <w:bookmarkEnd w:id="33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حَفْصِ بْنِ الْبَخْتَرِيِّ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يَحْضُرُ الرَّمْيَ وَ الرِّهَانَ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بن البختري نقل مي‌كند كه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رمي و رهان حاضر مي‌شدند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مسابقه‌ي رمي است نه رمي جنگ؛ زيرا سابقه نداشته كه حضرت در جنگي حاضر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قرينه‌ي بر مسابقه است</w:t>
      </w:r>
      <w:r>
        <w:rPr>
          <w:rFonts w:eastAsia="IRNazanin" w:cs="IRNazanin"/>
          <w:color w:val="111111"/>
          <w:sz w:val="28"/>
          <w:szCs w:val="28"/>
          <w:rtl w:val="true"/>
          <w:lang w:bidi="fa-IR"/>
        </w:rPr>
        <w:t>.</w:t>
      </w:r>
    </w:p>
    <w:p>
      <w:pPr>
        <w:pStyle w:val="Heading5"/>
        <w:numPr>
          <w:ilvl w:val="4"/>
          <w:numId w:val="1"/>
        </w:numPr>
        <w:rPr/>
      </w:pPr>
      <w:bookmarkStart w:id="334" w:name="__RefHeading___Toc2903109_3804643083"/>
      <w:bookmarkStart w:id="335" w:name="_Toc125"/>
      <w:bookmarkEnd w:id="334"/>
      <w:r>
        <w:rPr>
          <w:rtl w:val="true"/>
        </w:rPr>
        <w:t>نتيجه گيري از روايات كتاب سبق و رمايه</w:t>
      </w:r>
      <w:bookmarkEnd w:id="335"/>
    </w:p>
    <w:p>
      <w:pPr>
        <w:pStyle w:val="Heading6"/>
        <w:numPr>
          <w:ilvl w:val="5"/>
          <w:numId w:val="1"/>
        </w:numPr>
        <w:rPr/>
      </w:pPr>
      <w:bookmarkStart w:id="336" w:name="__RefHeading___Toc2903111_3804643083"/>
      <w:bookmarkStart w:id="337" w:name="_Toc126"/>
      <w:bookmarkEnd w:id="336"/>
      <w:r>
        <w:rPr>
          <w:rtl w:val="true"/>
        </w:rPr>
        <w:t>اشاره</w:t>
      </w:r>
      <w:bookmarkEnd w:id="33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رواياتي كه ذكر شد هيچ زمينه‌اي به ما نمي‌دهد و دلالتي بر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فقط مي‌توان يك استيناس كلّي كرد كه در مورد حرب است، بنابراين چيزي از اين روايات به دست نمي‌آيد و مناسب است در خود رواياتي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فِي خُفٍّ أَوْ حَافِرٍ أَوْ نَصْلٍ يَعْنِي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تأمل كنيم</w:t>
      </w:r>
      <w:r>
        <w:rPr>
          <w:rFonts w:eastAsia="IRNazanin" w:cs="IRNazanin"/>
          <w:color w:val="111111"/>
          <w:sz w:val="28"/>
          <w:szCs w:val="28"/>
          <w:rtl w:val="true"/>
          <w:lang w:bidi="fa-IR"/>
        </w:rPr>
        <w:t>.</w:t>
      </w:r>
      <w:bookmarkStart w:id="338" w:name="pg2375_19725"/>
    </w:p>
    <w:p>
      <w:pPr>
        <w:pStyle w:val="Heading6"/>
        <w:numPr>
          <w:ilvl w:val="5"/>
          <w:numId w:val="1"/>
        </w:numPr>
        <w:rPr/>
      </w:pPr>
      <w:bookmarkStart w:id="339" w:name="__RefHeading___Toc2903113_3804643083"/>
      <w:bookmarkStart w:id="340" w:name="_Toc127"/>
      <w:bookmarkEnd w:id="338"/>
      <w:bookmarkEnd w:id="339"/>
      <w:r>
        <w:rPr>
          <w:rtl w:val="true"/>
        </w:rPr>
        <w:t xml:space="preserve">تأملي دوباره در روايات </w:t>
      </w:r>
      <w:r>
        <w:rPr>
          <w:rtl w:val="true"/>
        </w:rPr>
        <w:t>«</w:t>
      </w:r>
      <w:r>
        <w:rPr>
          <w:rtl w:val="true"/>
        </w:rPr>
        <w:t>لَا سَبَقَ إِلَّا فِي خُفٍّ أَوْ حَافِرٍ أَوْ نَصْلٍ</w:t>
      </w:r>
      <w:r>
        <w:rPr>
          <w:rtl w:val="true"/>
        </w:rPr>
        <w:t>»</w:t>
      </w:r>
      <w:bookmarkEnd w:id="340"/>
    </w:p>
    <w:p>
      <w:pPr>
        <w:pStyle w:val="BookText"/>
        <w:rPr/>
      </w:pPr>
      <w:r>
        <w:rPr>
          <w:rFonts w:ascii="Amiri" w:hAnsi="Amiri" w:eastAsia="Amiri" w:cs="Amiri"/>
          <w:color w:val="111111"/>
          <w:sz w:val="28"/>
          <w:sz w:val="28"/>
          <w:szCs w:val="28"/>
          <w:rtl w:val="true"/>
          <w:lang w:bidi="ar-SA"/>
        </w:rPr>
        <w:t>در مورد ذيل روايات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النِّضَالَ</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حَفْصٍ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خُفٍّ أَوْ حَافِرٍ أَوْ نَصْلٍ يَعْنِي النِّضَالَ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مي‌گوييم اگر اين تفسير از راوي باشد، ارزشي ندارد و معنايي كه راوي كرده نهايتاً به عنوان يك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اين عبارت تفسير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خيلي تفاوت دارد؛ زيرا وقتي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 را كه در لغت اعم از تير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النَّصْل للسيف حديدته، و نَصْلُ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نَصْلُ البُهْمى و نحوها من النبات إذا خرجت نِصالُها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السيف، و نَصْلُه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النَّصْلُ نصلُ السهم و نَصْلُ السيفِ و السِّكِّينِ و الرمحِ، و نَصْلُ البُهْمَى من النبات و نحوه إِذا خرجت نصالُها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النَّصْلُ حديدةُ السهم و الرمحِ، و هو حديدة السيف ما لم يكن لها مَقْبَض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نَصْل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محدود به يك امر خاصي يعني نضال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في اللغة،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نَضَلَ 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نَضَلَه في مُرَاماةٍ فَغَلَبَه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 النِّضَالُ أيضاً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تير يا تيراندازي مي‌كنند، تعدّي از اين معنا حتّي به شمشير بازي هم مشكل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معناي واضحي دارد و هر چيز</w:t>
      </w:r>
    </w:p>
    <w:p>
      <w:pPr>
        <w:pStyle w:val="BookText"/>
        <w:rPr/>
      </w:pPr>
      <w:r>
        <w:rPr>
          <w:rFonts w:ascii="IRNazanin" w:hAnsi="IRNazanin" w:eastAsia="IRNazanin"/>
          <w:color w:val="111111"/>
          <w:sz w:val="28"/>
          <w:sz w:val="28"/>
          <w:szCs w:val="28"/>
          <w:rtl w:val="true"/>
          <w:lang w:bidi="fa-IR"/>
        </w:rPr>
        <w:t>تيزي را شامل مي‌شود، اين‌كه حضرت به تيراندازي تفسير مي‌كنند پس معلوم مي‌شود خصوصيتي داشته و شامل بقيه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از آن جايي كه در بين فقهاء اجماعي است كه نصل را به معنايي اعم از تير گرفته‌اند و به هر چيز تيزي كه در نبرد و منازعه كارآيي داشته باشد معني كرده‌اند و هم‌چنين بعضي استظهار كرده‌اند</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اين‌گونه جواب داد كه ظاهراً اصل اين روايت از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اهل سنت هم 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عين همان كلمات را نقل كرده و نصل را براي مخاطبين تفسير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راوي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الرمي، و الظاهر أن التفسير من الراوي و لعله على سبيل المثال لبيان الفرد الخفي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اظهر آن است كه بگوييم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در همان معناي اعم خود باقي است؛ يعني هر چيز تيزي كه در حرب كارآيي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اگر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مي‌توانيم بگوييم از آن جايي كه استعمال نصل در هر شيء تيزي مثل شمشير، نيزه، خنجر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 است، پس كلام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حمل كنيم به اين‌كه حضرت به جهت رايج بودن مسابقه‌ي با تير، آن را مفسّر اصل مسابقه قرار دادند؛ يعني در حقيقت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مسابقه‌ي</w:t>
      </w:r>
    </w:p>
    <w:p>
      <w:pPr>
        <w:pStyle w:val="BookText"/>
        <w:rPr/>
      </w:pPr>
      <w:r>
        <w:rPr>
          <w:rFonts w:ascii="IRNazanin" w:hAnsi="IRNazanin" w:eastAsia="IRNazanin"/>
          <w:color w:val="111111"/>
          <w:sz w:val="28"/>
          <w:sz w:val="28"/>
          <w:szCs w:val="28"/>
          <w:rtl w:val="true"/>
          <w:lang w:bidi="fa-IR"/>
        </w:rPr>
        <w:t>بالنصل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ايّ حالٍ روايات ديگري هم وجود دارد كه در آن‌ها نصل ذكر شده ولي نضال نيست، گرچه اين روايات از لحاظ سند تمام نيست ولي مي‌تواند به عنوان مؤيد باشد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لَتَنْفُرُ عِنْدَ الرِّهَانِ وَ تَلْعَنُ صَاحِبَهُ مَا خَلَا الْحَافِرَ وَ الْخُفَّ وَ الرِّيشَ وَ النَّصْلَ وَ قَدْ سَابَقَ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وَ أَجْرَى الْخَيْلَ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الاسناد،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فِي قُرْبِ الْإِسْنَادِ عَنِ الْحَسَنِ بْنِ ظَرِيفٍ عَنِ الْحُسَيْنِ بْنِ عُلْوَانَ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حَافِرٍ أَوْ نَصْلٍ أَوْ 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كتاب السبق و الرماية، أَبواب كتاب السبق و الرماية، باب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دعائم الاسلام،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الْإِسْلَامِ،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فِي السَّبْقِ بَيْنَ الْخَيْلِ وَ سَابَقَ بَيْنَهَا وَ جَعَلَ فِي ذَلِكَ أَوَاقِيَّ مِنْ فِضَّةٍ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ثَلَاثٍ فِي خُفٍّ أَوْ حَافِرٍ أَوْ نَصْلٍ يَعْنِي بِالْحَافِرِ الْخَيْلَ وَ الْخُفِّ الْإِبِلَ وَ النَّصْلِ نَصْلَ السَّهْمِ يَعْنِي رَمْيَ النَّبْلِ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مشخص شدن معناي نصل ـ كه مراد هر چيز تيزي است كه در حرب كارآيي داشته باشد ـ مي‌توانيم در اين‌جا از فهم عرفي كمك گرفته و الغاء خصوصيت كنيم و بگوييم تيز بودن خصوصيت ندارد و هر و‌سيله‌اي كه امروزه در حرب براي از پا درآوردن افراد استفاده مي‌شود، مثل گلوله، توپ، بمب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روايت است، گرچه نصل بر آن صادق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استفاده از عموميت معناي نصل و فهم عرفي آن، كه تيزي خصوصيت ندارد و به مناسبت حكم و موضوع و اين‌كه اصحاب هم كلاً از نصل به عنوان آلت حرب برداشت كرده‌اند، مي‌توانيم نصل را به همه‌ي ابزار حربي تعميم داده و بگوييم مراهنه در چنين مسابقاتي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حتّي شايد به اين مناسبت بتوان معناي خُف و حافر را هم به تمام وسائل محرّكه‌ي جنگي اعم از نفربر، تانك، جنگنده شكاري، بمب افكن و رهگير، هلي‌كوپترهاي نظامي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داد و گفت حافر و خُف ـ كه شامل حتّي خيل هم مي‌شود ـ به عنوان وسائل محرّكه‌ي جنگي در آن زمان نام برده شده و بنابراين هر آن‌چه كه در اين زمان جايگزين خُف و حافر شده و وسيله‌ي محرّكه در جنگ باشد، مشمول روايت است و رهان در مسابقات با آن جايز مي‌باشد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خلاف احتياط است؛ زيرا شايد حكمتي در مسابقه‌ي با رهان در خُف و حافر در آن زمان‌ها بوده كه الآن آن حكمت در مسابقه‌ي با رهان با سائر وسائل محرّكه‌ي جنگي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اين زمان مسابقه‌ي با رهان در اسب سواري و شتر سواريِ معمولي هم خلاف احتياط است؛ زيرا حكمت جواز مراهنه در اين مسابقات به خاطر اين بوده كه وسيله‌ي محرّكه‌ي حرب بوده است و الآن ديگر موضوعيت ندارد و روايات از مسابقاتي كه هيچ زمينه‌اي براي اعداد قوا جهت حرب ندارد، منصرف است</w:t>
      </w:r>
      <w:r>
        <w:rPr>
          <w:rFonts w:eastAsia="IRNazanin" w:cs="IRNazanin"/>
          <w:color w:val="111111"/>
          <w:sz w:val="28"/>
          <w:szCs w:val="28"/>
          <w:rtl w:val="true"/>
          <w:lang w:bidi="fa-IR"/>
        </w:rPr>
        <w:t>.</w:t>
      </w:r>
      <w:bookmarkStart w:id="341" w:name="pg2375_19729"/>
    </w:p>
    <w:p>
      <w:pPr>
        <w:pStyle w:val="Heading5"/>
        <w:numPr>
          <w:ilvl w:val="4"/>
          <w:numId w:val="1"/>
        </w:numPr>
        <w:rPr/>
      </w:pPr>
      <w:bookmarkStart w:id="342" w:name="__RefHeading___Toc2903115_3804643083"/>
      <w:bookmarkStart w:id="343" w:name="_Toc128"/>
      <w:bookmarkEnd w:id="341"/>
      <w:bookmarkEnd w:id="342"/>
      <w:r>
        <w:rPr>
          <w:rtl w:val="true"/>
        </w:rPr>
        <w:t>حكم مغالبه با جُعل شخص ثالث</w:t>
      </w:r>
      <w:bookmarkEnd w:id="343"/>
    </w:p>
    <w:p>
      <w:pPr>
        <w:pStyle w:val="BookText"/>
        <w:rPr/>
      </w:pPr>
      <w:r>
        <w:rPr>
          <w:rFonts w:ascii="IRNazanin" w:hAnsi="IRNazanin" w:eastAsia="IRNazanin"/>
          <w:color w:val="111111"/>
          <w:sz w:val="28"/>
          <w:sz w:val="28"/>
          <w:szCs w:val="28"/>
          <w:rtl w:val="true"/>
          <w:lang w:bidi="fa-IR"/>
        </w:rPr>
        <w:t>در تمام مواردي كه گفتيم مغالبه‌ي با رهان حرام است، در صورتي بود كه خود متسابقين رهان بگذارند، امّا اگر شخص ثالثي جُعل قرار دهد مانعي ندارد و از لحاظ تكليفي حرام نيست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لحاظ وضعي اگر بر مغالبه‌اي غرض عقلايي مترتب نباشد، اخذ آن جُعل از باب اين‌كه حق غلبه كننده و براساس عقد است، مصداق اكل مال به باطل مي‌باشد، امّا اگر غرض عقلايي بر آن مترتب باشد يا طيب نفس باشد حتّي با فرض بطلان عقد، مصداق اكل مال به باطل نبوده و حرام نيست</w:t>
      </w:r>
      <w:r>
        <w:rPr>
          <w:rFonts w:eastAsia="IRNazanin" w:cs="IRNazanin"/>
          <w:color w:val="111111"/>
          <w:sz w:val="28"/>
          <w:szCs w:val="28"/>
          <w:rtl w:val="true"/>
          <w:lang w:bidi="fa-IR"/>
        </w:rPr>
        <w:t>.</w:t>
      </w:r>
      <w:r>
        <w:rPr>
          <w:rStyle w:val="FootnoteAnchor"/>
          <w:rtl w:val="true"/>
        </w:rPr>
        <w:footnoteReference w:id="233"/>
      </w:r>
      <w:bookmarkStart w:id="344" w:name="pg2375_19730"/>
    </w:p>
    <w:p>
      <w:pPr>
        <w:pStyle w:val="Heading2"/>
        <w:numPr>
          <w:ilvl w:val="1"/>
          <w:numId w:val="1"/>
        </w:numPr>
        <w:rPr/>
      </w:pPr>
      <w:bookmarkStart w:id="345" w:name="__RefHeading___Toc2903117_3804643083"/>
      <w:bookmarkStart w:id="346" w:name="_Toc129"/>
      <w:bookmarkEnd w:id="344"/>
      <w:bookmarkEnd w:id="345"/>
      <w:r>
        <w:rPr>
          <w:rtl w:val="true"/>
        </w:rPr>
        <w:t>قيادت</w:t>
      </w:r>
      <w:bookmarkEnd w:id="34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2903119_3804643083"/>
      <w:bookmarkStart w:id="348" w:name="_Toc130"/>
      <w:bookmarkEnd w:id="347"/>
      <w:r>
        <w:rPr>
          <w:rtl w:val="true"/>
        </w:rPr>
        <w:t>اشاره</w:t>
      </w:r>
      <w:bookmarkStart w:id="349" w:name="pg2375_19732"/>
      <w:bookmarkEnd w:id="348"/>
    </w:p>
    <w:p>
      <w:pPr>
        <w:pStyle w:val="Heading3"/>
        <w:numPr>
          <w:ilvl w:val="2"/>
          <w:numId w:val="1"/>
        </w:numPr>
        <w:rPr/>
      </w:pPr>
      <w:bookmarkStart w:id="350" w:name="__RefHeading___Toc2903121_3804643083"/>
      <w:bookmarkStart w:id="351" w:name="_Toc131"/>
      <w:bookmarkEnd w:id="349"/>
      <w:bookmarkEnd w:id="350"/>
      <w:r>
        <w:rPr>
          <w:rtl w:val="true"/>
        </w:rPr>
        <w:t>المسألة السادسة عشر</w:t>
      </w:r>
      <w:r>
        <w:rPr>
          <w:rtl w:val="true"/>
        </w:rPr>
        <w:t xml:space="preserve">: </w:t>
      </w:r>
      <w:r>
        <w:rPr>
          <w:rtl w:val="true"/>
        </w:rPr>
        <w:t>حرمة القيادة</w:t>
      </w:r>
      <w:bookmarkEnd w:id="351"/>
    </w:p>
    <w:p>
      <w:pPr>
        <w:pStyle w:val="Heading4"/>
        <w:numPr>
          <w:ilvl w:val="3"/>
          <w:numId w:val="1"/>
        </w:numPr>
        <w:rPr/>
      </w:pPr>
      <w:bookmarkStart w:id="352" w:name="__RefHeading___Toc2903123_3804643083"/>
      <w:bookmarkStart w:id="353" w:name="_Toc132"/>
      <w:bookmarkEnd w:id="352"/>
      <w:r>
        <w:rPr>
          <w:rtl w:val="true"/>
        </w:rPr>
        <w:t>اشاره</w:t>
      </w:r>
      <w:bookmarkEnd w:id="353"/>
    </w:p>
    <w:p>
      <w:pPr>
        <w:pStyle w:val="BookText"/>
        <w:rPr/>
      </w:pPr>
      <w:r>
        <w:rPr>
          <w:rStyle w:val="FootnoteAnchor"/>
          <w:rtl w:val="true"/>
        </w:rPr>
        <w:footnoteReference w:id="234"/>
      </w:r>
    </w:p>
    <w:p>
      <w:pPr>
        <w:pStyle w:val="Heading4"/>
        <w:numPr>
          <w:ilvl w:val="3"/>
          <w:numId w:val="1"/>
        </w:numPr>
        <w:rPr/>
      </w:pPr>
      <w:bookmarkStart w:id="354" w:name="__RefHeading___Toc2903125_3804643083"/>
      <w:bookmarkStart w:id="355" w:name="_Toc133"/>
      <w:bookmarkEnd w:id="354"/>
      <w:r>
        <w:rPr>
          <w:rtl w:val="true"/>
        </w:rPr>
        <w:t>تعريف قيادت</w:t>
      </w:r>
      <w:bookmarkEnd w:id="355"/>
    </w:p>
    <w:p>
      <w:pPr>
        <w:pStyle w:val="BookText"/>
        <w:rPr/>
      </w:pPr>
      <w:r>
        <w:rPr>
          <w:rFonts w:ascii="Amiri" w:hAnsi="Amiri" w:eastAsia="Amiri" w:cs="Amiri"/>
          <w:color w:val="111111"/>
          <w:sz w:val="28"/>
          <w:sz w:val="28"/>
          <w:szCs w:val="28"/>
          <w:rtl w:val="true"/>
          <w:lang w:bidi="ar-SA"/>
        </w:rPr>
        <w:t>قيادت در اصل لغت به معناي راهنمايي كردن است</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القِيَادَةُ مصدر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القَائِدُ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الْمُطَاوَعَةِ وَ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فِعْلُهَا و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الدِّيَاثَةِ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 از آن در اين‌جا، راهنمايي كردن دو نفر بر وطي حرام است</w:t>
      </w:r>
      <w:r>
        <w:rPr>
          <w:rFonts w:eastAsia="Amiri" w:cs="Amiri" w:ascii="Amiri" w:hAnsi="Amiri"/>
          <w:color w:val="111111"/>
          <w:sz w:val="28"/>
          <w:szCs w:val="28"/>
          <w:rtl w:val="true"/>
          <w:lang w:bidi="ar-SA"/>
        </w:rPr>
        <w:t>.</w:t>
      </w:r>
      <w:bookmarkStart w:id="356" w:name="pg2375_19733"/>
    </w:p>
    <w:p>
      <w:pPr>
        <w:pStyle w:val="BookText"/>
        <w:rPr/>
      </w:pPr>
      <w:bookmarkEnd w:id="356"/>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اثبات حرمت قيادت به دو روايت تمسك مي‌كند</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2903127_3804643083"/>
      <w:bookmarkStart w:id="358" w:name="_Toc134"/>
      <w:bookmarkEnd w:id="357"/>
      <w:r>
        <w:rPr>
          <w:rtl w:val="true"/>
        </w:rPr>
        <w:t>ادلّه‌ي شيخ</w:t>
      </w:r>
      <w:r>
        <w:rPr>
          <w:rtl w:val="true"/>
        </w:rPr>
        <w:t xml:space="preserve">- </w:t>
      </w:r>
      <w:r>
        <w:rPr>
          <w:rtl w:val="true"/>
        </w:rPr>
        <w:t xml:space="preserve">قدس سره </w:t>
      </w:r>
      <w:r>
        <w:rPr>
          <w:rtl w:val="true"/>
        </w:rPr>
        <w:t xml:space="preserve">- </w:t>
      </w:r>
      <w:r>
        <w:rPr>
          <w:rtl w:val="true"/>
        </w:rPr>
        <w:t>بر حرمت قيادت</w:t>
      </w:r>
      <w:bookmarkEnd w:id="358"/>
    </w:p>
    <w:p>
      <w:pPr>
        <w:pStyle w:val="Heading5"/>
        <w:numPr>
          <w:ilvl w:val="4"/>
          <w:numId w:val="1"/>
        </w:numPr>
        <w:rPr/>
      </w:pPr>
      <w:bookmarkStart w:id="359" w:name="__RefHeading___Toc2903129_3804643083"/>
      <w:bookmarkStart w:id="360" w:name="_Toc135"/>
      <w:bookmarkEnd w:id="359"/>
      <w:r>
        <w:rPr/>
        <w:t>1</w:t>
      </w:r>
      <w:r>
        <w:rPr>
          <w:rtl w:val="true"/>
        </w:rPr>
        <w:t xml:space="preserve">. </w:t>
      </w:r>
      <w:r>
        <w:rPr>
          <w:rtl w:val="true"/>
        </w:rPr>
        <w:t>روايتي كه واصله و مستوصلة را لعن مي‌كند</w:t>
      </w:r>
      <w:bookmarkEnd w:id="360"/>
    </w:p>
    <w:p>
      <w:pPr>
        <w:pStyle w:val="BookText"/>
        <w:rPr/>
      </w:pPr>
      <w:r>
        <w:rPr>
          <w:rFonts w:ascii="Amiri" w:hAnsi="Amiri" w:eastAsia="Amiri" w:cs="Amiri"/>
          <w:color w:val="111111"/>
          <w:sz w:val="28"/>
          <w:sz w:val="28"/>
          <w:szCs w:val="28"/>
          <w:rtl w:val="true"/>
          <w:lang w:bidi="ar-SA"/>
        </w:rPr>
        <w:t>روايت اوّل، روايتي است كه قبلاً در بحث تدليس ماشطه ذكر شده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الْوَاصِلَةَ وَ الْمُسْتَوْصِلَةَ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عَبْدِ الرَّحْمَنِ بْنِ أَبِي هَاشِمٍ عَنْ سَالِمِ بْنِ مُكْرَمٍ عَنْ سَعْدٍ الْإِسْكَافِ قَالَ سُئِلَ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الْقَرَامِلِ الَّتِي تَضَعُهَا النِّسَاءُ فِي رُءُوسِهِنَّ يَصِلْنَهُ بِشُعُورِهِنَّ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الْمَرْأَةِ بِمَا تَزَيَّنَتْ بِهِ لِزَوْجِهَا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الْوَاصِلَةَ وَ الْمَوْصُولَةَ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هُنَالِكَ إِنَّمَا لَعَنَ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الْوَاصِلَةَ الَّتِي تَزْنِي فِي شَبَابِهَا فَلَمَّا كَبِرَتْ قَادَتِ النِّسَاءَ إِلَى الرِّجَالِ فَتِلْكَ الْوَاصِلَةُ وَ 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يَعْقُوبَ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روايت ديگر به اين مضمون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الاخبار، 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 عَنْ أَحْمَدَ بْنِ مُحَمَّدِ بْنِ الْهَيْثَمِ عَنْ أَحْمَدَ بْنِ يَحْيَى عَنْ زَكَرِيَّا عَنْ بَكْرِ بْنِ عَبْدِ اللَّهِ بْنِ حَبِيبٍ عَنْ تَمِيمِ بْنِ بُهْلُولٍ عَنْ أَبِيهِ عَنْ عَلِيِّ بْنِ غُرَابٍ عَنْ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النَّامِصَةَ وَ الْمُنْتَمِصَةَ وَ الْوَاشِرَةَ وَ الْمُوتَشِرَةَ وَ الْوَاصِلَةَ وَ الْمُسْتَوْصِلَةَ وَ الْوَاشِمَةَ وَ الْمُسْتَوْشِمَة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كتاب النكاح، أبواب نكاح المحرم و ما يناسبه، باب</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الاخبار، 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فِي مَعَانِي الْأَخْبَارِ عَنِ الْحُسَيْنِ بْنِ إِبْرَاهِيمَ الْمُكَتِّبِ عَنْ عَلِيِّ بْنِ إِبْرَاهِيمَ عَنْ أَبِيهِ عَنِ ابْنِ أَبِي عُمَيْرٍ عَنْ إِبْرَاهِيمَ بْنِ زِيَادٍ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الْوَاصِلَةَ وَ الْمُسْتَوْصِلَةَ يَعْنِي الزَّانِيَةَ وَ الْقَوَّادَةَ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اين روايت</w:t>
      </w:r>
      <w:bookmarkStart w:id="361" w:name="pg2375_19734"/>
    </w:p>
    <w:p>
      <w:pPr>
        <w:pStyle w:val="BookText"/>
        <w:rPr/>
      </w:pPr>
      <w:bookmarkEnd w:id="361"/>
      <w:r>
        <w:rPr>
          <w:rFonts w:ascii="IRNazanin" w:hAnsi="IRNazanin" w:eastAsia="IRNazanin"/>
          <w:color w:val="111111"/>
          <w:sz w:val="28"/>
          <w:sz w:val="28"/>
          <w:szCs w:val="28"/>
          <w:rtl w:val="true"/>
          <w:lang w:bidi="fa-IR"/>
        </w:rPr>
        <w:t>همان‌طوركه قبلاً گفتيم سند صحيحي ندارد</w:t>
      </w:r>
      <w:r>
        <w:rPr>
          <w:rFonts w:eastAsia="IRNazanin" w:cs="IRNazanin"/>
          <w:color w:val="111111"/>
          <w:sz w:val="28"/>
          <w:szCs w:val="28"/>
          <w:rtl w:val="true"/>
          <w:lang w:bidi="fa-IR"/>
        </w:rPr>
        <w:t>.</w:t>
      </w:r>
    </w:p>
    <w:p>
      <w:pPr>
        <w:pStyle w:val="Heading5"/>
        <w:numPr>
          <w:ilvl w:val="4"/>
          <w:numId w:val="1"/>
        </w:numPr>
        <w:rPr/>
      </w:pPr>
      <w:bookmarkStart w:id="362" w:name="__RefHeading___Toc2903131_3804643083"/>
      <w:bookmarkStart w:id="363" w:name="_Toc136"/>
      <w:bookmarkEnd w:id="362"/>
      <w:r>
        <w:rPr/>
        <w:t>2</w:t>
      </w:r>
      <w:r>
        <w:rPr>
          <w:rtl w:val="true"/>
        </w:rPr>
        <w:t xml:space="preserve">. </w:t>
      </w:r>
      <w:r>
        <w:rPr>
          <w:rtl w:val="true"/>
        </w:rPr>
        <w:t>روايت عبدالله بن سنان</w:t>
      </w:r>
      <w:r>
        <w:rPr>
          <w:rtl w:val="true"/>
        </w:rPr>
        <w:t>:</w:t>
      </w:r>
      <w:bookmarkEnd w:id="363"/>
    </w:p>
    <w:p>
      <w:pPr>
        <w:pStyle w:val="BookText"/>
        <w:rPr/>
      </w:pPr>
      <w:r>
        <w:rPr>
          <w:rFonts w:ascii="IRNazanin" w:hAnsi="IRNazanin" w:eastAsia="IRNazanin"/>
          <w:color w:val="111111"/>
          <w:sz w:val="28"/>
          <w:sz w:val="28"/>
          <w:szCs w:val="28"/>
          <w:rtl w:val="true"/>
          <w:lang w:bidi="fa-IR"/>
        </w:rPr>
        <w:t>روايت ديگري كه مرحوم شيخ ذكر مي‌كند و از آن تعبير به صحيحه مي‌كند، روايت عبدالله بن سنان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مُحَمَّدِ بْنِ سُلَيْمَانَ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الْقَوَّادِ 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الْقَوَّادِ أَ لَيْسَ إِنَّمَا يُعْطَى الْأَجْرَ عَلَى أَنْ يَقُودَ؟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يَجْمَعُ بَيْنَ الذَّكَرِ وَ الْأُنْثَى حَرَاماً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الْمُؤَلِّفُ بَيْنَ الذَّكَرِ وَ الْأُنْثَى حَرَاماً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أَرْبَاعِ حَدِّ الزَّانِي خَمْسَةً وَ سَبْعِينَ سَوْطاً وَ يُنْفَى مِنَ الْمِصْرِ الَّذِي هُوَ فِيهِ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عَلِيِّ بْنِ إِبْرَاهِيمَ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إِبْرَاهِيمَ بْنِ هَاشِمٍ مِثْلَهُ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متن كامل حديث كه در كتاب كافي آمده چنين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سُلَيْمَانَ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الْقَوَّادِ 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الْقَوَّادِ أَ لَيْسَ إِنَّمَا يُعْطَى الْأَجْرَ عَلَى أَنْ يَقُودَ؟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يَجْمَعُ بَيْنَ الذَّكَرِ وَ الْأُنْثَى حَرَاماً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الْمُؤَلِّفُ بَيْنَ الذَّكَرِ وَ الْأُنْثَى حَرَاماً؟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أَرْبَاعِ حَدِّ الزَّانِي خَمْسَةً وَ سَبْعِينَ سَوْطاً وَ يُنْفَى مِنَ الْمِصْرِ الَّذِي هُوَ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عَلَى رَجُلٍ الَّذِي وَثَبَ عَلَى امْرَأَةٍ فَحَلَقَ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ضَرْباً وَجِيعاً وَ يُحْبَسُ فِي سِجْنِ الْمُسْلِمِينَ حَتَّى يُسْتَبْرَأَ شَعْرُهَا فَإِنْ نَبَتَ أُخِذَ مِنْهُ مَهْرُ نِسَائِهَا وَ إِنْ لَمْ يَنْبُتْ أُخِذَتْ مِنْهُ الدِّيَةُ كَامِلَةً خَمْسَةُ آلَافِ دِرْهَمٍ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مَهْرَ نِسَائِهَا إِنْ نَبَتَ شَعْرُهَا؟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سِنَانٍ إِنَّ شَعْرَ الْمَرْأَةِ وَ عُذْرَتَهَا يَشْتَرِكَانِ فِي الْجَمَالِ فَإِذَا ذُهِبَ بِأَحَدِهِمَا وَجَبَ لَهَا الْمَهْرُ كَامِلًا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سنان مي‌گويد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قوّاد چقدر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قوّاد حدّي ندارد، مگر اين‌طور نيست كه به او پول مي‌دهند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يا حيوان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قيادت و راهنمايي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فدايتان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بين زن و مرد به حرام جمع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بين زن و مرد به حرام جمع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مقصودم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چهارم حدّ زاني يعني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و از شهري كه در آن سكونت دارد، تبعيد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مرحوم شيخ از اين روايت تعبير به صحيحه مي‌كنند، امّا سند اين روايت به خاطر محمد بن سليمان كه تضعيف شده،</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محمد بن سليمان بن عبد الله الديلمي ضعيف جدا لا يعول عليه في شي‌ء،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عن جعفر بن محمد، عن علي بن الحسين، عن أحمد بن محمد، عن أبيه، عن محمد بن سليمان بكتابه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الطوسي، 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الديلمي، 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اين روايت عمل كرده‌اند؛ زيرا مشتمل بر مطلبي است كه مُفتي‌به همه ي فقهاست و كسي در آن اختلاف نكرده، پس معلوم مي‌شود اين روايت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حرف في‌الجمله درست است، ولي ما نمي‌دانيم مستند فقهاء اين روايت بوده باشد، شايد مدرك ديگري داشته‌اند؛ زيرا در اين روايت مطالب ديگري هم وجود دارد كه به آن فتوا نداده‌اند، در حالي كه اگر فقط اين روايت مستند فقهاء بود بايد آن‌ها را هم ذكر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روايت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قوّاد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است، اجماعي است و كسي را پيدا نكردم در آن اختلاف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 ديگر روايت كه مي‌گويد از شهرش تبعيد مي‌شود، بسياري از علماء آن را قبول نكرده‌اند، بلكه چيزهاي ديگري ذكر كرده‌اند؛ مثلاً عدّه‌ي زيادي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يُحلق رأسه و يُشهّر</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مما انفردت 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من قامت عليه البينة بالجمع بين النساء و الرجال أو الرجال و الغلمان للفجور وجب أن يجلد خمسا و سبعين جلدة و يحلق رأسه و يشهر في البلد الذي يفعل فيه ذلك، و تجلد المرأة إذا جمعت بين الفاجرين لكنها لا يحلق رأسها و لا تشهر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باقي الفقهاء ذلك و لا سمعناه عنهم و لا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الطوسى، محمد بن الحسن، النهاية في مجرد الفقه و الفتاوى، ص</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الحد في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النّساء و الرّجال و الغلمان للفجور، إذا شهد عليه شاهدان، أو أقرّ على نفسه بذلك، يجب عليه ثلاثة أرباع حدّ الزّاني خمسة و سبعون جلدة، و يحلّق رأسه و يشهّر في البلد، ثمَّ ينفى عن البلد الّذي فعل ذلك فيه الى غيره من الأمصار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w:t>
      </w:r>
    </w:p>
    <w:p>
      <w:pPr>
        <w:pStyle w:val="BookText"/>
        <w:rPr/>
      </w:pPr>
      <w:r>
        <w:rPr>
          <w:rFonts w:ascii="IRNazanin" w:hAnsi="IRNazanin" w:eastAsia="IRNazanin"/>
          <w:color w:val="111111"/>
          <w:sz w:val="28"/>
          <w:sz w:val="28"/>
          <w:szCs w:val="28"/>
          <w:rtl w:val="true"/>
          <w:lang w:bidi="fa-IR"/>
        </w:rPr>
        <w:t>را تراشيده و در شهر خودش 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بعضي گفته‌اند اگر دوباره اين كار را تكرار كرد، بعد از اين‌كه حدّش زدند از شهر تبعيدش مي‌كنند،</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فصل في القيادة و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يثبت هذا الحكم بشاهدي عدل أو بإقرار من يعتد بإقراره مرتين بالجمع بين الرجال و النساء و الغلمان، أو النساء و النساء، فيه جلد خمسة و سبعين سوطا و يحلق رأس الرجل و يشهر في المصر و لا يحلق رأس المرأة و لا تشهر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عاد ثانية جلد و نفى عن المصر فان عاد ثالثة جلد فان عاد رابعة استتيب فان تاب قبلت توبته و جلد و ان أبى التوبة قتل و ان تاب ثم أحدث بعد التوبة خامسة قتل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سلار الديلمي، حمزة بن عبدالعزيز، المراسم العلوية و الأحكام النبوية، 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القواد خمسا أو سبعين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امرأة فالرجل يحلق رأسه مع الحد و يشهر، و المرأة تجلد حسب ثم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يعودوا أو لا يعودوا، فإن عادوا، نفوا من المصر بعد فعل ما استحقوه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زهره حلبي، حمزة بن علي حسيني، غنية النزوع إلى علمي الأصول و الفروع، ص</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بين رجل و امرأة أو غلام، أو بين امرأتين للفجور، فعليه جلد خمسة و سبعين سوطا، رجلا كان أو امرأة، حرا أو عبد ا، مسلما أو ذميا، و يحلق رأس الرجل، و يشهر في المصر، و لا يفعل ذلك بالمرأة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 ثانية جلد و نفي عن المصر، كل ذلك بدليل إجماع الطائفة،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عاد ثالثة جلد، فإن عاد رابعة، عرضت عليه التوبة، فإن أبى قتل، و إن أجاب قبلت توبته، و جلد، فإن عاد خامسة بعد التوبة، قتل من غير أن يستتاب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اين با مطلبي كه در روايت آمده تفاوت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لابن البراج،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الحد في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إنسان بين الرجال و النساء، أو الرجال و الغلمان للفجور، كان عليه خمس و سبعون جلدة ـ و ذلك ثلاثة أرباع حد الزاني ـ و يحلق رأسه، و يشهر في البلد الذي يفعل ذلك فيه، و ينفى منه الى بلد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حلّى، نجم الدين جعفر بن حسن، نكت النهاية،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الحد في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النِّساء و الرجال و الرجال و الغلمان للفجور إذا شهد عليه شاهدان، أو أقرَّ على نفسه بذلك، يجب عليه ثلاثة أرباع حد الزَّاني خمسة و سبعون جلدة، و يحلَّق رأسه و يشهر في البلد، ثمَّ ينفي عن البلد الَّذي فعل ذلك فيه إلى غيره من 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سعيد حلّي، الجامع للشرائع، ص</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 الجامع بين الرجال و النساء، و النساء و الرجال، و الغلمان للفجور، خمسا و سبعين جلدة، رجلا كان أو امرأة، عبدا أو حرا، مسلما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يحلق رأسه و يشهر و ينفى عن البلد الى غيره، و على المرأة مثله الا انها لا تحلق و لا تشهر و لا تنفى و يثبت ذلك بالإقرار، أو 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الواصلة و المؤتصلة الملعونتان الزانية شابة و القوادة عجوزا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علامه‌ي حلّى، حسن بن يوسف بن مطهر اسدى، إرشاد الأذهان إلى أحكام الإيمان،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يجلد القواد ـ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الرجال أمثالهم للّواط، و بينهم و بين النساء للزنا ـ خمسا و سبعين جلدة، و يحلق رأسه و يشهر و ينفى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نمي‌توانيم بگوييم مستند فقهاء در حكم به </w:t>
      </w:r>
      <w:r>
        <w:rPr>
          <w:rFonts w:eastAsia="IRNazanin" w:cs="IRNazanin"/>
          <w:color w:val="111111"/>
          <w:sz w:val="28"/>
          <w:szCs w:val="28"/>
          <w:lang w:bidi="fa-IR"/>
        </w:rPr>
        <w:t>75</w:t>
      </w:r>
      <w:bookmarkStart w:id="364" w:name="pg2375_19739"/>
    </w:p>
    <w:p>
      <w:pPr>
        <w:pStyle w:val="BookText"/>
        <w:rPr/>
      </w:pPr>
      <w:bookmarkEnd w:id="364"/>
      <w:r>
        <w:rPr>
          <w:rFonts w:ascii="Amiri" w:hAnsi="Amiri" w:eastAsia="Amiri" w:cs="Amiri"/>
          <w:color w:val="111111"/>
          <w:sz w:val="28"/>
          <w:sz w:val="28"/>
          <w:szCs w:val="28"/>
          <w:rtl w:val="true"/>
          <w:lang w:bidi="ar-SA"/>
        </w:rPr>
        <w:t>ضربه‌ي شلاق براي حدّ قوّاد فقط اين روايت بوده، بنابراين نمي‌تواند حجّت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نتيجه اين شد اين دو روايتي كه مرحوم شيخ به عنوان ادلّه‌ي حرمت قيادت ذكر كرده‌اند، از لحاظ سند ناتمام است و نمي‌تواند مستند حرمت قيادت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براي اثبات حرمت قيادت به ادلّه‌ي ذيل استناد شود</w:t>
      </w:r>
      <w:r>
        <w:rPr>
          <w:rFonts w:eastAsia="IRNazanin" w:cs="IRNazanin"/>
          <w:color w:val="111111"/>
          <w:sz w:val="28"/>
          <w:szCs w:val="28"/>
          <w:rtl w:val="true"/>
          <w:lang w:bidi="fa-IR"/>
        </w:rPr>
        <w:t>:</w:t>
      </w:r>
    </w:p>
    <w:p>
      <w:pPr>
        <w:pStyle w:val="Heading4"/>
        <w:numPr>
          <w:ilvl w:val="3"/>
          <w:numId w:val="1"/>
        </w:numPr>
        <w:rPr/>
      </w:pPr>
      <w:bookmarkStart w:id="365" w:name="__RefHeading___Toc2903133_3804643083"/>
      <w:bookmarkStart w:id="366" w:name="_Toc137"/>
      <w:bookmarkEnd w:id="365"/>
      <w:r>
        <w:rPr>
          <w:rtl w:val="true"/>
        </w:rPr>
        <w:t>ادلّه‌ي مختار بر اثبات حرمت قيادت</w:t>
      </w:r>
      <w:bookmarkEnd w:id="366"/>
    </w:p>
    <w:p>
      <w:pPr>
        <w:pStyle w:val="Heading5"/>
        <w:numPr>
          <w:ilvl w:val="4"/>
          <w:numId w:val="1"/>
        </w:numPr>
        <w:rPr/>
      </w:pPr>
      <w:bookmarkStart w:id="367" w:name="__RefHeading___Toc2903135_3804643083"/>
      <w:bookmarkStart w:id="368" w:name="_Toc138"/>
      <w:bookmarkEnd w:id="367"/>
      <w:r>
        <w:rPr/>
        <w:t>1</w:t>
      </w:r>
      <w:r>
        <w:rPr>
          <w:rtl w:val="true"/>
        </w:rPr>
        <w:t xml:space="preserve">. </w:t>
      </w:r>
      <w:r>
        <w:rPr>
          <w:rtl w:val="true"/>
        </w:rPr>
        <w:t>مصداق تشويق بر حرام</w:t>
      </w:r>
      <w:bookmarkEnd w:id="368"/>
    </w:p>
    <w:p>
      <w:pPr>
        <w:pStyle w:val="BookText"/>
        <w:rPr/>
      </w:pPr>
      <w:r>
        <w:rPr>
          <w:rFonts w:ascii="IRNazanin" w:hAnsi="IRNazanin" w:eastAsia="IRNazanin"/>
          <w:color w:val="111111"/>
          <w:sz w:val="28"/>
          <w:sz w:val="28"/>
          <w:szCs w:val="28"/>
          <w:rtl w:val="true"/>
          <w:lang w:bidi="fa-IR"/>
        </w:rPr>
        <w:t>نهي و دفع منكر بر همه واجب است و در مقابل، امر و تشويق به گناه و يا حتّي رضايت به منكر حرام است و در روايات متعددي اين مضمون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الرَّاضِي بِفِعْلِ قَوْمٍ كَالدَّاخِلِ مَعَهُمْ فِيهِ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الرَّضِيُّ فِي نَهْجِ الْبَلَاغَةِ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بِفِعْلِ قَوْمٍ كَالدَّاخِلِ مَعَهُمْ فِيهِ وَ عَلَى كُلِّ دَاخِلٍ فِي بَاطِلٍ إِثْمَانِ إِثْمُ الْعَمَلِ بِهِ وَ إِثْمُ الرِّضَا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عَنْ مُحَمَّدِ بْنِ الْحَسَنِ عَنِ الصَّفَّارِ عَنِ الْعَبَّاسِ بْنِ مَعْرُوفٍ عَنْ مُحَمَّدِ بْنِ سِنَانٍ عَنْ طَلْحَةَ بْنِ زَيْدٍ عَنْ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الرَّاضِي بِهِ وَ الْمُعِينُ عَلَيْهِ شُرَكَاءُ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أَبِي عَبْدِ اللَّهِ الْبَرْقِيُّ فِي الْمَحَاسِنِ عَنْ مُحَمَّدِ بْنِ مُسْلِمٍ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 النَّاسَ الرِّضَا وَ السَّخَطُ فَمَنْ رَضِيَ أَمْراً فَقَدْ دَخَلَ فِيهِ وَ مَنْ سَخِطَهُ فَقَدْ خَرَجَ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باب</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مَاجِيلَوَيْهِ عَنْ عَلِيِّ بْنِ إِبْرَاهِيمَ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النَّوْفَلِيِّ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بِمَعْرُوفٍ أَوْ نَهَى عَنْ مُنْكَرٍ أَوْ دَلَّ عَلَى خَيْرٍ أَوْ أَشَارَ بِهِ فَهُوَ شَرِيكٌ وَ مَنْ أَمَرَ بِسُوءٍ أَوْ دَلَّ عَلَيْهِ أَوْ أَشَارَ بِهِ فَهُوَ شَرِيكٌ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جايي كه قيادت هم تشويق به گناه</w:t>
      </w:r>
      <w:bookmarkStart w:id="369" w:name="pg2375_19740"/>
    </w:p>
    <w:p>
      <w:pPr>
        <w:pStyle w:val="BookText"/>
        <w:rPr/>
      </w:pPr>
      <w:bookmarkEnd w:id="369"/>
      <w:r>
        <w:rPr>
          <w:rFonts w:ascii="IRNazanin" w:hAnsi="IRNazanin" w:eastAsia="IRNazanin"/>
          <w:color w:val="111111"/>
          <w:sz w:val="28"/>
          <w:sz w:val="28"/>
          <w:szCs w:val="28"/>
          <w:rtl w:val="true"/>
          <w:lang w:bidi="fa-IR"/>
        </w:rPr>
        <w:t>و زمينه سازي براي گناه است، حرام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دليل اثبات نمي‌كند كه قيادت بعنوانه حرام است، بلكه چون مصداق تشويق و رضايت به حرام است، حرام مي‌باشد</w:t>
      </w:r>
      <w:r>
        <w:rPr>
          <w:rFonts w:eastAsia="IRNazanin" w:cs="IRNazanin"/>
          <w:color w:val="111111"/>
          <w:sz w:val="28"/>
          <w:szCs w:val="28"/>
          <w:rtl w:val="true"/>
          <w:lang w:bidi="fa-IR"/>
        </w:rPr>
        <w:t>.</w:t>
      </w:r>
    </w:p>
    <w:p>
      <w:pPr>
        <w:pStyle w:val="Heading5"/>
        <w:numPr>
          <w:ilvl w:val="4"/>
          <w:numId w:val="1"/>
        </w:numPr>
        <w:rPr/>
      </w:pPr>
      <w:bookmarkStart w:id="370" w:name="__RefHeading___Toc2903137_3804643083"/>
      <w:bookmarkStart w:id="371" w:name="_Toc139"/>
      <w:bookmarkEnd w:id="370"/>
      <w:r>
        <w:rPr/>
        <w:t>2</w:t>
      </w:r>
      <w:r>
        <w:rPr>
          <w:rtl w:val="true"/>
        </w:rPr>
        <w:t xml:space="preserve">. </w:t>
      </w:r>
      <w:r>
        <w:rPr>
          <w:rtl w:val="true"/>
        </w:rPr>
        <w:t>اجماع</w:t>
      </w:r>
      <w:bookmarkEnd w:id="371"/>
    </w:p>
    <w:p>
      <w:pPr>
        <w:pStyle w:val="BookText"/>
        <w:rPr/>
      </w:pPr>
      <w:r>
        <w:rPr>
          <w:rFonts w:ascii="IRNazanin" w:hAnsi="IRNazanin" w:eastAsia="IRNazanin"/>
          <w:color w:val="111111"/>
          <w:sz w:val="28"/>
          <w:sz w:val="28"/>
          <w:szCs w:val="28"/>
          <w:rtl w:val="true"/>
          <w:lang w:bidi="fa-IR"/>
        </w:rPr>
        <w:t>اجماع قائم است بر اين‌كه قيادت بعنوانه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اجماع و به ضميمه‌ي روايات دالّ بر حرمت قيادت مي‌توانيم اطمينان به حرمت قيادت بعنوانه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اجماع مي‌توانيم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بودن حدّ قوّاد را هم اثبات كنيم و حتّي كساني هم كه معمولاً در اجماعات تشكيك مي‌كنند، در اين‌جا اجماع را پذيرفته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دليل عليه الا الاجماع</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القيادة فهي الجمع بين الرجال و النساء للزنا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فيه خمس و سبعون جلدة بلا خلاف أجده بل عليه الإجماع في الانتصار و الغنية و المسالك و به صريح الرواية الآتية و ليس فيها ما قيل من أنه يحلق مع ذلك رأسه و يشهر في البلد لكنه مشهور بين الأصحاب مدعى عليه في الانتصار و الغنية الإجماع و هو كاف في الثبوت سيما مع الاعتضاد بفتوى المشهور سيما مثل الحلي الذي لا يعمل بالآحاد مع أنه لا مخالف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ثبوته يجب على القواد خمس و سبعون جلدة ثلاثة أرباع حد الزاني رجلا كان أو امرأة بلا خلاف أجده فيه، بل في المسالك و محكي الانتصار و الغنية الإجماع عليه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اجماع نبود، نمي‌توانستيم بپذيريم كه قوّاد حدّ دارد و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است، بلكه فقط مي‌توانستيم بگوييم تعزير دارد كه در آن صورت بايد دوباره بحث شود كه آيا تعزير مي‌تواند 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باشد؛ زيرا در حداقل و حداكثر تعزير كلام است كه ـ إن شاء الله ـ در جاي خود متعرض خواهيم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اجماع مدركي است و مدرك آن همين روايت عبدالله بن سنان است يا حداقل محتمل المدرك است، بنابراين ارزشي ندارد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نجاشي و شيخ، محمد بن سليمان الديلمي را تضعيف كرده‌اند، با اين حال شيخ فتوا به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بودن حدّ قوّاد داده، و به نحوي كه در روايت آمده فتوا به نفي از بلد نداده است</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ساير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فقهاء هم كه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بودن حدّ قوّاد فتوا داده‌اند، به نفي از بلد فتوا نداده‌اند، پس معلوم مي‌شود اصل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بودن حدّ قوّاد بين فقهاء مسلّم بوده و مستندشان روايت عبدالله بن سنان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Style w:val="FootnoteAnchor"/>
          <w:rtl w:val="true"/>
        </w:rPr>
        <w:footnoteReference w:id="245"/>
      </w:r>
      <w:bookmarkStart w:id="372" w:name="pg2375_19744"/>
    </w:p>
    <w:p>
      <w:pPr>
        <w:pStyle w:val="Heading2"/>
        <w:numPr>
          <w:ilvl w:val="1"/>
          <w:numId w:val="1"/>
        </w:numPr>
        <w:rPr/>
      </w:pPr>
      <w:bookmarkStart w:id="373" w:name="__RefHeading___Toc2903139_3804643083"/>
      <w:bookmarkStart w:id="374" w:name="_Toc140"/>
      <w:bookmarkEnd w:id="372"/>
      <w:bookmarkEnd w:id="373"/>
      <w:r>
        <w:rPr>
          <w:rtl w:val="true"/>
        </w:rPr>
        <w:t>قيافه</w:t>
      </w:r>
      <w:bookmarkEnd w:id="37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2903141_3804643083"/>
      <w:bookmarkStart w:id="376" w:name="_Toc141"/>
      <w:bookmarkEnd w:id="375"/>
      <w:r>
        <w:rPr>
          <w:rtl w:val="true"/>
        </w:rPr>
        <w:t>اشاره</w:t>
      </w:r>
      <w:bookmarkStart w:id="377" w:name="pg2375_19746"/>
      <w:bookmarkEnd w:id="376"/>
    </w:p>
    <w:p>
      <w:pPr>
        <w:pStyle w:val="Heading3"/>
        <w:numPr>
          <w:ilvl w:val="2"/>
          <w:numId w:val="1"/>
        </w:numPr>
        <w:rPr/>
      </w:pPr>
      <w:bookmarkStart w:id="378" w:name="__RefHeading___Toc2903143_3804643083"/>
      <w:bookmarkStart w:id="379" w:name="_Toc142"/>
      <w:bookmarkEnd w:id="377"/>
      <w:bookmarkEnd w:id="378"/>
      <w:r>
        <w:rPr>
          <w:rtl w:val="true"/>
        </w:rPr>
        <w:t>المسألة السابعة عشر</w:t>
      </w:r>
      <w:r>
        <w:rPr>
          <w:rtl w:val="true"/>
        </w:rPr>
        <w:t xml:space="preserve">: </w:t>
      </w:r>
      <w:r>
        <w:rPr>
          <w:rtl w:val="true"/>
        </w:rPr>
        <w:t>حرمة القيافة</w:t>
      </w:r>
      <w:bookmarkEnd w:id="379"/>
    </w:p>
    <w:p>
      <w:pPr>
        <w:pStyle w:val="Heading4"/>
        <w:numPr>
          <w:ilvl w:val="3"/>
          <w:numId w:val="1"/>
        </w:numPr>
        <w:rPr/>
      </w:pPr>
      <w:bookmarkStart w:id="380" w:name="__RefHeading___Toc2903145_3804643083"/>
      <w:bookmarkStart w:id="381" w:name="_Toc143"/>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القيافة حرام في الجملة، نسبه في الحدائق إلى الأصحاب،</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القيافة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ما ذكره من المسالك الاستناد الى علامات و مقادير يترتب عليها إلحاق بعض الناس ببعض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تحرم إذا جزم به أو رتب عليه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المقدس الأردبيلي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دليل التحريم الإجماع المذكور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خلافاً،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أعلم خلافاً بينهم أيضاً في تحريم القيافة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الاستناد إلى علامات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الأقرب الجواز، لظاهر بعض الروايات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ابن طاوس رسالة أكثر فيها من الاستشهاد على صحّته و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الشعبذة حرام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القيافة و كلّ ما يشاركها في هذا الباب من النارنجيّات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السيمياء و غيرها</w:t>
      </w:r>
      <w:r>
        <w:rPr>
          <w:rFonts w:eastAsia="Amiri" w:cs="Amiri" w:ascii="Amiri" w:hAnsi="Amiri"/>
          <w:color w:val="111111"/>
          <w:sz w:val="28"/>
          <w:szCs w:val="28"/>
          <w:rtl w:val="true"/>
          <w:lang w:bidi="ar-SA"/>
        </w:rPr>
        <w:t>.</w:t>
      </w:r>
      <w:bookmarkStart w:id="382" w:name="pg2375_19747"/>
    </w:p>
    <w:p>
      <w:pPr>
        <w:pStyle w:val="BookText"/>
        <w:rPr/>
      </w:pPr>
      <w:bookmarkEnd w:id="382"/>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قيافة في‌الجمله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حرمت قيافة را به اصحاب نسبت داده و در كفايه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منتهي هم ادعاي اجماع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عده‌اي از اصحاب حرمت قيافة را مقيّد به قيدي كرده‌اند و به همين خاطر مرحوم شيخ مي‌فرمايد في‌الجمله حرام است و ما اين قيد را بعد از اين‌كه روايات اين بحث را ذكر كرديم، مطرح مي‌كنيم</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2903147_3804643083"/>
      <w:bookmarkStart w:id="384" w:name="_Toc144"/>
      <w:bookmarkEnd w:id="383"/>
      <w:r>
        <w:rPr>
          <w:rtl w:val="true"/>
        </w:rPr>
        <w:t>تعريف قيافه</w:t>
      </w:r>
      <w:bookmarkEnd w:id="384"/>
    </w:p>
    <w:p>
      <w:pPr>
        <w:pStyle w:val="BookText"/>
        <w:rPr/>
      </w:pPr>
      <w:r>
        <w:rPr>
          <w:rFonts w:ascii="IRNazanin" w:hAnsi="IRNazanin" w:eastAsia="IRNazanin"/>
          <w:color w:val="111111"/>
          <w:sz w:val="28"/>
          <w:sz w:val="28"/>
          <w:szCs w:val="28"/>
          <w:rtl w:val="true"/>
          <w:lang w:bidi="fa-IR"/>
        </w:rPr>
        <w:t xml:space="preserve">قيافة از ماده‌ي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تتبع و دنبال كردن آثار يك شيئ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لغت چنين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يعرف الآثار</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الآثار، و الجمع 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قُفْت أَثره إذا اتَّبعْته مثل قَفَوْت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القَائِف الذي يتَتبع الآثار و يعرفها و يعرف شبَه الرجل بأَخيه 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يقُوف الأَثر و يَقْتَافُه قِيَافَة مثل قفا الأَثر و اقتفاه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 الأَثر قِيَافَة و اقْتَافَه اقْتِيَافاً و قَافَه يَقُوفُه قَوْفاً و تَقَوَّفُه تتَبَّعه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 الأثر،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يتتبّع الآثار و يعرفها، و يعرف شبه الرجل بأخيه و أبيه،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يَقُوف الأثر و يَقْتَافُه قِيافةً،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الأثر و اقتفاه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دنبال آثار مي‌گردد،</w:t>
      </w:r>
      <w:bookmarkStart w:id="385" w:name="pg2375_19748"/>
    </w:p>
    <w:p>
      <w:pPr>
        <w:pStyle w:val="BookText"/>
        <w:rPr/>
      </w:pPr>
      <w:bookmarkEnd w:id="385"/>
      <w:r>
        <w:rPr>
          <w:rFonts w:ascii="IRNazanin" w:hAnsi="IRNazanin" w:eastAsia="IRNazanin"/>
          <w:color w:val="111111"/>
          <w:sz w:val="28"/>
          <w:sz w:val="28"/>
          <w:szCs w:val="28"/>
          <w:rtl w:val="true"/>
          <w:lang w:bidi="fa-IR"/>
        </w:rPr>
        <w:t>مثلاً با دنبال كردن ردّ پاي كسي كه آن ردّ پا را مي‌شناسد مي‌تواند بفهمد كجا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معنا گسترش يافته و در انساب هم به كار رفته است؛ يعني قائف با فراست خود، نسب فرزندي را معين مي‌كند كه مثلاً پدر او چه كسي است يا عمو، دايي، خاله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مشخص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قيافه در اين‌جا؛ يعني شخصي با قيافه و نگاه كردن به آثار كسي و مقايسه‌ي آن با ديگران، نسب او را به دست بياورد</w:t>
      </w:r>
      <w:r>
        <w:rPr>
          <w:rFonts w:eastAsia="IRNazanin" w:cs="IRNazanin"/>
          <w:color w:val="111111"/>
          <w:sz w:val="28"/>
          <w:szCs w:val="28"/>
          <w:rtl w:val="true"/>
          <w:lang w:bidi="fa-IR"/>
        </w:rPr>
        <w:t>.</w:t>
      </w:r>
    </w:p>
    <w:p>
      <w:pPr>
        <w:pStyle w:val="Heading4"/>
        <w:numPr>
          <w:ilvl w:val="3"/>
          <w:numId w:val="1"/>
        </w:numPr>
        <w:rPr/>
      </w:pPr>
      <w:bookmarkStart w:id="386" w:name="__RefHeading___Toc2903149_3804643083"/>
      <w:bookmarkStart w:id="387" w:name="_Toc145"/>
      <w:bookmarkEnd w:id="386"/>
      <w:r>
        <w:rPr>
          <w:rtl w:val="true"/>
        </w:rPr>
        <w:t>ادلّه‌ي حرمت قيافه</w:t>
      </w:r>
      <w:bookmarkEnd w:id="387"/>
    </w:p>
    <w:p>
      <w:pPr>
        <w:pStyle w:val="Heading5"/>
        <w:numPr>
          <w:ilvl w:val="4"/>
          <w:numId w:val="1"/>
        </w:numPr>
        <w:rPr/>
      </w:pPr>
      <w:bookmarkStart w:id="388" w:name="__RefHeading___Toc2903151_3804643083"/>
      <w:bookmarkStart w:id="389" w:name="_Toc146"/>
      <w:bookmarkEnd w:id="388"/>
      <w:r>
        <w:rPr/>
        <w:t>1</w:t>
      </w:r>
      <w:r>
        <w:rPr>
          <w:rtl w:val="true"/>
        </w:rPr>
        <w:t xml:space="preserve">. </w:t>
      </w:r>
      <w:r>
        <w:rPr>
          <w:rtl w:val="true"/>
        </w:rPr>
        <w:t>اجماع و لاخلاف</w:t>
      </w:r>
      <w:bookmarkEnd w:id="389"/>
    </w:p>
    <w:p>
      <w:pPr>
        <w:pStyle w:val="BookText"/>
        <w:rPr/>
      </w:pPr>
      <w:r>
        <w:rPr>
          <w:rFonts w:ascii="Amiri" w:hAnsi="Amiri" w:eastAsia="Amiri" w:cs="Amiri"/>
          <w:color w:val="111111"/>
          <w:sz w:val="28"/>
          <w:sz w:val="28"/>
          <w:szCs w:val="28"/>
          <w:rtl w:val="true"/>
          <w:lang w:bidi="ar-SA"/>
        </w:rPr>
        <w:t>عدّه‌اي به ادعاي اجماع و لاخلافي كه نقل شده اكتفاء كرده‌اند، در حالي كه معلوم است در اين‌جا اجماع وجود ندارد و نهايت همان لاخلاف است و لاخلاف هم نمي‌تواند مستند حكم باشد</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2903153_3804643083"/>
      <w:bookmarkStart w:id="391" w:name="_Toc147"/>
      <w:bookmarkEnd w:id="390"/>
      <w:r>
        <w:rPr/>
        <w:t>2</w:t>
      </w:r>
      <w:r>
        <w:rPr>
          <w:rtl w:val="true"/>
        </w:rPr>
        <w:t xml:space="preserve">. </w:t>
      </w:r>
      <w:r>
        <w:rPr>
          <w:rtl w:val="true"/>
        </w:rPr>
        <w:t>صحيحه‌ي محمد بن قيس</w:t>
      </w:r>
      <w:r>
        <w:rPr>
          <w:rtl w:val="true"/>
        </w:rPr>
        <w:t>:</w:t>
      </w:r>
      <w:bookmarkEnd w:id="39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قَيْسٍ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بِقَوْلِ عَرَّافٍ وَ لَا قَائِفٍ وَ لَا لِصٍّ وَ لَا أَقْبَلُ شَهَادَةَ الْفَاسِقِ إِلَّا عَلَى نَفْسِه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بررسي سند روايت</w:t>
      </w:r>
    </w:p>
    <w:p>
      <w:pPr>
        <w:pStyle w:val="BookText"/>
        <w:rPr/>
      </w:pPr>
      <w:r>
        <w:rPr>
          <w:rFonts w:ascii="Amiri" w:hAnsi="Amiri" w:eastAsia="Amiri" w:cs="Amiri"/>
          <w:color w:val="111111"/>
          <w:sz w:val="28"/>
          <w:sz w:val="28"/>
          <w:szCs w:val="28"/>
          <w:rtl w:val="true"/>
          <w:lang w:bidi="ar-SA"/>
        </w:rPr>
        <w:t>مرحوم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 لايحضره الفقيه به كساني ابتداي سند كرده كه مستقيماً آن‌ها را درك نكرده است، واسطه‌هايي كه به اين افراد داشته را براي اختصار در مشيخه‌ي آخر كتاب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كساني كه به آن‌ها ابتداي سند كرده، محمد بن قيس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مشيخه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فيه عن محمّد بن قيس فقد رويته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إبراهيم بن هاشم عن عبد الرّحمن بن أبي نجران عن عاصم بن حميد عن محمّد بن قيس</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اين افراد همه ثقاتند و خود محمد بن قيس هم ثقه است، بنابراين اين روايت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قيس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قول 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كاهن يا منجم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قائف و دزد اخذ نمي‌كنم و شهادت فاسق را قبول نمي‌كنم، مگر اين‌كه عليه خودش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دلالت روايت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درباره‌ي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آخُذُ بِقَوْلِ عَرَّافٍ وَ لَا 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عرّاف و قائف از آن جهت كه فاسقند، شهادتشان پذيرفته نمي‌شود و اين‌كه حضرت در ادامه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أَقْبَلُ شَهَادَةَ الْفَاسِقِ إِلَّا عَلَى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ذكر عام بعد از خاص است و مانند آن است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نحوي را دوست دارم، فقيه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را دوست دارم؛ يعني كلاً عالم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احتمال استفاده مي‌شود قائف فعلش حرام است و ممكن است حتّي بالملازمه استفاده شود كه رفتن پيش او هم حرام باشد؛ زيرا رفتن پيش او تشويق به حرام است و موجب فسق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عرّاف و قائف از آن جهت كه كلامشان اعتبار ندارد و اثري بر آن مترتب نيست، پذيرفته نمي‌شود؛ يعني همان‌طور كه مثلاً شهادت نساء در مورد هلال پذيرفته نمي‌شود، هرچند اعدل عدول باشند، شهادت قائف هم در مورد قيافه پذيرفته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احتمال دوم، ديگر اين روايت دالّ بر حرمت قيافه نيست و فقط دالّ بر عدم حجّيت قول قائف در مورد صنعت قيافه است، امّا در موارد ديگر اگر عادل باشد منافاتي ندارد كه پذيرفته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قرينه وجود دارد كه احتمال دوم مراد است؛ زيرا حضرت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آخُذُ بِقَوْلِ عَرَّافٍ وَ لَا 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bookmarkStart w:id="392" w:name="pg2375_19751"/>
    </w:p>
    <w:p>
      <w:pPr>
        <w:pStyle w:val="BookText"/>
        <w:rPr/>
      </w:pPr>
      <w:bookmarkEnd w:id="392"/>
      <w:r>
        <w:rPr>
          <w:rFonts w:ascii="Amiri" w:hAnsi="Amiri" w:eastAsia="Amiri" w:cs="Amiri"/>
          <w:color w:val="111111"/>
          <w:sz w:val="28"/>
          <w:sz w:val="28"/>
          <w:szCs w:val="28"/>
          <w:rtl w:val="true"/>
          <w:lang w:bidi="ar-SA"/>
        </w:rPr>
        <w:t>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مي‌كنند، ولي در مورد شهادت فاسق تعبير را عوض مي‌كنند و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أَقْبَلُ شَهَادَةَ الْفَاسِقِ إِلَّا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هم احتمال دوم اظهر نباشد، مردد بين اين دو احتمال مي‌شود، لامحاله به قدر متيقن اخذ مي‌شود و قدر متيقن، آن است كه كلامش در مورد قيافه پذيرفته نمي‌شود، ولي فسق او اثبات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با اين روايت، حرمت قيافه ثابت نمي‌شود</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2903155_3804643083"/>
      <w:bookmarkStart w:id="394" w:name="_Toc148"/>
      <w:bookmarkEnd w:id="393"/>
      <w:r>
        <w:rPr/>
        <w:t>3</w:t>
      </w:r>
      <w:r>
        <w:rPr>
          <w:rtl w:val="true"/>
        </w:rPr>
        <w:t xml:space="preserve">. </w:t>
      </w:r>
      <w:r>
        <w:rPr>
          <w:rtl w:val="true"/>
        </w:rPr>
        <w:t>روايت أَبي بصير</w:t>
      </w:r>
      <w:r>
        <w:rPr>
          <w:rtl w:val="true"/>
        </w:rPr>
        <w:t>:</w:t>
      </w:r>
      <w:bookmarkEnd w:id="394"/>
    </w:p>
    <w:p>
      <w:pPr>
        <w:pStyle w:val="BookText"/>
        <w:rPr/>
      </w:pPr>
      <w:r>
        <w:rPr>
          <w:rFonts w:ascii="Amiri" w:hAnsi="Amiri" w:eastAsia="Amiri" w:cs="Amiri"/>
          <w:color w:val="111111"/>
          <w:sz w:val="28"/>
          <w:sz w:val="28"/>
          <w:szCs w:val="28"/>
          <w:rtl w:val="true"/>
          <w:lang w:bidi="ar-SA"/>
        </w:rPr>
        <w:t>حَدَّثَنَا أَبِي رَضِيَ اللَّهُ عَنْهُ قَالَ حَدَّثَنَا سَعْدُ بْنُ عَبْدِ اللَّهِ عَنْ يَعْقُوبَ بْنِ يَزِيدَ عَنْ مُحَمَّدِ بْنِ أَبِي عُمَيْرٍ عَنْ عَلِيِّ بْنِ أَبِي حَمْزَةَ عَنْ أَبِي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تَكَهَّنَ أَوْ تُكُهِّنَ لَهُ فَقَدْ بَرِئَ مِنْ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تَأْتِيَهُمْ وَ قَلَّ مَا يَقُولُونَ شَيْئاً إِلَّا كَانَ قَرِيباً مِمَّا يَقُولُونَ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الْقِيَافَةُ فَضْلَةٌ مِنَ النُّبُوَّةِ ذَهَبَتْ فِي النَّاسِ</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اين روايت از لحاظ سند به خاطر علي بن أبي حمزه بطائني</w:t>
      </w:r>
      <w:r>
        <w:rPr>
          <w:rStyle w:val="FootnoteAnchor"/>
          <w:rtl w:val="true"/>
        </w:rPr>
        <w:footnoteReference w:id="25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مَسْعُودٍ، سَمِعْتُ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حَمْزَةَ كَذَّابٌ مَلْعُونٌ، قَدْ رَوَيْتُ عَنْهُ أَحَادِيثَ كَثِيرَةً، وَ كَتَبْتُ تَفْسِيرَ الْقُرْآنِ كُلَّهُ مِنْ أَوَّلِهِ إِلَى آخِرِهِ، إِلَّا أَنِّي لَا أَسْتَحِلُّ أَنْ أَرْوِيَ عَنْهُ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كذّاب و ملعون،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كهانت كند يا براي او كهانت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نزد كاهن مي‌رود تا براي او كهانت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دين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پس قيافه چي؟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كه پيش قيافه شناس بروي و كم است چيزي كه مي‌گويند إلا آن‌كه قريب به آن‌چه كه مي‌گويند مي‌باشد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سرريزي از نبوت است كه در ميان مردم رفته است</w:t>
      </w:r>
      <w:r>
        <w:rPr>
          <w:rFonts w:eastAsia="IRNazanin" w:cs="IRNazanin"/>
          <w:color w:val="111111"/>
          <w:sz w:val="28"/>
          <w:szCs w:val="28"/>
          <w:rtl w:val="true"/>
          <w:lang w:bidi="fa-IR"/>
        </w:rPr>
        <w:t>.</w:t>
      </w:r>
      <w:r>
        <w:rPr>
          <w:rStyle w:val="FootnoteAnchor"/>
          <w:rtl w:val="true"/>
        </w:rPr>
        <w:footnoteReference w:id="25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دلالت بر حرمت ندارد؛ زيرا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حرمت و هم در كراهت استعمال مي‌شود و اعم از حرمت و كراهت است و استفاده‌ي حرمت از آن نياز به قرينه دارد، بنابراين بيشتر از كراهت نمي‌توانيم ملتزم شويم، خصوصاً با توجه به عبارت صدر روايت كه كهانت را مساوي برائت از دين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مي‌داند، امّا لحن روايت نسبت به قيافه عوض مي‌شود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مي‌شود، در حالي كه اگر قيافه مثل كهانت حرام بود، بايد به يك سياق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نسخه‌ي ديگري در وسائل دارد كه باز از خصال نقل كرده، ولي مقداري با نسخه‌ي خصال و بحار متفاوت است، نسخه‌ي وسائل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عَنْ أَبِيهِ عَنْ سَعْدِ بْنِ عَبْدِ اللَّهِ عَنْ يَعْقُوبَ بْنِ يَزِيدَ عَنْ مُحَمَّدِ بْنِ أَبِي عُمَيْرٍ عَنْ عَلِيِّ بْنِ أَبِي حَمْزَةَ عَنْ أَبِي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تَكَهَّنَ أَوْ تُكُهِّنَ لَهُ فَقَدْ بَرِئَ مِنْ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فَالْقِيَافَةُ؟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تَأْتِيَهُمْ وَ قِيلَ مَا يَقُولُونَ شَيْئاً إِلَّا كَانَ قَرِيباً مِمَّا يَقُولُونَ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الْقِيَافَةُ فَضْلَةٌ مِنَ النُّبُوَّةِ ذَهَبَتْ فِي النَّاسِ حِينَ بُعِثَ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نسخه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مَا يَقُولُونَ شَيْئاً إِلَّا كَانَ قَرِيباً مِمَّا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حالي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بعيد است و به نظر مي‌آيد اين نسخه غلط باشد، هم‌چنين ذيل روايت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الْقِيَافَةُ فَضْلَةٌ مِنَ النُّبُوَّةِ ذَهَبَتْ فِي النَّاسِ حِينَ بُعِثَ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395" w:name="pg2375_19754"/>
    </w:p>
    <w:p>
      <w:pPr>
        <w:pStyle w:val="BookText"/>
        <w:rPr/>
      </w:pPr>
      <w:bookmarkEnd w:id="395"/>
      <w:r>
        <w:rPr>
          <w:rFonts w:ascii="IRNazanin" w:hAnsi="IRNazanin" w:eastAsia="IRNazanin"/>
          <w:color w:val="111111"/>
          <w:sz w:val="28"/>
          <w:sz w:val="28"/>
          <w:szCs w:val="28"/>
          <w:rtl w:val="true"/>
          <w:lang w:bidi="fa-IR"/>
        </w:rPr>
        <w:t>مطلب كه علم قيافه در حين بعثت پيامبر نزد مردم رفته، در روايات نامعهود و نامأنوس است</w:t>
      </w:r>
      <w:r>
        <w:rPr>
          <w:rFonts w:eastAsia="IRNazanin" w:cs="IRNazanin"/>
          <w:color w:val="111111"/>
          <w:sz w:val="28"/>
          <w:szCs w:val="28"/>
          <w:rtl w:val="true"/>
          <w:lang w:bidi="fa-IR"/>
        </w:rPr>
        <w:t>.</w:t>
      </w:r>
    </w:p>
    <w:p>
      <w:pPr>
        <w:pStyle w:val="Heading5"/>
        <w:numPr>
          <w:ilvl w:val="4"/>
          <w:numId w:val="1"/>
        </w:numPr>
        <w:rPr/>
      </w:pPr>
      <w:bookmarkStart w:id="396" w:name="__RefHeading___Toc2903157_3804643083"/>
      <w:bookmarkStart w:id="397" w:name="_Toc149"/>
      <w:bookmarkEnd w:id="396"/>
      <w:r>
        <w:rPr/>
        <w:t>4</w:t>
      </w:r>
      <w:r>
        <w:rPr>
          <w:rtl w:val="true"/>
        </w:rPr>
        <w:t xml:space="preserve">. </w:t>
      </w:r>
      <w:r>
        <w:rPr>
          <w:rtl w:val="true"/>
        </w:rPr>
        <w:t>روايت نبوي</w:t>
      </w:r>
      <w:r>
        <w:rPr>
          <w:rtl w:val="true"/>
        </w:rPr>
        <w:t xml:space="preserve">- </w:t>
      </w:r>
      <w:r>
        <w:rPr>
          <w:rtl w:val="true"/>
        </w:rPr>
        <w:t xml:space="preserve">صلي الله عليه و آله و سلم </w:t>
      </w:r>
      <w:r>
        <w:rPr>
          <w:rtl w:val="true"/>
        </w:rPr>
        <w:t>-:</w:t>
      </w:r>
      <w:bookmarkEnd w:id="397"/>
    </w:p>
    <w:p>
      <w:pPr>
        <w:pStyle w:val="BookText"/>
        <w:rPr/>
      </w:pPr>
      <w:r>
        <w:rPr>
          <w:rFonts w:ascii="Amiri" w:hAnsi="Amiri" w:eastAsia="Amiri" w:cs="Amiri"/>
          <w:color w:val="111111"/>
          <w:sz w:val="28"/>
          <w:sz w:val="28"/>
          <w:szCs w:val="28"/>
          <w:rtl w:val="true"/>
          <w:lang w:bidi="ar-SA"/>
        </w:rPr>
        <w:t>رُوِيَ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السِّحْرِ وَ الْكِهَانَةِ وَ الْقِيَافَةِ وَ التَّمَائِمِ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از نبي مكرّم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حضرت از سحر، كهانت، قيافه و تميمه‌ها</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التَّمَائِم جمع تَمِيمَة، و هى خرزات كانت العرب تعلّقها على أولادهم يتّقون بها العين في زعمهم، فأبطلها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التَّمائمُ واحدتُها تَمِيمةٌ، و هي خَرزات كان الأَعرابُ يعلِّقونها على أَولادِهم يَنْفون بها النفْس و العَين بزَعْمهم، فأَبطله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 كردند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اين روايت بر حرمت واضح است؛ چون نهي ظهور در حرمت دارد و همان‌طور كه سحر و كهانت حرام است، قيافه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روايت از لحاظ سند ناتمام است</w:t>
      </w:r>
      <w:r>
        <w:rPr>
          <w:rFonts w:eastAsia="IRNazanin" w:cs="IRNazanin"/>
          <w:color w:val="111111"/>
          <w:sz w:val="28"/>
          <w:szCs w:val="28"/>
          <w:rtl w:val="true"/>
          <w:lang w:bidi="fa-IR"/>
        </w:rPr>
        <w:t>.</w:t>
      </w:r>
      <w:bookmarkStart w:id="398" w:name="pg2375_19755"/>
    </w:p>
    <w:p>
      <w:pPr>
        <w:pStyle w:val="Heading5"/>
        <w:numPr>
          <w:ilvl w:val="4"/>
          <w:numId w:val="1"/>
        </w:numPr>
        <w:rPr/>
      </w:pPr>
      <w:bookmarkStart w:id="399" w:name="__RefHeading___Toc2903159_3804643083"/>
      <w:bookmarkStart w:id="400" w:name="_Toc150"/>
      <w:bookmarkEnd w:id="398"/>
      <w:bookmarkEnd w:id="399"/>
      <w:r>
        <w:rPr/>
        <w:t>5</w:t>
      </w:r>
      <w:r>
        <w:rPr>
          <w:rtl w:val="true"/>
        </w:rPr>
        <w:t xml:space="preserve">. </w:t>
      </w:r>
      <w:r>
        <w:rPr>
          <w:rtl w:val="true"/>
        </w:rPr>
        <w:t>روايتي از عامه در شرح نهج البلاغه‌ي ابن أبي الحديد</w:t>
      </w:r>
      <w:r>
        <w:rPr>
          <w:rtl w:val="true"/>
        </w:rPr>
        <w:t>:</w:t>
      </w:r>
      <w:bookmarkEnd w:id="400"/>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القيافة و الطرق و الطيرة من الخبث</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از نبي مكرم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قيافه و طَرْق</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بالأصابع في الكهانة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بالحصى و هو ضرب من التَّكَهُّنِ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المتكهنات، طَرَقَ يَطْرُقُ 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الطَّرْقِ الضرب، و منه سميت مِطْرقَة الصائغ و الحدّاد لأَنه يَطْرقُ بها أَي يضرب بها، و كذلك عصا النَّجَّاد التي يضرب بها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بالأَصابع في الكهانة،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الطَّرْقُ أَن يخلط الكاهن القطنَ بالصوف فَيَتَكهَّن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و قد ذكرنا في تفسير الطَّرْقِ أَنه الضرب بالحصى، و قد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أَن يخط الرجل في الأَرض بإِصبعين ثم بإِصبع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عِيانْ، أَسْرِعا البيان؛ و هو مذكور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تيمَّنْتَ به أَو تَشاءَمْت، و أَصله في ذي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للشي‌ء يُتَطَيَّرُ به من الإِنسان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المصدرُ منه الطِّيَرَة؛ و جَرَى له الطائرُ بأَمرِ كذا؛ و جاء في الشر؛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إِنَّما طائِرُهُمْ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المعنى أَلا إِنَّما الشُّؤْم الذي يَلْحَقُهم هو الذي وُعِدُوا به في الآخرة لا ما يَنالُهم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الاسم الطيَرَةُ و الطِّيْرَةُ و الطُّورةُ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عند العرب الحَظُّ، و هو الذي تسميه العرب البَخْتَ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معناه عندهم العمَلُ، و طائرُ الإِنسانِ عَمَلُه الذي قُلِّدَه، و قيل رِزْقُه، و الطائرُ الحَظُّ من الخير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أَصله من الطَّيْرِ السانحِ و البارِحِ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إِنسانٍ أَلْزَمْناهُ طائِرَهُ فِي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حَظُّه، و قيل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 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تَطَيَّرْتُ من الشى‌ء و بالشى‌ء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منه الطِّيَرةُ مثال العِنَبَةِ، و هو ما يُتَشَاءَمُ به من الفأل الردى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خبائث است</w:t>
      </w:r>
      <w:r>
        <w:rPr>
          <w:rFonts w:eastAsia="IRNazanin" w:cs="IRNazanin"/>
          <w:color w:val="111111"/>
          <w:sz w:val="28"/>
          <w:szCs w:val="28"/>
          <w:rtl w:val="true"/>
          <w:lang w:bidi="fa-IR"/>
        </w:rPr>
        <w:t>.</w:t>
      </w:r>
      <w:bookmarkStart w:id="401" w:name="pg2375_19756"/>
    </w:p>
    <w:p>
      <w:pPr>
        <w:pStyle w:val="BookText"/>
        <w:rPr/>
      </w:pPr>
      <w:bookmarkEnd w:id="401"/>
      <w:r>
        <w:rPr>
          <w:rFonts w:ascii="Amiri" w:hAnsi="Amiri" w:eastAsia="Amiri" w:cs="Amiri"/>
          <w:color w:val="111111"/>
          <w:sz w:val="28"/>
          <w:sz w:val="28"/>
          <w:szCs w:val="28"/>
          <w:rtl w:val="true"/>
          <w:lang w:bidi="ar-SA"/>
        </w:rPr>
        <w:t xml:space="preserve">دلالت اين روايت بر حرمت، با ضميمه كردن آيه‌ي شريفه‌ي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&gt;</w:t>
      </w:r>
      <w:r>
        <w:rPr>
          <w:rStyle w:val="FootnoteAnchor"/>
          <w:rtl w:val="true"/>
        </w:rPr>
        <w:footnoteReference w:id="260"/>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pStyle w:val="Heading5"/>
        <w:numPr>
          <w:ilvl w:val="4"/>
          <w:numId w:val="1"/>
        </w:numPr>
        <w:rPr/>
      </w:pPr>
      <w:bookmarkStart w:id="402" w:name="__RefHeading___Toc2903161_3804643083"/>
      <w:bookmarkStart w:id="403" w:name="_Toc151"/>
      <w:bookmarkEnd w:id="402"/>
      <w:r>
        <w:rPr/>
        <w:t>6</w:t>
      </w:r>
      <w:r>
        <w:rPr>
          <w:rtl w:val="true"/>
        </w:rPr>
        <w:t xml:space="preserve">. </w:t>
      </w:r>
      <w:r>
        <w:rPr>
          <w:rtl w:val="true"/>
        </w:rPr>
        <w:t>روايتي از اميرالمؤمنين</w:t>
      </w:r>
      <w:r>
        <w:rPr>
          <w:rtl w:val="true"/>
        </w:rPr>
        <w:t xml:space="preserve">- </w:t>
      </w:r>
      <w:r>
        <w:rPr>
          <w:rtl w:val="true"/>
        </w:rPr>
        <w:t xml:space="preserve">عليه السلام </w:t>
      </w:r>
      <w:r>
        <w:rPr>
          <w:rtl w:val="true"/>
        </w:rPr>
        <w:t xml:space="preserve">- </w:t>
      </w:r>
      <w:r>
        <w:rPr>
          <w:rtl w:val="true"/>
        </w:rPr>
        <w:t>در جعفريات</w:t>
      </w:r>
      <w:r>
        <w:rPr>
          <w:rtl w:val="true"/>
        </w:rPr>
        <w:t>:</w:t>
      </w:r>
      <w:bookmarkEnd w:id="403"/>
    </w:p>
    <w:p>
      <w:pPr>
        <w:pStyle w:val="BookText"/>
        <w:rPr/>
      </w:pPr>
      <w:r>
        <w:rPr>
          <w:rFonts w:ascii="Amiri" w:hAnsi="Amiri" w:eastAsia="Amiri" w:cs="Amiri"/>
          <w:color w:val="111111"/>
          <w:sz w:val="28"/>
          <w:sz w:val="28"/>
          <w:szCs w:val="28"/>
          <w:rtl w:val="true"/>
          <w:lang w:bidi="ar-SA"/>
        </w:rPr>
        <w:t>الْجَعْفَرِيَّاتُ، بِالسَّنَدِ الْمُتَقَدِّمِ</w:t>
      </w:r>
      <w:r>
        <w:rPr>
          <w:rStyle w:val="FootnoteAnchor"/>
          <w:rtl w:val="true"/>
        </w:rPr>
        <w:footnoteReference w:id="261"/>
      </w:r>
      <w:r>
        <w:rPr>
          <w:rFonts w:ascii="Amiri" w:hAnsi="Amiri" w:eastAsia="Amiri" w:cs="Amiri"/>
          <w:color w:val="111111"/>
          <w:sz w:val="28"/>
          <w:sz w:val="28"/>
          <w:szCs w:val="28"/>
          <w:rtl w:val="true"/>
          <w:lang w:bidi="ar-SA"/>
        </w:rPr>
        <w:t>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ثَمَنُ الْمَيْتَةِ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 الْكَاهِنِ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 الْقَائِفِ الْخَبَرَ</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متن كامل اين روايت چنين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 بِإِسْنَادِهِ عَنْ جَعْفَرِ بْنِ مُحَمَّدٍ عَنْ أَبِيهِ عَنْ جَدِّهِ عَلِيِّ بْنِ الْحُسَيْنِ عَنْ أَبِيهِ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السُّحْتِ ثَمَنُ الْمَيْتَةِ وَ ثَمَنُ اللِّقَاحِ وَ مَهْرُ الْبَغِيِّ وَ كَسْبُ الْحَجَّامِ وَ أَجْرُ الْكَاهِنِ وَ أَجْرُ الْقَفِيزِ وَ أَجْرُ الْفَرِطُونَ وَ الْمِيزَانِ إِلَّا قَفِيزاً يَكِيلُهُ صَاحِبُهُ أَوْ مِيزَاناً يَزِنُ بِهِ صَاحِبُهُ وَ ثَمَنُ الشِّطْرَنْجِ وَ ثَمَنُ النَّرْدِ وَ ثَمَنُ الْقِرَدِ وَ جُلُودُ السِّبَاعِ وَ جُلُودُ الْمَيْتَةِ قَبْلَ أَنْ تُدْبَغَ وَ ثَمَنُ الْكَلْبِ وَ أَجْرُ الشُّرْطِيِّ الَّذِي لَا يُعْدِيكَ إِلَّا بِأَجْرٍ وَ أَجْرُ صَاحِبِ السِّجْنِ وَ أَجْرُ القَائِفِ وَ ثَمَنُ الْخِنْزِيرِ وَ أَجْرُ الْقَاضِي وَ أَجْرُ السَّاحِرِ وَ أَجْرُ الْحَاسِبِ بَيْنَ الْقَوْمِ لَا يَحْسُبُ لَهُمْ إِلَّا بِأَجْرٍ وَ أَجْرُ الْقَارِئِ الَّذِي لَا يَقْرَأُ الْقُرْآنَ إِلَّا بِأَجْرٍ وَ لَا بَأْسَ أَنْ يُجْرَى لَهُ مِنْ بَيْتِ الْمَالِ وَ الْهَدِيَّةُ يُلْتَمَسُ أَفْضَلُ مِنْهَا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تَمْنُنْ تَسْتَكْثِرُ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آتَيْتُمْ مِنْ رِباً لِيَرْبُوَا فِي أَمْوالِ النَّاسِ فَلا يَرْبُوا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الْهَدِيَّةُ يُطْلَبُ مِنْهَا مِنْ تُرَاثِ الدُّنْيَا أَكْثَرَ مِنْهَا وَ الرِّشْوَةُ فِي الْحُكْمِ وَ عَسْبُ الْفَحْلِ وَ لَا بَأْسَ أَنْ يُهْدَى لَهُ الْعَلَفُ وَ أَجْرُ الْقَاضِي إِلَّا قَاضٍ يُجْرَى عَلَيْهِ مِنْ بَيْتِ الْمَالِ وَ أَجْرُ الْمُؤَذِّنِ إِلَّا مُؤَذِّنٌ يُجْرَى عَلَيْهِ مِنْ بَيْتِ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باب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404" w:name="pg2375_19757"/>
    </w:p>
    <w:p>
      <w:pPr>
        <w:pStyle w:val="BookText"/>
        <w:rPr/>
      </w:pPr>
      <w:bookmarkEnd w:id="404"/>
      <w:r>
        <w:rPr>
          <w:rFonts w:ascii="IRNazanin" w:hAnsi="IRNazanin" w:eastAsia="IRNazanin"/>
          <w:color w:val="111111"/>
          <w:sz w:val="28"/>
          <w:sz w:val="28"/>
          <w:szCs w:val="28"/>
          <w:rtl w:val="true"/>
          <w:lang w:bidi="fa-IR"/>
        </w:rPr>
        <w:t>در اين روايت اجر قائف از سحت شمرده شده و دالّ بر حرمت وضعي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حرمت وضعي نه به خاطر آن است كه كارش شريف است، مثل آن‌چه در مورد مؤذّن يا معلّم قرآن گفته شده كه نمي‌تواند اجرت بگيرد، بلكه به خاطر حرمت آن است؛ يعني چون قيافه تكليفاً حرام است پس نمي‌تواند در مقابل عملش اجرت بگيرد، و در حقيقت بعيد است عملي حلال باشد ولي اخذ اجرت در مقابل آن صحيح نباشد</w:t>
      </w:r>
      <w:r>
        <w:rPr>
          <w:rFonts w:eastAsia="IRNazanin" w:cs="IRNazanin"/>
          <w:color w:val="111111"/>
          <w:sz w:val="28"/>
          <w:szCs w:val="28"/>
          <w:rtl w:val="true"/>
          <w:lang w:bidi="fa-IR"/>
        </w:rPr>
        <w:t>.</w:t>
      </w:r>
    </w:p>
    <w:p>
      <w:pPr>
        <w:pStyle w:val="Heading4"/>
        <w:numPr>
          <w:ilvl w:val="3"/>
          <w:numId w:val="1"/>
        </w:numPr>
        <w:rPr/>
      </w:pPr>
      <w:bookmarkStart w:id="405" w:name="__RefHeading___Toc2903163_3804643083"/>
      <w:bookmarkStart w:id="406" w:name="_Toc152"/>
      <w:bookmarkEnd w:id="405"/>
      <w:r>
        <w:rPr>
          <w:rtl w:val="true"/>
        </w:rPr>
        <w:t>نتيجه‌ي كلام در حرمت قيافه</w:t>
      </w:r>
      <w:bookmarkEnd w:id="406"/>
    </w:p>
    <w:p>
      <w:pPr>
        <w:pStyle w:val="Heading5"/>
        <w:numPr>
          <w:ilvl w:val="4"/>
          <w:numId w:val="1"/>
        </w:numPr>
        <w:rPr/>
      </w:pPr>
      <w:bookmarkStart w:id="407" w:name="__RefHeading___Toc2903165_3804643083"/>
      <w:bookmarkStart w:id="408" w:name="_Toc153"/>
      <w:bookmarkEnd w:id="407"/>
      <w:r>
        <w:rPr>
          <w:rtl w:val="true"/>
        </w:rPr>
        <w:t>اشاره</w:t>
      </w:r>
      <w:bookmarkEnd w:id="40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تمام رواياتي بود كه در مورد قائف و قيافه وارد شده است و تنها روايتي كه مي‌تواند معتبر باشد، همان صحيحه‌ي محمد بن قيس است كه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آخُذُ بِقَوْلِ عَرَّافٍ وَ</w:t>
      </w:r>
      <w:bookmarkStart w:id="409" w:name="pg2375_19758"/>
    </w:p>
    <w:p>
      <w:pPr>
        <w:pStyle w:val="BookText"/>
        <w:rPr/>
      </w:pPr>
      <w:bookmarkEnd w:id="409"/>
      <w:r>
        <w:rPr>
          <w:rFonts w:ascii="IRNazanin" w:hAnsi="IRNazanin" w:eastAsia="IRNazanin"/>
          <w:color w:val="111111"/>
          <w:sz w:val="28"/>
          <w:sz w:val="28"/>
          <w:szCs w:val="28"/>
          <w:rtl w:val="true"/>
          <w:lang w:bidi="fa-IR"/>
        </w:rPr>
        <w:t>لا قَائِفٍ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توضيح آن گفتيم بيش از اين استفاده نمي‌شود كه قول قائف حجّت نيست و دلالتي بر حرمت قيافه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اجماع و لاخلاف هم گفتيم كه نمي‌توان به آن اعتماد كرد، بنابراين نمي‌توانيم بگوييم قيافه بما هي قيافه حرام است</w:t>
      </w:r>
      <w:r>
        <w:rPr>
          <w:rFonts w:eastAsia="IRNazanin" w:cs="IRNazanin"/>
          <w:color w:val="111111"/>
          <w:sz w:val="28"/>
          <w:szCs w:val="28"/>
          <w:rtl w:val="true"/>
          <w:lang w:bidi="fa-IR"/>
        </w:rPr>
        <w:t>.</w:t>
      </w:r>
    </w:p>
    <w:p>
      <w:pPr>
        <w:pStyle w:val="Heading5"/>
        <w:numPr>
          <w:ilvl w:val="4"/>
          <w:numId w:val="1"/>
        </w:numPr>
        <w:rPr/>
      </w:pPr>
      <w:bookmarkStart w:id="410" w:name="__RefHeading___Toc2903167_3804643083"/>
      <w:bookmarkStart w:id="411" w:name="_Toc154"/>
      <w:bookmarkEnd w:id="410"/>
      <w:r>
        <w:rPr>
          <w:rtl w:val="true"/>
        </w:rPr>
        <w:t>استفاده‌ي جواز قيافه از كلمات فقهاء</w:t>
      </w:r>
      <w:bookmarkEnd w:id="411"/>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قيّد في الدروس</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يحرم القيافة و التكسّب بها، سواء استعمل في إلحاق الأنساب، أو في قفو الآثار إذا ترتب عليها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جامع المقاصد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القيافة حرام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الأنساب بما يزعم أنه يعلمه من العلامات، أو إلحاق الآثار إذا رتّب عليه محرّما، أو جزم بنسبه من زعم علمه بكونه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التنقيح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حلّى، مقداد بن عبد اللّه سيورى، التنقيح الرائع لمختصر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القيافة فهي التفرس لإلحاق الأبناء بالإباء بسبب اتفاقهم في صفة من الصفات، و هو حرام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 أهل السنة بجوازه،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القيافة حرام، سواء استعملت في إلحاق الأنساب أو قفو الآثار و غير ذلك، و كل ما يتكسب منها حرام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جواد عاملي، مفتاح الكرامة في شرح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حكم في الدروس و التنقيح و جامع المقاصد بتحريمها في قفو الآثار إذا رتب عليها حرام و لم أجده لغيرهم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ثاني، مسالك الأفهام إلى تنقيح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الاستناد الى علامات و مقادير يترتب عليها إلحاق بعض الناس ببعض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يحرم إذا جزم به، أو رتّب عليه محرما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حرمتها بما إذا ترتب عليها محرّم، و الظاهر أنّه</w:t>
      </w:r>
    </w:p>
    <w:p>
      <w:pPr>
        <w:pStyle w:val="BookText"/>
        <w:rPr/>
      </w:pPr>
      <w:r>
        <w:rPr>
          <w:rFonts w:ascii="Amiri" w:hAnsi="Amiri" w:eastAsia="Amiri" w:cs="Amiri"/>
          <w:color w:val="111111"/>
          <w:sz w:val="28"/>
          <w:sz w:val="28"/>
          <w:szCs w:val="28"/>
          <w:rtl w:val="true"/>
          <w:lang w:bidi="ar-SA"/>
        </w:rPr>
        <w:t>مراد الكلّ و إلّا فمجرّد حصول الاعتقاد العلمي أو الظنّي بنسب شخص لا دليل على تحريمه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دروس، جامع المقاصد و التنقيح، حرمت قيافه را مقيّد كرده‌اند به صورتي كه حرامي بر آن مترتب شود و ظاهر اين است كه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همه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همه حرمت قيافه را بر صورت ترتب حرام بر آن مقيد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مجرد حصول اعتقاد علمي يا ظني به نسب شخصي، موجب حرمت نمي‌شود و دليلي بر حرمت آن وجود ندارد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اين كلام مرحوم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كه ايشان هم معتقدند اگر هيچ اثر محرّمي بر آن مترتب نشود، حرام نيست و رفتن پيش او هم در صورتي كه اثر حرامي بر آن مترتب نشود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حرام در صورتي مترتب مي‌شود كه مثلاً زيدي كه در فراش بكر متولد شده و از لحاظ شرعي ملحق به بكر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صنعت قيافه بگويد نوع راه رفتنش، خطوط كف دست و پايش، شكل چشم و</w:t>
      </w:r>
    </w:p>
    <w:p>
      <w:pPr>
        <w:pStyle w:val="BookText"/>
        <w:rPr/>
      </w:pPr>
      <w:r>
        <w:rPr>
          <w:rFonts w:ascii="IRNazanin" w:hAnsi="IRNazanin" w:eastAsia="IRNazanin"/>
          <w:color w:val="111111"/>
          <w:sz w:val="28"/>
          <w:sz w:val="28"/>
          <w:szCs w:val="28"/>
          <w:rtl w:val="true"/>
          <w:lang w:bidi="fa-IR"/>
        </w:rPr>
        <w:t xml:space="preserve">گوشش، نوع حرف زدنش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مي‌كند كه پدرش بكر نيست، بلكه عمرو است و او را نسبت به عمرو دهد و آثار فرزند عمرو بودن را بر آن بار كند، كه اين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چنين نسبتي ندهد و صرف اين‌كه خودش اعتقاد علمي يا ظني پيدا كند و ديگران هم صرفاً جهت اين‌كه ببينند چه مي‌گويد پيش او بروند،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حقيقت آن است كه اين كلام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مدعاي ايشان كه فرمودند قيافه بعنوانه حرام است و اجماع بر آن قائم است، منافات دارد؛ يعني اگر قيافه بعنوانه حرام باشد حتّي اگر اثر حرامي بر آن مترتب نشود هم حرام است، رفتن پيش او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كه ادلّه‌ي حرمت قيافه را تمام ندانستيم، مي‌توانيم بگوييم در صورتي حرام است كه اثر محرّمي بر آن مترتب شود، مثل نسبت دادن زيد به عمرو در حالي كه در فراش بكر متولد شده، يا حتّي نسبت دادن مجهول الهويه به كسي با صنعت قيافه؛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مصداق قول به غير علم است و هر جا قول به غير علم حرام باشد، به اين اعتبار قيافه حرام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نسبت دادن كسي به ديگري بدون علم هم حرام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انتساب مخالف استصحاب عدم ازليِ انتساب او به اين شخص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استصحاب عدم قرشيّت 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الغاء اعتبار حجّت شرعي مي‌باشد</w:t>
      </w:r>
      <w:r>
        <w:rPr>
          <w:rFonts w:eastAsia="Amiri" w:cs="Amiri" w:ascii="Amiri" w:hAnsi="Amiri"/>
          <w:color w:val="111111"/>
          <w:sz w:val="28"/>
          <w:szCs w:val="28"/>
          <w:rtl w:val="true"/>
          <w:lang w:bidi="ar-SA"/>
        </w:rPr>
        <w:t>.</w:t>
      </w:r>
      <w:bookmarkStart w:id="412" w:name="pg2375_19761"/>
    </w:p>
    <w:p>
      <w:pPr>
        <w:pStyle w:val="BookText"/>
        <w:rPr/>
      </w:pPr>
      <w:bookmarkEnd w:id="412"/>
      <w:r>
        <w:rPr>
          <w:rFonts w:ascii="IRNazanin" w:hAnsi="IRNazanin" w:eastAsia="IRNazanin"/>
          <w:color w:val="111111"/>
          <w:sz w:val="28"/>
          <w:sz w:val="28"/>
          <w:szCs w:val="28"/>
          <w:rtl w:val="true"/>
          <w:lang w:bidi="fa-IR"/>
        </w:rPr>
        <w:t>در صورتي هم كه با قيافه شناسي اطمينان به نسب او پيدا كند، باز مي‌گوييم حجّيت اطمينان چون از باب امضاء سيره‌ي عقلاء است، اطمينان در چنين مواردي با وجود اين روايات ـ خصوصاً صحيحه‌ي محمد بن قيس ـ ردع شده و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صورتي هم كه با قيافه شناسي علم به نسب پيدا شود، مادامي كه قطع باقي باشد نمي‌توان ردع از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بگوييم قيافه شناسي و رفتن پيش قائف حرام است، از آن جايي كه تقصير كرده معذور نيست، ولي طبق مبناي ما كه ادلّه‌ي حرمت تمام نيست، معذور است</w:t>
      </w:r>
      <w:r>
        <w:rPr>
          <w:rFonts w:eastAsia="IRNazanin" w:cs="IRNazanin"/>
          <w:color w:val="111111"/>
          <w:sz w:val="28"/>
          <w:szCs w:val="28"/>
          <w:rtl w:val="true"/>
          <w:lang w:bidi="fa-IR"/>
        </w:rPr>
        <w:t>.</w:t>
      </w:r>
    </w:p>
    <w:p>
      <w:pPr>
        <w:pStyle w:val="Heading4"/>
        <w:numPr>
          <w:ilvl w:val="3"/>
          <w:numId w:val="1"/>
        </w:numPr>
        <w:rPr/>
      </w:pPr>
      <w:bookmarkStart w:id="413" w:name="__RefHeading___Toc2903169_3804643083"/>
      <w:bookmarkStart w:id="414" w:name="_Toc155"/>
      <w:bookmarkEnd w:id="413"/>
      <w:r>
        <w:rPr>
          <w:rtl w:val="true"/>
        </w:rPr>
        <w:t xml:space="preserve">حكم تشخيص نسب با </w:t>
      </w:r>
      <w:r>
        <w:rPr/>
        <w:t>D.N.A</w:t>
      </w:r>
      <w:bookmarkEnd w:id="414"/>
    </w:p>
    <w:p>
      <w:pPr>
        <w:pStyle w:val="BookText"/>
        <w:rPr/>
      </w:pPr>
      <w:r>
        <w:rPr>
          <w:rFonts w:ascii="Amiri" w:hAnsi="Amiri" w:eastAsia="Amiri" w:cs="Amiri"/>
          <w:color w:val="111111"/>
          <w:sz w:val="28"/>
          <w:sz w:val="28"/>
          <w:szCs w:val="28"/>
          <w:rtl w:val="true"/>
          <w:lang w:bidi="ar-SA"/>
        </w:rPr>
        <w:t xml:space="preserve">از طريق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روش‌هايي براي تشخيص نَسَب وجود دارد كه بايد بررسي كنيم آيا به كاربردن اين طريق جايز است يا نه و در صورت تشخيص، آيا مي‌توان نسبت داد يا خير؟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مي‌گوييم اگر چنين روش‌هايي قطع آور باشد ـ كما اين‌كه گفته مي‌شود متخصصين فن قائلند قطع آور است ـ مي‌توان طبق آن عمل نمود و نسبت داد، گرچه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اين قاعده يك حكم ظاهري است و موضوعش شك است</w:t>
      </w:r>
      <w:r>
        <w:rPr>
          <w:rStyle w:val="FootnoteAnchor"/>
          <w:rtl w:val="true"/>
        </w:rPr>
        <w:footnoteReference w:id="265"/>
      </w:r>
      <w:r>
        <w:rPr>
          <w:rFonts w:ascii="IRNazanin" w:hAnsi="IRNazanin" w:eastAsia="IRNazanin"/>
          <w:color w:val="111111"/>
          <w:sz w:val="28"/>
          <w:sz w:val="28"/>
          <w:szCs w:val="28"/>
          <w:rtl w:val="true"/>
          <w:lang w:bidi="fa-IR"/>
        </w:rPr>
        <w:t>، كما اين‌كه اگر روايت صحيحه‌اي دلالت</w:t>
      </w:r>
    </w:p>
    <w:p>
      <w:pPr>
        <w:pStyle w:val="BookText"/>
        <w:rPr/>
      </w:pPr>
      <w:r>
        <w:rPr>
          <w:rFonts w:ascii="IRNazanin" w:hAnsi="IRNazanin" w:eastAsia="IRNazanin"/>
          <w:color w:val="111111"/>
          <w:sz w:val="28"/>
          <w:sz w:val="28"/>
          <w:szCs w:val="28"/>
          <w:rtl w:val="true"/>
          <w:lang w:bidi="fa-IR"/>
        </w:rPr>
        <w:t xml:space="preserve">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ليست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كسي قطع داشته باشد نماز جمعه واجب است، آن روايت در حق او حجت نيست؛ چون أمارات براي كسي حجّت است كه قطع به حكم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با وجود روايات قطعش زايل شود و الا با وجود قطع ديگر أمارات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فيه هم با قطع به انتساب به غير فراش،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مُحَمَّدُ بْنُ الْحَسَنِ بِإِسْنَادِهِ عَنْ مُحَمَّدِ بْنِ عَلِيِّ بْنِ مَحْبُوبٍ عَنْ عَلِيِّ بْنِ السِّنْدِيِّ عَنْ صَفْوَانَ عَنْ إِسْحَاقَ بْنِ عَمَّارٍ عَنْ سَعِيدٍ الْأَعْرَجِ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يَتَزَوَّجُ الْمَرْأَةَ لَيْسَتْ بِمَأْمُونَةٍ تَدَّعِي الْحَمْلَ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لِيَصْبِرْ لِقَوْلِ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عَلِيِّ بْنِ الْحَكَمِ عَنْ أَبَانِ بْنِ عُثْمَانَ عَنِ الْحَسَنِ الصَّيْقَلِ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رَجُلٍ اشْتَرَى جَارِيَةً ثُمَّ وَقَعَ عَلَيْهَا قَبْلَ أَنْ يَسْتَبْرِئَ رَحِمَهَا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يَسْتَغْفِرُ اللَّهَ وَ لَا يَعُودُ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بَاعَهَا مِنْ آخَرَ وَ لَمْ يَسْتَبْرِئْ رَحِمَهَا ثُمَّ بَاعَهَا الثَّانِي مِنْ رَجُلٍ آخَرَ وَ لَمْ يَسْتَبْرِئْ رَحِمَهَا فَاسْتَبَانَ حَمْلُهَا عِنْدَ الثَّالِثِ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باب</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الْبَزَوْفَرِيِّ عَنْ أَحْمَدَ بْنِ إِدْرِيسَ عَنْ أَحْمَدَ بْنِ مُحَمَّدٍ عَنِ ابْنِ أَبِي عُمَيْرٍ عَنْ حَمَّادٍ عَنِ الْحَلَبِيِّ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وَقَعَ عَلَى وَلِيدَةِ قَوْمٍ حَرَاماً ثُمَّ اشْتَرَاهَا فَادَّعَى وَلَدَهَا فَإِنَّهُ لَا يُوَرَّثُ مِنْهُ فَإِنَّ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 وَ لَا يُوَرَّثُ وَلَدَ الزِّنَا إِلَّا رَجُلٌ يَدَّعِي ابْنَ وَلِيدَتِهِ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او حجّت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تَقْفُ ما لَيْسَ</w:t>
      </w:r>
    </w:p>
    <w:p>
      <w:pPr>
        <w:pStyle w:val="BookText"/>
        <w:rPr/>
      </w:pPr>
      <w:r>
        <w:rPr>
          <w:rFonts w:ascii="Amiri" w:hAnsi="Amiri" w:eastAsia="Amiri" w:cs="Amiri"/>
          <w:color w:val="111111"/>
          <w:sz w:val="28"/>
          <w:sz w:val="28"/>
          <w:szCs w:val="28"/>
          <w:rtl w:val="true"/>
          <w:lang w:bidi="ar-SA"/>
        </w:rPr>
        <w:t>لَكَ بِهِ عِلْمٌ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كتاب الجهاد، أبواب جهاد النفس و ما يناسبه، 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الشرائع،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الْعِلَلِ عَنْ مُحَمَّدِ بْنِ مُوسَى بْنِ الْمُتَوَكِّلِ عَنِ السَّعْدَآبَادِيِّ عَنِ الْبَرْقِيِّ عَنْ عَبْدِ الْعَظِيمِ الْحَسَنِيِّ عَنْ عَلِيِّ بْنِ جَعْفَرٍ عَنْ أَخِيهِ عَنْ أَبِيهِ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تَتَكَلَّمَ بِمَا شِئْتَ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لَكَ أَنْ تَسْمَعَ مَا شِئْتَ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شامل او نمي‌شود؛ زيرا فرض اين است كه با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علم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مشكلي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اين در صورتي است كه با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واقعاً با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 ـ آن قطعي كه در اصول حجّيّت آن بيان شده است ـ پيدا مي‌شود يا نه، اثبات آن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اوقات مي‌بينيم كه ادعا مي‌كنند بر فلان چيز قطع وجود دارد، در حالي كه وقتي قطع را براي آن‌ها خوب تبيين مي‌كنيم و مطلب را بالا و پايين مي‌كنيم، مي‌بينيم كه در واقع قطع نيست بلكه ظني دارند كه در حرفه‌ي خودشان راهي براي مناقشه در آن پيدا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مواردي كه لازم باشد نَسَب شخصي معين شود، مثلاً نوزادي در بيمارستان اشتباه شده كه فرزند كدام يك از مادران است، آيا مي‌توان در چنين جايي از طريق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كرد، هرچند قطع آور نباشد؟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قطع آور نباشد، حجّت نيست و اگر در چنين مواردي قُرعه را مشروع بدانيم بايد طبق قرعه عمل كنيم و قرعه انتخاب خداوند متعال است و انتخاب خداوند متعال خطا بردار نيست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مُوسَى بْنِ عُمَرَ عَنْ عَلِيِّ بْنِ عُثْمَانَ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مَجْهُولٍ فَفِيهِ الْقُرْعَةُ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تُخْطِئُ وَ تُصِيبُ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حَكَمَ اللَّهُ بِهِ فَلَيْسَ بِمُخْطِئ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مُحَمَّدِ بْنِ حَكِيمٍ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كتاب القضاء، أبواب كيفيت الحكم، باب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فقه الرضا، 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رُوِيَ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قَضِيَّةٍ أَعْدَلُ مِنَ الْقُرْعَةِ إِذَا فُوِّضَ الْأَمْرُ إِلَى اللَّهِ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رَجُلَيْنِ اشْتَرَيَا جَارِيَةً فَوَاقَعَاهَا فَأَتَتْ بِوَلَدٍ لَكَانَ الْحُكْمُ فِيهِ أَنْ يُقْرَعَ بَيْنَهُمَا فَمَنْ أَصَابَتْهُ الْقُرْعَةُ أُلْحِقَ بِهِ الْوَلَدُ وَ يَغْرَمُ نِصْفَ قِيمَةِ الْجَارِيَةِ لِصَاحِبِهِ إِلَى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جَمِيلِ بْنِ صَالِحٍ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تُخْرَجُ فِي الْقُرْعَةِ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قَضِيَّةٍ أَعْدَلُ مِنَ الْقُرْعَةِ إِذَا فُوِّضَ الْأَمْرُ إِلَى اللَّهِ عَزَّ وَ جَلَّ أَ لَيْسَ اللَّهُ يَقُولُ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دلالت ندارد كه با قرعه حتماً واقع مشخص شده و در ما نحن فيه مادر واقعي فرزند مشخص مي‌شود، بلكه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كه حكم خدا باشد، حكم خداوند متعال خطا بردار نيست و خداوند متعال طبق مصالحي اين حكم را فرموده و نتيجه‌ي قرعه هم طبق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قضاوت به أيمان و أشهاد هم حكم خداست و حكم خدا خطا بردار نيست، ولي اين‌طور نيست كه قضاوت طبق أيمان و أشهاد هم حتماً مطابق با واقع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قرعه در مثل چنين مواردي مشروع نبود،</w:t>
      </w:r>
      <w:bookmarkStart w:id="415" w:name="pg2375_19765"/>
    </w:p>
    <w:p>
      <w:pPr>
        <w:pStyle w:val="BookText"/>
        <w:rPr/>
      </w:pPr>
      <w:bookmarkEnd w:id="415"/>
      <w:r>
        <w:rPr>
          <w:rFonts w:ascii="Amiri" w:hAnsi="Amiri" w:eastAsia="Amiri" w:cs="Amiri"/>
          <w:color w:val="111111"/>
          <w:sz w:val="28"/>
          <w:sz w:val="28"/>
          <w:szCs w:val="28"/>
          <w:rtl w:val="true"/>
          <w:lang w:bidi="ar-SA"/>
        </w:rPr>
        <w:t>احكام شك مترتب خواهد شد</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2903171_3804643083"/>
      <w:bookmarkStart w:id="417" w:name="_Toc156"/>
      <w:bookmarkEnd w:id="416"/>
      <w:r>
        <w:rPr>
          <w:rtl w:val="true"/>
        </w:rPr>
        <w:t>سخني درباره‌ي نسبت دادن حكمِ به قيافه به رسول اكرم</w:t>
      </w:r>
      <w:r>
        <w:rPr>
          <w:rtl w:val="true"/>
        </w:rPr>
        <w:t xml:space="preserve">- </w:t>
      </w:r>
      <w:r>
        <w:rPr>
          <w:rtl w:val="true"/>
        </w:rPr>
        <w:t xml:space="preserve">صلي الله عليه و آله و سلم </w:t>
      </w:r>
      <w:r>
        <w:rPr>
          <w:rtl w:val="true"/>
        </w:rPr>
        <w:t>-</w:t>
      </w:r>
      <w:bookmarkEnd w:id="417"/>
    </w:p>
    <w:p>
      <w:pPr>
        <w:pStyle w:val="BookText"/>
        <w:rPr/>
      </w:pPr>
      <w:r>
        <w:rPr>
          <w:rFonts w:ascii="Amiri" w:hAnsi="Amiri" w:eastAsia="Amiri" w:cs="Amiri"/>
          <w:color w:val="111111"/>
          <w:sz w:val="28"/>
          <w:sz w:val="28"/>
          <w:szCs w:val="28"/>
          <w:rtl w:val="true"/>
          <w:lang w:bidi="ar-SA"/>
        </w:rPr>
        <w:t>مرحوم شيخ در انتهاي بحث قيافه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افترى بعض العامّة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قضى بقول القافة</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يعني عامه در ضمن حديثي ادعا كرده‌اند كه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قائف قضاوت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روايت معروفي بين عامه است كه شايد در همه‌ي كتب تسعه‌ي اهل سنّت ذكر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صحيح مسلم اين‌چنين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مسرورا تبرق أسارير</w:t>
      </w:r>
      <w:r>
        <w:rPr>
          <w:rStyle w:val="FootnoteAnchor"/>
          <w:rtl w:val="true"/>
        </w:rPr>
        <w:footnoteReference w:id="270"/>
      </w:r>
      <w:r>
        <w:rPr>
          <w:rFonts w:ascii="IRNazanin" w:hAnsi="IRNazanin" w:eastAsia="IRNazanin"/>
          <w:color w:val="111111"/>
          <w:sz w:val="28"/>
          <w:sz w:val="28"/>
          <w:szCs w:val="28"/>
          <w:rtl w:val="true"/>
          <w:lang w:bidi="fa-IR"/>
        </w:rPr>
        <w:t>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ترى أن مجززا</w:t>
      </w:r>
    </w:p>
    <w:p>
      <w:pPr>
        <w:pStyle w:val="BookText"/>
        <w:rPr/>
      </w:pPr>
      <w:r>
        <w:rPr>
          <w:rFonts w:ascii="Amiri" w:hAnsi="Amiri" w:eastAsia="Amiri" w:cs="Amiri"/>
          <w:color w:val="111111"/>
          <w:sz w:val="28"/>
          <w:sz w:val="28"/>
          <w:szCs w:val="28"/>
          <w:rtl w:val="true"/>
          <w:lang w:bidi="ar-SA"/>
        </w:rPr>
        <w:t>نظر أنفا إلى زيد بن حارثة وأسامة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الأقدام لمن بعض</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از عايشه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عائشه داخل شدند در حالي كه مسرور بودند و خطوط پيشاني حضرت از شدت خوشحالي برق مي‌زد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جواب اين پرسش عائشه كه چه شده كه اين‌قدر خوشحال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نديدي كه مجزز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زيد بن حارثه و اسامة بن زيد كرد و گفت بعضي از اين قدم‌ها از بعض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خوشحالي من از اين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اين‌چنين بوده كه زيد بن حارثه كه فرزند خوانده‌ي آقا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ـ با آن قضايايي كه در مورد فرزند خواندگي حضرت نقل كرده‌اند</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آخى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حمزة بن عبد المطّلب، و لمّا سيّر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إلى الشام جعل أميرا عليهم زيدا بن حارثة،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قتل فجعفر، فإن قتل فعبد اللّه بن رواحة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زيد بن حارثه را ديگر به زيد بن</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مي‌خواندند تا اين‌كه آيه‌ي شريفه نازل شد و فرمود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&gt;</w:t>
      </w:r>
      <w:r>
        <w:rPr>
          <w:rStyle w:val="FootnoteAnchor"/>
          <w:rtl w:val="true"/>
        </w:rPr>
        <w:footnoteReference w:id="273"/>
      </w:r>
      <w:r>
        <w:rPr>
          <w:rFonts w:ascii="IRNazanin" w:hAnsi="IRNazanin" w:eastAsia="IRNazanin"/>
          <w:color w:val="111111"/>
          <w:sz w:val="28"/>
          <w:sz w:val="28"/>
          <w:szCs w:val="28"/>
          <w:rtl w:val="true"/>
          <w:lang w:bidi="fa-IR"/>
        </w:rPr>
        <w:t xml:space="preserve">كه دوباره به زيد بن حارثه او را صدا زدند ـ بعد از اين‌كه ازدواج كرد و صاحب فرزندي به نام اُسامه شد، اُسامه رنگ پوستش تيره بود در حالي كه زيد روشن‌تر بود به همين خاطر مردم در اين‌كه اُسامه فرزند زيد باشد دچار ترديد شدند تا اين‌كه قائفي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سنن نسائي دارد مجزز مدلجي</w:t>
      </w:r>
      <w:r>
        <w:rPr>
          <w:rStyle w:val="FootnoteAnchor"/>
          <w:rtl w:val="true"/>
        </w:rPr>
        <w:footnoteReference w:id="27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مُدْلِجٌ، بضم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كنانة و منهم القافَةُ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مُجَزِّزُ بن الأَعْوَرِ بن جَعْدَةَ الكِنَانِيّ المُدْلِجِيّ القَائِفُ و ابْنُه عَلْقَمَةُ بن مُجَزِّزٍ، كمُحَدِّثٍ، و ضَبطه ابنُ عُيَيْنَةَ كمُعَظَّم، صَحَابِيّان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 اين دو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هَذِهِ الأَقْدَامِ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به قول قائف حكم كردند، پس قول قائف حجّت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افتراء بر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چنين حكمي نكرد‌ه‌اند، برخي اخبار هم شاهد</w:t>
      </w:r>
    </w:p>
    <w:p>
      <w:pPr>
        <w:pStyle w:val="BookText"/>
        <w:rPr/>
      </w:pPr>
      <w:r>
        <w:rPr>
          <w:rFonts w:ascii="IRNazanin" w:hAnsi="IRNazanin" w:eastAsia="IRNazanin"/>
          <w:color w:val="111111"/>
          <w:sz w:val="28"/>
          <w:sz w:val="28"/>
          <w:szCs w:val="28"/>
          <w:rtl w:val="true"/>
          <w:lang w:bidi="fa-IR"/>
        </w:rPr>
        <w:t>بر آن است، مانند روايتي كه كليني در كافي نقل كرده كه متن آن چنين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وَ عَلِيِّ بْنِ مُحَمَّدٍ الْقَاسَانِيِّ جَمِيعاً عَنْ زَكَرِيَّا بْنِ يَحْيَى بْنِ النُّعْمَانِ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يُحَدِّثُ الْحَسَنَ بْنَ الْحُسَيْنِ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نَصَرَ اللَّهُ أَبَا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جُعِلْتُ فِدَاكَ لَقَدْ بَغَى عَلَيْهِ إِخْوَتُهُ فَقَالَ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نَحْنُ عُمُومَتُهُ بَغَيْنَا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صَنَعْتُمْ فَإِنِّي لَمْ أَحْضُرْكُمْ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إِخْوَتُهُ وَ 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إِمَامٌ قَطُّ حَائِلَ اللَّوْنِ فَقَالَ لَهُمُ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بِالْقَافَةِ فَبَيْنَنَا وَ بَيْنَكَ الْقَافَةُ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أَنْتُمْ إِلَيْهِمْ فَأَمَّا أَنَا فَلَا وَ لَا تُعْلِمُوهُمْ لِمَا دَعَوْتُمُوهُمْ وَ لْتَكُونُوا فِي بُيُوتِكُمْ فَلَمَّا جَاءُوا أَقْعَدُونَا فِي الْبُسْتَانِ وَ اصْطَفَّ عُمُومَتُهُ وَ إِخْوَتُهُ وَ أَخَوَاتُهُ وَ أَخَذُوا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أَلْبَسُوهُ جُبَّةَ صُوفٍ وَ قَلَنْسُوَةً مِنْهَا وَ وَضَعُوا عَلَى عُنُقِهِ مِسْحَاةً وَ قَالُوا لَهُ ادْخُلِ الْبُسْتَانَ كَأَنَّكَ تَعْمَلُ فِيهِ ثُمَّ جَاءُوا بِأَبِي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هَذَا الْغُلَامَ بِأَبِيهِ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هَاهُنَا أَبٌ وَ لَكِنَّ هَذَا عَمُّ أَبِيهِ وَ هَذَا عَمُّ أَبِيهِ وَ هَذَا عَمُّهُ وَ هَذِهِ عَمَّتُهُ وَ إِنْ يَكُنْ لَهُ هَاهُنَا أَبٌ فَهُوَ صَاحِبُ الْبُسْتَانِ فَإِنَّ قَدَمَيْهِ وَ قَدَمَيْهِ وَاحِدَةٌ فَلَمَّا رَجَعَ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فَقُمْتُ فَمَصَصْتُ رِيقَ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 فَبَكَى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 لَمْ تَسْمَعْ أَبِي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 ابْنُ النُّوبِيَّةِ الطَّيِّبَةِ الْفَمِ الْمُنْتَجَبَةِ الرَّحِمِ وَيْلَهُمْ لَعَنَ اللَّهُ الْأُعَيْبِسَ وَ ذُرِّيَّتَهُ صَاحِبَ الْفِتْنَةِ وَ يَقْتُلُهُمْ سِنِينَ وَ شُهُوراً وَ أَيَّاماً يَسُومُهُمْ خَسْفاً وَ يَسْقِيهِمْ كَأْساً مُصْبِرَةً وَ هُوَ الطَّرِيدُ الشَّرِيدُ الْمَوْتُورُ بِأَبِيهِ وَ جَدِّهِ صَاحِبُ الْغَيْبَةِ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أَيَّ وَادٍ سَلَكَ أَ فَيَكُونُ هَذَا يَا عَمِّ إِلَّا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آن است كه اين روايت نمي‌تواند شاهدي بر كلام مرحوم شيخ باشد و بلكه چه بسا في‌الجمله عكس فرمايش مرحوم شيخ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يك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ابْعَثُوا أَنْتُمْ إِلَيْهِمْ فَأَمَّا أَنَا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مي‌خواهيد قائف</w:t>
      </w:r>
    </w:p>
    <w:p>
      <w:pPr>
        <w:pStyle w:val="BookText"/>
        <w:rPr/>
      </w:pPr>
      <w:r>
        <w:rPr>
          <w:rFonts w:ascii="IRNazanin" w:hAnsi="IRNazanin" w:eastAsia="IRNazanin"/>
          <w:color w:val="111111"/>
          <w:sz w:val="28"/>
          <w:sz w:val="28"/>
          <w:szCs w:val="28"/>
          <w:rtl w:val="true"/>
          <w:lang w:bidi="fa-IR"/>
        </w:rPr>
        <w:t>بياوريد، ولي از طرف 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استفاده مي‌شود كه حضرت به اين‌كه قائف حكم كند راضي نبودند ولي به خاطر اطمينان آن‌ها حاضر شدند كه قائفي بياورند و نظرش را بگويد و اگر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قائف حكم كرده بودند، حضرت هم راضي مي‌شدند، پس عدم رضايت حضرت كاشف از عدم حكم آقا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آن‌كه اين روايت از لحاظ سند ناتمام است و قابل استناد نيست</w:t>
      </w:r>
      <w:r>
        <w:rPr>
          <w:rFonts w:eastAsia="Amiri" w:cs="Amiri" w:ascii="Amiri" w:hAnsi="Amiri"/>
          <w:color w:val="111111"/>
          <w:sz w:val="28"/>
          <w:szCs w:val="28"/>
          <w:rtl w:val="true"/>
          <w:lang w:bidi="ar-SA"/>
        </w:rPr>
        <w:t>.</w:t>
      </w:r>
      <w:bookmarkStart w:id="418" w:name="pg2375_19772"/>
    </w:p>
    <w:p>
      <w:pPr>
        <w:pStyle w:val="Heading2"/>
        <w:numPr>
          <w:ilvl w:val="1"/>
          <w:numId w:val="1"/>
        </w:numPr>
        <w:rPr/>
      </w:pPr>
      <w:bookmarkStart w:id="419" w:name="__RefHeading___Toc2903173_3804643083"/>
      <w:bookmarkStart w:id="420" w:name="_Toc157"/>
      <w:bookmarkEnd w:id="418"/>
      <w:bookmarkEnd w:id="419"/>
      <w:r>
        <w:rPr>
          <w:rtl w:val="true"/>
        </w:rPr>
        <w:t>كهانت</w:t>
      </w:r>
      <w:bookmarkEnd w:id="42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2903175_3804643083"/>
      <w:bookmarkStart w:id="422" w:name="_Toc158"/>
      <w:bookmarkEnd w:id="421"/>
      <w:r>
        <w:rPr>
          <w:rtl w:val="true"/>
        </w:rPr>
        <w:t>اشاره</w:t>
      </w:r>
      <w:bookmarkStart w:id="423" w:name="pg2375_19774"/>
      <w:bookmarkEnd w:id="422"/>
    </w:p>
    <w:p>
      <w:pPr>
        <w:pStyle w:val="Heading3"/>
        <w:numPr>
          <w:ilvl w:val="2"/>
          <w:numId w:val="1"/>
        </w:numPr>
        <w:rPr/>
      </w:pPr>
      <w:bookmarkStart w:id="424" w:name="__RefHeading___Toc2903177_3804643083"/>
      <w:bookmarkStart w:id="425" w:name="_Toc159"/>
      <w:bookmarkEnd w:id="423"/>
      <w:bookmarkEnd w:id="424"/>
      <w:r>
        <w:rPr>
          <w:rtl w:val="true"/>
        </w:rPr>
        <w:t>المسألة التاسعة عشر</w:t>
      </w:r>
      <w:r>
        <w:rPr>
          <w:rtl w:val="true"/>
        </w:rPr>
        <w:t xml:space="preserve">: </w:t>
      </w:r>
      <w:r>
        <w:rPr>
          <w:rtl w:val="true"/>
        </w:rPr>
        <w:t>حرمة الكهانة</w:t>
      </w:r>
      <w:bookmarkEnd w:id="425"/>
    </w:p>
    <w:p>
      <w:pPr>
        <w:pStyle w:val="Heading4"/>
        <w:numPr>
          <w:ilvl w:val="3"/>
          <w:numId w:val="1"/>
        </w:numPr>
        <w:rPr/>
      </w:pPr>
      <w:bookmarkStart w:id="426" w:name="__RefHeading___Toc2903179_3804643083"/>
      <w:bookmarkStart w:id="427" w:name="_Toc160"/>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يكي ديگر از محرماتي كه مرحوم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چهارم؛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يحرم التكسب به لكونه عملاً محرماً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مي‌كند، كهانت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فرمايش مرحوم شيخ، هم فعل كهانت و هم اجرتي كه از اين طريق مي‌گيرد حرام بوده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كهانت، معادلي در فارسي كه بتواند معناي دقيق آن را بيان كند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بايد لغات و استعمالات كهانت را به طور دقيق بررسي كنيم تا معناي آن را به دست آوريم و در روايات هم جستجو كنيم آيا تعريف خاصي از كهانت ارائه شده است يا خير؟</w:t>
      </w:r>
    </w:p>
    <w:p>
      <w:pPr>
        <w:pStyle w:val="Heading4"/>
        <w:numPr>
          <w:ilvl w:val="3"/>
          <w:numId w:val="1"/>
        </w:numPr>
        <w:rPr/>
      </w:pPr>
      <w:bookmarkStart w:id="428" w:name="__RefHeading___Toc2903181_3804643083"/>
      <w:bookmarkStart w:id="429" w:name="_Toc161"/>
      <w:bookmarkEnd w:id="428"/>
      <w:r>
        <w:rPr>
          <w:rtl w:val="true"/>
        </w:rPr>
        <w:t xml:space="preserve">ماده‌ي </w:t>
      </w:r>
      <w:r>
        <w:rPr>
          <w:rtl w:val="true"/>
        </w:rPr>
        <w:t>«</w:t>
      </w:r>
      <w:r>
        <w:rPr>
          <w:rtl w:val="true"/>
        </w:rPr>
        <w:t>كَهَنَ</w:t>
      </w:r>
      <w:r>
        <w:rPr>
          <w:rtl w:val="true"/>
        </w:rPr>
        <w:t xml:space="preserve">» </w:t>
      </w:r>
      <w:r>
        <w:rPr>
          <w:rtl w:val="true"/>
        </w:rPr>
        <w:t>در كتب لغت</w:t>
      </w:r>
      <w:bookmarkEnd w:id="429"/>
    </w:p>
    <w:p>
      <w:pPr>
        <w:pStyle w:val="BookText"/>
        <w:rPr/>
      </w:pPr>
      <w:r>
        <w:rPr>
          <w:rFonts w:ascii="Amiri" w:hAnsi="Amiri" w:eastAsia="Amiri" w:cs="Amiri"/>
          <w:color w:val="111111"/>
          <w:sz w:val="28"/>
          <w:sz w:val="28"/>
          <w:szCs w:val="28"/>
          <w:rtl w:val="true"/>
          <w:lang w:bidi="ar-SA"/>
        </w:rPr>
        <w:t>الصحاح للجوهري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الكاهِنُ معروف، و الجمع الكُهَّانُ و الكَهَنَةُ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كَهَنَ يَكْهُنُ كِهَانَةً، مثل كتب يكتب كتابة، إذا تَكَهَّنَ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إذا أردت أنّه صار كاهِناً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كهُنَ بالضم يَكْهُنُ كَهَانَةً بالفتح</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پس طبق نقل 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 يَكْهُنُ كِهَانَةً، مثل كَتَبَ يَكْتُبُ 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گفته مي‌شود كه عمل كهانت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 يَكْهُنُ كَهَانَةً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گفته مي‌شود كه كاهن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القاموس المحيط للفيروزآبادي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كَهَنَ له كمَنَعَ و نَصَرَ و كَرُمَ كَهانَةً بالفتح و تَكَهَّنَ تكهناً قضي له بالغيب فهو كاهنٌ و حِرفَتَهُ الكِهانةُ بالكسر</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المصباح المنير للفيومي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كَهَنَ يَكْهُنُ مِنْ بَابِ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كَافِرٍ و كَفَرَةٍ و كُفَّارٍ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فَإِذَا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طَبِيعَةً و غَرِيزَةً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الصِّنَاعَةُ</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النهاية في غريب الحديث و الأثر لإبن الأثير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يَتَعاطَى الخَبَر عَن الكَائِنات فِي مُسْتَقْبَلِ الزَمَانِ و يَدَّعي مَعرِفَةَ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فِي</w:t>
      </w:r>
    </w:p>
    <w:p>
      <w:pPr>
        <w:pStyle w:val="BookText"/>
        <w:rPr/>
      </w:pPr>
      <w:r>
        <w:rPr>
          <w:rFonts w:ascii="Amiri" w:hAnsi="Amiri" w:eastAsia="Amiri" w:cs="Amiri"/>
          <w:color w:val="111111"/>
          <w:sz w:val="28"/>
          <w:sz w:val="28"/>
          <w:szCs w:val="28"/>
          <w:rtl w:val="true"/>
          <w:lang w:bidi="ar-SA"/>
        </w:rPr>
        <w:t>العَرَبِ كَهَنَةً كَشِقّ و سَطِيح و غيرِهما فَمِنهُم مَن كانَ يَزْعمُ أنَّ لَهُ تَابِعاً مِن الجِنِّ و رَئِيّاً يُلْقى إلَيهِ الأَخْبَار و مِنهُم مَن كَانَ يَزْعمُ أنه يَعْرِفُ الأمورَ بمُقَدِّمات أسْبَاب يَسْتَدلُّ بِهَا عَلَى مَواقِعهَا مِن كَلامِ مَن يَسألُه أو فِعْلِه أو حَالِه و هَذَا يَخُصُّونَه باسم العَرَّاف كَالَّذِي يَدَّعِي مَعرِفَةَ الِشيء المَسْرُوقِ و مَكَانَ الضَّالَّةِ و نَحوِهِمَا</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كاهن كسي است كه خبر كائنات را كه مربوط به زمان آينده است اخذ و اعطاء مي‌كند و ادعاي معرفت به اسرار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كاهناني بوده از جمله شِقّ، سَطيح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كاهن‌ها گمان داشتند كه براي آن‌ها تابع و دوستي از جنّ است كه أخبار را به آن‌ها القاء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هم گمان داشتند امور را به كمك مقدمات و اسبابي مي‌شناختند كه به وسيله‌ي آن به حوادثي كه در جاي خود واقع مي‌شود منتقل مي‌شوند؛ مثلاً از طريق كلام كسي كه از او سؤال مي‌كند يا فعل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سرش را خاراند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برافروخته يا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به مطالبي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چنين كاهني را عرّاف هم گفته‌اند، مانند كسي كه ادعا مي‌كند شيء مسروق و گم شده را مي‌داند كجاست و </w:t>
      </w:r>
      <w:r>
        <w:rPr>
          <w:rFonts w:eastAsia="IRNazanin" w:cs="IRNazanin"/>
          <w:color w:val="111111"/>
          <w:sz w:val="28"/>
          <w:szCs w:val="28"/>
          <w:rtl w:val="true"/>
          <w:lang w:bidi="fa-IR"/>
        </w:rPr>
        <w:t>... .</w:t>
      </w:r>
      <w:bookmarkStart w:id="430" w:name="pg2375_19777"/>
    </w:p>
    <w:p>
      <w:pPr>
        <w:pStyle w:val="Heading4"/>
        <w:numPr>
          <w:ilvl w:val="3"/>
          <w:numId w:val="1"/>
        </w:numPr>
        <w:rPr/>
      </w:pPr>
      <w:bookmarkStart w:id="431" w:name="__RefHeading___Toc2903183_3804643083"/>
      <w:bookmarkStart w:id="432" w:name="_Toc162"/>
      <w:bookmarkEnd w:id="430"/>
      <w:bookmarkEnd w:id="431"/>
      <w:r>
        <w:rPr>
          <w:rtl w:val="true"/>
        </w:rPr>
        <w:t>تعريف كاهن در كلمات فقهاء</w:t>
      </w:r>
      <w:bookmarkEnd w:id="432"/>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المحكيّ عن الأكثر في تعريف الكاهن ما في القواعد</w:t>
      </w:r>
      <w:r>
        <w:rPr>
          <w:rStyle w:val="FootnoteAnchor"/>
          <w:rtl w:val="true"/>
        </w:rPr>
        <w:footnoteReference w:id="282"/>
      </w:r>
      <w:r>
        <w:rPr>
          <w:rFonts w:ascii="Amiri" w:hAnsi="Amiri" w:eastAsia="Amiri" w:cs="Amiri"/>
          <w:color w:val="111111"/>
          <w:sz w:val="28"/>
          <w:sz w:val="28"/>
          <w:szCs w:val="28"/>
          <w:rtl w:val="true"/>
          <w:lang w:bidi="ar-SA"/>
        </w:rPr>
        <w:t>،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رَئيٌّ من الجنّ يأتيه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التنقيح</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أما الكهانة فالمشهور أن الكاهن هو الذي له رئي ـ أي صاحب من الجن ـ يأتيه بالأخبار بالمغيبات، كما كان لعمرو بن لحي رئي من الجن، و هو أول من بحر البحائر و سيب السوائب و غير دين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و نسبه في السرائر إلى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رَئيّ على فعيل من رأى،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رَئِيّ القوم، أي صاحب رأيهم،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يكسر راؤه إتباعاً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الرَّئيّ كغنيّ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يرى فَيُحَب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للتابع من الجن رَئِيّ بوزن كَمِيّ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فقهاء در تعريف كاهن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كاهن كسي است كه رَئيّ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رأي، از ماده‌ي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دارد كه أخبار را از آن جنّ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التنقيح الرائع هم اين تعريف را به مشهور نسبت داده، ولي در سرائر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له رئيّ من الجنّ يأتيه بالأخبار، فانّه يقتل ما لم يتب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تحقيق المذهب،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هو الذي له رئيّ من الجنّ يأتيه بالأخبار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رئي بر وزن فعيل از ماده‌ي رأي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رئيّ قوم است؛ يعني صاحب رأي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گاهي هم به خاطر متابعت با كسره‌ي همزه، رئيّ را به كسر راء تلفظ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المحيط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جني است كه ديده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دوست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تابع از جنّ، رئيّ گفته مي‌شود و بر وزن كَمِيّ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لغت آن‌طور كه ابن اثير بيان كرده، استفاده مي‌شود كاهن كسي است كه از حوادث آينده خبر مي‌دهد و اين خبر دادن يا توسط جنّي است كه تابع و رفيق اوست و يا با فراستي كه دارد مي‌تواند از فعل، حال و گفتار سائل پي به قضاياي آينده ببرد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يا مشهور فقهاء هم در تعريف كهانت همين را گفته‌اند، ولي تكيه‌ي آن‌ها بر رئيّ از جنّ است؛ يعني اگر كسي بدون</w:t>
      </w:r>
      <w:bookmarkStart w:id="433" w:name="pg2375_19779"/>
    </w:p>
    <w:p>
      <w:pPr>
        <w:pStyle w:val="BookText"/>
        <w:rPr/>
      </w:pPr>
      <w:bookmarkEnd w:id="433"/>
      <w:r>
        <w:rPr>
          <w:rFonts w:ascii="IRNazanin" w:hAnsi="IRNazanin" w:eastAsia="IRNazanin"/>
          <w:color w:val="111111"/>
          <w:sz w:val="28"/>
          <w:sz w:val="28"/>
          <w:szCs w:val="28"/>
          <w:rtl w:val="true"/>
          <w:lang w:bidi="fa-IR"/>
        </w:rPr>
        <w:t>ارتباط با جنّ پيش‌گويي كند به حسب تعريف مشهورِ فقهاء، كاهن گفته نمي‌شود</w:t>
      </w:r>
      <w:r>
        <w:rPr>
          <w:rFonts w:eastAsia="IRNazanin" w:cs="IRNazanin"/>
          <w:color w:val="111111"/>
          <w:sz w:val="28"/>
          <w:szCs w:val="28"/>
          <w:rtl w:val="true"/>
          <w:lang w:bidi="fa-IR"/>
        </w:rPr>
        <w:t>.</w:t>
      </w:r>
    </w:p>
    <w:p>
      <w:pPr>
        <w:pStyle w:val="Heading4"/>
        <w:numPr>
          <w:ilvl w:val="3"/>
          <w:numId w:val="1"/>
        </w:numPr>
        <w:rPr/>
      </w:pPr>
      <w:bookmarkStart w:id="434" w:name="__RefHeading___Toc2903185_3804643083"/>
      <w:bookmarkStart w:id="435" w:name="_Toc163"/>
      <w:bookmarkEnd w:id="434"/>
      <w:r>
        <w:rPr>
          <w:rtl w:val="true"/>
        </w:rPr>
        <w:t>تعريف كاهن در روايات</w:t>
      </w:r>
      <w:bookmarkEnd w:id="435"/>
    </w:p>
    <w:p>
      <w:pPr>
        <w:pStyle w:val="BookText"/>
        <w:rPr/>
      </w:pPr>
      <w:r>
        <w:rPr>
          <w:rFonts w:ascii="IRNazanin" w:hAnsi="IRNazanin" w:eastAsia="IRNazanin"/>
          <w:color w:val="111111"/>
          <w:sz w:val="28"/>
          <w:sz w:val="28"/>
          <w:szCs w:val="28"/>
          <w:rtl w:val="true"/>
          <w:lang w:bidi="fa-IR"/>
        </w:rPr>
        <w:t>متأسفانه روايتي كه داراي سند قابل اعتماد باشد در اين زمينه وجود ندارد، ولي روايت مفصلّي را مرحوم طبرسي در كتاب شريف الاحتجاج مرسلاً نقل كرده كه تا حدودي تعريف ابن أثير از كهانت و كاهن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سؤالات كثيري را كه زنديقي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و حضرت جواب آن‌ها را داده‌اند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سؤالاتي كه زنديق مطرح مي‌كند، درباره‌ي كهانت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سُؤَالِ الزِّنْدِيقِ الَّذِي سَأَلَ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كَثِيرَةٍ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أَيْنَ أَصْلُ الْكِهَانَةِ وَ مِنْ أَيْنَ يُخْبَرُ النَّاسُ بِمَا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الْكِهَانَةَ كَانَتْ فِي الْجَاهِلِيَّةِ فِي كُلِّ حِينِ فَتْرَةٍ مِنَ الرُّسُلِ كَانَ الْكَاهِنُ بِمَنْزِلَةِ الْحَاكِمِ يَحْتَكِمُونَ إِلَيْهِ فِيمَا يَشْتَبِهُ عَلَيْهِمْ مِنَ الْأُمُورِ بَيْنَهُمْ فَيُخْبِرُهُم عَنْ أَشْيَاءَ تَحْدُثُ وَ ذَلِكَ مِنْ وُجُوهٍ شَتَّى فِرَاسَةِ الْعَيْنِ وَ ذَكَاءِ الْقَلْبِ وَ وَسْوَسَةِ النَّفْسِ وَ فِتْنَةِ الرُّوحِ مَعَ قَذْفٍ فِي قَلْبِهِ لِأَنَّ مَا يَحْدُثُ فِي الْأَرْضِ مِنَ الْحَوَادِثِ الظَّاهِرَةِ فَذَلِكَ يَعْلَمُ الشَّيْطَانُ وَ يُؤَدِّيهِ إِلَى الْكَاهِنِ وَ يُخْبِرُهُ بِمَا يَحْدُثُ فِي الْمَنَازِلِ وَ الْأَطْرَافِ </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كهانت از كجاست و چگونه بعضي به آن‌چه حادث خواهد شد خبر مي‌دهند؟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كهانت در جاهليت در هر فاصله‌اي بين پيامبران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فاصله‌ي بين حضرت موسي و حضرت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فاصله‌ي بين حضرت عيسي و پيامبر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به منزله‌ي حاكم بود كه او را به عنوان حَكَم و قاضي قرار مي‌دادند در اموري كه بر مردم مشتبه مي‌شد و كاهن هم از چيزهايي كه بعداً اتفاق مي‌افتاد خبر مي‌داد و اين خبر دادن، اسباب متعددي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فراست و بينائي چشم، ذكاء و روشني قلب، وسوسه‌ي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چيزهايي كه در درون خود مي‌پرورانده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فطانت و زيركي روح همراه با القاء شدن چيزهايي بر قلب و روحش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شيطان حوادثي را كه در زمين ظاهر و حادث مي‌شود مي‌داند و به كاهن مي‌رساند و آن‌چه كه در منازل و اطراف اتفاق مي‌افتد به او خبر مي‌دهد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 أَمَّا أَخْبَارُ السَّمَاءِ فَإِنَّ الشَّيَاطِينَ كَانَتْ تَقْعُدُ مَقَاعِدَ اسْتِرَاقِ السَّمْعِ إِذْ ذَاكَ وَ هِيَ لَا تَحْجُبُ وَ لَا تُرْجَمُ بِالنُّجُومِ وَ إِنَّمَا مُنِعَتْ مِنِ اسْتِرَاقِ السَّمْعِ لِئَلَّا يَقَعَ فِي الْأَرْضِ سَبَبٌ تُشَاكِلُ الْوَحْيَ مِنْ خَبَرِ السَّمَاءِ فَيَلْبَسُ عَلَى أَهْلِ الْأَرْضِ مَا جَاءَهُمْ عَنِ اللَّهِ لِإِثْبَاتِ الْحُجَّةِ وَ نَفْيِ الشُّبْهَةِ وَ كَانَ الشَّيْطَانُ يَسْتَرِقُ الْكَلِمَةَ الْوَاحِدَةَ مِنْ خَبَرِ السَّمَاءِ بِمَا يَحْدُثُ مِنَ اللَّهِ فِي خَلْقِهِ فَيَخْتَطِفُهَا ثُمَّ يَهْبِطُ بِهَا إِلَى الْأَرْضِ فَيَقْذِفُهَا إِلَى الْكَاهِنِ فَإِذَا قَدْ زَادَ كَلِمَاتٍ مِنْ عِنْدِهِ فَيَخْلِطُ الْحَقَّ بِالْبَاطِلِ </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مربوط به أخبار آسمان است، شياطين در همان زمان فترت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ملأ أعلي در حالي كه فرشتگان با هم صحبت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استراق سمع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نحوي كه مناسب عالم ملأ أعلي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در آن زمان محجوب از آسمان نبودند و با نجوم رجم نمي‌شدند، ولي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بعثت نبي مكرّم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استراق سمع منع شدند، براي اين‌كه در زمين چيزي مشابه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دريافت أخبار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نشود تا بر مردم آن‌چه كه از طرف خدا آمده مشتبه نشود، پس براي اثبات حجت و زدودن شبهه و اشتباه، استراق سمع شياطين ممنوع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بعثت نبي مكرّم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كلامي را از أخبار آسمان از آن‌چه كه از جانب خداوند متعال بنا بود در خلقش اتفاق بيفتد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فلان كس متولد مي‌شود يا مي‌ميرد، فلان جا باران مي‌آيد يا قحطي مي‌شود، سيل مي‌آيد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 سمع مي‌كردند و بعد از ربودن آن به زمين آورده و در قلب كاهن قذف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كاهن هم گاهي آن را كم و زياد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كاهن كلماتي از خود به آن اضافه مي‌كرد، حقّ و باطل را به هم مي‌آميخت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أَصَابَ الْكَاهِنُ مِنْ خَبَرٍ مِمَّا كَانَ يُخْبِرُ بِهِ فَهُوَ مَا أَدَّاهُ إِلَيْهِ الشَّيْطَانُ لِمَا سَمِعَهُ وَ مَا أَخْطَأَ فِيهِ فَهُوَ مِنْ بَاطِلِ مَا زَادَ فِيهِ فَمُنْذُ مُنِعَتِ الشَّيَاطِينُ عَنِ اسْتِرَاقِ السَّمْعِ انْقَطَعَتِ الْكِهَانَةُ وَ الْيَوْمَ إِنَّمَا تُؤَدِّي الشَّيَاطِينُ إِلَى كُهَّانِهَا أَخْبَاراً لِلنَّاسِ بِمَا يَتَحَدَّثُونَ بِهِ وَ مَا يُحَدِّثُونَهُ وَ الشَّيَاطِينُ تُؤَدِّي إِلَى الشَّيَاطِينِ مَا يَحْدُثُ فِي الْبُعْدِ مِنَ الْحَوَادِثِ مِنْ سَارِقٍ سَرَقَ وَ مِنْ قَاتِلٍ قَتَلَ وَ مِنْ غَائِبٍ غَابَ وَ هُمْ بِمَنْزِلَةِ النَّاسِ أَيْضاً صَدُوقٌ وَ كَذُوبٌ </w:t>
      </w:r>
      <w:r>
        <w:rPr>
          <w:rFonts w:eastAsia="Amiri" w:cs="Amiri" w:ascii="Amiri" w:hAnsi="Amiri"/>
          <w:color w:val="111111"/>
          <w:sz w:val="28"/>
          <w:szCs w:val="28"/>
          <w:rtl w:val="true"/>
          <w:lang w:bidi="ar-SA"/>
        </w:rPr>
        <w:t>... .</w:t>
      </w:r>
      <w:r>
        <w:rPr>
          <w:rStyle w:val="FootnoteAnchor"/>
          <w:rtl w:val="true"/>
        </w:rPr>
        <w:footnoteReference w:id="28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كه كاهن درست مي‌گفت و مطابق واقع بود، خبرهايي بود كه شيطان بعد از استراق سمع در قلب او قذف مي‌كرد و آن‌چه كه خطا بود، به خاطر آن چيزهاي باطلي بود كه از پيش خود به آن اضافه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ممنوع شدن شياطين از استراق سمع، كهانت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منقطع شد و امروز أخباري كه شياطين به كاهن‌ها‌يشان مي‌دهند، أخبار درباره‌ي مردم است كه چه صحبت‌هايي با هم مي‌كنند و چه كارهايي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بعضي به بعضي ديگر حوادثي كه در دور حادث مي‌شود، مثل سرقت، قتل و گم‌شدن، خبر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هم مانند مردم راست‌گو و دروغ‌گو دارند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بنابراين از اين روايت استفاده مي‌شود كه منشأ كهانت فراست عين، ذكاء قلب، وسوسه‌ي نفس و فطنة الروح مع قذفٍ في قلبه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 كه شياطين قبل از بعثت حضرت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آسمان را استراق سمع مي‌كردند و در قلب دوستانشان از كَهَنه قذف مي‌كردند و كَهَنه هم گاهي مطالبي از پيش خود به آن اضافه مي‌كردند و همين باعث خطاي گفتار آن‌ها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گاهي هم ممكن بود به خاطر فراستي كه داشتند مطابق واقع باشد، ولي آن أخباري كه تضميني بود أخباري بود كه شياطين از آسمان استراق سمع كرده و در قلب كَهَنه قذف مي‌كردند، به شرط آن‌كه شيطان خبر دهنده دروغ نگويد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بعثت خاتم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شياطين به أخبار آسمان دسترسي ندارند و فقط أخبار زميني و أخباري را كه در مورد مردم است ـ كه چه صحبت‌هايي با هم مي‌كنند و چه كارهايي را تصميم گرفته‌اند انجام دهند ـ به كاهنان اطلاع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w:t>
      </w:r>
    </w:p>
    <w:p>
      <w:pPr>
        <w:pStyle w:val="BookText"/>
        <w:rPr/>
      </w:pPr>
      <w:r>
        <w:rPr>
          <w:rFonts w:ascii="Amiri" w:hAnsi="Amiri" w:eastAsia="Amiri" w:cs="Amiri"/>
          <w:color w:val="111111"/>
          <w:sz w:val="28"/>
          <w:sz w:val="28"/>
          <w:szCs w:val="28"/>
          <w:rtl w:val="true"/>
          <w:lang w:bidi="ar-SA"/>
        </w:rPr>
        <w:t>هم از آن جايي كه مثل مردم، صدوق و كذوب دارند، از اين جهت هم مي‌تواند خبر كاهنان مطابق يا غير مطابق با واقع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مي‌شود اين‌كه بعضي فرموده‌اند كاهن از مستقبل خبر مي‌دهد، بايد بگوييم به خاطر اهميت آن گفته‌اند و الا اختصاص به امور مستقبل ندارد و اصلاً مرسوم بود كاهنان درباره‌ي اموال مسروقه و گم‌شده خبر مي‌دادند كه در كجا قرار دارد و روايت هم آن را تأييد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سَارِقٍ سَرَقَ وَ مِنْ قَاتِلٍ قَتَلَ وَ مِنْ غَائِبٍ غَابَ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تعريف جامع اين است كه بگوييم كاهن غيب‌گو است و منشأ غيب‌گوئي‌اش هم يك امر قطعي و عقلائي نمي‌تواند باشد؛ يعني آن‌چه از روايت استفاده مي‌شود و از لغت هم حدس زده مي‌شود، اين است كه منشأ غيب‌گويي بايد يك نوع ابهامي در آن باشد و الا اگر كسي طبق محاسبات و فرمول‌هاي علمي محاسبه كند و مطلبي را علي سبيل القطع يا علي سبيل الظن بگويد، نمي‌توانيم بگوييم تكهّن يا فهو كاهن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اقتصاد‌دان ماهري با محاسبه‌ي عوامل و فاكتورهاي دخيل در اقتصاد يك كشور بگويد با اين سطح ذخيره‌ي ارزي، با اين مقدار توليد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ديگر بايد رشد اقتصاد يا ركود آن فلان مقدار باشد، اين‌ها گرچه همه پيش‌گويي است ولي هيچ كس نمي‌گويد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مقدمات براي همه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مقدماتي كه كاهن استفاده مي‌كند نبايد چيز معلومي باشد، بلكه بايد يك نوع ابهامي در آن باشد و فقط افراد استثنايي بتوانند آن را بفهمند كه در اين روايت،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علي فرض صدور ـ وجوه آن ابهام‌ها را بيان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مي‌شود اين‌كه مرحوم شيخ تمايل دارند بگويند</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قذفٍ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قيداً للأخير،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فطنة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الكهانة بغير قذف الشياطين، كما هو ظاهر ما تقدم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قيداً لجميع الوجوه المذكورة، فيكون المراد تركّب أخبار الكاهن ممّا يقذفه الشيطان، و ما يحدث في نفسه، لتلك الوجوه و غيرها، كما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كلمات من عنده فيخلط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انقطعت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ما عن المُغْرِب من أنّ الكهانة في العرب كانت قبل المبعث، قبل منع الشياطين عن استراق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تؤدّي الشياطين إلى كهّانها أخباراً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قذفٍ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صدق الكاهن على من لا يخبر إلّا بإخبار الأرض، فيكون المراد من الكهانة 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 الكاملة التي يكون الكاهن بها حاكماً في جميع ما يتحاكمون إليه من المشتبهات، كما ذُكر في أول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خلاف في حرمة الكهانة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قَذْفٍ فِي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هر چهار وجه باشد؛ نه فقط براي فطنة الروح، درست است، هرچند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كَلِمَاتٍ مِنْ عِنْدِهِ فَيَخْلِطُ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عنوان شاهد بر رجوع قيد بر جميع ذكر مي‌كنند ـ يعني وقتي چيزي را از جانب خودش اضافه مي‌كند، احتمال خطا در آن راه مي‌يابد و خطا از ناحيه‌ي</w:t>
      </w:r>
    </w:p>
    <w:p>
      <w:pPr>
        <w:pStyle w:val="BookText"/>
        <w:rPr/>
      </w:pPr>
      <w:r>
        <w:rPr>
          <w:rFonts w:ascii="IRNazanin" w:hAnsi="IRNazanin" w:eastAsia="IRNazanin"/>
          <w:color w:val="111111"/>
          <w:sz w:val="28"/>
          <w:sz w:val="28"/>
          <w:szCs w:val="28"/>
          <w:rtl w:val="true"/>
          <w:lang w:bidi="fa-IR"/>
        </w:rPr>
        <w:t xml:space="preserve">اضافات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مي‌شود اخبار كاهن از طريق ارتباط با شياطين است و اين‌كه بعضي اوقات أخبارش غير مطابق واقع است، به خاطر اضافاتي است كه از ناحيه‌ي خودش بر آن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ما نمي‌تواند شاهد خوبي بر مدعا باشد، بلكه شاهد بهتر آن است كه بگوييم دو مورد از چهار موردي كه روايت ذكر فرموده با هم تفاوتي ندارد و آن ذكاء القلب و فطنة الروح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ذكاء؛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 الفهم و سرعة الفهم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الذَّكَاءُ،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الذَّكَاءُ في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فَهْماً تامّاً سريع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الذَّكِيُّ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ذَكِيٌّ، و صبي ذَكِيٌّ، إذا كان سريع 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 يَذْكَى ذَكَاءً، و ذَكَا يَذْكُو ذَكَاءً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يعني فهم دقيق و لطيف، بنابراين اين دو مورد با هم تفاوتي ندارد و از طرفي فراسة العين هم به ذكاء القلب برمي‌گردد؛ چون چشم يك ابزار است و ممكن است چشمِ كسي قوي‌تر از ديگري باشد، ولي آن انتقالات در حقيقت مال روح است، پس وجهي براي اين‌كه قيد فقط براي فطنة الروح باشد، نيست و اظهر آن است كه قيد براي هر چهار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روايت از لحاظ سند مرسله بوده و نمي‌تواند حجّت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توانستيم از معناي كهانت به دست بياوريم</w:t>
      </w:r>
    </w:p>
    <w:p>
      <w:pPr>
        <w:pStyle w:val="BookText"/>
        <w:rPr/>
      </w:pPr>
      <w:r>
        <w:rPr>
          <w:rFonts w:ascii="IRNazanin" w:hAnsi="IRNazanin" w:eastAsia="IRNazanin"/>
          <w:color w:val="111111"/>
          <w:sz w:val="28"/>
          <w:sz w:val="28"/>
          <w:szCs w:val="28"/>
          <w:rtl w:val="true"/>
          <w:lang w:bidi="fa-IR"/>
        </w:rPr>
        <w:t>خلاصه‌اش اين است كه إخبار از كائنات از طريق ارتباط با شياطين و نيروهاي اهريمني كه براي عموم مردم غير عادي و نامحسوس است، كهانت گفته مي‌شود و بيش از آن براي ما ثابت نيست كه كهانت بر آن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كسي خيلي فراست و هوشياري داشته باشد به نحوي كه وقتي به چشم كسي نگاه مي‌كند از حالاتش خيلي چيزها را مي‌فهمد</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 اين‌طور هم نيست كه همه‌ي اين‌ها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واقعاً حدس‌هاي صائبي دارند؛ مثلاً بعضي در امر تجارت واقعاً مي‌توانند بازار را حدس بزنند كه چه جنسي بخرند، چه مقدار نگه دارند و كي بفروشند تا بالاترين سود را ببرند، برخلاف بعضي ديگر كه در بدترين شرايط مي‌خرند و در بدترين وضع مي‌فروشند و حتّي سرمايه‌ي خود را هم از دست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مورد مهندسي، بعضي مي‌توانند قيمت خانه‌هاي مختلف در جاهاي مختلف شهر را تخمين بزنند به نحوي كه ديگران چنين توانايي را ندارند و اين يك قدرت خدادادي است كه فقط بعضي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شياطين يا جنّيان ارتباط برقرار نمي‌كند، نمي‌توانيم بگوييم كاهن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 عَنِ ابْنِ فَضَّالٍ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رِجالٌ مِنَ الْإِنْسِ يَعُوذُونَ بِرِجالٍ مِنَ الْجِنِّ فَزادُوهُمْ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يَنْطَلِقُ إِلَى الْكَاهِنِ الَّذِي كَانَ يُوحِي إِلَيْهِ الشَّيْطَانُ فَيَقُولُ قُلْ لِشَيْطَانِكَ إِنَّ فُلَاناً فَقَدْ عَاذَ 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احكام كهانت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w:t>
      </w:r>
      <w:bookmarkStart w:id="436" w:name="pg2375_19788"/>
    </w:p>
    <w:p>
      <w:pPr>
        <w:pStyle w:val="BookText"/>
        <w:rPr/>
      </w:pPr>
      <w:bookmarkEnd w:id="436"/>
      <w:r>
        <w:rPr>
          <w:rFonts w:ascii="IRNazanin" w:hAnsi="IRNazanin" w:eastAsia="IRNazanin"/>
          <w:color w:val="111111"/>
          <w:sz w:val="28"/>
          <w:sz w:val="28"/>
          <w:szCs w:val="28"/>
          <w:rtl w:val="true"/>
          <w:lang w:bidi="fa-IR"/>
        </w:rPr>
        <w:t>جهت قائفيني كه چنين فراستي را دارند كه از حركات، رفتار و چهره‌ي شخص مي‌توانند نسب او را تشخيص دهند، كاهن بر آن‌ها اطلاق نمي‌شود، پس معلوم مي‌شود كاهن يك ارتباط ماورائي با نيروهاي ديگر دارد، گرچه در لغت گفته‌اند اصل كهانت ارتباط ماورائي با خصوص نيروهاي خيّر بوده و مدعي شده‌اند حتّي جناب هارون علي نبينا و آله و عليه السلام كاهن بودند كه ثابت نيست؛ چون در كتاب‌هايي كه جزء اسرائيليات است وارد شده و قابل اعتماد نيست</w:t>
      </w:r>
      <w:r>
        <w:rPr>
          <w:rFonts w:eastAsia="IRNazanin" w:cs="IRNazanin"/>
          <w:color w:val="111111"/>
          <w:sz w:val="28"/>
          <w:szCs w:val="28"/>
          <w:rtl w:val="true"/>
          <w:lang w:bidi="fa-IR"/>
        </w:rPr>
        <w:t>.</w:t>
      </w:r>
    </w:p>
    <w:p>
      <w:pPr>
        <w:pStyle w:val="Heading4"/>
        <w:numPr>
          <w:ilvl w:val="3"/>
          <w:numId w:val="1"/>
        </w:numPr>
        <w:rPr/>
      </w:pPr>
      <w:bookmarkStart w:id="437" w:name="__RefHeading___Toc2903187_3804643083"/>
      <w:bookmarkStart w:id="438" w:name="_Toc164"/>
      <w:bookmarkEnd w:id="437"/>
      <w:r>
        <w:rPr>
          <w:rtl w:val="true"/>
        </w:rPr>
        <w:t>ادلّه‌ي حرمت كهانت</w:t>
      </w:r>
      <w:bookmarkEnd w:id="438"/>
    </w:p>
    <w:p>
      <w:pPr>
        <w:pStyle w:val="Heading5"/>
        <w:numPr>
          <w:ilvl w:val="4"/>
          <w:numId w:val="1"/>
        </w:numPr>
        <w:rPr/>
      </w:pPr>
      <w:bookmarkStart w:id="439" w:name="__RefHeading___Toc2903189_3804643083"/>
      <w:bookmarkStart w:id="440" w:name="_Toc165"/>
      <w:bookmarkEnd w:id="439"/>
      <w:r>
        <w:rPr>
          <w:rtl w:val="true"/>
        </w:rPr>
        <w:t>الف</w:t>
      </w:r>
      <w:r>
        <w:rPr>
          <w:rtl w:val="true"/>
        </w:rPr>
        <w:t xml:space="preserve">: </w:t>
      </w:r>
      <w:r>
        <w:rPr>
          <w:rtl w:val="true"/>
        </w:rPr>
        <w:t>ارتباط رفاقتي با شياطين و عدم استعاذه از آنان</w:t>
      </w:r>
      <w:bookmarkEnd w:id="44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همان‌طور كه بيان كرديم ارتباط دوستانه با شياطين جزء مقوّم تعريف كهانت باشد، بعيد نيست از همين ماهيت كهانت بتوانيم استفاده‌ي حرمت آن كنيم؛ زيرا صرف ارتباط رفاقتي و عدم اجتناب و استعاذه نكردن به خداوند متعال از شيطان، بعيد نيست كافي در حرمت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شيطان به نحو اتفاقي مطلبي را القاء كرده و از اين طرف پذيرشي نباشد كه مورد</w:t>
      </w:r>
      <w:bookmarkStart w:id="441" w:name="pg2375_19789"/>
    </w:p>
    <w:p>
      <w:pPr>
        <w:pStyle w:val="BookText"/>
        <w:rPr/>
      </w:pPr>
      <w:bookmarkEnd w:id="441"/>
      <w:r>
        <w:rPr>
          <w:rFonts w:ascii="IRNazanin" w:hAnsi="IRNazanin" w:eastAsia="IRNazanin"/>
          <w:color w:val="111111"/>
          <w:sz w:val="28"/>
          <w:sz w:val="28"/>
          <w:szCs w:val="28"/>
          <w:rtl w:val="true"/>
          <w:lang w:bidi="fa-IR"/>
        </w:rPr>
        <w:t>عنايت شيطان قرار بگيرد، نمي‌توانيم بگوييم حرام است، امّا اگر كسي رابطه‌ي دوستي با شيطان داشته باشد، گرچه باز به نحو قاطع نمي‌توانيم بگوييم حرام است امّا زمينه‌ي خوبي براي اثبات حرمتش درست مي‌كند</w:t>
      </w:r>
      <w:r>
        <w:rPr>
          <w:rFonts w:eastAsia="IRNazanin" w:cs="IRNazanin"/>
          <w:color w:val="111111"/>
          <w:sz w:val="28"/>
          <w:szCs w:val="28"/>
          <w:rtl w:val="true"/>
          <w:lang w:bidi="fa-IR"/>
        </w:rPr>
        <w:t>.</w:t>
      </w:r>
    </w:p>
    <w:p>
      <w:pPr>
        <w:pStyle w:val="Heading5"/>
        <w:numPr>
          <w:ilvl w:val="4"/>
          <w:numId w:val="1"/>
        </w:numPr>
        <w:rPr/>
      </w:pPr>
      <w:bookmarkStart w:id="442" w:name="__RefHeading___Toc2903191_3804643083"/>
      <w:bookmarkStart w:id="443" w:name="_Toc166"/>
      <w:bookmarkEnd w:id="442"/>
      <w:r>
        <w:rPr>
          <w:rtl w:val="true"/>
        </w:rPr>
        <w:t>ب</w:t>
      </w:r>
      <w:r>
        <w:rPr>
          <w:rtl w:val="true"/>
        </w:rPr>
        <w:t xml:space="preserve">: </w:t>
      </w:r>
      <w:r>
        <w:rPr>
          <w:rtl w:val="true"/>
        </w:rPr>
        <w:t>روايات دالّ بر حرمت كهانت</w:t>
      </w:r>
      <w:bookmarkEnd w:id="443"/>
    </w:p>
    <w:p>
      <w:pPr>
        <w:pStyle w:val="Heading6"/>
        <w:numPr>
          <w:ilvl w:val="5"/>
          <w:numId w:val="1"/>
        </w:numPr>
        <w:rPr/>
      </w:pPr>
      <w:bookmarkStart w:id="444" w:name="__RefHeading___Toc2903193_3804643083"/>
      <w:bookmarkStart w:id="445" w:name="_Toc167"/>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روايات متعددي بيان مي‌كند كهانت حرام است، البته هيچ كدام اين روايات از لحاظ سند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عبارتند از</w:t>
      </w:r>
      <w:r>
        <w:rPr>
          <w:rFonts w:eastAsia="IRNazanin" w:cs="IRNazanin"/>
          <w:color w:val="111111"/>
          <w:sz w:val="28"/>
          <w:szCs w:val="28"/>
          <w:rtl w:val="true"/>
          <w:lang w:bidi="fa-IR"/>
        </w:rPr>
        <w:t>:</w:t>
      </w:r>
    </w:p>
    <w:p>
      <w:pPr>
        <w:pStyle w:val="Heading6"/>
        <w:numPr>
          <w:ilvl w:val="5"/>
          <w:numId w:val="1"/>
        </w:numPr>
        <w:rPr/>
      </w:pPr>
      <w:bookmarkStart w:id="446" w:name="__RefHeading___Toc2903195_3804643083"/>
      <w:bookmarkStart w:id="447" w:name="_Toc168"/>
      <w:bookmarkEnd w:id="446"/>
      <w:r>
        <w:rPr/>
        <w:t>1</w:t>
      </w:r>
      <w:r>
        <w:rPr>
          <w:rtl w:val="true"/>
        </w:rPr>
        <w:t xml:space="preserve">. </w:t>
      </w:r>
      <w:r>
        <w:rPr>
          <w:rtl w:val="true"/>
        </w:rPr>
        <w:t>روايت أبي سعيد</w:t>
      </w:r>
      <w:r>
        <w:rPr>
          <w:rtl w:val="true"/>
        </w:rPr>
        <w:t>:</w:t>
      </w:r>
      <w:bookmarkEnd w:id="447"/>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أَحْمَدَ بْنِ إِدْرِيسَ عَنْ أَبِيهِ عَنْ سَعْدٍ عَنْ يَعْقُوبَ بْنِ يَزِيدَ عَنْ مُحَمَّدِ بْنِ أَبِي عُمَيْرٍ عَنْ مُعَاوِيَةَ بْنِ وَهْبٍ عَنْ أَبِي سَعِيدٍ هَاشِمٍ عَنْ أَبِي عَبْدِ اللَّهِ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يَدْخُلُونَ الْجَنَّةَ الْكَاهِنُ وَ الْمُنَافِقُ وَ مُدْمِنُ الْخَمْرِ وَ الْقَتَّاتُ وَ هُوَ النَّمَّامُ</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اين روايت از لحاظ سند به خاطر الحسين بن أحمد بن ادريس و أبي سعيد هاشم</w:t>
      </w:r>
      <w:r>
        <w:rPr>
          <w:rStyle w:val="FootnoteAnchor"/>
          <w:rtl w:val="true"/>
        </w:rPr>
        <w:footnoteReference w:id="291"/>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حيان أبو سعيد المكاري، روى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يرويه جماعة،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بن 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عنه في ترجمة ابنه الحسين أنه كان هو و أبوه وجهين في الواقفة، و عد الشيخ هشام بن حيان الكوفي مولى بني عقيل، أبا سعيد المكاري في رجاله من أصحاب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سعيد المكاري و كان واقفيا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أبلغ من قدرك أنك تدعي ما ادعاه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أطفأ الله نورك و أدخل الفقر بيتك، أما علمت أن الله عز و جل أوحى إلى عمران، أني واهب لك ذكرا، يبرئ الأكمه و الأبرص، فوهب له مريم و وهب لمريم عيسى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توثيق ندارند، ناتمام است</w:t>
      </w:r>
      <w:r>
        <w:rPr>
          <w:rFonts w:eastAsia="Amiri" w:cs="Amiri" w:ascii="Amiri" w:hAnsi="Amiri"/>
          <w:color w:val="111111"/>
          <w:sz w:val="28"/>
          <w:szCs w:val="28"/>
          <w:rtl w:val="true"/>
          <w:lang w:bidi="ar-SA"/>
        </w:rPr>
        <w:t>.</w:t>
      </w:r>
      <w:bookmarkStart w:id="448" w:name="pg2375_19790"/>
    </w:p>
    <w:p>
      <w:pPr>
        <w:pStyle w:val="BookText"/>
        <w:rPr/>
      </w:pPr>
      <w:bookmarkEnd w:id="448"/>
      <w:r>
        <w:rPr>
          <w:rFonts w:ascii="Amiri" w:hAnsi="Amiri" w:eastAsia="Amiri" w:cs="Amiri"/>
          <w:color w:val="111111"/>
          <w:sz w:val="28"/>
          <w:sz w:val="28"/>
          <w:szCs w:val="28"/>
          <w:rtl w:val="true"/>
          <w:lang w:bidi="ar-SA"/>
        </w:rPr>
        <w:t>دلالت اين روايت بر حرمت كهانت تمام است، ولي بايد توجه داشت با يك يا دو بار كهانت، كاهن بر او صدق نمي‌كند بايد به حدّي باشد كه صدق كند، در آن صورت روايت دالّ بر حرمت آن است</w:t>
      </w:r>
      <w:r>
        <w:rPr>
          <w:rStyle w:val="FootnoteAnchor"/>
          <w:rtl w:val="true"/>
        </w:rPr>
        <w:footnoteReference w:id="292"/>
      </w:r>
      <w:r>
        <w:rPr>
          <w:rFonts w:ascii="Amiri" w:hAnsi="Amiri" w:eastAsia="Amiri" w:cs="Amiri"/>
          <w:color w:val="111111"/>
          <w:sz w:val="28"/>
          <w:sz w:val="28"/>
          <w:szCs w:val="28"/>
          <w:rtl w:val="true"/>
          <w:lang w:bidi="ar-SA"/>
        </w:rPr>
        <w:t>و بيش از آن، از اين روايت استفاده نمي‌شود</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2903197_3804643083"/>
      <w:bookmarkStart w:id="450" w:name="_Toc169"/>
      <w:bookmarkEnd w:id="449"/>
      <w:r>
        <w:rPr/>
        <w:t>2</w:t>
      </w:r>
      <w:r>
        <w:rPr>
          <w:rtl w:val="true"/>
        </w:rPr>
        <w:t xml:space="preserve">. </w:t>
      </w:r>
      <w:r>
        <w:rPr>
          <w:rtl w:val="true"/>
        </w:rPr>
        <w:t>روايت أبي بصير</w:t>
      </w:r>
      <w:r>
        <w:rPr>
          <w:rtl w:val="true"/>
        </w:rPr>
        <w:t>:</w:t>
      </w:r>
      <w:bookmarkEnd w:id="45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رَضِيَ اللَّهُ عَنْهُ قَالَ حَدَّثَنَا سَعْدُ بْنُ عَبْدِ اللَّهِ عَنْ يَعْقُوبَ بْنِ يَزِيدَ عَنْ مُحَمَّدِ بْنِ أَبِي عُمَيْرٍ عَنْ</w:t>
      </w:r>
      <w:bookmarkStart w:id="451" w:name="pg2375_19791"/>
    </w:p>
    <w:p>
      <w:pPr>
        <w:pStyle w:val="BookText"/>
        <w:rPr/>
      </w:pPr>
      <w:bookmarkEnd w:id="451"/>
      <w:r>
        <w:rPr>
          <w:rFonts w:ascii="Amiri" w:hAnsi="Amiri" w:eastAsia="Amiri" w:cs="Amiri"/>
          <w:color w:val="111111"/>
          <w:sz w:val="28"/>
          <w:sz w:val="28"/>
          <w:szCs w:val="28"/>
          <w:rtl w:val="true"/>
          <w:lang w:bidi="ar-SA"/>
        </w:rPr>
        <w:t>عَلِيِّ بْنِ أَبِي حَمْزَةَ عَنْ أَبِي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تَكَهَّنَ أَوْ تُكُهِّنَ لَهُ فَقَدْ بَرِئَ مِنْ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تَأْتِيَهُمْ وَ قَلَّ</w:t>
      </w:r>
      <w:r>
        <w:rPr>
          <w:rStyle w:val="FootnoteAnchor"/>
          <w:rtl w:val="true"/>
        </w:rPr>
        <w:footnoteReference w:id="293"/>
      </w:r>
      <w:r>
        <w:rPr>
          <w:rFonts w:ascii="Amiri" w:hAnsi="Amiri" w:eastAsia="Amiri" w:cs="Amiri"/>
          <w:color w:val="111111"/>
          <w:sz w:val="28"/>
          <w:sz w:val="28"/>
          <w:szCs w:val="28"/>
          <w:rtl w:val="true"/>
          <w:lang w:bidi="ar-SA"/>
        </w:rPr>
        <w:t>مَا يَقُولُونَ شَيْئاً إِلَّا كَانَ قَرِيباً مِمَّا يَقُولُونَ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الْقِيَافَةُ فَضْلَةٌ مِنَ النُّبُوَّةِ ذَهَبَتْ فِي النَّاسِ</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ابوبصير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تكهّن كند يا براي او تكهّن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تقاضاي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پس قيافه چي؟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پيش قيافه شناس بروي و كم است چيزي كه مي‌گويند إلا آن‌كه قريب به آن‌چه كه مي‌گويند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سرريزي از نبوّت است كه در ميان مردم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دلالت اين روايت بر حرمت عمل كهانت و نيز طلب كهانت، آن هم با تعبير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بَرِئَ مِنْ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است</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2903199_3804643083"/>
      <w:bookmarkStart w:id="453" w:name="_Toc170"/>
      <w:bookmarkEnd w:id="452"/>
      <w:r>
        <w:rPr/>
        <w:t>3</w:t>
      </w:r>
      <w:r>
        <w:rPr>
          <w:rtl w:val="true"/>
        </w:rPr>
        <w:t xml:space="preserve">. </w:t>
      </w:r>
      <w:r>
        <w:rPr>
          <w:rtl w:val="true"/>
        </w:rPr>
        <w:t>روايت نصر بن قابوس</w:t>
      </w:r>
      <w:r>
        <w:rPr>
          <w:rtl w:val="true"/>
        </w:rPr>
        <w:t>:</w:t>
      </w:r>
      <w:bookmarkEnd w:id="45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الْخِصَالِ عَنْ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الصَّفَّارِ عَنِ الْحَسَنِ بْنِ عَلِيٍّ</w:t>
      </w:r>
    </w:p>
    <w:p>
      <w:pPr>
        <w:pStyle w:val="BookText"/>
        <w:rPr/>
      </w:pPr>
      <w:r>
        <w:rPr>
          <w:rFonts w:ascii="Amiri" w:hAnsi="Amiri" w:eastAsia="Amiri" w:cs="Amiri"/>
          <w:color w:val="111111"/>
          <w:sz w:val="28"/>
          <w:sz w:val="28"/>
          <w:szCs w:val="28"/>
          <w:rtl w:val="true"/>
          <w:lang w:bidi="ar-SA"/>
        </w:rPr>
        <w:t>الْكُوفِيِّ عَنْ إِسْحَاقَ بْنِ إِبْرَاهِيمَ عَنْ نَصْرِ بْنِ قَابُوسَ</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نصر بن قابوس اللخمي القابوسي روى عن أبي عبد الله و أبي إبراهيم و أبي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ذا منزلة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مفضل بن إبراهيم بن مفضل بن قيس بن رمانة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قابوس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نصر روى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نصر روى عن أبيه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رَوَى النَّصَّ عَلَى الرِّضَا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مِنْ أَبِيهِ وَ الْإِشَارَةِ إِلَيْهِ مِنْهُ بِذَلِكَ مِنْ خَاصَّتِهِ وَ ثِقَاتِهِ وَ أَهْلِ الْوَرَعِ وَ الْعِلْمِ وَ الْفِقْهِ مِنْ شِيعَتِهِ دَاوُدُ بْنُ كَثِيرٍ الرَّقِّيُّ وَ مُحَمَّدُ بْنُ إِسْحَاقَ بْنِ عَمَّارٍ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قَابُوسَ وَ دَاوُدُ بْنُ زُرْبِيٍّ وَ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المحمودين حمران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نصر بن قابوس اللخمي فروي أنه كان وكيلا لأبي عبد الله عشرين سنة و لم يعلم أنه وكيل و كان خيرا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مَلْعُونٌ وَ الْكَاهِنُ مَلْعُونٌ وَ السَّاحِرُ مَلْعُونٌ وَ الْمُغَنِّيَةُ مَلْعُونَةٌ وَ مَنْ آوَاهَا مَلْعُونٌ وَ آكِلُ كَسْبِهَا مَلْعُونٌ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از لحاظ سند به خاطر اسحاق بن ابراهيم</w:t>
      </w:r>
      <w:r>
        <w:rPr>
          <w:rStyle w:val="FootnoteAnchor"/>
          <w:rtl w:val="true"/>
        </w:rPr>
        <w:footnoteReference w:id="296"/>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دلالت آن بر حرمت روشن است؛ چون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ملعون است</w:t>
      </w:r>
      <w:r>
        <w:rPr>
          <w:rFonts w:eastAsia="IRNazanin" w:cs="IRNazanin"/>
          <w:color w:val="111111"/>
          <w:sz w:val="28"/>
          <w:szCs w:val="28"/>
          <w:rtl w:val="true"/>
          <w:lang w:bidi="fa-IR"/>
        </w:rPr>
        <w:t>.</w:t>
      </w:r>
      <w:bookmarkStart w:id="454" w:name="pg2375_19793"/>
    </w:p>
    <w:p>
      <w:pPr>
        <w:pStyle w:val="BookText"/>
        <w:rPr/>
      </w:pPr>
      <w:bookmarkEnd w:id="454"/>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بر موارد غير حرام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شده،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أَلْقَى كَلَّهُ عَلَى النَّاسِ</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أَبِي عَبْدِ اللَّهِ عَنْ أَبِي الْخَزْرَجِ الْأَنْصَارِيِّ عَنْ عَلِيِّ بْنِ غُرَابٍ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أَلْقَى كَلَّهُ عَلَى النَّاسِ مَلْعُونٌ مَلْعُونٌ مَنْ ضَيَّعَ مَنْ يَعُولُ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نمي‌توانيم استفاده‌ي حرمت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جايي قرينه بر عدم حرمت وجود داشته باشد حمل بر حرمت نمي‌شود، امّا اگر چنين قرينه‌اي وجود نداشته باشد يا قرينه‌اي بر حرمت وجود داشته باشد ـ مانند ما نحن فيه كه در كنار موارد معلوم الحرمة ذكر شده ـ حمل بر حرمت مي‌شود</w:t>
      </w:r>
      <w:r>
        <w:rPr>
          <w:rFonts w:eastAsia="IRNazanin" w:cs="IRNazanin"/>
          <w:color w:val="111111"/>
          <w:sz w:val="28"/>
          <w:szCs w:val="28"/>
          <w:rtl w:val="true"/>
          <w:lang w:bidi="fa-IR"/>
        </w:rPr>
        <w:t>.</w:t>
      </w:r>
    </w:p>
    <w:p>
      <w:pPr>
        <w:pStyle w:val="Heading6"/>
        <w:numPr>
          <w:ilvl w:val="5"/>
          <w:numId w:val="1"/>
        </w:numPr>
        <w:rPr/>
      </w:pPr>
      <w:bookmarkStart w:id="455" w:name="__RefHeading___Toc2903201_3804643083"/>
      <w:bookmarkStart w:id="456" w:name="_Toc171"/>
      <w:bookmarkEnd w:id="455"/>
      <w:r>
        <w:rPr/>
        <w:t>4</w:t>
      </w:r>
      <w:r>
        <w:rPr>
          <w:rtl w:val="true"/>
        </w:rPr>
        <w:t xml:space="preserve">. </w:t>
      </w:r>
      <w:r>
        <w:rPr>
          <w:rtl w:val="true"/>
        </w:rPr>
        <w:t>عبارتي در نهج البلاغة</w:t>
      </w:r>
      <w:r>
        <w:rPr>
          <w:rtl w:val="true"/>
        </w:rPr>
        <w:t>:</w:t>
      </w:r>
      <w:bookmarkEnd w:id="456"/>
    </w:p>
    <w:p>
      <w:pPr>
        <w:pStyle w:val="BookText"/>
        <w:rPr/>
      </w:pPr>
      <w:r>
        <w:rPr>
          <w:rFonts w:ascii="Amiri" w:hAnsi="Amiri" w:eastAsia="Amiri" w:cs="Amiri"/>
          <w:color w:val="111111"/>
          <w:sz w:val="28"/>
          <w:sz w:val="28"/>
          <w:szCs w:val="28"/>
          <w:rtl w:val="true"/>
          <w:lang w:bidi="ar-SA"/>
        </w:rPr>
        <w:t>أَيُّهَا النَّاسُ إِيَّاكُمْ وَ تَعَلُّمَ النُّجُومِ إِلَّا مَا يُهْتَدَى بِهِ فِي بَرٍّ أَوْ بَحْرٍ فَإِنَّهَا تَدْعُو إِلَى الْكَهَانَةِ وَ الْمُنَجِّمُ كَالْكَاهِنِ وَ الْكَاهِنُ كَالسَّاحِرِ وَ السَّاحِرُ كَالْكَافِرِ وَ الْكَافِرُ فِي النَّارِ</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اين روايت بر حرمت تمام است؛ چون مي‌فرمايد كاهن</w:t>
      </w:r>
      <w:bookmarkStart w:id="457" w:name="pg2375_19794"/>
    </w:p>
    <w:p>
      <w:pPr>
        <w:pStyle w:val="BookText"/>
        <w:rPr/>
      </w:pPr>
      <w:bookmarkEnd w:id="457"/>
      <w:r>
        <w:rPr>
          <w:rFonts w:ascii="IRNazanin" w:hAnsi="IRNazanin" w:eastAsia="IRNazanin"/>
          <w:color w:val="111111"/>
          <w:sz w:val="28"/>
          <w:sz w:val="28"/>
          <w:szCs w:val="28"/>
          <w:rtl w:val="true"/>
          <w:lang w:bidi="fa-IR"/>
        </w:rPr>
        <w:t>مانند ساحر و ساحر مانند كافر است و كافر در آتش است، امّا از نظر سند قبلاً توضيح داده‌ايم كه گرچه كلّيت نهج البلاغة اطمينان وجود دارد از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اصلاً از كسي غير از حضرت نمي‌تواند صادر شود، ولي اطمينان به تك‌تك كلمات و عبارات به نحوي كه از لحاظ فقهي حجّت باشد نمي‌توان حاصل كرد</w:t>
      </w:r>
      <w:r>
        <w:rPr>
          <w:rFonts w:eastAsia="IRNazanin" w:cs="IRNazanin"/>
          <w:color w:val="111111"/>
          <w:sz w:val="28"/>
          <w:szCs w:val="28"/>
          <w:rtl w:val="true"/>
          <w:lang w:bidi="fa-IR"/>
        </w:rPr>
        <w:t>.</w:t>
      </w:r>
    </w:p>
    <w:p>
      <w:pPr>
        <w:pStyle w:val="Heading6"/>
        <w:numPr>
          <w:ilvl w:val="5"/>
          <w:numId w:val="1"/>
        </w:numPr>
        <w:rPr/>
      </w:pPr>
      <w:bookmarkStart w:id="458" w:name="__RefHeading___Toc2903203_3804643083"/>
      <w:bookmarkStart w:id="459" w:name="_Toc172"/>
      <w:bookmarkEnd w:id="458"/>
      <w:r>
        <w:rPr/>
        <w:t>5</w:t>
      </w:r>
      <w:r>
        <w:rPr>
          <w:rtl w:val="true"/>
        </w:rPr>
        <w:t xml:space="preserve">. </w:t>
      </w:r>
      <w:r>
        <w:rPr>
          <w:rtl w:val="true"/>
        </w:rPr>
        <w:t>روايت أبي خالد الكابلي</w:t>
      </w:r>
      <w:r>
        <w:rPr>
          <w:rtl w:val="true"/>
        </w:rPr>
        <w:t>:</w:t>
      </w:r>
      <w:bookmarkEnd w:id="459"/>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الْقَطَّانِ عَنْ أَحْمَدَ بْنِ يَحْيَى بْنِ زَكَرِيَّا عَنْ بَكْرِ بْنِ عَبْدِ اللَّهِ بْنِ حَبِيبٍ عَنْ تَمِيمِ بْنِ بُهْلُولٍ عَنْ أَبِيهِ عَنْ عَبْدِ اللَّهِ بْنِ الْفَضْلِ عَنْ أَبِيهِ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الَّتِي تُغَيِّرُ النِّعَمَ الْبَغْيُ عَلَى النَّاسِ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الذُّنُوبُ الَّتِي تُظْلِمُ الْهَوَاءَ السِّحْرُ وَ الْكِهَانَةُ وَ الْإِيمَانُ بِالنُّجُومِ وَ التَّكْذِيبُ بِالْقَدَرِ وَ عُقُوقُ الْوَالِدَيْنِ </w:t>
      </w:r>
      <w:r>
        <w:rPr>
          <w:rFonts w:eastAsia="Amiri" w:cs="Amiri" w:ascii="Amiri" w:hAnsi="Amiri"/>
          <w:color w:val="111111"/>
          <w:sz w:val="28"/>
          <w:szCs w:val="28"/>
          <w:rtl w:val="true"/>
          <w:lang w:bidi="ar-SA"/>
        </w:rPr>
        <w:t>... .</w:t>
      </w:r>
      <w:r>
        <w:rPr>
          <w:rStyle w:val="FootnoteAnchor"/>
          <w:rtl w:val="true"/>
        </w:rPr>
        <w:footnoteReference w:id="29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كابلي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گناهاني كه نعمت‌ها را تغيير مي‌دهد، ظلم و بغي بر مردم است، تا آن‌جا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گناهاني كه هوا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 مي‌كند، سحر، كهانت و ايمان به نجوم است</w:t>
      </w:r>
      <w:r>
        <w:rPr>
          <w:rFonts w:eastAsia="IRNazanin" w:cs="IRNazanin"/>
          <w:color w:val="111111"/>
          <w:sz w:val="28"/>
          <w:szCs w:val="28"/>
          <w:rtl w:val="true"/>
          <w:lang w:bidi="fa-IR"/>
        </w:rPr>
        <w:t>.</w:t>
      </w:r>
      <w:bookmarkStart w:id="460" w:name="pg2375_19795"/>
    </w:p>
    <w:p>
      <w:pPr>
        <w:pStyle w:val="BookText"/>
        <w:rPr/>
      </w:pPr>
      <w:bookmarkEnd w:id="460"/>
      <w:r>
        <w:rPr>
          <w:rFonts w:ascii="IRNazanin" w:hAnsi="IRNazanin" w:eastAsia="IRNazanin"/>
          <w:color w:val="111111"/>
          <w:sz w:val="28"/>
          <w:sz w:val="28"/>
          <w:szCs w:val="28"/>
          <w:rtl w:val="true"/>
          <w:lang w:bidi="fa-IR"/>
        </w:rPr>
        <w:t xml:space="preserve">دلالت اين روايت بر حرمت تمام است؛ چون خود روايت تعبير به ذنوب كرده، علاوه آن‌كه در كنار محرمات ديگري مانند سحر، ايمان به نجوم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امّا از لحاظ سند ناتمام است</w:t>
      </w:r>
      <w:r>
        <w:rPr>
          <w:rFonts w:eastAsia="IRNazanin" w:cs="IRNazanin"/>
          <w:color w:val="111111"/>
          <w:sz w:val="28"/>
          <w:szCs w:val="28"/>
          <w:rtl w:val="true"/>
          <w:lang w:bidi="fa-IR"/>
        </w:rPr>
        <w:t>.</w:t>
      </w:r>
    </w:p>
    <w:p>
      <w:pPr>
        <w:pStyle w:val="Heading6"/>
        <w:numPr>
          <w:ilvl w:val="5"/>
          <w:numId w:val="1"/>
        </w:numPr>
        <w:rPr/>
      </w:pPr>
      <w:bookmarkStart w:id="461" w:name="__RefHeading___Toc2903205_3804643083"/>
      <w:bookmarkStart w:id="462" w:name="_Toc173"/>
      <w:bookmarkEnd w:id="461"/>
      <w:r>
        <w:rPr/>
        <w:t>6</w:t>
      </w:r>
      <w:r>
        <w:rPr>
          <w:rtl w:val="true"/>
        </w:rPr>
        <w:t xml:space="preserve">. </w:t>
      </w:r>
      <w:r>
        <w:rPr>
          <w:rtl w:val="true"/>
        </w:rPr>
        <w:t>روايت سكوني</w:t>
      </w:r>
      <w:r>
        <w:rPr>
          <w:rtl w:val="true"/>
        </w:rPr>
        <w:t>:</w:t>
      </w:r>
      <w:bookmarkEnd w:id="46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النَّوْفَلِيِّ عَنِ السَّكُونِيِّ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الْمَيْتَةِ وَ ثَمَنُ الْكَلْبِ وَ ثَمَنُ الْخَمْرِ وَ مَهْرُ الْبَغِيِّ وَ الرِّشْوَةُ فِي الْحُكْمِ وَ أَجْرُ الْكَاهِنِ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كتاب الشهادات، باب</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يحضره 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الزَّانِيَةِ سُحْتٌ وَ ثَمَنُ الْكَلْبِ الَّذِي لَيْسَ بِكَلْبِ الصَّيْدِ سُحْتٌ وَ ثَمَنُ الْخَمْرِ سُحْتٌ وَ أَجْرُ الْكَاهِنِ سُحْتٌ وَ ثَمَنُ الْمَيْتَةِ سُحْتٌ فَأَمَّا الرِّشَا فِي الْحُكْمِ فَهُوَ الْكُفْرُ بِاللَّهِ الْعَظِيمِ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را نمي‌توان گفت دالّ بر حرمت است، بلكه فقط در حدّ تأييد است؛ زيرا ممكن است چيزي اجرتش حرام باشد امّا خودش حرام نباشد؛ مانند اجرت بر اذان يا قضاوت ـ علي فرض اين‌كه بگوييم حرام است ـ پس اين روايت دلالتي بر حرمت ندارد، هرچند تأييدي بر آن است؛ چون در اين‌جا وجهي بر اين‌كه خود كهانت حرام نباشد ولي اجرتش حرام باشد، نيست</w:t>
      </w:r>
      <w:r>
        <w:rPr>
          <w:rFonts w:eastAsia="IRNazanin" w:cs="IRNazanin"/>
          <w:color w:val="111111"/>
          <w:sz w:val="28"/>
          <w:szCs w:val="28"/>
          <w:rtl w:val="true"/>
          <w:lang w:bidi="fa-IR"/>
        </w:rPr>
        <w:t>.</w:t>
      </w:r>
      <w:bookmarkStart w:id="463" w:name="pg2375_19796"/>
    </w:p>
    <w:p>
      <w:pPr>
        <w:pStyle w:val="Heading6"/>
        <w:numPr>
          <w:ilvl w:val="5"/>
          <w:numId w:val="1"/>
        </w:numPr>
        <w:rPr/>
      </w:pPr>
      <w:bookmarkStart w:id="464" w:name="__RefHeading___Toc2903207_3804643083"/>
      <w:bookmarkStart w:id="465" w:name="_Toc174"/>
      <w:bookmarkEnd w:id="463"/>
      <w:bookmarkEnd w:id="464"/>
      <w:r>
        <w:rPr/>
        <w:t>7</w:t>
      </w:r>
      <w:r>
        <w:rPr>
          <w:rtl w:val="true"/>
        </w:rPr>
        <w:t xml:space="preserve">. </w:t>
      </w:r>
      <w:r>
        <w:rPr>
          <w:rtl w:val="true"/>
        </w:rPr>
        <w:t>روايت فقه الرضا</w:t>
      </w:r>
      <w:r>
        <w:rPr>
          <w:rtl w:val="true"/>
        </w:rPr>
        <w:t xml:space="preserve">- </w:t>
      </w:r>
      <w:r>
        <w:rPr>
          <w:rtl w:val="true"/>
        </w:rPr>
        <w:t xml:space="preserve">عليه السلام </w:t>
      </w:r>
      <w:r>
        <w:rPr>
          <w:rtl w:val="true"/>
        </w:rPr>
        <w:t>-:</w:t>
      </w:r>
      <w:bookmarkEnd w:id="465"/>
    </w:p>
    <w:p>
      <w:pPr>
        <w:pStyle w:val="BookText"/>
        <w:rPr/>
      </w:pPr>
      <w:r>
        <w:rPr>
          <w:rFonts w:ascii="Amiri" w:hAnsi="Amiri" w:eastAsia="Amiri" w:cs="Amiri"/>
          <w:color w:val="111111"/>
          <w:sz w:val="28"/>
          <w:sz w:val="28"/>
          <w:szCs w:val="28"/>
          <w:rtl w:val="true"/>
          <w:lang w:bidi="ar-SA"/>
        </w:rPr>
        <w:t>وَ نَرْوِي أَنَّهُ لَا يَجُوزُ شَهَادَةُ عَرَّافٍ وَ لَا كَاهِنٍ وَ يَجُوزُ شَهَادَةُ الْمُسْلِمِينَ فِي جَمِيعِ أَهْلِ الْمِلَلِ وَ لَا يَجُوزُ شَهَادَةُ أَهْلِ الذِّمَّةِ عَلَى الْمُسْلِمِين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اين روايت را نمي‌توانيم دالّ بر حرمت بگيريم؛ چون نمي‌توان اثبات كرد عدم نفوذ شهادت كاهن از حيث فسقش باشد، بلكه شايد شهادتش از طريق كهانت يا به جهت ديگري نافذ نيست، همان‌طور كه مثلاً شهادت نساء در مورد هلال پذيرفته نيست و نظير آن صحيحه‌ي محمد بن قيس است كه در بحث قيافه ذكر كرديم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آخُذُ بِقَوْلِ عَرَّافٍ وَ لَا قَائِفٍ</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مُحَمَّدُ بْنُ عَلِيِّ بْنِ الْحُسَيْنِ بِإِسْنَادِهِ عَنْ مُحَمَّدِ بْنِ قَيْسٍ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بِقَوْلِ عَرَّافٍ وَ لَا قَائِفٍ وَ لَا لِصٍّ وَ لَا أَقْبَلُ شَهَادَةَ الْفَاسِقِ إِلَّا عَلَى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عرّاف هم همان‌طور كه گذشت، بعضي مثل ابن اثير به كاهن</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يتعاطى الخبر عن الكائنات فى مستقبل الزمان، و يدّعى معرفة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فى العرب كَهَنة، كشقّ، و سطيح، و غيرهما، فمنهم من كان يزعم أنّ له تابعا من الجنّ و رئيّا يلقى إليه الأخبار، و منهم من كان يزعم أنه يعرف الأمور بمقدّمات أسباب يستدلّ بها على مواقعها من كلام من يسأله أو فعله أو حاله، و هذا يخصّونه باسم العرّاف، كالذى يدّعى معرفة الشى‌ء المسروق، و مكان الضّالّة و نحوهما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للحازِي عَرَّافٌ و للقُناقِن عَرَّاف و للطَبيب عَرَّاف لمعرفة كل منهم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 كرده‌اند ـ گرچه بعضي هم به منجّم معنا كرده‌اند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مُثَقَّلٌ بِمَعْنَى الْمُنَجِّمِ و الْكَاهِنِ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عَنِ الْمَاضِى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الْمَاضِى وَ 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اثير هم در جاي ديگر عراف را به منجم معني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 الأثر،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أو الحازى الذي يدّعي علم الغيب، و قد استأثر اللّه تعالى به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bookmarkStart w:id="466" w:name="pg2375_19797"/>
    </w:p>
    <w:p>
      <w:pPr>
        <w:pStyle w:val="Heading4"/>
        <w:numPr>
          <w:ilvl w:val="3"/>
          <w:numId w:val="1"/>
        </w:numPr>
        <w:rPr/>
      </w:pPr>
      <w:bookmarkStart w:id="467" w:name="__RefHeading___Toc2903209_3804643083"/>
      <w:bookmarkStart w:id="468" w:name="_Toc175"/>
      <w:bookmarkEnd w:id="466"/>
      <w:bookmarkEnd w:id="467"/>
      <w:r>
        <w:rPr>
          <w:rtl w:val="true"/>
        </w:rPr>
        <w:t>نتيجه گيري نهايي در حكم به حرمت كهانت</w:t>
      </w:r>
      <w:bookmarkEnd w:id="46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بيان كرديم هيچ كدام از روايات دالّ بر حرمت كهانت از لحاظ سند تمام نيست، ولي از مجموع اين روايات و لاخلاف بودن حرمت كهانت در بين فقهاء و اين‌كه ماهيت كهانت عمدتاً ارتباط و دوستي با شياطين است و با ضميمه‌ي نگاه بدي كه اسلام و متشرعه به كاهن دارد، و در قرآن كريم هم مي‌فرمايد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لا بِقَوْلِ كاهِنٍ</w:t>
      </w:r>
      <w:r>
        <w:rPr>
          <w:rFonts w:eastAsia="IRNazanin" w:cs="IRNazanin"/>
          <w:color w:val="111111"/>
          <w:sz w:val="28"/>
          <w:szCs w:val="28"/>
          <w:rtl w:val="true"/>
          <w:lang w:bidi="fa-IR"/>
        </w:rPr>
        <w:t>&gt;</w:t>
      </w:r>
      <w:r>
        <w:rPr>
          <w:rStyle w:val="FootnoteAnchor"/>
          <w:rtl w:val="true"/>
        </w:rPr>
        <w:footnoteReference w:id="3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فَذَكِّرْ فَما أَنْتَ بِنِعْمَةِ رَبِّكَ</w:t>
      </w:r>
      <w:bookmarkStart w:id="469" w:name="pg2375_19798"/>
    </w:p>
    <w:p>
      <w:pPr>
        <w:pStyle w:val="BookText"/>
        <w:rPr/>
      </w:pPr>
      <w:bookmarkEnd w:id="469"/>
      <w:r>
        <w:rPr>
          <w:rFonts w:ascii="Amiri" w:hAnsi="Amiri" w:eastAsia="Amiri" w:cs="Amiri"/>
          <w:color w:val="111111"/>
          <w:sz w:val="28"/>
          <w:sz w:val="28"/>
          <w:szCs w:val="28"/>
          <w:rtl w:val="true"/>
          <w:lang w:bidi="ar-SA"/>
        </w:rPr>
        <w:t>بِكاهِنٍ وَ لا مَجْنُونٍ</w:t>
      </w:r>
      <w:r>
        <w:rPr>
          <w:rFonts w:eastAsia="Amiri" w:cs="Amiri" w:ascii="Amiri" w:hAnsi="Amiri"/>
          <w:color w:val="111111"/>
          <w:sz w:val="28"/>
          <w:szCs w:val="28"/>
          <w:rtl w:val="true"/>
          <w:lang w:bidi="ar-SA"/>
        </w:rPr>
        <w:t>&gt;</w:t>
      </w:r>
      <w:r>
        <w:rPr>
          <w:rStyle w:val="FootnoteAnchor"/>
          <w:rtl w:val="true"/>
        </w:rPr>
        <w:footnoteReference w:id="305"/>
      </w:r>
      <w:r>
        <w:rPr>
          <w:rFonts w:ascii="IRNazanin" w:hAnsi="IRNazanin" w:eastAsia="IRNazanin"/>
          <w:color w:val="111111"/>
          <w:sz w:val="28"/>
          <w:sz w:val="28"/>
          <w:szCs w:val="28"/>
          <w:rtl w:val="true"/>
          <w:lang w:bidi="fa-IR"/>
        </w:rPr>
        <w:t>از مجموع اين‌ها اطمينان حاصل مي‌شود كه كهانت در شرع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همان اندازه‌اي كه در تعريف كاهن گفتيم و بيشتر از آن را نمي‌توانيم بگوييم حرام است؛ چون دليلي كه مطلق بوده و از لحاظ سند تمام باشد و بيش از آن‌چه گفتيم دلالت داشته باشد، وجود ندارد</w:t>
      </w:r>
      <w:r>
        <w:rPr>
          <w:rFonts w:eastAsia="IRNazanin" w:cs="IRNazanin"/>
          <w:color w:val="111111"/>
          <w:sz w:val="28"/>
          <w:szCs w:val="28"/>
          <w:rtl w:val="true"/>
          <w:lang w:bidi="fa-IR"/>
        </w:rPr>
        <w:t>.</w:t>
      </w:r>
    </w:p>
    <w:p>
      <w:pPr>
        <w:pStyle w:val="Heading4"/>
        <w:numPr>
          <w:ilvl w:val="3"/>
          <w:numId w:val="1"/>
        </w:numPr>
        <w:rPr/>
      </w:pPr>
      <w:bookmarkStart w:id="470" w:name="__RefHeading___Toc2903211_3804643083"/>
      <w:bookmarkStart w:id="471" w:name="_Toc176"/>
      <w:bookmarkEnd w:id="470"/>
      <w:r>
        <w:rPr>
          <w:rtl w:val="true"/>
        </w:rPr>
        <w:t>حكم رجوع به كاهن</w:t>
      </w:r>
      <w:bookmarkEnd w:id="471"/>
    </w:p>
    <w:p>
      <w:pPr>
        <w:pStyle w:val="Heading5"/>
        <w:numPr>
          <w:ilvl w:val="4"/>
          <w:numId w:val="1"/>
        </w:numPr>
        <w:rPr/>
      </w:pPr>
      <w:bookmarkStart w:id="472" w:name="__RefHeading___Toc2903213_3804643083"/>
      <w:bookmarkStart w:id="473" w:name="_Toc177"/>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بعد از اين‌كه گفتيم كهانت در شرع حرام است، بايد بحث كنيم رجوع به كاهن چه حكمي دارد؟ آيا براي خبر گرفتن از مسائلي كه كاهنان مي‌توانند خبر دهند مثل پيدا كردن گم شده، مي‌توان به آن‌ها رجوع كرد يا خير؟</w:t>
      </w:r>
    </w:p>
    <w:p>
      <w:pPr>
        <w:pStyle w:val="BookText"/>
        <w:rPr/>
      </w:pPr>
      <w:r>
        <w:rPr>
          <w:rFonts w:ascii="IRNazanin" w:hAnsi="IRNazanin" w:eastAsia="IRNazanin"/>
          <w:color w:val="111111"/>
          <w:sz w:val="28"/>
          <w:sz w:val="28"/>
          <w:szCs w:val="28"/>
          <w:rtl w:val="true"/>
          <w:lang w:bidi="fa-IR"/>
        </w:rPr>
        <w:t>بعضي براساس روايتي كه جناب ابن ادريس در آخر سرائر نقل كرده و ادعا كرده‌اند از لحاظ سند هم تمام است، گفته‌اند رجوع به كاهن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اين روايت را از مشيخه‌ي الحسن بن محبوب نقل مي‌كند</w:t>
      </w:r>
      <w:r>
        <w:rPr>
          <w:rFonts w:eastAsia="IRNazanin" w:cs="IRNazanin"/>
          <w:color w:val="111111"/>
          <w:sz w:val="28"/>
          <w:szCs w:val="28"/>
          <w:rtl w:val="true"/>
          <w:lang w:bidi="fa-IR"/>
        </w:rPr>
        <w:t>.</w:t>
      </w:r>
    </w:p>
    <w:p>
      <w:pPr>
        <w:pStyle w:val="Heading5"/>
        <w:numPr>
          <w:ilvl w:val="4"/>
          <w:numId w:val="1"/>
        </w:numPr>
        <w:rPr/>
      </w:pPr>
      <w:bookmarkStart w:id="474" w:name="__RefHeading___Toc2903215_3804643083"/>
      <w:bookmarkStart w:id="475" w:name="_Toc178"/>
      <w:bookmarkEnd w:id="474"/>
      <w:r>
        <w:rPr>
          <w:rtl w:val="true"/>
        </w:rPr>
        <w:t>ادلّه‌ي حرمت رجوع به كاهن</w:t>
      </w:r>
      <w:bookmarkEnd w:id="475"/>
    </w:p>
    <w:p>
      <w:pPr>
        <w:pStyle w:val="Heading6"/>
        <w:numPr>
          <w:ilvl w:val="5"/>
          <w:numId w:val="1"/>
        </w:numPr>
        <w:rPr/>
      </w:pPr>
      <w:bookmarkStart w:id="476" w:name="__RefHeading___Toc2903217_3804643083"/>
      <w:bookmarkStart w:id="477" w:name="_Toc179"/>
      <w:bookmarkEnd w:id="476"/>
      <w:r>
        <w:rPr/>
        <w:t>1</w:t>
      </w:r>
      <w:r>
        <w:rPr>
          <w:rtl w:val="true"/>
        </w:rPr>
        <w:t xml:space="preserve">. </w:t>
      </w:r>
      <w:r>
        <w:rPr>
          <w:rtl w:val="true"/>
        </w:rPr>
        <w:t>روايت هيثم</w:t>
      </w:r>
      <w:r>
        <w:rPr>
          <w:rtl w:val="true"/>
        </w:rPr>
        <w:t>:</w:t>
      </w:r>
      <w:bookmarkEnd w:id="47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إِدْرِيسَ فِي آخِرِ السَّرَائِرِ نَقْلًا مِنْ كِتَابِ الْمَشِيخَةِ لِلْحَسَنِ بْنِ مَحْبُوبٍ عَنِ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بِالْجَزِيرَةِ رَجُلًا رُبَّمَا أَخْبَرَ مَنْ يَأْتِيهِ يَسْأَلُهُ عَنِ الشَّيْ‌ءِ يُسْرَقُ أَوْ شِبْهِ ذَلِكَ فَنَسْأَلُهُ؟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سَاحِرٍ أَوْ كَاهِنٍ أَوْ كَذَّابٍ يُصَدِّقُهُ بِمَا يَقُولُ فَقَدْ كَفَرَ بِمَا أَنْزَلَ اللَّهُ مِنْ كِتَابٍ</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هيثم ـ كه ظاهراً هيثم بن واقد است ـ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پيش ما در جزيره مردي هست كه چه بسا اگر كسي پيش او برود و درباره‌ي چيزي كه دزديده شده يا امثال آن سؤال كند، خبر مي‌دهد، آيا ما مي‌توانيم پيش او رفته و سؤال كنيم؟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به سوي ساحر، كاهن يا كذّاب رفته و حرف‌هايش را تصديق كند، همانا كافر به كتاب نازل شده از طرف خداوند شده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بررسي سند روايت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صرف نظر كنيم از اين اشكال كه ابن ادريس با چه سندي از مشيخه‌ي الحسن بن محبوب نقل مي‌كند ـ چون ما</w:t>
      </w:r>
    </w:p>
    <w:p>
      <w:pPr>
        <w:pStyle w:val="BookText"/>
        <w:rPr/>
      </w:pPr>
      <w:r>
        <w:rPr>
          <w:rFonts w:ascii="IRNazanin" w:hAnsi="IRNazanin" w:eastAsia="IRNazanin"/>
          <w:color w:val="111111"/>
          <w:sz w:val="28"/>
          <w:sz w:val="28"/>
          <w:szCs w:val="28"/>
          <w:rtl w:val="true"/>
          <w:lang w:bidi="fa-IR"/>
        </w:rPr>
        <w:t>گفتيم بعضي از كتبي كه جناب ابن ادريس در مستطرفات از آن نقل كرده، معروف بوده و اگر نسخه‌اي مغلوط بود كاملاً مشخص مي‌شد ـ هيثم بن واقد كه راوي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توثيق ندارد، هرچند ابن داود در رجالش توثيقي از كشي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واقد الجزري روى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سمينة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عنه بكتابه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 ص</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هيثم بن واقد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واقد الجزري لم يتعرضه الكشي و أما النجاشي فلم يذكر فيه التوثيق و لعل نسخة ابن داود كانت مشتملة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ولي وقتي به كتاب كشي و برقي مراجعه مي‌كنيم چنين توثيقي را نمي‌بينيم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مي‌شود جناب ابن داود اشتباه كرده و كس ديگري هم غير از ايشان مثل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خلاصة الاقوال اين توثيق را از كشي ذكر نكرده تا بگوييم شايد در بعض نسخ كشي و برقي بوده و به دست ما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روايت هرچند في‌الجمله دالّ بر حرمت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با 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كاهن است، ولي از لحاظ سند تمام نيست، گرچه بعضي مثل مرحوم شيخ از آن تعبير به صحيحه كرده‌اند</w:t>
      </w:r>
      <w:r>
        <w:rPr>
          <w:rFonts w:eastAsia="IRNazanin" w:cs="IRNazanin"/>
          <w:color w:val="111111"/>
          <w:sz w:val="28"/>
          <w:szCs w:val="28"/>
          <w:rtl w:val="true"/>
          <w:lang w:bidi="fa-IR"/>
        </w:rPr>
        <w:t>.</w:t>
      </w:r>
      <w:r>
        <w:rPr>
          <w:rStyle w:val="FootnoteAnchor"/>
          <w:rtl w:val="true"/>
        </w:rPr>
        <w:footnoteReference w:id="30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مستطرفات السرائر، عن كتاب المشيخة للحسن بن محبوب، عن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هذه الصحيحة أنّ الإخبار عن الغائبات على سبيل الجزم محرّم مطلقاً، سواء كان بالكهانة أو بغيرها؛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المخبر بالشي‌ء الغائب بين الساحر و الكاهن و الكذّاب، و جعل الكلّ حراماً</w:t>
      </w:r>
      <w:r>
        <w:rPr>
          <w:rFonts w:eastAsia="Amiri" w:cs="Amiri" w:ascii="Amiri" w:hAnsi="Amiri"/>
          <w:color w:val="111111"/>
          <w:sz w:val="28"/>
          <w:szCs w:val="28"/>
          <w:rtl w:val="true"/>
          <w:lang w:bidi="ar-SA"/>
        </w:rPr>
        <w:t>.</w:t>
      </w:r>
      <w:bookmarkStart w:id="478" w:name="pg2375_19801"/>
    </w:p>
    <w:p>
      <w:pPr>
        <w:pStyle w:val="Heading6"/>
        <w:numPr>
          <w:ilvl w:val="5"/>
          <w:numId w:val="1"/>
        </w:numPr>
        <w:rPr/>
      </w:pPr>
      <w:bookmarkStart w:id="479" w:name="__RefHeading___Toc2903219_3804643083"/>
      <w:bookmarkStart w:id="480" w:name="_Toc180"/>
      <w:bookmarkEnd w:id="478"/>
      <w:bookmarkEnd w:id="479"/>
      <w:r>
        <w:rPr/>
        <w:t>2</w:t>
      </w:r>
      <w:r>
        <w:rPr>
          <w:rtl w:val="true"/>
        </w:rPr>
        <w:t xml:space="preserve">. </w:t>
      </w:r>
      <w:r>
        <w:rPr>
          <w:rtl w:val="true"/>
        </w:rPr>
        <w:t>رجوع به كاهن مصداق تشويق بر حرام</w:t>
      </w:r>
      <w:bookmarkEnd w:id="480"/>
    </w:p>
    <w:p>
      <w:pPr>
        <w:pStyle w:val="BookText"/>
        <w:rPr/>
      </w:pPr>
      <w:r>
        <w:rPr>
          <w:rFonts w:ascii="IRNazanin" w:hAnsi="IRNazanin" w:eastAsia="IRNazanin"/>
          <w:color w:val="111111"/>
          <w:sz w:val="28"/>
          <w:sz w:val="28"/>
          <w:szCs w:val="28"/>
          <w:rtl w:val="true"/>
          <w:lang w:bidi="fa-IR"/>
        </w:rPr>
        <w:t xml:space="preserve">كاهني كه از طريق فعل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مي‌كند، از آن جايي كه رفتن پيش او باعث تشويق و تأييد حرام مي‌شود، پس جايز نيست؛ زيرا ادلّه‌ي نهي از منكر كه دالّ بر وجوب نهي و منع از اين عمل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عدم جواز تأييد و تشويق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رجوع به كاهن و سؤال از او به نحوي باشد كه موجب تشويق و تأييد عمل حرامش نباشد، خصوصاً اگر همراه با گوش‌زد كردن حرمت عملش هم باشد، نمي‌توانيم بگوييم حرام است</w:t>
      </w:r>
      <w:r>
        <w:rPr>
          <w:rFonts w:eastAsia="IRNazanin" w:cs="IRNazanin"/>
          <w:color w:val="111111"/>
          <w:sz w:val="28"/>
          <w:szCs w:val="28"/>
          <w:rtl w:val="true"/>
          <w:lang w:bidi="fa-IR"/>
        </w:rPr>
        <w:t>.</w:t>
      </w:r>
    </w:p>
    <w:p>
      <w:pPr>
        <w:pStyle w:val="Heading5"/>
        <w:numPr>
          <w:ilvl w:val="4"/>
          <w:numId w:val="1"/>
        </w:numPr>
        <w:rPr/>
      </w:pPr>
      <w:bookmarkStart w:id="481" w:name="__RefHeading___Toc2903221_3804643083"/>
      <w:bookmarkStart w:id="482" w:name="_Toc181"/>
      <w:bookmarkEnd w:id="481"/>
      <w:r>
        <w:rPr>
          <w:rtl w:val="true"/>
        </w:rPr>
        <w:t>آيا ترتيب اثر به خبر كاهن جايز است؟</w:t>
      </w:r>
      <w:bookmarkEnd w:id="482"/>
    </w:p>
    <w:p>
      <w:pPr>
        <w:pStyle w:val="BookText"/>
        <w:rPr/>
      </w:pPr>
      <w:r>
        <w:rPr>
          <w:rFonts w:ascii="IRNazanin" w:hAnsi="IRNazanin" w:eastAsia="IRNazanin"/>
          <w:color w:val="111111"/>
          <w:sz w:val="28"/>
          <w:sz w:val="28"/>
          <w:szCs w:val="28"/>
          <w:rtl w:val="true"/>
          <w:lang w:bidi="fa-IR"/>
        </w:rPr>
        <w:t>ترتيب اثر بر خبر كاهن اگر خود امر مباحي بوده و مستلزم حرامي نباشد، مشكلي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شيء گم شده خبر دهد در كجا قرار دارد، ترتيب اثر به قول او به اين‌كه از باب احتياط برود ببيند گمشده‌اش در آن مكان هست يا نه مشكلي ندارد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ترتيب اثر، خود امر حرامي بوده يا مستلزم حرام باشد؛ مثلاً در مورد شيء گم شده بگويد فلان كس آن را دزديده، در</w:t>
      </w:r>
    </w:p>
    <w:p>
      <w:pPr>
        <w:pStyle w:val="BookText"/>
        <w:rPr/>
      </w:pPr>
      <w:r>
        <w:rPr>
          <w:rFonts w:ascii="IRNazanin" w:hAnsi="IRNazanin" w:eastAsia="IRNazanin"/>
          <w:color w:val="111111"/>
          <w:sz w:val="28"/>
          <w:sz w:val="28"/>
          <w:szCs w:val="28"/>
          <w:rtl w:val="true"/>
          <w:lang w:bidi="fa-IR"/>
        </w:rPr>
        <w:t>اين‌جا ترتيب اثر ـ حتّي در ذهن كه سوء ظن به او پيدا كند چه رسد به اين‌كه بدون حجّت به او تهمت بزند ـ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بدون اين‌كه سوء ظني پيدا كرده يا تهمتي بزند از آن شخص درباره‌ي گمشده‌اش سؤال كند تا شايد سر نخي پيدا كند ـ البته به نحوي كه منافات با حفظ حرمت مسلمان نداشته باشد ـ از باب اين‌كه ممكن است اشتباهي رخ داده و بدون اين‌كه دزديده باشد آن را برداشته باشد ـ چون كاهنان گاهي حقّ و باطل را قاطي مي‌كنند ـ مشكلي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منافاتي با روايتي كه مي‌فرمايد اگر كسي اين‌ها را تصديق كند از دين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بريء شده</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مُحَمَّدِ بْنِ أَبِي عُمَيْرٍ عَنْ عَلِيِّ بْنِ أَبِي حَمْزَةَ عَنْ أَبِي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تَكَهَّنَ أَوْ تُكُهِّنَ لَهُ فَقَدْ بَرِئَ مِنْ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تَأْتِيَهُمْ وَ قَلَّ مَا يَقُولُونَ شَيْئاً إِلَّا كَانَ قَرِيباً مِمَّا يَقُولُونَ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الْقِيَافَةُ فَضْلَةٌ مِنَ النُّبُوَّةِ ذَهَبَتْ فِي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ندارد؛ چون تصديق نكرده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نتيجه‌ي كلام اين شد كه رجوع به عرّاف و كاهن در مواردي كه تشويق به حرام نبوده و منافاتي با نهي از منكر نداشته باشد مانعي ندارد به شرط اين‌كه قول او را تصديق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عملي هم در جايي كه مباح باشد اشكالي ندارد و در مواردي كه مستلزم سوء ظن، تهمت به مؤمن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اگر بدون اين‌كه مرتكب اين محرمات شود فقط به عنوان احتمال مطرح كند كه شايد سر نخي پيدا كند، اشكالي ندارد</w:t>
      </w:r>
      <w:r>
        <w:rPr>
          <w:rFonts w:eastAsia="IRNazanin" w:cs="IRNazanin"/>
          <w:color w:val="111111"/>
          <w:sz w:val="28"/>
          <w:szCs w:val="28"/>
          <w:rtl w:val="true"/>
          <w:lang w:bidi="fa-IR"/>
        </w:rPr>
        <w:t>.</w:t>
      </w:r>
      <w:bookmarkStart w:id="483" w:name="pg2375_19803"/>
    </w:p>
    <w:p>
      <w:pPr>
        <w:pStyle w:val="Heading5"/>
        <w:numPr>
          <w:ilvl w:val="4"/>
          <w:numId w:val="1"/>
        </w:numPr>
        <w:rPr/>
      </w:pPr>
      <w:bookmarkStart w:id="484" w:name="__RefHeading___Toc2903223_3804643083"/>
      <w:bookmarkStart w:id="485" w:name="_Toc182"/>
      <w:bookmarkEnd w:id="483"/>
      <w:bookmarkEnd w:id="484"/>
      <w:r>
        <w:rPr>
          <w:rtl w:val="true"/>
        </w:rPr>
        <w:t>حكم رجوع به مخبر از غيب بدون ارتباط با شياطين</w:t>
      </w:r>
      <w:bookmarkEnd w:id="485"/>
    </w:p>
    <w:p>
      <w:pPr>
        <w:pStyle w:val="Heading6"/>
        <w:numPr>
          <w:ilvl w:val="5"/>
          <w:numId w:val="1"/>
        </w:numPr>
        <w:rPr/>
      </w:pPr>
      <w:bookmarkStart w:id="486" w:name="__RefHeading___Toc2903225_3804643083"/>
      <w:bookmarkStart w:id="487" w:name="_Toc183"/>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اگر كسي از غير طريق كهانت از غيب خبر دهد؛ يعني با فراست عين، ذكاء قلب و فطنة الروح، بدون اين‌كه با شياطين و نيروهاي اهريمني و شرّ ارتباط برقرار كند، يا احياناً با نيروهاي خير ارتباط برقرار كرده و خبر دهد، آيا رجوع به چنين فردي جايز است يا خير؟</w:t>
      </w:r>
    </w:p>
    <w:p>
      <w:pPr>
        <w:pStyle w:val="Heading6"/>
        <w:numPr>
          <w:ilvl w:val="5"/>
          <w:numId w:val="1"/>
        </w:numPr>
        <w:rPr/>
      </w:pPr>
      <w:bookmarkStart w:id="488" w:name="__RefHeading___Toc2903227_3804643083"/>
      <w:bookmarkStart w:id="489" w:name="_Toc184"/>
      <w:bookmarkEnd w:id="488"/>
      <w:r>
        <w:rPr>
          <w:rtl w:val="true"/>
        </w:rPr>
        <w:t>تمايل شيخ</w:t>
      </w:r>
      <w:r>
        <w:rPr>
          <w:rtl w:val="true"/>
        </w:rPr>
        <w:t xml:space="preserve">- </w:t>
      </w:r>
      <w:r>
        <w:rPr>
          <w:rtl w:val="true"/>
        </w:rPr>
        <w:t xml:space="preserve">قدس سره </w:t>
      </w:r>
      <w:r>
        <w:rPr>
          <w:rtl w:val="true"/>
        </w:rPr>
        <w:t xml:space="preserve">- </w:t>
      </w:r>
      <w:r>
        <w:rPr>
          <w:rtl w:val="true"/>
        </w:rPr>
        <w:t>به حرمت مطلق إخبار از غيب و حرمت رفتن نزد وي</w:t>
      </w:r>
      <w:bookmarkEnd w:id="489"/>
    </w:p>
    <w:p>
      <w:pPr>
        <w:pStyle w:val="BookText"/>
        <w:rPr/>
      </w:pPr>
      <w:r>
        <w:rPr>
          <w:rFonts w:ascii="IRNazanin" w:hAnsi="IRNazanin" w:eastAsia="IRNazanin"/>
          <w:color w:val="111111"/>
          <w:sz w:val="28"/>
          <w:sz w:val="28"/>
          <w:szCs w:val="28"/>
          <w:rtl w:val="true"/>
          <w:lang w:bidi="fa-IR"/>
        </w:rPr>
        <w:t>مرحوم شيخ تمايل دارند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از پنهان و غيب كلاً حرام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روى في مستطرفات السرائر، عن كتاب المشيخة للحسن بن محبوب، عن الهيثم،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بالجزيرة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الصحيحة أنّ الإخبار عن الغائبات على سبيل الجزم محرّم مطلقاً، سواء كان بالكهانة أو بغيرها؛ لأنّه عليه السلام جعل المخبر بالشي‌ء الغائب بين الساحر و الكاهن و الكذّاب، و جعل الكلّ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دليلش همان روايت هيثم بن واقد است كه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سَاحِرٍ أَوْ كَاهِنٍ أَوْ كَذَّابٍ يُصَدِّقُهُ بِمَا يَقُولُ فَقَدْ كَفَرَ بِمَا أَنْزَلَ اللَّهُ مِنْ كِتَابٍ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شيخ از اين روايت كه آن را صحيحه مي‌دانند مي‌خواهند استفاده‌ي حصر كنند؛ يعني هر كسي كه از غيب خبر مي‌دهد كاهن، يا ساحر يا كذاب است؛ زيرا راوي از حضرت درباره‌ي رفتن پيش كسي كه از غيب خبر مي‌دهد پرسيد و حضرت در جواب سه عنوان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كاهن و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معلوم مي‌شود هر كسي كه از غيب خبر مي‌دهد، جزء يكي از اين سه دسته بوده و تصديق او،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 اللَّهُ مِنْ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مرحوم شيخ</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رواية الاحتجاج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لئلّا يقع في الأرض سبب يشاكل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ظاهره كون ذلك مبغوضاً للشارع من أيّ سبب كان، فتبيّن من ذلك أنّ الإخبار عن الغائبات بمجرّد السؤال عنها من غير النظر في بعض ما صحّ اعتباره كبعض الجفر و الرمل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عدّ صاحب المفاتيح من المحرّمات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الغائبات على سبيل الجزم لغير نبيّ، أو وصيّ نبيّ، سواء كان بالتنجيم، أو الكهانة، أو القيافة، أو غير ذلك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روايت احتجاج استفاده مي‌كنند اين‌كه حضرت در تعليل انقطاع استراق سمع شياطين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يَقَعَ فِي الْأَرْضِ سَبَبٌ تُشَاكِلُ الْوَحْيَ مِنْ خَبَرِ السَّمَاءِ فَيَلْبَسُ عَلَى أَهْلِ الْأَرْضِ مَا جَاءَهُمْ عَنِ اللَّهِ لِإِثْبَاتِ الْحُجَّةِ وَ نَفْيِ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امري كه شبيه وحي باشد اتفاق نيفتد تا بر مردم مشتبه شود، پس معلوم مي‌شود هر چيزي شبيه وحي باشد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إخبار از مغيبات هرچند از غير منابع شيطاني باشد، ممنوع است</w:t>
      </w:r>
      <w:r>
        <w:rPr>
          <w:rFonts w:eastAsia="IRNazanin" w:cs="IRNazanin"/>
          <w:color w:val="111111"/>
          <w:sz w:val="28"/>
          <w:szCs w:val="28"/>
          <w:rtl w:val="true"/>
          <w:lang w:bidi="fa-IR"/>
        </w:rPr>
        <w:t>.</w:t>
      </w:r>
      <w:bookmarkStart w:id="490" w:name="pg2375_19805"/>
    </w:p>
    <w:p>
      <w:pPr>
        <w:pStyle w:val="Heading6"/>
        <w:numPr>
          <w:ilvl w:val="5"/>
          <w:numId w:val="1"/>
        </w:numPr>
        <w:rPr/>
      </w:pPr>
      <w:bookmarkStart w:id="491" w:name="__RefHeading___Toc2903229_3804643083"/>
      <w:bookmarkStart w:id="492" w:name="_Toc185"/>
      <w:bookmarkEnd w:id="490"/>
      <w:bookmarkEnd w:id="491"/>
      <w:r>
        <w:rPr>
          <w:rtl w:val="true"/>
        </w:rPr>
        <w:t>نقد كلام شيخ</w:t>
      </w:r>
      <w:r>
        <w:rPr>
          <w:rtl w:val="true"/>
        </w:rPr>
        <w:t xml:space="preserve">- </w:t>
      </w:r>
      <w:r>
        <w:rPr>
          <w:rtl w:val="true"/>
        </w:rPr>
        <w:t xml:space="preserve">قدس سره </w:t>
      </w:r>
      <w:r>
        <w:rPr>
          <w:rtl w:val="true"/>
        </w:rPr>
        <w:t>-</w:t>
      </w:r>
      <w:bookmarkEnd w:id="492"/>
    </w:p>
    <w:p>
      <w:pPr>
        <w:pStyle w:val="BookText"/>
        <w:rPr/>
      </w:pPr>
      <w:r>
        <w:rPr>
          <w:rFonts w:ascii="IRNazanin" w:hAnsi="IRNazanin" w:eastAsia="IRNazanin"/>
          <w:color w:val="111111"/>
          <w:sz w:val="28"/>
          <w:sz w:val="28"/>
          <w:szCs w:val="28"/>
          <w:rtl w:val="true"/>
          <w:lang w:bidi="fa-IR"/>
        </w:rPr>
        <w:t>روايت هيثم صرف نظر از ضعف سند، دلالتي بر حصر إخبار از غيب در اين سه دسته ندارد بلكه مي‌فرمايد اگر كسي سراغ اين سه دسته رفته و تصديقشان كند،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كسي كه جزء اين سه دسته نبوده و انسان ثقه‌اي است، نمي‌توانيم طبق اين روايت بگوييم تصديق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احتجاج هم بيان مي‌كند استراق سمع از ملأ أعلي چون مورد سوء استفاده‌ي شياطين واقع مي‌شد و ممكن بود با وحي مشتبه شود، تكويناً ممنوع شد، امّا از روايت استفاده نمي‌شود هر نوع خبر غيبي خصوصاً اگر از طريق نيروهاي خير و طاهر باشد، حرام است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بلكه بر عكس، أخبار نيروهاي خير و طاهر مي‌تواند تأييد وحي باشد؛ چون در طريق حقّند و براي خود استقلالي قائل نيستند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استدلال مرحوم شيخ براي اثبات حرمت رجوع به كسي كه بدون ارتباط با شياطين از غيب خبر مي‌دهد، ناتمام است</w:t>
      </w:r>
      <w:r>
        <w:rPr>
          <w:rFonts w:eastAsia="Amiri" w:cs="Amiri" w:ascii="Amiri" w:hAnsi="Amiri"/>
          <w:color w:val="111111"/>
          <w:sz w:val="28"/>
          <w:szCs w:val="28"/>
          <w:rtl w:val="true"/>
          <w:lang w:bidi="ar-SA"/>
        </w:rPr>
        <w:t>.</w:t>
      </w:r>
      <w:bookmarkStart w:id="493" w:name="pg2375_19806"/>
    </w:p>
    <w:p>
      <w:pPr>
        <w:pStyle w:val="Heading5"/>
        <w:numPr>
          <w:ilvl w:val="4"/>
          <w:numId w:val="1"/>
        </w:numPr>
        <w:rPr/>
      </w:pPr>
      <w:bookmarkStart w:id="494" w:name="__RefHeading___Toc2903231_3804643083"/>
      <w:bookmarkStart w:id="495" w:name="_Toc186"/>
      <w:bookmarkEnd w:id="493"/>
      <w:bookmarkEnd w:id="494"/>
      <w:r>
        <w:rPr>
          <w:rtl w:val="true"/>
        </w:rPr>
        <w:t>نظر مختار در حكم إخبار از غيب به غير كهانت و حكم رجوع به او</w:t>
      </w:r>
      <w:bookmarkEnd w:id="495"/>
    </w:p>
    <w:p>
      <w:pPr>
        <w:pStyle w:val="BookText"/>
        <w:rPr/>
      </w:pPr>
      <w:r>
        <w:rPr>
          <w:rFonts w:ascii="IRNazanin" w:hAnsi="IRNazanin" w:eastAsia="IRNazanin"/>
          <w:color w:val="111111"/>
          <w:sz w:val="28"/>
          <w:sz w:val="28"/>
          <w:szCs w:val="28"/>
          <w:rtl w:val="true"/>
          <w:lang w:bidi="fa-IR"/>
        </w:rPr>
        <w:t>در مورد حكم كسي كه خودش از غير طريق حرام و بدون اتصال به نيروهاي شرير و احياناً از طريق اتصال به نيروهاي خير، خبري به دست آورد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مضمون خبر يقين پيدا كند مي‌تواند طبق آن عمل كند يا إخبار كند، مگر در مواردي كه قطع موضوعي خاصي در موضوع جواز إخبار اخذ شده باشد كه در اين صورت نمي‌تواند به غير آن عمل كند؛ مثلاً اگر در اجراي حدّ، حصول علم از طريق قيام بينه اخذ شده باشد، با يقيني كه از غير طريق قيام بينه حاصل شود نمي‌تواند اجراي حدّ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مواردي كه علم به نحو موضوعي اخذ نشده بلكه طريق محض باشد، مي‌تواند به يقيني كه از طريق اتصال به نيروهاي خير به دست مي‌آورد عمل كند، البته در مواردي كه شرعاً عمل بر طبق يقين مجاز است؛ يعني همان‌طور كه اگر با علم عادي مثلاً به گناه مخفي كسي پي‌مي‌برد نمي‌توانست إفشاء كند، اگر با علم غير عادي هم مطلع شود نمي‌تواند إفشاء كند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به مضمون خبر يقين حاصل نكند ـ كه معمولاً حتّي براي نفوس زكيه و در مورد مسائل مربوط به عالم قدس هم قطع حاصل نمي‌شود؛ چون تجليات و كشف، داراي مراتب و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كساني هم كه معروف اين فن هستند در كتب عرفاني</w:t>
      </w:r>
    </w:p>
    <w:p>
      <w:pPr>
        <w:pStyle w:val="BookText"/>
        <w:rPr/>
      </w:pPr>
      <w:r>
        <w:rPr>
          <w:rFonts w:ascii="Amiri" w:hAnsi="Amiri" w:eastAsia="Amiri" w:cs="Amiri"/>
          <w:color w:val="111111"/>
          <w:sz w:val="28"/>
          <w:sz w:val="28"/>
          <w:szCs w:val="28"/>
          <w:rtl w:val="true"/>
          <w:lang w:bidi="ar-SA"/>
        </w:rPr>
        <w:t>مثل تمهيد القواعد، مصباح الانس</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علم ميزان و قانون يميّز به صحيح ما يختص به من سقيمه، كالمنطق لعلوم الانظار و النحو لعبارة الكتب و الاخبار و العروض لوزن الاشعار و الموسيقى لنغم الأصوات و الأوتار، فهل لعلمنا هذا مثله من القوانين؟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يدخل تحت حكم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اشرف العلوم من كل وجه، كيف لا يكون له هذا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الإلقاء اما صحيح أو فاسد لا ينبغي الوثوق به، و الصحيح اما الهى ربانى و هو ما يتعلق بالعلوم و المعارف أو ملكى روحانى و هو الباعث على الطاعة من مفروض أو مندوب و بالجملة كل ما فيه صلاح و يسمى الهاً ما، و الفاسد اما نفسانى و هو ما فيه حظ النفس و استلذاذها و يسمى هاجساً أو شيطانى و هو ما يدعو إلى معصية الحق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 وَ يَأْمُرُكُمْ بِالْفَحْشاءِ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ـ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وسواساً فمعيار الفرق ميزان الشرع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كرده‌اند مكاشفه حجّيتي ندارد، مگر اين‌كه از راه عقل يا شرع تأييد شود؛ يعني همان‌طور كه منطق معيار فلسفه است، عقل و شرع هم معيار و منطق مكاشفات است و اين آيت آن است كه اين‌گونه اتصالات موجب يقين نمي‌شود و معمولاً مشوب به غير حقّ بوده و حقّ محض نيست ـ در اين صورت شخص نمي تواند ترتيب اثر دهد؛ چون اگر از امور اعتقادي باشد از آن جايي كه در امور اعتقادي يقين لازم است، پس نمي‌تواند معتقد شود، كما اين‌كه اثر عملي هم نمي‌تواند مترتب كند؛ زيرا آيه‌ي شريفه مي‌فرمايد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إِنْ يَتَّبِعُونَ</w:t>
      </w:r>
    </w:p>
    <w:p>
      <w:pPr>
        <w:pStyle w:val="BookText"/>
        <w:rPr/>
      </w:pPr>
      <w:r>
        <w:rPr>
          <w:rFonts w:ascii="Amiri" w:hAnsi="Amiri" w:eastAsia="Amiri" w:cs="Amiri"/>
          <w:color w:val="111111"/>
          <w:sz w:val="28"/>
          <w:sz w:val="28"/>
          <w:szCs w:val="28"/>
          <w:rtl w:val="true"/>
          <w:lang w:bidi="ar-SA"/>
        </w:rPr>
        <w:t>إِلاَّ الظَّنَّ وَ إِنَّ الظَّنَّ لا يُغْني مِنَ الْحَقِّ شَيْئاً</w:t>
      </w:r>
      <w:r>
        <w:rPr>
          <w:rFonts w:eastAsia="Amiri" w:cs="Amiri" w:ascii="Amiri" w:hAnsi="Amiri"/>
          <w:color w:val="111111"/>
          <w:sz w:val="28"/>
          <w:szCs w:val="28"/>
          <w:rtl w:val="true"/>
          <w:lang w:bidi="ar-SA"/>
        </w:rPr>
        <w:t>&gt;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طبق ما شاهده المحققون من اولى الكشف و العيان، مما لم يهتد إليه إلى الآن نظر ذوى العقول بمشاغل الحجج و البرهان، الا من ايّده الله بنور منه، و وفّقه بهدايته إليه، من الحائزين منهم مرتبتى الاستدلال العقلي و الشهود الذوقي، الفائزين بمنقبتي العلم العلى و الكشف الآلى، الذين خلَّصهم الله تعالى عن مضايق المقدَّمات من الخطابيَّة و البرهانيَّة، إلى افضية الواردات الكشفيَّة، و المخاطبات العيانيَّة، بحسن متابعة الأنبياء صلوات الله عليهم أجمعين، الذين هم روابط رقائق الحقائق من عين الجمع إلى محل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ترى أمته الشريفة إذا حاولوا تحقيق معانى التوحيد، وفَّقوا بين البراهين العقلية و النواميس النقليَّة بما لا يتصور عليه المزيد، حيث يدفعون شبهات بعض الفلاسفة القاصرين عن تطبيق لما انزل عليهم من النصِّ ما أفادهم النظر الصحيح، الصريح، و كذلك في ساير العلوم الحقيقيَّة، و المعارف اليقينيَّة، قد بيَّنوا مواقع خللهم، و أظهروا مواضع زللهم، بما يستبان منه محل اللبس، و يتميَّز به السهاء من الشمس، كل ذلك انّما هي شعشعة من ذكاء تميط ليلًا 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محمود قمي در حاشيه‌ي تمهيد القواعد در شرح متن فوق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ان العرفاء الشامخين متفقون على ان وراء العقل طور، و هم رضوان الله عليهم، لما كانوا من اهل المكاشفة و الشهود و قد قرَّر و الصحة مكاشفتهم و مشاهدتهم موازين، و كان منها المطابقة لكتاب الله، و الموافقة لسنَّة النبويَّة، و الأحاديث الواردة من خلفاء الله و أوصياء 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سوره‌ي نجم، آيه‌ي</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بِهِ مِنْ عِلْمٍ إِنْ يَتَّبِعُونَ إِلاَّ الظَّنَّ وَ إِنَّ الظَّنَّ لا يُغْني مِنَ الْحَقِّ شَيْئاً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حكم رجوع ديگران به اين افراد كه بدون اتصال به نيروهاي شرير خبر مي‌دهند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افراد، نه كاهن صدق مي‌كند و نه ساحر و كذّاب، رفتن پيش آن‌ها و دريافت خبر از آنان حرام نيست و حتّي نمي‌توانيم بگوييم مكروه است، امّا همان‌طور كه در صورت قبل گفتيم فرد نمي‌تواند به آن خبر ترتيب اثر دهد؛ مگر اين‌كه أخبار آنان قطع آور باشد كه در اين صورت شخص مي‌تواند در مواردي كه شرعاً ترتيب اثر جايز است، ترتيب اثر دهد</w:t>
      </w:r>
      <w:r>
        <w:rPr>
          <w:rFonts w:eastAsia="IRNazanin" w:cs="IRNazanin"/>
          <w:color w:val="111111"/>
          <w:sz w:val="28"/>
          <w:szCs w:val="28"/>
          <w:rtl w:val="true"/>
          <w:lang w:bidi="fa-IR"/>
        </w:rPr>
        <w:t>.</w:t>
      </w:r>
      <w:bookmarkStart w:id="496" w:name="pg2375_19810"/>
    </w:p>
    <w:p>
      <w:pPr>
        <w:pStyle w:val="Heading2"/>
        <w:numPr>
          <w:ilvl w:val="1"/>
          <w:numId w:val="1"/>
        </w:numPr>
        <w:rPr/>
      </w:pPr>
      <w:bookmarkStart w:id="497" w:name="__RefHeading___Toc2903233_3804643083"/>
      <w:bookmarkStart w:id="498" w:name="_Toc187"/>
      <w:bookmarkEnd w:id="496"/>
      <w:bookmarkEnd w:id="497"/>
      <w:r>
        <w:rPr>
          <w:rtl w:val="true"/>
        </w:rPr>
        <w:t>مدح من لا يستحق المدح</w:t>
      </w:r>
      <w:bookmarkEnd w:id="49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9" w:name="__RefHeading___Toc2903235_3804643083"/>
      <w:bookmarkStart w:id="500" w:name="_Toc188"/>
      <w:bookmarkEnd w:id="499"/>
      <w:r>
        <w:rPr>
          <w:rtl w:val="true"/>
        </w:rPr>
        <w:t>اشاره</w:t>
      </w:r>
      <w:bookmarkStart w:id="501" w:name="pg2375_19812"/>
      <w:bookmarkEnd w:id="500"/>
    </w:p>
    <w:p>
      <w:pPr>
        <w:pStyle w:val="Heading3"/>
        <w:numPr>
          <w:ilvl w:val="2"/>
          <w:numId w:val="1"/>
        </w:numPr>
        <w:rPr/>
      </w:pPr>
      <w:bookmarkStart w:id="502" w:name="__RefHeading___Toc2903237_3804643083"/>
      <w:bookmarkStart w:id="503" w:name="_Toc189"/>
      <w:bookmarkEnd w:id="501"/>
      <w:bookmarkEnd w:id="502"/>
      <w:r>
        <w:rPr>
          <w:rtl w:val="true"/>
        </w:rPr>
        <w:t>المسألة الحادية و العشرون</w:t>
      </w:r>
      <w:r>
        <w:rPr>
          <w:rtl w:val="true"/>
        </w:rPr>
        <w:t xml:space="preserve">: </w:t>
      </w:r>
      <w:r>
        <w:rPr>
          <w:rtl w:val="true"/>
        </w:rPr>
        <w:t>مدح من لا يستحق المدح أو يستحق الذم</w:t>
      </w:r>
      <w:bookmarkEnd w:id="503"/>
    </w:p>
    <w:p>
      <w:pPr>
        <w:pStyle w:val="Heading4"/>
        <w:numPr>
          <w:ilvl w:val="3"/>
          <w:numId w:val="1"/>
        </w:numPr>
        <w:rPr/>
      </w:pPr>
      <w:bookmarkStart w:id="504" w:name="__RefHeading___Toc2903239_3804643083"/>
      <w:bookmarkStart w:id="505" w:name="_Toc190"/>
      <w:bookmarkEnd w:id="504"/>
      <w:r>
        <w:rPr>
          <w:rtl w:val="true"/>
        </w:rPr>
        <w:t>اشاره</w:t>
      </w:r>
      <w:bookmarkEnd w:id="505"/>
    </w:p>
    <w:p>
      <w:pPr>
        <w:pStyle w:val="BookText"/>
        <w:rPr/>
      </w:pPr>
      <w:r>
        <w:rPr>
          <w:rStyle w:val="FootnoteAnchor"/>
          <w:rtl w:val="true"/>
        </w:rPr>
        <w:footnoteReference w:id="316"/>
      </w:r>
    </w:p>
    <w:p>
      <w:pPr>
        <w:pStyle w:val="Heading4"/>
        <w:numPr>
          <w:ilvl w:val="3"/>
          <w:numId w:val="1"/>
        </w:numPr>
        <w:rPr/>
      </w:pPr>
      <w:bookmarkStart w:id="506" w:name="__RefHeading___Toc2903241_3804643083"/>
      <w:bookmarkStart w:id="507" w:name="_Toc191"/>
      <w:bookmarkEnd w:id="506"/>
      <w:r>
        <w:rPr>
          <w:rtl w:val="true"/>
        </w:rPr>
        <w:t>حكم مدح غير مستحق مدح يا مستحق ذم</w:t>
      </w:r>
      <w:bookmarkEnd w:id="507"/>
    </w:p>
    <w:p>
      <w:pPr>
        <w:pStyle w:val="BookText"/>
        <w:rPr/>
      </w:pPr>
      <w:r>
        <w:rPr>
          <w:rFonts w:ascii="IRNazanin" w:hAnsi="IRNazanin" w:eastAsia="IRNazanin"/>
          <w:color w:val="111111"/>
          <w:sz w:val="28"/>
          <w:sz w:val="28"/>
          <w:szCs w:val="28"/>
          <w:rtl w:val="true"/>
          <w:lang w:bidi="fa-IR"/>
        </w:rPr>
        <w:t xml:space="preserve">مسأله‌ي بيست و يكم كه مرحوم شيخ در نوع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يحرم التكسب به لكونه عملاً محرماً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مي‌كند، حرمت مدح كسي است كه مستحق مدح نيست يا مستحق ذم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برخي كتب علامه</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يحرم سبّ المؤمنين و الكذب عليهم و النميمة و مدح من يستحقّ الذمّ و بالعكس، و التشبيب بالمرأة المعروفة المؤمنة، بلا خلاف في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في معرفة الحلال و الحرام،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القمار حرام و ما يؤخذ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 كتب الضلال و نسخها لغير النقض أو الحجّة، و نسخ التوراة و الإنجيل و تعليمهما و أخذ الأجرة عليهما، و هجاء المؤمنين و الغيبة و الكذب عليهم، و النميمة، و سبّ المؤمنين، و مدح من يستحقّ الذمّ و بالعكس، و التشبيب بالمرأة المعروفة المؤمنة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حرام، و كذا استماعها، و هجاء المؤمنين، و الكذب عليهم، و النميمة، و سبّ المؤمنين، و السعي في القبيح، و مدح من يستحقّ الذم و بالعكس، و الأمر بشي‌ء من ذلك، و أخذ الأجرة عليه، و التشبيب بنساء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تحقيق المذهب،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حرام و كذا هجاء المؤمنين، و الكذب عليهم، و النميمة، و السعاية بالمؤمنين، و سبّهم و شتمهم، و السعي في القبيح، و مدح من يستحقّ الذمّ و ذمّ من يستحقّ المدح، و الأمر بشي‌ء من ذلك، و أخذ الأجرة عليه، و التشبيب بنساء المؤمنين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الإحكام في معرفة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هجاء المؤمن حرام، و كذا 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و الكذب عليهم، و النميمة، و سب المؤمنين، و مدح من يستحق الذم، و بالعكس</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كه قائل به حرمت چنين</w:t>
      </w:r>
    </w:p>
    <w:p>
      <w:pPr>
        <w:pStyle w:val="BookText"/>
        <w:rPr/>
      </w:pPr>
      <w:r>
        <w:rPr>
          <w:rFonts w:ascii="IRNazanin" w:hAnsi="IRNazanin" w:eastAsia="IRNazanin"/>
          <w:color w:val="111111"/>
          <w:sz w:val="28"/>
          <w:sz w:val="28"/>
          <w:szCs w:val="28"/>
          <w:rtl w:val="true"/>
          <w:lang w:bidi="fa-IR"/>
        </w:rPr>
        <w:t>مدحي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هم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ادلّه‌ي اربعه بر حرمت چنين مدحي دلالت مي‌كند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و العشرون مدح من لا يستحق المدح، أو يستحق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العلّامة في المكاسب المحرّمة، و الوجه فيه واضح من جهة قبحه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من الشرع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 صاحب دنيا و أحبّه طمعاً في دنياه، سخط اللّه عليه، و كان في درجته مع قارون في التابوت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النبوي الآخر الوارد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مدح سلطاناً جائراً، أو تخفّف و تضعضع له طمعاً فيه، كان قرينه في النار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هذه الأدلّة حرمة المدح طمعاً في الممدوح، و أمّا لدفع شرّه فهو واجب، و قد ورد في عدة 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شرار الناس الذين يُكرَمون اتقاء شرّهم</w:t>
      </w:r>
      <w:r>
        <w:rPr>
          <w:rFonts w:eastAsia="Amiri" w:cs="Amiri" w:ascii="Amiri" w:hAnsi="Amiri"/>
          <w:color w:val="111111"/>
          <w:sz w:val="28"/>
          <w:szCs w:val="28"/>
          <w:rtl w:val="true"/>
          <w:lang w:bidi="ar-SA"/>
        </w:rPr>
        <w:t>».</w:t>
      </w:r>
      <w:bookmarkStart w:id="508" w:name="pg2375_19814"/>
    </w:p>
    <w:p>
      <w:pPr>
        <w:pStyle w:val="Heading4"/>
        <w:numPr>
          <w:ilvl w:val="3"/>
          <w:numId w:val="1"/>
        </w:numPr>
        <w:rPr/>
      </w:pPr>
      <w:bookmarkStart w:id="509" w:name="__RefHeading___Toc2903243_3804643083"/>
      <w:bookmarkStart w:id="510" w:name="_Toc192"/>
      <w:bookmarkEnd w:id="508"/>
      <w:bookmarkEnd w:id="509"/>
      <w:r>
        <w:rPr>
          <w:rtl w:val="true"/>
        </w:rPr>
        <w:t>ادلّه‌ي حرمت مدح من لايستحق المدح أو يستحق الذم</w:t>
      </w:r>
      <w:bookmarkEnd w:id="510"/>
    </w:p>
    <w:p>
      <w:pPr>
        <w:pStyle w:val="Heading5"/>
        <w:numPr>
          <w:ilvl w:val="4"/>
          <w:numId w:val="1"/>
        </w:numPr>
        <w:rPr/>
      </w:pPr>
      <w:bookmarkStart w:id="511" w:name="__RefHeading___Toc2903245_3804643083"/>
      <w:bookmarkStart w:id="512" w:name="_Toc193"/>
      <w:bookmarkEnd w:id="511"/>
      <w:r>
        <w:rPr/>
        <w:t>1</w:t>
      </w:r>
      <w:r>
        <w:rPr>
          <w:rtl w:val="true"/>
        </w:rPr>
        <w:t xml:space="preserve">. </w:t>
      </w:r>
      <w:r>
        <w:rPr>
          <w:rtl w:val="true"/>
        </w:rPr>
        <w:t>عقل</w:t>
      </w:r>
      <w:bookmarkEnd w:id="512"/>
    </w:p>
    <w:p>
      <w:pPr>
        <w:pStyle w:val="Heading6"/>
        <w:numPr>
          <w:ilvl w:val="5"/>
          <w:numId w:val="1"/>
        </w:numPr>
        <w:rPr/>
      </w:pPr>
      <w:bookmarkStart w:id="513" w:name="__RefHeading___Toc2903247_3804643083"/>
      <w:bookmarkStart w:id="514" w:name="_Toc194"/>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مرحوم شيخ مي‌فرمايد مدح كسي كه مستحق مدح نيست يا مستحق ذم است، عقلاً قبيح است كه قاعدتاً مراد ايشان استقلال عقل به قبح چنين مدحي است</w:t>
      </w:r>
      <w:r>
        <w:rPr>
          <w:rFonts w:eastAsia="IRNazanin" w:cs="IRNazanin"/>
          <w:color w:val="111111"/>
          <w:sz w:val="28"/>
          <w:szCs w:val="28"/>
          <w:rtl w:val="true"/>
          <w:lang w:bidi="fa-IR"/>
        </w:rPr>
        <w:t>.</w:t>
      </w:r>
    </w:p>
    <w:p>
      <w:pPr>
        <w:pStyle w:val="Heading6"/>
        <w:numPr>
          <w:ilvl w:val="5"/>
          <w:numId w:val="1"/>
        </w:numPr>
        <w:rPr/>
      </w:pPr>
      <w:bookmarkStart w:id="515" w:name="__RefHeading___Toc2903249_3804643083"/>
      <w:bookmarkStart w:id="516" w:name="_Toc195"/>
      <w:bookmarkEnd w:id="515"/>
      <w:r>
        <w:rPr>
          <w:rtl w:val="true"/>
        </w:rPr>
        <w:t>نقد</w:t>
      </w:r>
      <w:bookmarkEnd w:id="516"/>
    </w:p>
    <w:p>
      <w:pPr>
        <w:pStyle w:val="BookText"/>
        <w:rPr/>
      </w:pPr>
      <w:r>
        <w:rPr>
          <w:rFonts w:ascii="IRNazanin" w:hAnsi="IRNazanin" w:eastAsia="IRNazanin"/>
          <w:color w:val="111111"/>
          <w:sz w:val="28"/>
          <w:sz w:val="28"/>
          <w:szCs w:val="28"/>
          <w:rtl w:val="true"/>
          <w:lang w:bidi="fa-IR"/>
        </w:rPr>
        <w:t>در نقد اين استدلال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چنين مدحي عناوين محرّم ديگري مانند كذب، إغراء به جهل، إعانه‌ي ظالم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نگردد و فقط بما هو مدح لمن لا يستحق المدح أو يستحق الذم باشد، نمي‌توانيم تصديق كنيم عقلاً به حدّي قبيح است كه فاعل آن مستحق آتش بوده و معيار حرمت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عناوين ديگري بر آن منطبق شود، آن بحث ديگري است</w:t>
      </w:r>
      <w:r>
        <w:rPr>
          <w:rFonts w:eastAsia="IRNazanin" w:cs="IRNazanin"/>
          <w:color w:val="111111"/>
          <w:sz w:val="28"/>
          <w:szCs w:val="28"/>
          <w:rtl w:val="true"/>
          <w:lang w:bidi="fa-IR"/>
        </w:rPr>
        <w:t>.</w:t>
      </w:r>
    </w:p>
    <w:p>
      <w:pPr>
        <w:pStyle w:val="Heading5"/>
        <w:numPr>
          <w:ilvl w:val="4"/>
          <w:numId w:val="1"/>
        </w:numPr>
        <w:rPr/>
      </w:pPr>
      <w:bookmarkStart w:id="517" w:name="__RefHeading___Toc2903251_3804643083"/>
      <w:bookmarkStart w:id="518" w:name="_Toc196"/>
      <w:bookmarkEnd w:id="517"/>
      <w:r>
        <w:rPr/>
        <w:t>2</w:t>
      </w:r>
      <w:r>
        <w:rPr>
          <w:rtl w:val="true"/>
        </w:rPr>
        <w:t xml:space="preserve">. </w:t>
      </w:r>
      <w:r>
        <w:rPr>
          <w:rtl w:val="true"/>
        </w:rPr>
        <w:t>كتاب</w:t>
      </w:r>
      <w:bookmarkEnd w:id="518"/>
    </w:p>
    <w:p>
      <w:pPr>
        <w:pStyle w:val="Heading6"/>
        <w:numPr>
          <w:ilvl w:val="5"/>
          <w:numId w:val="1"/>
        </w:numPr>
        <w:rPr/>
      </w:pPr>
      <w:bookmarkStart w:id="519" w:name="__RefHeading___Toc2903253_3804643083"/>
      <w:bookmarkStart w:id="520" w:name="_Toc197"/>
      <w:bookmarkEnd w:id="519"/>
      <w:r>
        <w:rPr>
          <w:rtl w:val="true"/>
        </w:rPr>
        <w:t>اشاره</w:t>
      </w:r>
      <w:bookmarkEnd w:id="520"/>
    </w:p>
    <w:p>
      <w:pPr>
        <w:pStyle w:val="BookText"/>
        <w:rPr/>
      </w:pPr>
      <w:r>
        <w:rPr>
          <w:rFonts w:ascii="Amiri" w:hAnsi="Amiri" w:eastAsia="Amiri" w:cs="Amiri"/>
          <w:color w:val="111111"/>
          <w:sz w:val="28"/>
          <w:sz w:val="28"/>
          <w:szCs w:val="28"/>
          <w:rtl w:val="true"/>
          <w:lang w:bidi="ar-SA"/>
        </w:rPr>
        <w:t>تمسك به آيه‌ي شريفه‌ي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&gt;</w:t>
      </w:r>
      <w:r>
        <w:rPr>
          <w:rStyle w:val="FootnoteAnchor"/>
          <w:rtl w:val="true"/>
        </w:rPr>
        <w:footnoteReference w:id="319"/>
      </w:r>
      <w:bookmarkStart w:id="521" w:name="pg2375_19815"/>
    </w:p>
    <w:p>
      <w:pPr>
        <w:pStyle w:val="BookText"/>
        <w:rPr/>
      </w:pPr>
      <w:bookmarkEnd w:id="521"/>
      <w:r>
        <w:rPr>
          <w:rFonts w:ascii="IRNazanin" w:hAnsi="IRNazanin" w:eastAsia="IRNazanin"/>
          <w:color w:val="111111"/>
          <w:sz w:val="28"/>
          <w:sz w:val="28"/>
          <w:szCs w:val="28"/>
          <w:rtl w:val="true"/>
          <w:lang w:bidi="fa-IR"/>
        </w:rPr>
        <w:t>به كساني كه ظلم كرده‌اند ركون و اعتماد نكنيد كه آتش شما را فرا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اين آيه‌ي شريفه را به عنوان دليل بر حرمت چنين مدحي ذكر مي‌كنند، ولي توضيحي نمي‌دهند</w:t>
      </w:r>
      <w:r>
        <w:rPr>
          <w:rFonts w:eastAsia="IRNazanin" w:cs="IRNazanin"/>
          <w:color w:val="111111"/>
          <w:sz w:val="28"/>
          <w:szCs w:val="28"/>
          <w:rtl w:val="true"/>
          <w:lang w:bidi="fa-IR"/>
        </w:rPr>
        <w:t>.</w:t>
      </w:r>
    </w:p>
    <w:p>
      <w:pPr>
        <w:pStyle w:val="Heading6"/>
        <w:numPr>
          <w:ilvl w:val="5"/>
          <w:numId w:val="1"/>
        </w:numPr>
        <w:rPr/>
      </w:pPr>
      <w:bookmarkStart w:id="522" w:name="__RefHeading___Toc2903255_3804643083"/>
      <w:bookmarkStart w:id="523" w:name="_Toc198"/>
      <w:bookmarkEnd w:id="522"/>
      <w:r>
        <w:rPr>
          <w:rtl w:val="true"/>
        </w:rPr>
        <w:t>نقد</w:t>
      </w:r>
      <w:bookmarkEnd w:id="523"/>
    </w:p>
    <w:p>
      <w:pPr>
        <w:pStyle w:val="BookText"/>
        <w:rPr/>
      </w:pPr>
      <w:r>
        <w:rPr>
          <w:rFonts w:ascii="IRNazanin" w:hAnsi="IRNazanin" w:eastAsia="IRNazanin"/>
          <w:color w:val="111111"/>
          <w:sz w:val="28"/>
          <w:sz w:val="28"/>
          <w:szCs w:val="28"/>
          <w:rtl w:val="true"/>
          <w:lang w:bidi="fa-IR"/>
        </w:rPr>
        <w:t>استدلال مرحوم شيخ به اين آيه‌ي شريفه براي اثبات حرمت چنين مدحي تمام نيست؛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من لايستحق المدح أو يستحق الذم، ركون بر او نيست؛ چون ركون يعني تكيه كردن، در حالي كه صرف مدح ركون و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به كسي كه بخشنده نيست به صورت انشائي بگوييم عجب بخشنده‌اي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صدق نمي‌كند كه به آن شخص ركون كرده‌ايم، يا اگر به فقيرِ غير متعفف بگوييم چه فقير متعففي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ركون به او صدق نمي‌كند؛ خصوصاً اگر هدفمان به رحم آوردن دل ديگران براي كمك به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شريفه مي‌فرمايد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لا تَرْكَنُوا إِلَى الَّذينَ ظَلَمُوا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يعني ركون به كساني كه ظلم كرده‌اند نكنيد، در حالي كه ممكن است ممدوح ظلم نكرده باشد، هرچند مستحق مدح نبوده و يا حتّي مستحق ذم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ظلم بالمعني الأعم بر كسي كه مستحق ذم است صدق كند، ولي ظاهراً آن، مراد آيه‌ي شريفه نيست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به كسي كه در حدّ معمول بخشنده است</w:t>
      </w:r>
      <w:bookmarkStart w:id="524" w:name="pg2375_19816"/>
    </w:p>
    <w:p>
      <w:pPr>
        <w:pStyle w:val="BookText"/>
        <w:rPr/>
      </w:pPr>
      <w:bookmarkEnd w:id="524"/>
      <w:r>
        <w:rPr>
          <w:rFonts w:ascii="IRNazanin" w:hAnsi="IRNazanin" w:eastAsia="IRNazanin"/>
          <w:color w:val="111111"/>
          <w:sz w:val="28"/>
          <w:sz w:val="28"/>
          <w:szCs w:val="28"/>
          <w:rtl w:val="true"/>
          <w:lang w:bidi="fa-IR"/>
        </w:rPr>
        <w:t>بگوييم عجب بخشنده‌اي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ظلمي را مرتكب نشده كه ركون به او، ركون به ظالم باشد و مدح بي‌جاي ديگران هم باعث ظالم شدن ممدوح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گاهي از طرف بعضي مورد ثناء زياد واقع مي‌شدند به خداوند متعال عرض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اجْعَلْنِي خَيْراً مِمَّا يَظُنُّونَ وَ اغْفِرْ لِي مَا لَا يَعْلَمُونَ</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مَدَحَهُ قَوْمٌ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أَعْلَمُ بِي مِنْ نَفْسِي وَ أَنَا أَعْلَمُ بِنَفْسِي مِنْهُمْ اللَّهُمَّ اجْعَلْنِي خَيْراً مِمَّا يَظُنُّونَ وَ اغْفِرْ لِي مَا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احتمالاً حضرت در مقام تربيت چنين مي‌فرمودند</w:t>
      </w:r>
      <w:r>
        <w:rPr>
          <w:rFonts w:eastAsia="IRNazanin" w:cs="IRNazanin"/>
          <w:color w:val="111111"/>
          <w:sz w:val="28"/>
          <w:szCs w:val="28"/>
          <w:rtl w:val="true"/>
          <w:lang w:bidi="fa-IR"/>
        </w:rPr>
        <w:t>.</w:t>
      </w:r>
    </w:p>
    <w:p>
      <w:pPr>
        <w:pStyle w:val="Heading5"/>
        <w:numPr>
          <w:ilvl w:val="4"/>
          <w:numId w:val="1"/>
        </w:numPr>
        <w:rPr/>
      </w:pPr>
      <w:bookmarkStart w:id="525" w:name="__RefHeading___Toc2903257_3804643083"/>
      <w:bookmarkStart w:id="526" w:name="_Toc199"/>
      <w:bookmarkEnd w:id="525"/>
      <w:r>
        <w:rPr/>
        <w:t>3</w:t>
      </w:r>
      <w:r>
        <w:rPr>
          <w:rtl w:val="true"/>
        </w:rPr>
        <w:t xml:space="preserve">. </w:t>
      </w:r>
      <w:r>
        <w:rPr>
          <w:rtl w:val="true"/>
        </w:rPr>
        <w:t>استدلال به روايات</w:t>
      </w:r>
      <w:bookmarkEnd w:id="526"/>
    </w:p>
    <w:p>
      <w:pPr>
        <w:pStyle w:val="Heading6"/>
        <w:numPr>
          <w:ilvl w:val="5"/>
          <w:numId w:val="1"/>
        </w:numPr>
        <w:rPr/>
      </w:pPr>
      <w:bookmarkStart w:id="527" w:name="__RefHeading___Toc2903259_3804643083"/>
      <w:bookmarkStart w:id="528" w:name="_Toc200"/>
      <w:bookmarkEnd w:id="527"/>
      <w:r>
        <w:rPr>
          <w:rtl w:val="true"/>
        </w:rPr>
        <w:t>ـ روايت أبي هريره و عبدالله بن عباس</w:t>
      </w:r>
      <w:r>
        <w:rPr>
          <w:rtl w:val="true"/>
        </w:rPr>
        <w:t>:</w:t>
      </w:r>
      <w:bookmarkEnd w:id="52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السَّابِقِ</w:t>
      </w:r>
      <w:r>
        <w:rPr>
          <w:rStyle w:val="FootnoteAnchor"/>
          <w:rtl w:val="true"/>
        </w:rPr>
        <w:footnoteReference w:id="321"/>
      </w:r>
      <w:r>
        <w:rPr>
          <w:rFonts w:ascii="Amiri" w:hAnsi="Amiri" w:eastAsia="Amiri" w:cs="Amiri"/>
          <w:color w:val="111111"/>
          <w:sz w:val="28"/>
          <w:sz w:val="28"/>
          <w:szCs w:val="28"/>
          <w:rtl w:val="true"/>
          <w:lang w:bidi="ar-SA"/>
        </w:rPr>
        <w:t>فِي عِيَادَةِ الْمَرِيضِ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عَظَّمَ صَاحِبَ دُنْيَا وَ أَحَبَّهُ لِطَمَعِ دُنْيَاهُ سَخِطَ اللَّهُ عَلَيْهِ وَ كَانَ فِي دَرَجَتِهِ مَعَ قَارُونَ فِي التَّابُوتِ الْأَسْفَلِ مِنَ النَّارِ </w:t>
      </w:r>
      <w:r>
        <w:rPr>
          <w:rFonts w:eastAsia="Amiri" w:cs="Amiri" w:ascii="Amiri" w:hAnsi="Amiri"/>
          <w:color w:val="111111"/>
          <w:sz w:val="28"/>
          <w:szCs w:val="28"/>
          <w:rtl w:val="true"/>
          <w:lang w:bidi="ar-SA"/>
        </w:rPr>
        <w:t>... .</w:t>
      </w:r>
      <w:r>
        <w:rPr>
          <w:rStyle w:val="FootnoteAnchor"/>
          <w:rtl w:val="true"/>
        </w:rPr>
        <w:footnoteReference w:id="322"/>
      </w:r>
      <w:bookmarkStart w:id="529" w:name="pg2375_19817"/>
    </w:p>
    <w:p>
      <w:pPr>
        <w:pStyle w:val="BookText"/>
        <w:rPr/>
      </w:pPr>
      <w:bookmarkEnd w:id="52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صاحب دنيايي را بزرگ بشمارد و به خاطر طمع در دنيايش دوستش بدارد، خداوند بر او سخط مي‌كند و در درجه‌اش همراه قارون در صندوقي در طبقه پايين آتش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جايي كه مدح صاحب دنيا مصداق بزرگ شمردن اوست، پس اين روايت دالّ بر حرمت آن است</w:t>
      </w:r>
      <w:r>
        <w:rPr>
          <w:rFonts w:eastAsia="IRNazanin" w:cs="IRNazanin"/>
          <w:color w:val="111111"/>
          <w:sz w:val="28"/>
          <w:szCs w:val="28"/>
          <w:rtl w:val="true"/>
          <w:lang w:bidi="fa-IR"/>
        </w:rPr>
        <w:t>.</w:t>
      </w:r>
    </w:p>
    <w:p>
      <w:pPr>
        <w:pStyle w:val="Heading6"/>
        <w:numPr>
          <w:ilvl w:val="5"/>
          <w:numId w:val="1"/>
        </w:numPr>
        <w:rPr/>
      </w:pPr>
      <w:bookmarkStart w:id="530" w:name="__RefHeading___Toc2903261_3804643083"/>
      <w:bookmarkStart w:id="531" w:name="_Toc201"/>
      <w:bookmarkEnd w:id="530"/>
      <w:r>
        <w:rPr>
          <w:rtl w:val="true"/>
        </w:rPr>
        <w:t>نقد دلالت روايت</w:t>
      </w:r>
      <w:bookmarkEnd w:id="531"/>
    </w:p>
    <w:p>
      <w:pPr>
        <w:pStyle w:val="BookText"/>
        <w:rPr/>
      </w:pPr>
      <w:r>
        <w:rPr>
          <w:rFonts w:ascii="IRNazanin" w:hAnsi="IRNazanin" w:eastAsia="IRNazanin"/>
          <w:color w:val="111111"/>
          <w:sz w:val="28"/>
          <w:sz w:val="28"/>
          <w:szCs w:val="28"/>
          <w:rtl w:val="true"/>
          <w:lang w:bidi="fa-IR"/>
        </w:rPr>
        <w:t>اين روايت ـ علاوه بر ضعف سند به خاطر مجاهيل متعددي كه از عامه هستند ـ بيش از آن دلالت ندارد كه مدح صاحب دنيا همراه با دوست داشتن او به خاطر طمع در دنيايش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عنوان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من لا يستحق المدح أو يستحق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بوده و شامل مدح كسي كه صاحب دنيا نيست يا بدون طمع مدح كند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مرحوم شيخ در آخر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مدحي كه طمعاً باشد حرام است، ولي عنواني كه علامه ذكر فرموده اعم است</w:t>
      </w:r>
      <w:r>
        <w:rPr>
          <w:rFonts w:eastAsia="IRNazanin" w:cs="IRNazanin"/>
          <w:color w:val="111111"/>
          <w:sz w:val="28"/>
          <w:szCs w:val="28"/>
          <w:rtl w:val="true"/>
          <w:lang w:bidi="fa-IR"/>
        </w:rPr>
        <w:t>.</w:t>
      </w:r>
    </w:p>
    <w:p>
      <w:pPr>
        <w:pStyle w:val="Heading6"/>
        <w:numPr>
          <w:ilvl w:val="5"/>
          <w:numId w:val="1"/>
        </w:numPr>
        <w:rPr/>
      </w:pPr>
      <w:bookmarkStart w:id="532" w:name="__RefHeading___Toc2903263_3804643083"/>
      <w:bookmarkStart w:id="533" w:name="_Toc202"/>
      <w:bookmarkEnd w:id="532"/>
      <w:r>
        <w:rPr>
          <w:rtl w:val="true"/>
        </w:rPr>
        <w:t>ـ حديث مناهي</w:t>
      </w:r>
      <w:bookmarkEnd w:id="533"/>
    </w:p>
    <w:p>
      <w:pPr>
        <w:pStyle w:val="BookText"/>
        <w:rPr/>
      </w:pPr>
      <w:r>
        <w:rPr>
          <w:rFonts w:ascii="Amiri" w:hAnsi="Amiri" w:eastAsia="Amiri" w:cs="Amiri"/>
          <w:color w:val="111111"/>
          <w:sz w:val="28"/>
          <w:sz w:val="28"/>
          <w:szCs w:val="28"/>
          <w:rtl w:val="true"/>
          <w:lang w:bidi="ar-SA"/>
        </w:rPr>
        <w:t>مُحَمَّدُ بْنُ عَلِيِّ بْنِ الْحُسَيْنِ بِإِسْنَادِهِ عَنْ شُعَيْبِ بْنِ وَاقِدٍ</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ما كان فيه عن شعيب بن واقد في المناهي فقد رويته عن حمزة بن محمّد بن أحمد ابن جعفر بن محمّد بن زيد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عبد العزيز بن محمّد بن عيسى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زكريّا الجوهريّ الغلابيّ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زيد، عن الصادق جعفر بن محمّد، عن أبيه، عن آبائه، عن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الأكل على الجنابة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يورث الفقر و ذكر الحديث بطوله كما في هذا الكتاب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زَيْدٍ عَنِ الصَّادِقِ جَعْفَرِ بْنِ مُحَمَّدٍ</w:t>
      </w:r>
    </w:p>
    <w:p>
      <w:pPr>
        <w:pStyle w:val="BookText"/>
        <w:rPr/>
      </w:pPr>
      <w:r>
        <w:rPr>
          <w:rFonts w:ascii="Amiri" w:hAnsi="Amiri" w:eastAsia="Amiri" w:cs="Amiri"/>
          <w:color w:val="111111"/>
          <w:sz w:val="28"/>
          <w:sz w:val="28"/>
          <w:szCs w:val="28"/>
          <w:rtl w:val="true"/>
          <w:lang w:bidi="ar-SA"/>
        </w:rPr>
        <w:t>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سُلْطَاناً جَائِراً وَ تَحَفَّفَ‌</w:t>
      </w:r>
      <w:r>
        <w:rPr>
          <w:rStyle w:val="FootnoteAnchor"/>
          <w:rtl w:val="true"/>
        </w:rPr>
        <w:footnoteReference w:id="324"/>
      </w:r>
      <w:r>
        <w:rPr>
          <w:rFonts w:ascii="Amiri" w:hAnsi="Amiri" w:eastAsia="Amiri" w:cs="Amiri"/>
          <w:color w:val="111111"/>
          <w:sz w:val="28"/>
          <w:sz w:val="28"/>
          <w:szCs w:val="28"/>
          <w:rtl w:val="true"/>
          <w:lang w:bidi="ar-SA"/>
        </w:rPr>
        <w:t>وَ تَضَعْضَعَ لَهُ طَمَعاً فِيهِ كَانَ قَرِينَهُ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&gt;</w:t>
      </w:r>
      <w:r>
        <w:rPr>
          <w:rStyle w:val="FootnoteAnchor"/>
          <w:rtl w:val="true"/>
        </w:rPr>
        <w:footnoteReference w:id="32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جَائِراً عَلَى جَوْرٍ كَانَ قَرِينَ هَامَانَ فِي جَهَنَّمَ</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گرامي خود از آباء طاهرينشان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كه حضرت در حديث مناهي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كسي كه سلطان ستمگري را مدح كند يا خودش را نزد او كوچك كند يا در مقابل او تواضع كند به خاطر</w:t>
      </w:r>
    </w:p>
    <w:p>
      <w:pPr>
        <w:pStyle w:val="BookText"/>
        <w:rPr/>
      </w:pPr>
      <w:r>
        <w:rPr>
          <w:rFonts w:ascii="IRNazanin" w:hAnsi="IRNazanin" w:eastAsia="IRNazanin"/>
          <w:color w:val="111111"/>
          <w:sz w:val="28"/>
          <w:sz w:val="28"/>
          <w:szCs w:val="28"/>
          <w:rtl w:val="true"/>
          <w:lang w:bidi="fa-IR"/>
        </w:rPr>
        <w:t>طمعي كه در او دارد، قرين او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مي‌فرمايد كه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كساني كه ظلم كرده‌اند ركون و اعتماد نكنيد كه آتش شما را فرا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ولايت جائر را بر جور قبول كند، قرين و همراه هامان در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اين روايت هم بر حرمت مطلق مدح من لا يستحق المدح أو يستحق الذم تمام نيست؛ زيرا موضوع در اين روايت، مدح سلطان جائر طمعاً فيه است و نمي‌توانيم به مطلق من لايستحق المدح إسراء دهيم، علاوه بر آن‌كه از لحاظ سند حداقل به خاطر شعيب بن واقد ناتمام است</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اين كل رواياتي بود كه مرحوم شيخ براي استدلال حرمت مدح من لايستحق المدح أو يستحق الذم ذكر فرمودند و اگر جناب شيخ در مقام احصاء ادله بودند، مناسب بود به فقره‌ي ديگر حديث مناهي كه دلالتش بر حرمت مدح من لايستحق المدح أو يستحق الذم روشن‌تر است، استدلال مي‌كردند كه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نَهَى عَنِ الْمَدْحِ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احْثُوا فِي وُجُوهِ الْمَدَّاحِينَ التُّرَابَ؛</w:t>
      </w:r>
      <w:r>
        <w:rPr>
          <w:rStyle w:val="FootnoteAnchor"/>
          <w:rtl w:val="true"/>
        </w:rPr>
        <w:footnoteReference w:id="32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بِإِسْنَادِهِ عَنْ شُعَيْبِ بْنِ وَاقِدٍ عَنِ الْحُسَيْنِ بْنِ زَيْدٍ عَنِ الصَّادِقِ جَعْفَرِ بْنِ مُحَمَّدٍ 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أَنَّهُ نَهَى عَنِ الْمَدْحِ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احْثُوا فِي وُجُوهِ الْمَدَّاحِينَ التُّرَابَ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مدح نهي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مداحين خاك بپاشيد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مناسب بود به روايت تحف العقول تمسك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مُدِحَ الْفَاجِرُ اهْتَزَّ الْعَرْشُ وَ غَضِبَ الرَّبُّ</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هرگاه فاجري مدح شود، عرش به لرزه درمي‌آيد و پروردگار غضب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هم از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از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غرر الحكم و درر الكلم</w:t>
      </w:r>
      <w:r>
        <w:rPr>
          <w:rStyle w:val="FootnoteAnchor"/>
          <w:rtl w:val="true"/>
        </w:rPr>
        <w:footnoteReference w:id="330"/>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 درر الكلم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تصحيح سيد مهدي رجايي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دار الكتب الاسلامي، 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اللّؤم حمد المذموم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مدح الفاجر اهتز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و دررالكلم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جمال الدين محمد خوانسارى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اعظم اللّؤم حمد المذموم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غررالحكم و دررالكلم، انتشارات دانشگاه،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اللّؤم حمد المذموم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اين روايت بر</w:t>
      </w:r>
    </w:p>
    <w:p>
      <w:pPr>
        <w:pStyle w:val="BookText"/>
        <w:rPr/>
      </w:pPr>
      <w:r>
        <w:rPr>
          <w:rFonts w:ascii="IRNazanin" w:hAnsi="IRNazanin" w:eastAsia="IRNazanin"/>
          <w:color w:val="111111"/>
          <w:sz w:val="28"/>
          <w:sz w:val="28"/>
          <w:szCs w:val="28"/>
          <w:rtl w:val="true"/>
          <w:lang w:bidi="fa-IR"/>
        </w:rPr>
        <w:t>حرمت مطلق مدح من لايستحق المدح أو يستحق الذم گرچه ناتمام است؛ زيرا موضوع روايت فاجر است، ولي مناسب بود مرحوم شيخ آن را ذكر مي‌فرمودند؛ چون اگر دلالتش از حديث مناهي ـ كه ذكر فرمودند ـ بهتر نباشد، كمتر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استدلال به آيه‌ي شريفه‌ي</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سوره‌ي 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مناسب بود مرحوم شيخ به اين آيه‌ي شريفه استدلال كنند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يُحِبُّونَ أَنْ يُحْمَدُوا بِما لَمْ يَفْعَلُوا</w:t>
      </w:r>
      <w:r>
        <w:rPr>
          <w:rFonts w:eastAsia="Amiri" w:cs="Amiri" w:ascii="Amiri" w:hAnsi="Amiri"/>
          <w:color w:val="111111"/>
          <w:sz w:val="28"/>
          <w:szCs w:val="28"/>
          <w:rtl w:val="true"/>
          <w:lang w:bidi="ar-SA"/>
        </w:rPr>
        <w:t>&gt;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دوست دارند در مورد كاري كه انجام نداده‌اند، مدح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اين‌كه خداوند متعال در مذمت بعضي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بي‌جا مدح شوند، ممكن است كسي بالملازمه استفاده كند پس كسي هم كه مدح بي‌جا مي‌كند مذموم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اين استدلال هم صحيح نيست؛ زيرا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فقره‌ي آيه‌ي شريفه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يُحِبُّونَ أَنْ يُحْمَدُوا بِما لَمْ يَفْعَلُوا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نمي‌توانيم بگوييم به تنهايي دالّ بر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كسي مبتلا شود به مجموع آن‌چه در آيه‌ي شريفه آمده،</w:t>
      </w:r>
      <w:bookmarkStart w:id="534" w:name="pg2375_19822"/>
    </w:p>
    <w:p>
      <w:pPr>
        <w:pStyle w:val="BookText"/>
        <w:rPr/>
      </w:pPr>
      <w:bookmarkEnd w:id="534"/>
      <w:r>
        <w:rPr>
          <w:rFonts w:ascii="Amiri" w:hAnsi="Amiri" w:eastAsia="Amiri" w:cs="Amiri"/>
          <w:color w:val="111111"/>
          <w:sz w:val="28"/>
          <w:sz w:val="28"/>
          <w:szCs w:val="28"/>
          <w:rtl w:val="true"/>
          <w:lang w:bidi="ar-SA"/>
        </w:rPr>
        <w:t>مرتكب حرام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تَحْسَبَنَّ الَّذينَ يَفْرَحُونَ بِما أَتَوْا وَ يُحِبُّونَ أَنْ يُحْمَدُوا بِما لَمْ يَفْعَلُوا فَلا تَحْسَبَنَّهُمْ بِمَفازَةٍ مِنَ الْعَذابِ وَ لَهُمْ عَذابٌ أَليمٌ</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ملازمه‌اي بين حرمت حبّ ممدوح قرار گرفتن بي‌جا و حرمت مدح كردن بي‌جا نيست؛ زيرا ممكن است حبّ ممدوح قرار گرفتنِ بي‌جا حرام باشد، ولي مدح كردن ديگران در حقّ او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كه ملاحظه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ادلّه‌اي كه بر حرمت مدح من لايستحق المدح أو يستحق الذم اقامه شد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نشود كه مرحوم شيخ مي‌فرمايد مقتضاي اين ادلّه حرمت مدح به خاطر طمع در ممدوح است</w:t>
      </w:r>
      <w:r>
        <w:rPr>
          <w:rFonts w:eastAsia="IRNazanin" w:cs="IRNazanin"/>
          <w:color w:val="111111"/>
          <w:sz w:val="28"/>
          <w:szCs w:val="28"/>
          <w:rtl w:val="true"/>
          <w:lang w:bidi="fa-IR"/>
        </w:rPr>
        <w:t>.</w:t>
      </w:r>
    </w:p>
    <w:p>
      <w:pPr>
        <w:pStyle w:val="Heading4"/>
        <w:numPr>
          <w:ilvl w:val="3"/>
          <w:numId w:val="1"/>
        </w:numPr>
        <w:rPr/>
      </w:pPr>
      <w:bookmarkStart w:id="535" w:name="__RefHeading___Toc2903265_3804643083"/>
      <w:bookmarkStart w:id="536" w:name="_Toc203"/>
      <w:bookmarkEnd w:id="535"/>
      <w:r>
        <w:rPr>
          <w:rtl w:val="true"/>
        </w:rPr>
        <w:t>آيا مدح به جهت دفع شرّ واجب است؟</w:t>
      </w:r>
      <w:bookmarkEnd w:id="536"/>
    </w:p>
    <w:p>
      <w:pPr>
        <w:pStyle w:val="Heading5"/>
        <w:numPr>
          <w:ilvl w:val="4"/>
          <w:numId w:val="1"/>
        </w:numPr>
        <w:rPr/>
      </w:pPr>
      <w:bookmarkStart w:id="537" w:name="__RefHeading___Toc2903267_3804643083"/>
      <w:bookmarkStart w:id="538" w:name="_Toc204"/>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سپس مرحوم شيخ مي‌فرمايد اين‌كه گفتيم مدح بي‌جا حرام است مربوط به جايي است كه براي دفع شرّ نباشد، امّا اگر مدح براي دفع شرّ باشد، نه تنها حرام نيست بلكه واجب هم هست</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أمّا لدفع شرّه فهو واجب، و قد ورد في عدة 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شرار الناس الذين يُكرَمون اتقاء شرّهم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بعضي روايات وارد شده كه</w:t>
      </w:r>
      <w:r>
        <w:rPr>
          <w:rFonts w:eastAsia="Amiri" w:cs="Amiri" w:ascii="Amiri" w:hAnsi="Amiri"/>
          <w:color w:val="111111"/>
          <w:sz w:val="28"/>
          <w:szCs w:val="28"/>
          <w:rtl w:val="true"/>
          <w:lang w:bidi="ar-SA"/>
        </w:rPr>
        <w:t>:</w:t>
      </w:r>
      <w:bookmarkStart w:id="539" w:name="pg2375_19823"/>
    </w:p>
    <w:p>
      <w:pPr>
        <w:pStyle w:val="BookText"/>
        <w:rPr/>
      </w:pPr>
      <w:bookmarkEnd w:id="5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عِنْدَ اللَّهِ يَوْمَ الْقِيَامَةِ الَّذِينَ يُكْرَمُونَ اتِّقَاءَ شَرِّهِمْ</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عِنْدَ اللَّهِ يَوْمَ الْقِيَامَةِ الَّذِينَ يُكْرَمُونَ اتِّقَاءَ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بدترين مردم كساني هستند كه مردم آن‌ها را به خاطر ترس از شرشان مورد إكرام قرار مي‌دهند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به نظر ما اين روايت دلالتي بر وجوب مدح ندارد و فقط بيان مي‌كند كساني كه از ترس شرشان مردم آن‌ها را اكرام مي‌كنند، بدترين مردم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اصل مطلب درست است كه اگر ضرري كه جايز التحمل نيست از طرف شروري متوجه كسي باشد ـ مثلاً جانش در خطر افتد ـ و با مدح بتواند از آن خلاصي پيدا كند، از باب مقدمه‌ي واجب ـ كه حفظ جان و مال باشد ـ چنين مدحي واجب مي‌شود</w:t>
      </w:r>
      <w:r>
        <w:rPr>
          <w:rFonts w:eastAsia="IRNazanin" w:cs="IRNazanin"/>
          <w:color w:val="111111"/>
          <w:sz w:val="28"/>
          <w:szCs w:val="28"/>
          <w:rtl w:val="true"/>
          <w:lang w:bidi="fa-IR"/>
        </w:rPr>
        <w:t>.</w:t>
      </w:r>
    </w:p>
    <w:p>
      <w:pPr>
        <w:pStyle w:val="Heading5"/>
        <w:numPr>
          <w:ilvl w:val="4"/>
          <w:numId w:val="1"/>
        </w:numPr>
        <w:rPr/>
      </w:pPr>
      <w:bookmarkStart w:id="540" w:name="__RefHeading___Toc2903269_3804643083"/>
      <w:bookmarkStart w:id="541" w:name="_Toc205"/>
      <w:bookmarkEnd w:id="540"/>
      <w:r>
        <w:rPr>
          <w:rtl w:val="true"/>
        </w:rPr>
        <w:t>نكته‌ي اخلاقي پيرامون مدح بي‌جا</w:t>
      </w:r>
      <w:bookmarkEnd w:id="541"/>
    </w:p>
    <w:p>
      <w:pPr>
        <w:pStyle w:val="BookText"/>
        <w:rPr/>
      </w:pPr>
      <w:r>
        <w:rPr>
          <w:rFonts w:ascii="IRNazanin" w:hAnsi="IRNazanin" w:eastAsia="IRNazanin"/>
          <w:color w:val="111111"/>
          <w:sz w:val="28"/>
          <w:sz w:val="28"/>
          <w:szCs w:val="28"/>
          <w:rtl w:val="true"/>
          <w:lang w:bidi="fa-IR"/>
        </w:rPr>
        <w:t>گرچه ما نتوانستيم علي الاطلاق حرمت مدح بي‌جا را اثبات كنيم، امّا بلاشبهه اين عمل مذموم است ـ خصوصاً اگر آثاري بر آن مترتب شود ـ ما طلبه‌ها هم خيلي در معرض آن هستيم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متعددي بيان مي‌كند كسي نبايد طمع در مدح شدن</w:t>
      </w:r>
    </w:p>
    <w:p>
      <w:pPr>
        <w:pStyle w:val="BookText"/>
        <w:rPr/>
      </w:pPr>
      <w:r>
        <w:rPr>
          <w:rFonts w:ascii="Amiri" w:hAnsi="Amiri" w:eastAsia="Amiri" w:cs="Amiri"/>
          <w:color w:val="111111"/>
          <w:sz w:val="28"/>
          <w:sz w:val="28"/>
          <w:szCs w:val="28"/>
          <w:rtl w:val="true"/>
          <w:lang w:bidi="ar-SA"/>
        </w:rPr>
        <w:t>بي‌جا داشته باشد و بلكه اصلاً نبايد طمع در مدح شدن داشته باشد، در روايتي كه صاحب وسائل در ابواب مقدمات عبادات ذكر كرده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اخلاص اين است كه دوست نداشته باشي كسي تو را بر عملت مدح كند</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الْقَاسِمِ بْنِ مُحَمَّدٍ عَنِ الْمِنْقَرِيِّ عَنْ سُفْيَانَ بْنِ عُيَيْنَةَ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عَلَى الْعَمَلِ حَتَّى يَخْلُصَ أَشَدُّ مِنَ الْعَمَلِ وَ الْعَمَلُ الْخَالِصُ الَّذِي لَا تُرِيدُ أَنْ يَحْمَدَكَ عَلَيْهِ أَحَدٌ إِلَّا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النَّوْفَلِيِّ عَنِ السَّكُونِيِّ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عَلَامَاتٍ لِلْمُرَائِي يَنْشَطُ إِذَا رَأَى النَّاسَ وَ يَكْسَلُ إِذَا كَانَ وَحْدَهُ وَ يُحِبُّ أَنْ يُحْمَدَ فِي جَمِيعِ أُمُورِهِ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تتمة كتاب الحج، أبواب احكام العشرة، 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أَنْ تَرْضَى بِالْمَجْلِسِ دُونَ الْمَجْلِسِ وَ أَنْ تُسَلِّمَ عَلَى مَنْ تَلْقَى وَ أَنْ تَتْرُكَ الْمِرَاءَ وَ إِنْ كُنْتَ مُحِقّاً وَ لَا تُحِبَّ أَنْ تُحْمَدَ عَلَى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فِي مَعَانِي الْأَخْبَارِ عَنْ أَبِيهِ عَنْ عَلِيِّ بْنِ إِبْرَاهِيمَ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شايد وجه جمع بين اين روايات و صحيحه‌ي ذيل كه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أبواب مقدمة العبادات، باب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جَمِيلِ بْنِ دَرَّاجٍ عَنْ زُرَارَةَ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يَعْمَلُ الشَّيْ‌ءَ مِنَ الْخَيْرِ فَيَرَاهُ إِنْسَانٌ فَيَسُرُّهُ ذَلِكَ قَالَ لَا بَأْسَ مَا مِنْ أَحَدٍ إِلَّا وَ هُوَ يُحِبُّ أَنْ يَظْهَرَ لَهُ فِي النَّاسِ الْخَيْرُ إِذَا لَمْ يَكُنْ صَنَعَ ذَلِكَ لِذَلِكَ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باشد كه انسان نبايد به خاطر كار خيرش، طمع و انتظار مدح ديگران را داشته باشد، امّا اگر ديگران از كار خيرش اطلاع پيدا كرده و مدحش كردند ـ نه در حدي كه مدح بي‌جا باشد ـ دوست داشتن و خوشحال شدن از چنين مدحي اشكالي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معيار چگونه با درخواست حضرت ابراهيم علي نينا و آله و عليه السلام از خداوند متعال كه عرض كرد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اجْعَلْ لي لِسانَ صِدْقٍ فِي الْآخِرين</w:t>
      </w:r>
      <w:r>
        <w:rPr>
          <w:rFonts w:eastAsia="IRNazanin" w:cs="IRNazanin"/>
          <w:color w:val="111111"/>
          <w:sz w:val="28"/>
          <w:szCs w:val="28"/>
          <w:rtl w:val="true"/>
          <w:lang w:bidi="fa-IR"/>
        </w:rPr>
        <w:t>&gt;</w:t>
      </w:r>
      <w:r>
        <w:rPr>
          <w:rStyle w:val="FootnoteAnchor"/>
          <w:rtl w:val="true"/>
        </w:rPr>
        <w:footnoteReference w:id="335"/>
      </w:r>
      <w:r>
        <w:rPr>
          <w:rFonts w:ascii="IRNazanin" w:hAnsi="IRNazanin" w:eastAsia="IRNazanin"/>
          <w:color w:val="111111"/>
          <w:sz w:val="28"/>
          <w:sz w:val="28"/>
          <w:szCs w:val="28"/>
          <w:rtl w:val="true"/>
          <w:lang w:bidi="fa-IR"/>
        </w:rPr>
        <w:t>سازگاري دارد؟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خداوند متعال براي اين‌كه لسان صدق في الآخرين قرار دهد مانعي ندارد، آن‌چه مذموم است اين است كه كسي عملش را به اين قصد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طمع در مدح، مذموم است و از طرف ديگر مدح نكردن كسي كه مستحق مدح است هم مذموم است، در روايتي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يَكُنِ الْمُحْسِنُ وَ الْمُسِي‌ءُ عندكَ سَوَاءٌ فَإِنَّ ذَلِكَ يُزَهِّدُ الْمُحْسِنَ فِي الْإِحْسَانِ وَ يُتَابِعُ الْمُسِي‌ءَ إِلَى الْإِسَاءَة</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نبايد محسن و مسيء نزد تو مساوي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اين‌كه يكي از راه‌هاي شكر كه سفارش زيادي به آن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أَشْكَرُكُمْ لِلَّهِ أَشْكَرُكُمْ لِلنَّاسِ</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الْقَاسِمِ بْنِ مُحَمَّدٍ عَنِ الْمِنْقَرِيِّ عَنْ سُفْيَانَ بْنِ عُيَيْنَةَ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كُلَّ قَلْبٍ حَزِينٍ وَ يُحِبُّ كُلَّ عَبْدٍ شَكُورٍ يَقُولُ اللَّهُ تَبَارَكَ وَ تَعَالَى لِعَبْدٍ مِنْ عَبِيدِهِ يَوْمَ الْقِيَامَةِ أَ شَكَرْتَ فُلَاناً فَيَقُولُ بَلْ شَكَرْتُكَ يَا رَبِّ فَيَقُولُ لَمْ تَشْكُرْنِي إِنْ لَمْ تَشْكُرْهُ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أَشْكَرُكُمْ لِلَّهِ أَشْكَرُكُمْ لِلنَّاسِ</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 كه در مقابل كسي كه</w:t>
      </w:r>
    </w:p>
    <w:p>
      <w:pPr>
        <w:pStyle w:val="BookText"/>
        <w:rPr/>
      </w:pPr>
      <w:r>
        <w:rPr>
          <w:rFonts w:ascii="Amiri" w:hAnsi="Amiri" w:eastAsia="Amiri" w:cs="Amiri"/>
          <w:color w:val="111111"/>
          <w:sz w:val="28"/>
          <w:sz w:val="28"/>
          <w:szCs w:val="28"/>
          <w:rtl w:val="true"/>
          <w:lang w:bidi="ar-SA"/>
        </w:rPr>
        <w:t>نعمتي به ما مي‌دهد به زبان مدح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 بِأَكْثَرَ مِنَ الِاسْتِحْقَاقِ مَلَقٌ وَ التَّقْصِيرُ عَنِ الِاسْتِحْقَاقِ عِيٌّ أَوْ حَسَدٌ</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بِأَكْثَرَ مِنَ الِاسْتِحْقَاقِ مَلَقٌ وَ التَّقْصِيرُ عَنِ الِاسْتِحْقَاقِ عِيٌّ أَوْ 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ستايش بيش از استحقاق، چاپلوسي است و كمتر از استحقاق، بي‌زباني يا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نكردن كسي كه استحقاق مدح دارد به تعبير نهج البلاغه يا بي‌زباني است؛ يعني عدم توانايي بر سخن گفتن و يا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كسي كه مورد مدح قرار مي‌گيرد بايد توجه كند كه مغرور نشود و از وظايف خود غافل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چه بسيار كساني كه به خاطر تعريف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يا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فريفته مي‌شوند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خطبه‌ي متّقين 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زُكِّيَ أَحَدٌ مِنْهُمْ خَافَ مِمَّا يُقَالُ لَهُ فَيَقُولُ أَنَا أَعْلَمُ بِنَفْسِي مِنْ غَيْرِي وَ رَبِّي أَعْلَمُ بِي مِنِّي بِنَفْسِي اللَّهُمَّ لَا تُؤَاخِذْنِي بِمَا يَقُولُونَ وَ اجْعَلْنِي أَفْضَلَ مِمَّا يَظُنُّونَ وَ اغْفِرْ لِي مَا لَا يَعْلَمُون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هرگاه يكي از آن‌ها ستايش شود، از آن‌چه درباره‌ي او گفته شده بيمناك مي‌شود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ديگران به نفس خويش آگاه‌تر هستم و پروردگارم از من به نفسم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بهتر از آن‌چه گمان مي‌كنند قرار بده و در آن‌چه كه آنان از من نمي‌دانند مورد غفران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بدتر از طمع در مدح اين است كه كسي خودش را مدح كند، در روايتي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أقبح الصّدق ثناء الرّجل على نفسه</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تزكية المرء لنفسه قبيح</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أَ وَ لَا تَرَى أَنَّ قَوْماً قُطِّعَتْ أَيْدِيهِمْ فِي سَبِيلِ اللَّهِ وَ لِكُلٍّ فَضْلٌ حَتَّى إِذَا فُعِلَ بِوَاحِدِنَا مَا فُعِلَ بِوَاحِدِهِمْ قِيلَ الطَّيَّارُ فِي الْجَنَّةِ وَ ذُو الْجَنَاحَيْنِ وَ لَوْ لَا مَا نَهَى اللَّهُ عَنْهُ مِنْ تَزْكِيَةِ الْمَرْءِ نَفْسَهُ لَذَكَرَ ذَاكِرٌ فَضَائِلَ جَمَّةً تَعْرِفُهَا قُلُوبُ الْمُؤْمِنِينَ وَ لَا تَمُجُّهَا آذَانُ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آيه‌ي شريفه هم از آن نهي مي‌كند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عين حال اين</w:t>
      </w:r>
    </w:p>
    <w:p>
      <w:pPr>
        <w:pStyle w:val="BookText"/>
        <w:rPr/>
      </w:pPr>
      <w:r>
        <w:rPr>
          <w:rFonts w:ascii="Amiri" w:hAnsi="Amiri" w:eastAsia="Amiri" w:cs="Amiri"/>
          <w:color w:val="111111"/>
          <w:sz w:val="28"/>
          <w:sz w:val="28"/>
          <w:szCs w:val="28"/>
          <w:rtl w:val="true"/>
          <w:lang w:bidi="ar-SA"/>
        </w:rPr>
        <w:t>حكم به نحو مطلق نيست و داراي حدّ است، در بعضي موارد تزكيه‌ي نفس جايز، بلكه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از زبان حضرت يوسف صديق علي نبينا و آله و عليه السلام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&gt;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مرا بر خزائن زمين بگمار كه هم حفيظ و هم عليمم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تزكيه‌ي نفس در بعضي موارد جايز بلكه لازم است، امّا نبايد از حدّ لزوم تجاوز كند و نبايد هم از تسويلات شيطان غافل شد كه موارد استثناء را بر ما تسويل كند و نبايد به سادگي باور كنيم كه از موارد استثناء است و تا مثل آفتاب روشن نشده، اقدام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خيلي روشن شد، به قدر ضرورت اشكالي ندارد</w:t>
      </w:r>
      <w:r>
        <w:rPr>
          <w:rFonts w:eastAsia="IRNazanin" w:cs="IRNazanin"/>
          <w:color w:val="111111"/>
          <w:sz w:val="28"/>
          <w:szCs w:val="28"/>
          <w:rtl w:val="true"/>
          <w:lang w:bidi="fa-IR"/>
        </w:rPr>
        <w:t>.</w:t>
      </w:r>
      <w:bookmarkStart w:id="542" w:name="pg2375_19830"/>
    </w:p>
    <w:p>
      <w:pPr>
        <w:pStyle w:val="Heading2"/>
        <w:numPr>
          <w:ilvl w:val="1"/>
          <w:numId w:val="1"/>
        </w:numPr>
        <w:rPr/>
      </w:pPr>
      <w:bookmarkStart w:id="543" w:name="__RefHeading___Toc2903271_3804643083"/>
      <w:bookmarkStart w:id="544" w:name="_Toc206"/>
      <w:bookmarkEnd w:id="542"/>
      <w:bookmarkEnd w:id="543"/>
      <w:r>
        <w:rPr>
          <w:rtl w:val="true"/>
        </w:rPr>
        <w:t>نَجش</w:t>
      </w:r>
      <w:bookmarkEnd w:id="54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2903273_3804643083"/>
      <w:bookmarkStart w:id="546" w:name="_Toc207"/>
      <w:bookmarkEnd w:id="545"/>
      <w:r>
        <w:rPr>
          <w:rtl w:val="true"/>
        </w:rPr>
        <w:t>اشاره</w:t>
      </w:r>
      <w:bookmarkStart w:id="547" w:name="pg2375_19832"/>
      <w:bookmarkEnd w:id="546"/>
    </w:p>
    <w:p>
      <w:pPr>
        <w:pStyle w:val="Heading3"/>
        <w:numPr>
          <w:ilvl w:val="2"/>
          <w:numId w:val="1"/>
        </w:numPr>
        <w:rPr/>
      </w:pPr>
      <w:bookmarkStart w:id="548" w:name="__RefHeading___Toc2903275_3804643083"/>
      <w:bookmarkStart w:id="549" w:name="_Toc208"/>
      <w:bookmarkEnd w:id="547"/>
      <w:bookmarkEnd w:id="548"/>
      <w:r>
        <w:rPr>
          <w:rtl w:val="true"/>
        </w:rPr>
        <w:t>المسألة الثالثة و العشرون</w:t>
      </w:r>
      <w:r>
        <w:rPr>
          <w:rtl w:val="true"/>
        </w:rPr>
        <w:t xml:space="preserve">: </w:t>
      </w:r>
      <w:r>
        <w:rPr>
          <w:rtl w:val="true"/>
        </w:rPr>
        <w:t>النَّجش</w:t>
      </w:r>
      <w:bookmarkEnd w:id="549"/>
    </w:p>
    <w:p>
      <w:pPr>
        <w:pStyle w:val="Heading4"/>
        <w:numPr>
          <w:ilvl w:val="3"/>
          <w:numId w:val="1"/>
        </w:numPr>
        <w:rPr/>
      </w:pPr>
      <w:bookmarkStart w:id="550" w:name="__RefHeading___Toc2903277_3804643083"/>
      <w:bookmarkStart w:id="551" w:name="_Toc209"/>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مسأله‌ي بيست و سومي كه شيخ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چهارم مكاسب محرمه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يحرم التكسب به لكونه عملاً محرماً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و العشرون 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المفتوحة و الجيم الساكنة، أو المفتوحة حرام؛ لما في النبوي المنجبر بالإجماع المنقول عن جامع المقاصد و المنتهى من لعن الناجش و المنجوش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ادعا شده 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شيعه و سنّي اجماعي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النجش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المفتوحة و الجيم الساكنة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تحقيق المذهب،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النّجش ـ بالنون و الجيم و الشين المعجمتين ـ منهيّ عنه حرام، و هو أن يزيد في السلعة من لا يريد شراءها، و إنّما يقصد بذلك أن يقتدي به المستام، فيظنّ أنّه لم يزد فيها هذا القدر إلّا و هي تساويه فيغترّ بذلك، و هو محرّم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مشهور فقهاء در كتب خود قائل به حرمت نجش شده‌اند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المبسوط في فقه الاماميه،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السرائر الحاوي لتحرير الفتاوي،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تذكرة الفقهاء،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مختلف الشيعة في احكام الشريعة،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تحرير الأحكام الشرعية علي مذهب الامامية،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الدروس الشرعية في فقه الامامية،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كنز الفوائد في حل مشكلات القواعد،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 اين‌كه عده‌اي ادعاي اجماع بر حرمت نجش كرده‌اند و مشهور فقهاء هم حكم به حرمت آن داده‌اند، امّا عده‌ي ديگري قائل به كراهت نجش شده‌اند، بنابراين حرمت آن اجماعي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حلّى، نجم الدين جعفر بن حسن، المختصر النافع في فقه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البائع، و ذم المشترى، و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تلقى الركبان، و حده أربعة فراسخ فما دون، و يثبت الخيار إن ثبت الغبن و الزيادة في السلعة مواطأة للبائع، و هو النجش و الاحتكار و هو حبس الأقوات، و قيل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الأذهان إلى أحكام الإيمان،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البائع، و ذمّ المشتري، و اليمين عليه، و البيع في المظلمة،و الربح 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التلقي ـ و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فراسخ مع القصد، و لا خيار للبائع بدون الغبن ـ و النجش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لمن واطاه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في مسائل الحلال و الحرام،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 الركبان مكروه و حده أربعة فراسخ إذا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حكم النجش و هو أن يزيد لزيادة من واطأه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حكم نجش در بين اهل سنّت هم ظاهراً اختلافي است و اجماعي بر حرمت وجود ندارد؛ چون بعضي تصريح به كراهت آن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صورتي است كه مراد از كراهت، كراهت اصطلاحي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في 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يزيد السلعة من لا يريد شراءها و هو حرام لما فيه من تغرير المشتري و خديعته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المارودي، الحاوي في فقه الشافعي،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أَنَّ النَّجْشَ حكمه حَرَامٌ فَالْبَيْعُ لَا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الْمُشْتَرِيَ وَ إِنِ اقْتَدَى بِهِ فَقَدْ زَادَ بِاخْتِيَارِهِ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في شرح الكتاب،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النجش و عن السوم على سوم غيره و عن تلقي الجلب و عن بيع الحاضر للبادي، و عن البيع عند أذان الجمعة، و كل ذلك يكره و لا يفسد به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الكاساني، علاء الدين، بدائع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فقه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يُكْرَهُ مِمَّا يَتَّصِلُ بِالْبُيُوعِ فَمِنْهَا 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النَّجْشُ و هو أَنْ يَمْدَحَ السِّلْعَةَ وَ يَطْلُبَهَا بِثَمَنٍ ثُمَّ لَا يَشْتَرِيهِ بِنَفْسِهِ وَ لَكِنْ لِيُسْمِعَ غَيْرَهُ فَيَزِيدَ في ثَمَنِهِ وَ إِنَّهُ مَكْرُوهٌ لِمَا رُوِيَ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النَّجْشِ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زين الدين بن نجيم، البحر الرائق،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النجش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رواياتي هم در مورد آن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نجش در لغت</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الإنسان أن يبيع بياعة فيساومه بثمن كثير ينظر إليه ناظر فيقع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التزويج أيضا و الأشياء،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نَجْشَ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نَجَشَها نَجْشاً، و رجل ناجِش نَجُوشُ الصيد أي يأخذ من حواليها ليصرفها إلى الحبالة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يَنْجُشُ الطير أي يسوقه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 آبادى، شيخ نصر الهوريني، القاموس المحيط،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تواطئ رجلا إذا أراد بيعا أن تمدحه أو أن يريد الإنسان أن يبيع بياعة فتساومه فيها بثمن كثير لينظر إليك ناظر فيقع فيها أو أن ينفر الناس عن الشئ إلى غيره و إثارة الصيد و البحث عن الشئ و استثارته، و الجمع و الاستخراج و الانقياد و الإسراع كالنجاشة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النجاشي بتشديد الياء و بتخفيفها أفصح، و تكسر نونها أو هو 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أصحمة ملك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النجاشي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راجز و من يثير الصيد ليمر على الصائد، كالنامجش و المنجاش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المنجشانية ما نسب إلى منجشان أو منجش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النجيش و النجاش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التناجش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التزايد في البيع و 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نَجَشَ الحديثَ يَنْجُشُه نَجْشاً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نَجَشَ الصيدَ و كلَّ شي‌ء مستور يَنْجُشُه نَجْشاً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استثاره و استخرجه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المستخرجُ للشي‌ء؛ عن أَبي عبيد، 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النَّجاشِيُّ و الناجِشُ الذي يُثِير الصيدَ ليمُرّ على الصيّاد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يَحُوش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تَناجَشُوا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تَفاعُل من النَّجْش؛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يَزيدَ الرجلُ ثمنَ السِّلعة و هو لا يريد شراءها، و لكن ليسمعه غيرُه فيَزيد بزيادته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النَجْشُ أَن تمدح سِلعةَ غيرِك ليبيعها أَو تَذُمَّها لئلا تَنْفُق عنه؛ رواه ابن أَبي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في اللغة،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يَبِيْعَ الرَّجُلُ بِيَاعَةً فَتُسَاوِمَه بها بثَمَنٍ كثيرٍ ليَنْظُرَ إليك ناظِرٌ فَيَقَعَ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النَّجّاشُ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الشَّيْ‌ءِ و إطْراؤه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اخْتِرَاعُ الكَذِبِ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مَنْجُوْشٌ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ناجِشٌ مِنْجَاشٌ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يَحُوْشُ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النَّجَاشِيُّ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المَنْجُوْشُ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سائقٌ نَجّاشٌ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النَّجِيْشُ و الناجِشُ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يُنَفَّرَ الناسُ عن الشَّيْ‌ءِ إلى غَيرِه،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نَجّاشُو سُوقِي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نَجَشْتُ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نَجّاشٌ و مِنْجَشٌ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مِثْلُ الشِّرَاكِ يَجْعَلُونَه بين الأدِيْمَيْنِ ثمَّ خَرَزُوه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إِذَا زَادَ فِى سِلْعَةٍ أَكْثَرَ مِنْ ثَمَنِهَا وَ لَيْسَ قَصْدُهُ أَنْ يَشْتَرِيَهَا بَلْ لِيَغُرَّ غَيْرَهُ فَيُوقِعَهُ فِيهِ وَ كَذلِكَ فى النِّكَاحِ وَ غَيْرِهِ وَ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و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تَنَاجَشُوا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ذلِكَ 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الاسْتِتَارُ لِأَنَّهُ يَسْتُرُ قَصْدَهُ وَ مِنْهُ يُقَالُ لِلصَّائِدِ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لِاسْتِتَارِه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الْحَبَشَةِ مُخَفَّفٌ عِنْدَ الْأَكْثَرِ وَ اسْمُهُ أَصْحَمَةُ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معناي برانگيختن است، اگر كسي صيدي</w:t>
      </w:r>
    </w:p>
    <w:p>
      <w:pPr>
        <w:pStyle w:val="BookText"/>
        <w:rPr/>
      </w:pPr>
      <w:r>
        <w:rPr>
          <w:rFonts w:ascii="IRNazanin" w:hAnsi="IRNazanin" w:eastAsia="IRNazanin"/>
          <w:color w:val="111111"/>
          <w:sz w:val="28"/>
          <w:sz w:val="28"/>
          <w:szCs w:val="28"/>
          <w:rtl w:val="true"/>
          <w:lang w:bidi="fa-IR"/>
        </w:rPr>
        <w:t xml:space="preserve">را تحريك كند كه در تيررس قرار گيرد؛ مثلاً ماهي‌ها را تحريك كند به طرف شبكه‌ي صيد حركت كنند،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كسي كه استثاره‌ي صيد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بحث و استخراج و هم‌چنين إذاعه‌ي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كردن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اين‌جا مراد از نجش آن است كه شخصي قيمت متاعِ بايع را بالا ببرد؛ يعني بگويد به قيمت بالاتر مي‌خرم، در حالي كه واقعاً قصد خريد نداشته و هدفش اين است كه ديگران را براي خريدن به قيمت بالاتر ترغيب كند</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هو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الرجل في ثمن السلعة و هو لا يريد شراءها؛ ليسمعه غيره فيزيد لزيادته، بشرط المواطاة مع البائع، أو لا بشرطها، كما حكي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تفسيره أيضاً بأن يمدح السلعة في البيع لينفقها و يروّجها؛ لمواطاة بينه و بين البائع، أو لا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حرمته بالتفسير الثاني خصوصاً لا مع المواطاة يحتاج إلى دليل، و حكي الكراهة عن بعض</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كسي حاضر شده به قيمت پنج ميليون ماشين بايع را بخرد، او بگويد من پنج و نيم ميليون مي‌خرم تا مشتري ترغيب شود و به قيمت بالاتر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عمل آن شخص نجش گفته مي‌شود؛ چه با بايع تواطؤ كرده باشد و چه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هم به معناي اعمي گرفته و گفته‌اند حتّي اگر كسي تعريف بي‌جا از متاع بايع كند تا مشتري رغبت در خريد آن پيدا كند ـ هرچند به قيمت بيشتر هم</w:t>
      </w:r>
    </w:p>
    <w:p>
      <w:pPr>
        <w:pStyle w:val="BookText"/>
        <w:rPr/>
      </w:pPr>
      <w:r>
        <w:rPr>
          <w:rFonts w:ascii="IRNazanin" w:hAnsi="IRNazanin" w:eastAsia="IRNazanin"/>
          <w:color w:val="111111"/>
          <w:sz w:val="28"/>
          <w:sz w:val="28"/>
          <w:szCs w:val="28"/>
          <w:rtl w:val="true"/>
          <w:lang w:bidi="fa-IR"/>
        </w:rPr>
        <w:t>نباشد ـ نجش گفته مي‌شود، ولي اين معناي دوم شاهدي از لغت ندارد، به جز مجمع البحرين</w:t>
      </w:r>
      <w:r>
        <w:rPr>
          <w:rStyle w:val="FootnoteAnchor"/>
          <w:rtl w:val="true"/>
        </w:rPr>
        <w:footnoteReference w:id="347"/>
      </w:r>
      <w:r>
        <w:rPr>
          <w:rFonts w:ascii="IRNazanin" w:hAnsi="IRNazanin" w:eastAsia="IRNazanin"/>
          <w:color w:val="111111"/>
          <w:sz w:val="28"/>
          <w:sz w:val="28"/>
          <w:szCs w:val="28"/>
          <w:rtl w:val="true"/>
          <w:lang w:bidi="fa-IR"/>
        </w:rPr>
        <w:t>كه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النجش بفتحتين هو أن يمدح السلعة في البيع لينفقها و يروجها أو يزيد في قيمتها و هو لا يريد شراءها ليقع غيره فيها</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النجش بفتحتين هو أن يمدح السلعة في البيع لينفقها و يروجها أو يزيد في قيمتها و هو لا يريد شراءها ليقع غيره فيها، يقال نجش الرجل نجشا من باب قتل، و الاسم النجش، و الفاعل ناجش و نجاش مبالغة، قيل و الأصل فيه تنفير الوحش من مكان إلى مكان، و النهي للتحريم لما فيه من إدخال الضرر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النجاشي بالفتح و التخفيف في غير موضع و هو الأكثر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ظاهراً در بيشتر كتب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تواطؤ با 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قيد ذكر نشده</w:t>
      </w:r>
      <w:r>
        <w:rPr>
          <w:rStyle w:val="FootnoteAnchor"/>
          <w:rtl w:val="true"/>
        </w:rPr>
        <w:footnoteReference w:id="34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تواطئ رجلا إذا أراد بيعا أن تمدحه، أو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تُوَاطِى‌ءَ رَجُلًا إِذا أَرادَ بَيْعاً أَنْ تَمْدَحَه، قالَهُ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أَنْ يُرِيدَ الإِنْسَانُ أَنْ يَبِيعَ بِيَاعَةً فتُسَاوِمَهُ فِيهَا بثَمَنٍ كَثِيرٍ، لِيَنْظُرَ إِلَيْكَ ناظِرٌ فيقَعَ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كُرِهَ ذلِك، نَجَشَ يَنْجُشُ نَجْشاً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بعيد نيست تواطؤ خصوصيتي نداشته باشد و اين‌كه در</w:t>
      </w:r>
      <w:bookmarkStart w:id="552" w:name="pg2375_19838"/>
    </w:p>
    <w:p>
      <w:pPr>
        <w:pStyle w:val="BookText"/>
        <w:rPr/>
      </w:pPr>
      <w:bookmarkEnd w:id="552"/>
      <w:r>
        <w:rPr>
          <w:rFonts w:ascii="IRNazanin" w:hAnsi="IRNazanin" w:eastAsia="IRNazanin"/>
          <w:color w:val="111111"/>
          <w:sz w:val="28"/>
          <w:sz w:val="28"/>
          <w:szCs w:val="28"/>
          <w:rtl w:val="true"/>
          <w:lang w:bidi="fa-IR"/>
        </w:rPr>
        <w:t>كلمات بعضي ذكر شده، به خاطر آن است كه مي‌دانستند كسي ابتداءاً و بدون تواطؤ چنين كاري نمي‌كند و معمولاً چنين اتفاق نمي‌افتد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بايد روايات را بررسي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شيعه فقط دو روايت درباره‌ي نجش آمده است كه عبارتند از</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2903279_3804643083"/>
      <w:bookmarkStart w:id="554" w:name="_Toc210"/>
      <w:bookmarkEnd w:id="553"/>
      <w:r>
        <w:rPr>
          <w:rtl w:val="true"/>
        </w:rPr>
        <w:t>روايات مربوط به حرمت نجش</w:t>
      </w:r>
      <w:bookmarkEnd w:id="554"/>
    </w:p>
    <w:p>
      <w:pPr>
        <w:pStyle w:val="Heading5"/>
        <w:numPr>
          <w:ilvl w:val="4"/>
          <w:numId w:val="1"/>
        </w:numPr>
        <w:rPr/>
      </w:pPr>
      <w:bookmarkStart w:id="555" w:name="__RefHeading___Toc2903281_3804643083"/>
      <w:bookmarkStart w:id="556" w:name="_Toc211"/>
      <w:bookmarkEnd w:id="555"/>
      <w:r>
        <w:rPr/>
        <w:t>1</w:t>
      </w:r>
      <w:r>
        <w:rPr>
          <w:rtl w:val="true"/>
        </w:rPr>
        <w:t xml:space="preserve">. </w:t>
      </w:r>
      <w:r>
        <w:rPr>
          <w:rtl w:val="true"/>
        </w:rPr>
        <w:t>روايت عبدالله بن سنان</w:t>
      </w:r>
      <w:r>
        <w:rPr>
          <w:rtl w:val="true"/>
        </w:rPr>
        <w:t>:</w:t>
      </w:r>
      <w:bookmarkEnd w:id="55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أَبِي عَبْدِ اللَّهِ عَنْ مُحَمَّدِ بْنِ سِنَانٍ عَنْ عَبْدِ اللَّهِ بْنِ سِنَانٍ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الْوَاشِمَةُ وَ الْمُتَوَشِّمَةُ وَ النَّاجِشُ وَ الْمَنْجُوشُ مَلْعُونُونَ عَلَى لِسَانِ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به نظر مي‌آيد اين كلام مستقيماً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به نقل از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ملعونون علي لسان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افتادگي در حديث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واشمه و مؤتشمه و ناجش و منجوش در لسان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شدند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واشمه و مؤتشمه را در مبحث تدليس ماشطه توضيح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ناجش هم طبق تعريف كسي است كه زياده‌ي در ثمن مي‌كند يا اين‌كه تعريف مبيع مي‌كند تا مشتري را براي خريد ترغيب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منجوش ظاهراً آن متاعي است كه در موردش نجش مي‌شود، امّا از آن جايي كه معنا ندارد مبيع مورد لعن قرار بگيرد، مقصود بايد منجوشٌ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اين جهت در بعضي نسخ مكاسب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المنجوش له</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لما في النبوي المنجبر بالإجماع المنقول عن جامع المقاصد و المنتهى من لعن الناجش و المنجوش 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دار 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 النبوي المنجبر بالإجماع المنقول عن جامع المقاصد من لعن الناجش و المنجوش 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تناجشوا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قبحه العقل لأنه غش و تلبيس و 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اين‌كه در بعضي روايات مثل مشكاة الانوار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تُشِيرُوا إِلَى الْمَطَرِ بِالْأَصَابِعِ وَ لَا إِلَى الْهِلَالِ بِالْأَصَابِعِ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 الرِّبَا وَ آكِلُهُ وَ شَارِبُهُ وَ كَاتِبُهُ وَ شَاهِدَاهُ وَ الْوَاشِمَةُ وَ الْمُتَوَشِّمَةُ وَ النَّاجِشُ وَ الْمَنْجُوشُ لَهُ مَلْعُونُونَ عَلَى لِسَانِ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منجوشٌ 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روايت دلالت بر حرمت نجش مي‌كند؛ چون مورد لعن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سند به خاطر محمد بن سنان ناتمام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محمد بن سنان أبو جعفر الزاهري من ولد زاهر مولى عمرو بن الحمق الخزاعي، كان أبو عبد الله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محمد بن أحمد بن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بن سنان مولى زاهر توفي أبوه الحسن و هو طفل و كفله جده سنان فنسب إليه، و قال أبو العباس أحمد بن محمد بن سعيد إنه روى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مسائل عنه معروفة، و هو رجل ضعيف جدا لا يعول عليه و لا يلتفت إلى ما تفرد به، و قد ذكر أبو عمرو في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قتيبة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لكم أن ترووا أحاديث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أيضا أنه وجد بخط أبي عبد الله الشاذاني أني سمعت العاصمي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محمد بن عيسى الملقب ببنان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صفوان بن يحيى بالكوفة في منزل إذ دخل علينا محمد بن سنان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سنان لقد هم أن يطير غير مرة فقصصناه حتى ثبت معنا، و هذا يدل على اضطراب كان و زال، و قد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محمد بن سنان سنة عشرين و مائتين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سنان له كتب و قد طعن عليه و ضعف و كتبه مثل كتب الحسين بن سعيد على عددها و له كتاب النوادر و جميع ما رواه إلا ما كان فيها من تخليط أو غلو أخبرنا بكتبه و رواياته جماعة عن أبي جعفر ابن بابويه عن أبيه و محمد بن الحسن جميعا عن سعد و الحميري و محمد بن يحيى عن محمد بن الحسين و أحمد بن محمد عنه، و أخبرنا أيضا ابن بابويه عن محمد بن علي ماجيلويه عن محمد بن أبي القاسم عمه عن محمد بن علي الصيرفي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أَحَادِيثَ مُحَمَّدِ بْنِ سِنَانٍ عَنْ أَيُّوبَ بْنِ نُوحٍ، وَ قَالَ لَا أَسْتَحِلُّ أَنْ أَرْوِيَ أَحَادِيثَ مُحَمَّدِ بْنِ سِنَانٍ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روايت اشعار به اين دارد كه در نجش، تواطؤ وجود دارد؛ چون ناجش و منجوشٌ له هر دو مورد لعن واقع شده‌اند، هرچند نمي‌توان گفت دلالت دارد؛ زيرا ممكن است مراد اين</w:t>
      </w:r>
      <w:bookmarkStart w:id="557" w:name="pg2375_19841"/>
    </w:p>
    <w:p>
      <w:pPr>
        <w:pStyle w:val="BookText"/>
        <w:rPr/>
      </w:pPr>
      <w:bookmarkEnd w:id="557"/>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مواردي كه تواطؤ كرده باشند هر دو ملعونند، امّا در مواردي كه تواطؤ نكرده باشند فقط ناجش ملعون است</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2903283_3804643083"/>
      <w:bookmarkStart w:id="559" w:name="_Toc212"/>
      <w:bookmarkEnd w:id="558"/>
      <w:r>
        <w:rPr/>
        <w:t>2</w:t>
      </w:r>
      <w:r>
        <w:rPr>
          <w:rtl w:val="true"/>
        </w:rPr>
        <w:t xml:space="preserve">. </w:t>
      </w:r>
      <w:r>
        <w:rPr>
          <w:rtl w:val="true"/>
        </w:rPr>
        <w:t>روايت معاني الأخبار</w:t>
      </w:r>
      <w:r>
        <w:rPr>
          <w:rtl w:val="true"/>
        </w:rPr>
        <w:t>:</w:t>
      </w:r>
      <w:bookmarkEnd w:id="559"/>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 عَنْ مُحَمَّدِ بْنِ هَارُونَ الزَّنْجَانِيِّ عَنْ عَلِيِّ بْنِ عَبْدِ الْعَزِيزِ عَنِ الْقَاسِمِ بْنِ سَلَّامٍ بِإِسْنَادٍ مُتَّصِلٍ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تَنَاجَشُوا وَ لَا تَدَابَرُوا</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اين روايت از لحاظ سند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تَنَاجَشُوا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ذكر شده، شايد مراد اين باشد كه در مبيع يا ثمن نجش نكنيد و يا مراد اين باشد كه با هم‌ديگر قرار نجش نگذاريد و احتمال هم دارد مراد اين باشد كه براي كسي نجش نكن تا ديگري براي تو متقابلاً نجش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اين معاني، معناي دوم است؛ يعني با هم قرار نجش نگذاريد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دو روايتي كه در مورد نجش وارد شده هيچ كدام دلالتي بر اين‌كه تواطؤ قيد حرمت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نتوانستيم حدود نجش را از لغت تعيين كنيم، به قدر متيقن اخذ مي‌كنيم كه آن تواطؤ در ازدياد ثمن براي رغبت ديگران در بيع است</w:t>
      </w:r>
      <w:r>
        <w:rPr>
          <w:rFonts w:eastAsia="IRNazanin" w:cs="IRNazanin"/>
          <w:color w:val="111111"/>
          <w:sz w:val="28"/>
          <w:szCs w:val="28"/>
          <w:rtl w:val="true"/>
          <w:lang w:bidi="fa-IR"/>
        </w:rPr>
        <w:t>.</w:t>
      </w:r>
      <w:bookmarkStart w:id="560" w:name="pg2375_19842"/>
    </w:p>
    <w:p>
      <w:pPr>
        <w:pStyle w:val="BookText"/>
        <w:rPr/>
      </w:pPr>
      <w:bookmarkEnd w:id="560"/>
      <w:r>
        <w:rPr>
          <w:rFonts w:ascii="IRNazanin" w:hAnsi="IRNazanin" w:eastAsia="IRNazanin"/>
          <w:color w:val="111111"/>
          <w:sz w:val="28"/>
          <w:sz w:val="28"/>
          <w:szCs w:val="28"/>
          <w:rtl w:val="true"/>
          <w:lang w:bidi="fa-IR"/>
        </w:rPr>
        <w:t>ولي مسأله‌ي مهم آن است كه اين دو روايت كه تنها روايات دالّ بر حرمت نجش است، از لحاظ سند ناتمام بوده و قابل استناد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اجماع قطعي ـ كه كاشف از قول معصوم باشد ـ بر حرمت نجش وجود داشته باشد، به آن ملتزم مي‌شويم و الا نمي‌توانيم ملتزم به حرمت عنوان نجش شويم</w:t>
      </w:r>
      <w:r>
        <w:rPr>
          <w:rFonts w:eastAsia="IRNazanin" w:cs="IRNazanin"/>
          <w:color w:val="111111"/>
          <w:sz w:val="28"/>
          <w:szCs w:val="28"/>
          <w:rtl w:val="true"/>
          <w:lang w:bidi="fa-IR"/>
        </w:rPr>
        <w:t>.</w:t>
      </w:r>
    </w:p>
    <w:p>
      <w:pPr>
        <w:pStyle w:val="Heading4"/>
        <w:numPr>
          <w:ilvl w:val="3"/>
          <w:numId w:val="1"/>
        </w:numPr>
        <w:rPr/>
      </w:pPr>
      <w:bookmarkStart w:id="561" w:name="__RefHeading___Toc2903285_3804643083"/>
      <w:bookmarkStart w:id="562" w:name="_Toc213"/>
      <w:bookmarkEnd w:id="561"/>
      <w:r>
        <w:rPr>
          <w:rtl w:val="true"/>
        </w:rPr>
        <w:t>ادلّه‌ي ديگري بر حرمت نجش</w:t>
      </w:r>
      <w:bookmarkEnd w:id="562"/>
    </w:p>
    <w:p>
      <w:pPr>
        <w:pStyle w:val="BookText"/>
        <w:rPr/>
      </w:pPr>
      <w:r>
        <w:rPr>
          <w:rFonts w:ascii="IRNazanin" w:hAnsi="IRNazanin" w:eastAsia="IRNazanin"/>
          <w:color w:val="111111"/>
          <w:sz w:val="28"/>
          <w:sz w:val="28"/>
          <w:szCs w:val="28"/>
          <w:rtl w:val="true"/>
          <w:lang w:bidi="fa-IR"/>
        </w:rPr>
        <w:t>امّا مرحوم شيخ از طريق ديگري حرمت نجش را اثبات مي‌كند و آن از طريق روايات نهي از غَش</w:t>
      </w:r>
      <w:r>
        <w:rPr>
          <w:rStyle w:val="FootnoteAnchor"/>
          <w:rtl w:val="true"/>
        </w:rPr>
        <w:footnoteReference w:id="354"/>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غَشَّ فلانٌ فلانا يَغُشُّ غِشّاً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يمحضه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غِشَاشاً و غَشَاشاً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مغيربان الشمس،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غشيشيان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غِشَاشٌ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لقيته غِشَاشاً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غَاشَّهُ مُغَاشَّةً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النُّصْح و هو مأْخوذ من الغَشَش المَشْرَب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غَشَّه يَغُشُّه غِشّاً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يَمْحَضْه النَّصيحة؛ و شي‌ء 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 و الجمع غُشّونَ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 صدْرُه يَغِشُّ غِشّاً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عظيمُي السُّرّة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 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غَشَّهُ يَغُشَّهُ غِشًّا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شي‌ءٌ مَغْشُوشٌ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يمحضه النصح أو أظهر له خلاف ما أضمره، كغششه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الغش،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منه، و الغل، و 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غش،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السرة، 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وَ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لَمْ يَنْصَحْهُ وَ زَيَّنَ لَهُ غَيْرَ الْمَصْلَحَةِ وَ 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مَخْلُوطٌ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طريحى، فخر الدين، مجمع البحرين،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يمحضه النصح و أظهر له خلاف ما أضمر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الغش بالكسر اسم منه، و اغتشه و استغشه ضد انتصحه و استنصحه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يدلّ على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لأنّه غِشٌّ و تلبيس و إضرار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w:t>
      </w:r>
    </w:p>
    <w:p>
      <w:pPr>
        <w:pStyle w:val="BookText"/>
        <w:rPr/>
      </w:pPr>
      <w:r>
        <w:rPr>
          <w:rFonts w:ascii="IRNazanin" w:hAnsi="IRNazanin" w:eastAsia="IRNazanin"/>
          <w:color w:val="111111"/>
          <w:sz w:val="28"/>
          <w:sz w:val="28"/>
          <w:szCs w:val="28"/>
          <w:rtl w:val="true"/>
          <w:lang w:bidi="fa-IR"/>
        </w:rPr>
        <w:t>ازدياد ثمن يا تعريف بي‌جا براي رغبت مشتري، فريب دادن اوست و فريب دادن مسلمان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مي‌توانيم نجش را تحت عنوان غش حرام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حرام بودن غش منوط به صدق عنوان 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تعريفش از مبيع به‌جا باشد و واقعيات را ذكر كند ـ هرچند با تواطؤ باشد ـ غش صادق نبوده و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تعريف بي‌جا باشد، هرچند بدون تواطؤ باشد، غش صادق بوده و حرام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بعضي هم از باب حرمت ضرر به مسلم</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النجش حرام، و هو الزيادة لزيادة مَن واطأه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حرمة النجش فقد حكى عليها الإجماع في جامع المقاصد و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الأخبار و غيرهما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تناجشوا و لا تدابروا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غشّ و خيانة و تدليس و ظلم و إضرار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جعفر على قواعد العلامة ابن المطهر،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و يسكن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عنه و اللعن لفاعله للنبوي المؤيد بالشهرة فإن فيه لعن الناجش و المنجوش و الإجماع المنقول و دلالة العقل على قبحه لأنه خدع و خيانة و تدليس و تلبيس و إغراء بالجهل و ظلم و إضرار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نجفى، محمد حسين كاشف الغطاء، سؤال و جواب،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النجش و هو ان يزيد الرجل في ثمن السلعة و هو لا يريد شراءها و لكن ليرغب فيها غيره فيزيد لزيادته و هو حرام لأنه غش و تدليس و اضرار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نجش حرام</w:t>
      </w:r>
    </w:p>
    <w:p>
      <w:pPr>
        <w:pStyle w:val="BookText"/>
        <w:rPr/>
      </w:pPr>
      <w:r>
        <w:rPr>
          <w:rFonts w:ascii="Amiri" w:hAnsi="Amiri" w:eastAsia="Amiri" w:cs="Amiri"/>
          <w:color w:val="111111"/>
          <w:sz w:val="28"/>
          <w:sz w:val="28"/>
          <w:szCs w:val="28"/>
          <w:rtl w:val="true"/>
          <w:lang w:bidi="ar-SA"/>
        </w:rPr>
        <w:t>است كه آن هم منوط به صدق عنوان إضرار</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 هنا مسائل الاولى حرمة النّجش بالتّفسير الاوّل هل يتوقّف على شراء الغير بالزّائد او انّه حرام مطلقا فان كانت الحرمة من 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اضرارا كانت متوقّفة على حصول الضّرر و هو شراء الغير بازيد من القيمة الثّانية الظّاهر صحّة البيع بلا خلاف فانّ النّهى متعلّق بامر خارج و لعن الفاعل أيضا لا يدلّ على الفساد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مسلم است؛ يعني اگر باعث اضرار به مسلماني شود، در حدّي كه آن اضرار حرام باشد مي‌توانيم بگوييم نجش حرام است و الا از باب اضرار نمي‌توانيم بگوييم حرام است</w:t>
      </w:r>
      <w:r>
        <w:rPr>
          <w:rFonts w:eastAsia="IRNazanin" w:cs="IRNazanin"/>
          <w:color w:val="111111"/>
          <w:sz w:val="28"/>
          <w:szCs w:val="28"/>
          <w:rtl w:val="true"/>
          <w:lang w:bidi="fa-IR"/>
        </w:rPr>
        <w:t>.</w:t>
      </w:r>
      <w:bookmarkStart w:id="563" w:name="pg2375_19846"/>
    </w:p>
    <w:p>
      <w:pPr>
        <w:pStyle w:val="Heading2"/>
        <w:numPr>
          <w:ilvl w:val="1"/>
          <w:numId w:val="1"/>
        </w:numPr>
        <w:rPr/>
      </w:pPr>
      <w:bookmarkStart w:id="564" w:name="__RefHeading___Toc2903287_3804643083"/>
      <w:bookmarkStart w:id="565" w:name="_Toc214"/>
      <w:bookmarkEnd w:id="563"/>
      <w:bookmarkEnd w:id="564"/>
      <w:r>
        <w:rPr>
          <w:rtl w:val="true"/>
        </w:rPr>
        <w:t>نميمه</w:t>
      </w:r>
      <w:bookmarkEnd w:id="56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6" w:name="__RefHeading___Toc2903289_3804643083"/>
      <w:bookmarkStart w:id="567" w:name="_Toc215"/>
      <w:bookmarkEnd w:id="566"/>
      <w:r>
        <w:rPr>
          <w:rtl w:val="true"/>
        </w:rPr>
        <w:t>اشاره</w:t>
      </w:r>
      <w:bookmarkStart w:id="568" w:name="pg2375_19848"/>
      <w:bookmarkEnd w:id="567"/>
    </w:p>
    <w:p>
      <w:pPr>
        <w:pStyle w:val="Heading3"/>
        <w:numPr>
          <w:ilvl w:val="2"/>
          <w:numId w:val="1"/>
        </w:numPr>
        <w:rPr/>
      </w:pPr>
      <w:bookmarkStart w:id="569" w:name="__RefHeading___Toc2903291_3804643083"/>
      <w:bookmarkStart w:id="570" w:name="_Toc216"/>
      <w:bookmarkEnd w:id="568"/>
      <w:bookmarkEnd w:id="569"/>
      <w:r>
        <w:rPr>
          <w:rtl w:val="true"/>
        </w:rPr>
        <w:t>المسألة الرابعة و العشرون</w:t>
      </w:r>
      <w:r>
        <w:rPr>
          <w:rtl w:val="true"/>
        </w:rPr>
        <w:t xml:space="preserve">: </w:t>
      </w:r>
      <w:r>
        <w:rPr>
          <w:rtl w:val="true"/>
        </w:rPr>
        <w:t>النميمة</w:t>
      </w:r>
      <w:bookmarkEnd w:id="570"/>
    </w:p>
    <w:p>
      <w:pPr>
        <w:pStyle w:val="Heading4"/>
        <w:numPr>
          <w:ilvl w:val="3"/>
          <w:numId w:val="1"/>
        </w:numPr>
        <w:rPr/>
      </w:pPr>
      <w:bookmarkStart w:id="571" w:name="__RefHeading___Toc2903293_3804643083"/>
      <w:bookmarkStart w:id="572" w:name="_Toc217"/>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يكي ديگر از محرماتي كه مرحوم شيخ</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و العشرون 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نقل قول الغير إلى المقول فيه،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فلان فيك بكذا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نَمَّ الحديث، من باب قتل و ضرب، أي سعى به لإيقاع فتنة أو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الكبائر،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يَقْطَعُونَ ما أَمَرَ اللّهُ بِهِ أَنْ يُوصَلَ وَ يُفْسِدُونَ فِي الْأَرْضِ أُولئِكَ لَهُمُ اللَّعْنَةُ وَ لَهُمْ سُوءُ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النمّام قاطع لما أمر اللّه بصلته و مفسد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نوع رابع ذكر فرمودند نميمه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سخن كسي را در مورد شخصي كه به نوعي عليه اوست به آن شخص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هم گفته‌اند نميمه نقل صرف نيست، بلكه نقل است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لايقاع فتنةٍ أو وحشةٍ</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ما يحرم من المتاجر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النجس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فيزداد إثمها بنسبتها إليهم كالكذب عليهم أو مطلقاً من قولهم ثمّ الحديث من باب ضرب و قتل سعى به لإيقاع فتنة أو وحشة و هي المعيّنة بقوله تعالى وَ الْفِتْنَةُ أَكْبَرُ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الأربعة على حرمتها و شهدت الشواهد الدالة على حرمة أخذ الأجرة على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حرمة 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النميمة فهي نقل الحديث من قوم إلى قوم على وجه السعاية و الإفساد،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الحديث و ينمه من باب ضرب و قتل، سعى به ليوقع فتنة أو وحشة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نجفى، حسن بن جعفر كاشف الغطاء، أنوار الفقاهة،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التكسب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يفعله الأسافل لتحصيل المال من جهتها و لها جعالة أو مواطاة و هي حرام كتاباً و سنة و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غالبا هي مثار الفتنة التي تحريمها نطق به الكتاب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أكبر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الرواية أنها من السحر الذي يفرق بين المتحابين و يعادى به المتصافين و يسفك به الدماء و يهدم به الدور و يكشف به الستور </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لإيقاع هم يا لام عاقبت است كه</w:t>
      </w:r>
    </w:p>
    <w:p>
      <w:pPr>
        <w:pStyle w:val="BookText"/>
        <w:rPr/>
      </w:pPr>
      <w:r>
        <w:rPr>
          <w:rFonts w:ascii="IRNazanin" w:hAnsi="IRNazanin" w:eastAsia="IRNazanin"/>
          <w:color w:val="111111"/>
          <w:sz w:val="28"/>
          <w:sz w:val="28"/>
          <w:szCs w:val="28"/>
          <w:rtl w:val="true"/>
          <w:lang w:bidi="fa-IR"/>
        </w:rPr>
        <w:t>يعني به فتنه يا وحشت منجر مي‌شود، هرچند آن را قصد نكرده باشد و يا لام غايت است؛ يعني به غرض ايجاد فتنه يا وحشت نقل مي‌كند، هرچند في‌الواقع منجر به فتنه يا وحشت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اقرب آن است كه در استعمالات نميمه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لإيقاع فتنةٍ أو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گرچه فتنه، وحشت، تنفّر و دشمني قهراً بر آن مترتب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نميمه يعني نقل كردن حرف ديگري پيش كسي كه عليه او زده است؛ مثلاً اگر كسي سخن زيد عليه عمرو را به عمرو منتقل كند، نمامي كرده و عملش نميمه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حرمت نميمه هيچ شكي نيست، روايات كثيري هم در مذمت نمامي و عذاب شديد نمام وارد شده در حدي كه مرحوم شيخ ادعا كرده از كبائر است</w:t>
      </w:r>
      <w:r>
        <w:rPr>
          <w:rFonts w:eastAsia="IRNazanin" w:cs="IRNazanin"/>
          <w:color w:val="111111"/>
          <w:sz w:val="28"/>
          <w:szCs w:val="28"/>
          <w:rtl w:val="true"/>
          <w:lang w:bidi="fa-IR"/>
        </w:rPr>
        <w:t>.</w:t>
      </w:r>
      <w:bookmarkStart w:id="573" w:name="pg2375_19850"/>
    </w:p>
    <w:p>
      <w:pPr>
        <w:pStyle w:val="Heading4"/>
        <w:numPr>
          <w:ilvl w:val="3"/>
          <w:numId w:val="1"/>
        </w:numPr>
        <w:rPr/>
      </w:pPr>
      <w:bookmarkStart w:id="574" w:name="__RefHeading___Toc2903295_3804643083"/>
      <w:bookmarkStart w:id="575" w:name="_Toc218"/>
      <w:bookmarkEnd w:id="573"/>
      <w:bookmarkEnd w:id="574"/>
      <w:r>
        <w:rPr>
          <w:rtl w:val="true"/>
        </w:rPr>
        <w:t>استدلال شيخ</w:t>
      </w:r>
      <w:r>
        <w:rPr>
          <w:rtl w:val="true"/>
        </w:rPr>
        <w:t xml:space="preserve">- </w:t>
      </w:r>
      <w:r>
        <w:rPr>
          <w:rtl w:val="true"/>
        </w:rPr>
        <w:t xml:space="preserve">قدس سره </w:t>
      </w:r>
      <w:r>
        <w:rPr>
          <w:rtl w:val="true"/>
        </w:rPr>
        <w:t xml:space="preserve">- </w:t>
      </w:r>
      <w:r>
        <w:rPr>
          <w:rtl w:val="true"/>
        </w:rPr>
        <w:t>بر كبيره بودن نميمه</w:t>
      </w:r>
      <w:bookmarkEnd w:id="575"/>
    </w:p>
    <w:p>
      <w:pPr>
        <w:pStyle w:val="Heading5"/>
        <w:numPr>
          <w:ilvl w:val="4"/>
          <w:numId w:val="1"/>
        </w:numPr>
        <w:rPr/>
      </w:pPr>
      <w:bookmarkStart w:id="576" w:name="__RefHeading___Toc2903297_3804643083"/>
      <w:bookmarkStart w:id="577" w:name="_Toc219"/>
      <w:bookmarkEnd w:id="576"/>
      <w:r>
        <w:rPr>
          <w:rtl w:val="true"/>
        </w:rPr>
        <w:t>اشاره</w:t>
      </w:r>
      <w:bookmarkEnd w:id="577"/>
    </w:p>
    <w:p>
      <w:pPr>
        <w:pStyle w:val="BookText"/>
        <w:rPr/>
      </w:pPr>
      <w:r>
        <w:rPr>
          <w:rFonts w:ascii="Amiri" w:hAnsi="Amiri" w:eastAsia="Amiri" w:cs="Amiri"/>
          <w:color w:val="111111"/>
          <w:sz w:val="28"/>
          <w:sz w:val="28"/>
          <w:szCs w:val="28"/>
          <w:rtl w:val="true"/>
          <w:lang w:bidi="ar-SA"/>
        </w:rPr>
        <w:t xml:space="preserve">مرحوم شيخ براي اثبات كبيره بودن نميمه به آيه‌ي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سوره‌ي مباركه‌ي رعد تمسك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فِي الْأَرْضِ أُولئِكَ لَهُمُ اللَّعْنَةُ وَ لَهُمْ سُوءُ الدَّارِ</w:t>
      </w:r>
      <w:r>
        <w:rPr>
          <w:rFonts w:eastAsia="Amiri" w:cs="Amiri" w:ascii="Amiri" w:hAnsi="Amiri"/>
          <w:color w:val="111111"/>
          <w:sz w:val="28"/>
          <w:szCs w:val="28"/>
          <w:rtl w:val="true"/>
          <w:lang w:bidi="ar-SA"/>
        </w:rPr>
        <w:t>&gt;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كساني كه عهد خدا را بعد از محكم بودنش مي‌شكنند، و آن‌چه را كه خداوند به پيوند آن دستور داده قطع مي‌كنند و در زمين فساد مي‌كنند، لعنت و بدي سراي آخرت براي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مرحوم شيخ به آيه‌ي شريفه به اين صورت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نمّام، قاطع آن چيزي است كه خداوند متعال امر به پيوندش كرده، پس طبق آيه‌ي شريفه براي او لعنت و سوء دار است كه اين عذاب دالّ بر كبيره بودن آن است</w:t>
      </w:r>
      <w:r>
        <w:rPr>
          <w:rFonts w:eastAsia="IRNazanin" w:cs="IRNazanin"/>
          <w:color w:val="111111"/>
          <w:sz w:val="28"/>
          <w:szCs w:val="28"/>
          <w:rtl w:val="true"/>
          <w:lang w:bidi="fa-IR"/>
        </w:rPr>
        <w:t>.</w:t>
      </w:r>
    </w:p>
    <w:p>
      <w:pPr>
        <w:pStyle w:val="Heading5"/>
        <w:numPr>
          <w:ilvl w:val="4"/>
          <w:numId w:val="1"/>
        </w:numPr>
        <w:rPr/>
      </w:pPr>
      <w:bookmarkStart w:id="578" w:name="__RefHeading___Toc2903299_3804643083"/>
      <w:bookmarkStart w:id="579" w:name="_Toc220"/>
      <w:bookmarkEnd w:id="578"/>
      <w:r>
        <w:rPr>
          <w:rtl w:val="true"/>
        </w:rPr>
        <w:t>نقد استدلال شيخ</w:t>
      </w:r>
      <w:r>
        <w:rPr>
          <w:rtl w:val="true"/>
        </w:rPr>
        <w:t xml:space="preserve">- </w:t>
      </w:r>
      <w:r>
        <w:rPr>
          <w:rtl w:val="true"/>
        </w:rPr>
        <w:t xml:space="preserve">قدس سره </w:t>
      </w:r>
      <w:r>
        <w:rPr>
          <w:rtl w:val="true"/>
        </w:rPr>
        <w:t>-</w:t>
      </w:r>
      <w:bookmarkEnd w:id="57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مبحث غيبت كه ملاك‌هاي كبيره بودن غيبت را ذكر كرديم</w:t>
      </w:r>
      <w:r>
        <w:rPr>
          <w:rStyle w:val="FootnoteAnchor"/>
          <w:rtl w:val="true"/>
        </w:rPr>
        <w:footnoteReference w:id="361"/>
      </w:r>
      <w:r>
        <w:rPr>
          <w:rFonts w:ascii="IRNazanin" w:hAnsi="IRNazanin" w:eastAsia="IRNazanin"/>
          <w:color w:val="111111"/>
          <w:sz w:val="28"/>
          <w:sz w:val="28"/>
          <w:szCs w:val="28"/>
          <w:rtl w:val="true"/>
          <w:lang w:bidi="fa-IR"/>
        </w:rPr>
        <w:t>، به اين نتيجه رسيديم كه اگر معصيتي را خداوند متعال وعده‌ي آتش به آن داده باشد كبيره است و ظاهراً اين آيه‌ي</w:t>
      </w:r>
    </w:p>
    <w:p>
      <w:pPr>
        <w:pStyle w:val="BookText"/>
        <w:rPr/>
      </w:pPr>
      <w:r>
        <w:rPr>
          <w:rFonts w:ascii="Amiri" w:hAnsi="Amiri" w:eastAsia="Amiri" w:cs="Amiri"/>
          <w:color w:val="111111"/>
          <w:sz w:val="28"/>
          <w:sz w:val="28"/>
          <w:szCs w:val="28"/>
          <w:rtl w:val="true"/>
          <w:lang w:bidi="ar-SA"/>
        </w:rPr>
        <w:t xml:space="preserve">شريفه اين ملاك را بيان مي‌كند؛ يعني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لَهُمُ اللَّعْنَةُ وَ لَهُمْ سُوءُ الدّارِ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كفايت در كبيره بودن آن معصيت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آن‌كه تأييدي از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صحيحه‌ي عبدالعظيم الحسني بر آن وارد شده كه وقتي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تعدادي از كبائر را مي‌شمارند و از آيات كريمه بر آن استشهاد مي‌كنند، از جمله كبائري كه ذكر مي‌كنند قطع رحم است و براي اثبات كبيره بودن آن به همين آيه‌ي شريفه استشهاد كرده و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قَطِيعَةُ الرَّحِمِ لِأَنَّ اللَّهَ عَزَّ وَ جَلَّ يَقُولُ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لَهُمُ اللَّعْنَةُ وَ لَهُمْ سُوءُ الدَّارِ</w:t>
      </w:r>
      <w:r>
        <w:rPr>
          <w:rFonts w:eastAsia="Amiri" w:cs="Amiri" w:ascii="Amiri" w:hAnsi="Amiri"/>
          <w:color w:val="111111"/>
          <w:sz w:val="28"/>
          <w:szCs w:val="28"/>
          <w:rtl w:val="true"/>
          <w:lang w:bidi="ar-SA"/>
        </w:rPr>
        <w:t>&gt;»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عُبَيْدٍ عَلَى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وَ جَلَسَ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يَجْتَنِبُونَ كَبائِرَ الْإِثْمِ 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فَقَالَ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أَسْكَتَكَ؟ قَالَ أُحِبُّ أَنْ أَعْرِفَ الْكَبَائِرَ مِنْ كِتَابِ اللَّهِ عَزَّ وَ جَلَّ فَقَالَ نَعَمْ يَا عَمْرُو أَكْبَرُ الْكَبَائِرِ الْإِشْرَاكُ بِاللَّهِ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الْإِيَاسُ مِنْ رَوْحِ اللَّهِ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نَقْضُ الْعَهْدِ وَ قَطِيعَةُ الرَّحِمِ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 لَهُ صُرَاخٌ مِنْ بُكَائِهِ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قَالَ بِرَأْيِهِ وَ نَازَعَكُمْ فِي الْفَضْلِ وَ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اگر آيه‌ي شريفه بر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شود، دالّ بر كبيره بودن آن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آيا آيه‌ي شريفه بر نميمه تطبيق مي‌شود يا نه،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بوديم و آيه‌ي شريفه ـ صرف‌نظر از صحيحه‌ي عبدالعظيم الحسني ـ مي‌گفتيم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يَقْطَعُونَ ما أَمَرَ اللَّهُ بِهِ أَنْ يُوصَلَ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به تنهايي مصداق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لَهُمُ اللَّعْنَةُ وَ لَهُمْ سُوءُ الدَّارِ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نيست، بلكه هر سه موردي كه آيه‌ي شريفه مي‌فرمايد؛ يعني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الَّذينَ يَنْقُضُونَ عَهْدَ اللَّهِ مِنْ بَعْدِ ميثاقِهِ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يَقْطَعُونَ ما أَمَرَ اللَّهُ بِهِ أَنْ يُوصَلَ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يُفْسِدُونَ فِي الْأَرْضِ</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اگر اين سه مورد بر كسي صادق باشد، لعنت و سوء الدار براي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كسي قاطع ما امر الله به أن يوصل باشد امّا مفسد في الارض نباشد، نمي‌توانيم بگوييم مصداق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لَهُمُ اللَّعْنَةُ وَ لَهُمْ سُوءُ الدَّارِ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بوده و عمل گناه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 جايي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صحيحه‌ي عبدالعظيم حسني براي كبيره بودن قطع رحم به اين آيه‌ي شريفه استشهاد فرموده، مي‌توانيم بگوييم هر يك از اين سه عنوان هم صادق باشد، مصداق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لَهُمُ اللَّعْنَةُ وَ لَهُمْ سُوءُ الدَّارِ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بوده و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مهم اين نكته است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يَقْطَعُونَ ما أَمَرَ اللَّهُ بِهِ أَنْ يُوصَلَ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 بر قطع رحم تطبيق كردند كه مي‌دانيم قطع رحم حرام و صله‌ي رحم واجب است؛ يعني صله‌ي رحم از مواردي است كه وصل آن واجب است و اگر قطع كند، مشمول آيه‌ي شريفه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همه‌ي مواردي كه نمام با نميمه قطع مي‌كند، امر وجوبي بر وصل ندارد تا قطع آن مشمول آيه‌ي شريفه شود، نهايت</w:t>
      </w:r>
      <w:bookmarkStart w:id="580" w:name="pg2375_19853"/>
    </w:p>
    <w:p>
      <w:pPr>
        <w:pStyle w:val="BookText"/>
        <w:rPr/>
      </w:pPr>
      <w:bookmarkEnd w:id="580"/>
      <w:r>
        <w:rPr>
          <w:rFonts w:ascii="IRNazanin" w:hAnsi="IRNazanin" w:eastAsia="IRNazanin"/>
          <w:color w:val="111111"/>
          <w:sz w:val="28"/>
          <w:sz w:val="28"/>
          <w:szCs w:val="28"/>
          <w:rtl w:val="true"/>
          <w:lang w:bidi="fa-IR"/>
        </w:rPr>
        <w:t>اين‌كه امر استحبابي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نمي‌توانيم بگوييم قطع كردن آن به وسيله‌ي نمامي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نهايت چيزي كه مي‌توانيم بگوييم اين است كه اگر بين دو نفر اختلاف و نزاعي باشد، از آن جايي كه امر به معروف و نهي از منكر آن دو نفر براي اصلاح ذات البين واجب است و نمّام خلاف اين امر وجوبي عمل مي‌كند، پس مشمول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يَقْطَعُونَ ما أَمَرَ اللَّهُ بِهِ أَنْ يُوصَلَ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قرار مي‌گيرد و مرتكب كبيره مي‌شود، ولي اين غير از آن است كه بگوييم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دليل ناتمام است</w:t>
      </w:r>
      <w:r>
        <w:rPr>
          <w:rFonts w:eastAsia="IRNazanin" w:cs="IRNazanin"/>
          <w:color w:val="111111"/>
          <w:sz w:val="28"/>
          <w:szCs w:val="28"/>
          <w:rtl w:val="true"/>
          <w:lang w:bidi="fa-IR"/>
        </w:rPr>
        <w:t>.</w:t>
      </w:r>
    </w:p>
    <w:p>
      <w:pPr>
        <w:pStyle w:val="Heading4"/>
        <w:numPr>
          <w:ilvl w:val="3"/>
          <w:numId w:val="1"/>
        </w:numPr>
        <w:rPr/>
      </w:pPr>
      <w:bookmarkStart w:id="581" w:name="__RefHeading___Toc2903301_3804643083"/>
      <w:bookmarkStart w:id="582" w:name="_Toc221"/>
      <w:bookmarkEnd w:id="581"/>
      <w:r>
        <w:rPr>
          <w:rtl w:val="true"/>
        </w:rPr>
        <w:t>استدلال ديگري بر كبيره بودن نميمه</w:t>
      </w:r>
      <w:bookmarkEnd w:id="582"/>
    </w:p>
    <w:p>
      <w:pPr>
        <w:pStyle w:val="Heading5"/>
        <w:numPr>
          <w:ilvl w:val="4"/>
          <w:numId w:val="1"/>
        </w:numPr>
        <w:rPr/>
      </w:pPr>
      <w:bookmarkStart w:id="583" w:name="__RefHeading___Toc2903303_3804643083"/>
      <w:bookmarkStart w:id="584" w:name="_Toc222"/>
      <w:bookmarkEnd w:id="583"/>
      <w:r>
        <w:rPr>
          <w:rtl w:val="true"/>
        </w:rPr>
        <w:t>اشاره</w:t>
      </w:r>
      <w:bookmarkEnd w:id="584"/>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المرادة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أَكْبَرُ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بعضي نقل مي‌كند كه براي اثبات كبيره بودن نميمه به آيه‌ي شريفه‌ي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تمسك كرده و فرموده‌اند مراد از فتنه نمّامي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النميمة محرمة بالادلة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اشد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إليها الإشارة أيضا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يَقْطَعُونَ ما أَمَرَ اللّهُ بِهِ أَنْ يُوصَلَ أُولئِكَ 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النمام قاطع لما أمر اللّه به ان يوصل و مفسد في الأرض و هي نقل قول الغير إلى المقول فيه بل مطلقا إليه أم إلى غيره بقول أو كتابة أو إشارة عملا كان المنقول أم قولا عيبا كان في المقول فيه أو نقصا و يمكن ضبطها بكلمتين، افشاء السر و هتك الستر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وجيزة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النميمة و هي أن تسمع من قائل سوءاً في حق آخر فتنقله إليه و هي من المحرمات المؤكدة و من أمهات الكبائر قيل و هي المرادة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 جايي كه قتل از</w:t>
      </w:r>
      <w:bookmarkStart w:id="585" w:name="pg2375_19854"/>
    </w:p>
    <w:p>
      <w:pPr>
        <w:pStyle w:val="BookText"/>
        <w:rPr/>
      </w:pPr>
      <w:bookmarkEnd w:id="585"/>
      <w:r>
        <w:rPr>
          <w:rFonts w:ascii="IRNazanin" w:hAnsi="IRNazanin" w:eastAsia="IRNazanin"/>
          <w:color w:val="111111"/>
          <w:sz w:val="28"/>
          <w:sz w:val="28"/>
          <w:szCs w:val="28"/>
          <w:rtl w:val="true"/>
          <w:lang w:bidi="fa-IR"/>
        </w:rPr>
        <w:t>گناهان كبيره است، پس فتنه هم كه همان نمامي بوده و اشد از قتل است، كبيره است</w:t>
      </w:r>
      <w:r>
        <w:rPr>
          <w:rFonts w:eastAsia="IRNazanin" w:cs="IRNazanin"/>
          <w:color w:val="111111"/>
          <w:sz w:val="28"/>
          <w:szCs w:val="28"/>
          <w:rtl w:val="true"/>
          <w:lang w:bidi="fa-IR"/>
        </w:rPr>
        <w:t>.</w:t>
      </w:r>
    </w:p>
    <w:p>
      <w:pPr>
        <w:pStyle w:val="Heading5"/>
        <w:numPr>
          <w:ilvl w:val="4"/>
          <w:numId w:val="1"/>
        </w:numPr>
        <w:rPr/>
      </w:pPr>
      <w:bookmarkStart w:id="586" w:name="__RefHeading___Toc2903305_3804643083"/>
      <w:bookmarkStart w:id="587" w:name="_Toc223"/>
      <w:bookmarkEnd w:id="586"/>
      <w:r>
        <w:rPr>
          <w:rtl w:val="true"/>
        </w:rPr>
        <w:t>نقد اين استدلال</w:t>
      </w:r>
      <w:bookmarkEnd w:id="58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هر نميمه‌اي فتنه‌اي باشد كه اكبر از قتل است، دليلي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نمي‌توانيم بگوييم نمامي بما هو نمامي كبيره است و همان كلامي كه در كبيره بودن غيبت بيان كرديم كه منوط به اثري است كه بر آن مترتب مي‌شود، در اين جا هم مي‌گوييم كبيره بودن نمامي، منوط به اثري است كه بر آن مترتب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منجر به قتل يا تفريق بين زوجين يا ساير گناهان كبيره شود، از آن جايي كه نمامي سببيت براي كبيره داشته، مي‌توانيم بگوييم خودش هم كبيره است، ولي اگر چنين اثري نداشته باشد و صرفاً باعث كم شدن محبت بين دو نفر شود، نمي‌توانيم بگوييم عامل آن مرتكب كبيره شده است</w:t>
      </w:r>
      <w:r>
        <w:rPr>
          <w:rFonts w:eastAsia="IRNazanin" w:cs="IRNazanin"/>
          <w:color w:val="111111"/>
          <w:sz w:val="28"/>
          <w:szCs w:val="28"/>
          <w:rtl w:val="true"/>
          <w:lang w:bidi="fa-IR"/>
        </w:rPr>
        <w:t>.</w:t>
      </w:r>
      <w:bookmarkStart w:id="588" w:name="pg2375_19855"/>
    </w:p>
    <w:p>
      <w:pPr>
        <w:pStyle w:val="Heading4"/>
        <w:numPr>
          <w:ilvl w:val="3"/>
          <w:numId w:val="1"/>
        </w:numPr>
        <w:rPr/>
      </w:pPr>
      <w:bookmarkStart w:id="589" w:name="__RefHeading___Toc2903307_3804643083"/>
      <w:bookmarkStart w:id="590" w:name="_Toc224"/>
      <w:bookmarkEnd w:id="588"/>
      <w:bookmarkEnd w:id="589"/>
      <w:r>
        <w:rPr>
          <w:rtl w:val="true"/>
        </w:rPr>
        <w:t>روايات دالّ بر حرمت نميمه</w:t>
      </w:r>
      <w:bookmarkEnd w:id="590"/>
    </w:p>
    <w:p>
      <w:pPr>
        <w:pStyle w:val="Heading5"/>
        <w:numPr>
          <w:ilvl w:val="4"/>
          <w:numId w:val="1"/>
        </w:numPr>
        <w:rPr/>
      </w:pPr>
      <w:bookmarkStart w:id="591" w:name="__RefHeading___Toc2903309_3804643083"/>
      <w:bookmarkStart w:id="592" w:name="_Toc225"/>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صاحب وسائل روايات مربوط به نميمه را در كتاب الحج، ابواب احكام العشرة ذكر كرده كه بارها گفته‌ايم اين‌كه در وسائل و سائر كتب فقهي، احكام العشرة در كتاب الحج ذكر شده به اين مناسبت است كه تشرف به حج معمولاً همراه كاروان است و لازمه‌ي آن معاشرت با ديگران مي‌باشد، كما اين‌كه احكام مربوط به بناء هم به مناسبت در ذيل احكام المسجد ذكر كرده‌اند يا مطالب مربوط به تهذيب نفس كه جهاد اكبر است را در كتاب الجهاد ذكر كرده‌اند</w:t>
      </w:r>
      <w:r>
        <w:rPr>
          <w:rFonts w:eastAsia="IRNazanin" w:cs="IRNazanin"/>
          <w:color w:val="111111"/>
          <w:sz w:val="28"/>
          <w:szCs w:val="28"/>
          <w:rtl w:val="true"/>
          <w:lang w:bidi="fa-IR"/>
        </w:rPr>
        <w:t>.</w:t>
      </w:r>
    </w:p>
    <w:p>
      <w:pPr>
        <w:pStyle w:val="Heading5"/>
        <w:numPr>
          <w:ilvl w:val="4"/>
          <w:numId w:val="1"/>
        </w:numPr>
        <w:rPr/>
      </w:pPr>
      <w:bookmarkStart w:id="593" w:name="__RefHeading___Toc2903311_3804643083"/>
      <w:bookmarkStart w:id="594" w:name="_Toc226"/>
      <w:bookmarkEnd w:id="593"/>
      <w:r>
        <w:rPr>
          <w:rtl w:val="true"/>
        </w:rPr>
        <w:t>ـ صحيحه‌ي عبدالله بن سنان</w:t>
      </w:r>
      <w:r>
        <w:rPr>
          <w:rtl w:val="true"/>
        </w:rPr>
        <w:t>:</w:t>
      </w:r>
      <w:bookmarkEnd w:id="594"/>
    </w:p>
    <w:p>
      <w:pPr>
        <w:pStyle w:val="BookText"/>
        <w:rPr/>
      </w:pPr>
      <w:r>
        <w:rPr>
          <w:rFonts w:ascii="Amiri" w:hAnsi="Amiri" w:eastAsia="Amiri" w:cs="Amiri"/>
          <w:color w:val="111111"/>
          <w:sz w:val="28"/>
          <w:sz w:val="28"/>
          <w:szCs w:val="28"/>
          <w:rtl w:val="true"/>
          <w:lang w:bidi="ar-SA"/>
        </w:rPr>
        <w:t>مُحَمَّدُ بْنُ يَعْقُوبَ عَنْ عِدَّةٍ مِنْ أَصْحَابِنَا عَنْ أَحْمَدَ بْنِ مُحَمَّدٍ عَنِ الْحَسَنِ بْنِ مَحْبُوبٍ عَنْ عَبْدِ اللَّهِ بْنِ سِنَانٍ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الْمَشَّاءُونَ بِالنَّمِيمَةِ الْمُفَرِّقُونَ بَيْنَ الْأَحِبَّةِ الْبَاغُونَ لِلْبُرَآءِ الْمَعَايِبَ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الْحُسَيْنُ بْنُ سَعِيدٍ فِي كِتَابِ الزُّهْدِ عَنِ النَّضْرِ بْنِ سُوَيْدٍ عَنْ عَبْدِ اللَّهِ بْنِ سِنَانٍ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بِإِسْنَادِهِ عَنْ حَمَّادِ بْنِ عَمْرٍو وَ أَنَسِ بْنِ مُحَمَّدٍ عَنْ أَبِيهِ جَمِيعاً عَنْ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364"/>
      </w:r>
      <w:bookmarkStart w:id="595" w:name="pg2375_19856"/>
    </w:p>
    <w:p>
      <w:pPr>
        <w:pStyle w:val="BookText"/>
        <w:rPr/>
      </w:pPr>
      <w:bookmarkEnd w:id="595"/>
      <w:r>
        <w:rPr>
          <w:rFonts w:ascii="IRNazanin" w:hAnsi="IRNazanin" w:eastAsia="IRNazanin"/>
          <w:color w:val="111111"/>
          <w:sz w:val="28"/>
          <w:sz w:val="28"/>
          <w:szCs w:val="28"/>
          <w:rtl w:val="true"/>
          <w:lang w:bidi="fa-IR"/>
        </w:rPr>
        <w:t>عبدالله بن سنان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بدترين شما خبر دهم؟ عرض كردند 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دنبال سخن چيني رفته و بين دوستان تفرقه ايجاد مي‌كنند و براي كساني كه از عيب بريء هستند، عيب درست مي‌كنند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اين روايت از لحاظ سند تمام است و دلالتش بر حرمت نميمه واضح است</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2903313_3804643083"/>
      <w:bookmarkStart w:id="597" w:name="_Toc227"/>
      <w:bookmarkEnd w:id="596"/>
      <w:r>
        <w:rPr>
          <w:rtl w:val="true"/>
        </w:rPr>
        <w:t>ـ روايت محمد بن قيس</w:t>
      </w:r>
      <w:r>
        <w:rPr>
          <w:rtl w:val="true"/>
        </w:rPr>
        <w:t>:</w:t>
      </w:r>
      <w:bookmarkEnd w:id="597"/>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أَحْمَدَ</w:t>
      </w:r>
      <w:r>
        <w:rPr>
          <w:rStyle w:val="FootnoteAnchor"/>
          <w:rtl w:val="true"/>
        </w:rPr>
        <w:footnoteReference w:id="366"/>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خاقان النهدي، أبو جعفر القلانسي المعروف بحمران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مضطرب،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المواقيت في الصلاة كتاب فضل الكوفة، كتاب النوادر،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النضر محمد بن مسعود عن جميع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بن أحمد النهدي و هو حمدان القلانسي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فقيه، ثقة،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خاقان النهدي أبو جعفر القلانسي الملقب حمدان، كوفي، ضعيف يروي عن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احتمال اين‌كه اين‌جا محمد بن احمد بن خاقان باشد بسيار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احتمال اين‌كه محمد بن احمد بن يحيي بن عمران الاشعري باشد بسيار زياد است؛ چون محمد بن يحيي كثيراً از ايشان نقل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ساكن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محمد بن عيسي بن عبيد كه در اين‌جا به عنوان مرويٌ عنه ذكر شده از مشايخ محمد بن احمد بن عمران الاشعري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عِيسَى عَنْ يُوسُفَ بْنِ عَقِيلٍ</w:t>
      </w:r>
    </w:p>
    <w:p>
      <w:pPr>
        <w:pStyle w:val="BookText"/>
        <w:rPr/>
      </w:pPr>
      <w:r>
        <w:rPr>
          <w:rFonts w:ascii="Amiri" w:hAnsi="Amiri" w:eastAsia="Amiri" w:cs="Amiri"/>
          <w:color w:val="111111"/>
          <w:sz w:val="28"/>
          <w:sz w:val="28"/>
          <w:szCs w:val="28"/>
          <w:rtl w:val="true"/>
          <w:lang w:bidi="ar-SA"/>
        </w:rPr>
        <w:t>عَنْ مُحَمَّدِ بْنِ قَيْسٍ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مُحَرَّمَةٌ عَلَى الْقَتَّاتِينَ الْمَشَّاءِينَ بِالنَّمِيمَةِ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بهشت بر قتّاتيني</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القَتّ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الفسفسة اليابسة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المهيأ و النميمة، و هو يَقُتُّ الكذبَ أي يهيئه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المُهَيَّأُ، و 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 يَقُتُّ قَتًّا، و قَتَّ بينهم 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قَتَّاتٌ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القِتِّيتَى، مثالُ الهِجِّيرَى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النَّمائم، و هي 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قَتُوتٌ، و قَتَّاتٌ، و قِتِّيتى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نَمَّام، يَقُتُّ الأَحاديثَ قَتًّا أَي يَنِمُّها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يَسْتَمِعُ أَحاديثَ الناس مِن حيثُ لا يعلمون، نَمَّها أَو لم يَنُمَّها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القَتَّاتُ الذي يَتَسَمَّعُ أَحاديثَ الناس، فيُخْبر أَعداءهم؛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مع القوم يَتَحَدَّثون فَيَنِمُّ عليهم؛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يَتَسَمَّع على القوم، و هم لا يعلمون فيَنِمُّ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قَتَّاتةٌ، و قَتُوتٌ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يَسْأَلُ عن الأَخْبار، ثم يَنِمُّها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مَقْتُوتٌ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مكذوبٌ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دنبال سخن چيني مي‌روند حرام است</w:t>
      </w:r>
      <w:r>
        <w:rPr>
          <w:rFonts w:eastAsia="IRNazanin" w:cs="IRNazanin"/>
          <w:color w:val="111111"/>
          <w:sz w:val="28"/>
          <w:szCs w:val="28"/>
          <w:rtl w:val="true"/>
          <w:lang w:bidi="fa-IR"/>
        </w:rPr>
        <w:t>.</w:t>
      </w:r>
      <w:bookmarkStart w:id="598" w:name="pg2375_19858"/>
    </w:p>
    <w:p>
      <w:pPr>
        <w:pStyle w:val="BookText"/>
        <w:rPr/>
      </w:pPr>
      <w:bookmarkEnd w:id="598"/>
      <w:r>
        <w:rPr>
          <w:rFonts w:ascii="IRNazanin" w:hAnsi="IRNazanin" w:eastAsia="IRNazanin"/>
          <w:color w:val="111111"/>
          <w:sz w:val="28"/>
          <w:sz w:val="28"/>
          <w:szCs w:val="28"/>
          <w:rtl w:val="true"/>
          <w:lang w:bidi="fa-IR"/>
        </w:rPr>
        <w:t>ـ روايت سوم و چهارم اين باب</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عَنْ أَبِي الْحَسَنِ الْأَصْبَهَانِيِّ عَمَّنْ ذَكَرَهُ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شِرَارُكُمُ الْمَشَّاءُونَ بِالنَّمِيمَةِ الْمُفَرِّقُونَ بَيْنَ الْأَحِبَّةِ الْمُبْتَغُونَ لِلْبُرَآءِ الْمَعَايِبَ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فِي الْمَجَالِسِ وَ الْأَخْبَارِ بِإِسْنَادِهِ عَنْ أَبِي ذَرٍّ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يَدْخُلُ الْجَنَّةَ الْقَتَّاتُ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الْقَتَّاتُ؟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النَّمَّامُ يَا أَبَا ذَرٍّ صَاحِبُ النَّمِيمَةِ لَا يَسْتَرِيحُ مِنْ عَذَابِ اللَّهِ فِي الْآخِرَةِ يَا أَبَا ذَرٍّ مَنْ كَانَ ذَا وَجْهَيْنِ وَ لِسَانَيْنِ فِي الدُّنْيَا فَهُوَ ذُو وَجْهَيْنِ فِي النَّارِ يَا أَبَا ذَرٍّ الْمَجَالِسُ بِالْأَمَانَةِ وَ إِفْشَاؤُكَ سِرَّ أَخِيكَ 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 ذَلِكَ وَ اجْتَنِبْ مَجْلِسَ الْعَثْرَةِ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روايات قبل است</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2903315_3804643083"/>
      <w:bookmarkStart w:id="600" w:name="_Toc228"/>
      <w:bookmarkEnd w:id="599"/>
      <w:r>
        <w:rPr>
          <w:rtl w:val="true"/>
        </w:rPr>
        <w:t>ـ روايت أبو هريره و عبدالله بن عباس</w:t>
      </w:r>
      <w:r>
        <w:rPr>
          <w:rtl w:val="true"/>
        </w:rPr>
        <w:t>:</w:t>
      </w:r>
      <w:bookmarkEnd w:id="60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الْأَعْمَالِ بِإِسْنَادٍ تَقَدَّمَ فِي بَابِ عِيَادَةِ الْمَرِيضِ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مَشَى فِي نَمِيمَةٍ بَيْنَ اثْنَيْنِ سَلَّطَ اللَّهُ عَلَيْهِ فِي قَبْرِهِ نَاراً تُحْرِقُهُ إِلَى يَوْمِ الْقِيَامَةِ وَ</w:t>
      </w:r>
      <w:bookmarkStart w:id="601" w:name="pg2375_19859"/>
    </w:p>
    <w:p>
      <w:pPr>
        <w:pStyle w:val="BookText"/>
        <w:rPr/>
      </w:pPr>
      <w:bookmarkEnd w:id="601"/>
      <w:r>
        <w:rPr>
          <w:rFonts w:ascii="Amiri" w:hAnsi="Amiri" w:eastAsia="Amiri" w:cs="Amiri"/>
          <w:color w:val="111111"/>
          <w:sz w:val="28"/>
          <w:sz w:val="28"/>
          <w:szCs w:val="28"/>
          <w:rtl w:val="true"/>
          <w:lang w:bidi="ar-SA"/>
        </w:rPr>
        <w:t>إِذَا خَرَجَ مِنْ قَبْرِهِ سَلَّطَ اللَّهُ عَلَيْهِ تِنِّيناً أَسْوَدَ يَنْهَشُ لَحْمَهُ حَتَّى يَدْخُلَ النَّار</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براي نمامي بين دو نفر برود، خداوند متعال آتشي در قبرش بر او مسلّط مي‌كند كه تا روز قيامت او را مي‌سوزاند و هرگاه از قبر خارج شود، خداوند افعي سياهي را بر او مسلط مي‌كند كه گوشتش را مرتب گاز مي‌گيرد تا داخل آتش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در اين باب زياد است ولي بيش از اين احتياج به ذكر نيست؛ چون حرمت نمامي از مسلّمات است علاوه بر آن‌كه در قرآن كريم هم مي‌فرمايد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هَمَّازٍ مَشَّاءٍ بِنَميمٍ</w:t>
      </w:r>
      <w:r>
        <w:rPr>
          <w:rFonts w:eastAsia="IRNazanin" w:cs="IRNazanin"/>
          <w:color w:val="111111"/>
          <w:sz w:val="28"/>
          <w:szCs w:val="28"/>
          <w:rtl w:val="true"/>
          <w:lang w:bidi="fa-IR"/>
        </w:rPr>
        <w:t>&gt;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2903317_3804643083"/>
      <w:bookmarkStart w:id="603" w:name="_Toc229"/>
      <w:bookmarkEnd w:id="602"/>
      <w:r>
        <w:rPr>
          <w:rtl w:val="true"/>
        </w:rPr>
        <w:t>جواز يا وجوب نمامي در بعضي موارد</w:t>
      </w:r>
      <w:bookmarkEnd w:id="60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نميمه‌اي كه حرام است و اين تعبيرات غلاظ و شداد در مورد آن وارد شده، گاهي مباح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غيبت كه گفتيم يكي از چيزهايي كه موجب حلّيت غيبت مي‌شود، اين است كه ملاك آن مزاحَم به ملاك اهم شود؛ يعني از باب تزاحم حلال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هم اگر نمامي مزاحَم به ملاكي اقوي باشد مباح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هم ممكن است نمامي به خاطر تزاحم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مثالي كه براي آن ذكر كرده‌اند، نمامي بين مشركين و كفار است كه باعث تفرقه‌ي آن‌ها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اين نوع نميمه كه ممكن است واجب باشد از موضوع بحث خارج است؛ چون نميمه‌ي مورد بحث، نميمه‌ي بين المؤمنين است و نميمه‌ي بين كفار و مشركين اصلاً حرمتي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مثال نمي‌تواند به عنوان استثناء از حرمت باشد</w:t>
      </w:r>
      <w:r>
        <w:rPr>
          <w:rFonts w:eastAsia="IRNazanin" w:cs="IRNazanin"/>
          <w:color w:val="111111"/>
          <w:sz w:val="28"/>
          <w:szCs w:val="28"/>
          <w:rtl w:val="true"/>
          <w:lang w:bidi="fa-IR"/>
        </w:rPr>
        <w:t>.</w:t>
      </w:r>
      <w:bookmarkStart w:id="604" w:name="pg2375_19862"/>
    </w:p>
    <w:p>
      <w:pPr>
        <w:pStyle w:val="Heading2"/>
        <w:numPr>
          <w:ilvl w:val="1"/>
          <w:numId w:val="1"/>
        </w:numPr>
        <w:rPr/>
      </w:pPr>
      <w:bookmarkStart w:id="605" w:name="__RefHeading___Toc2903319_3804643083"/>
      <w:bookmarkStart w:id="606" w:name="_Toc230"/>
      <w:bookmarkEnd w:id="604"/>
      <w:bookmarkEnd w:id="605"/>
      <w:r>
        <w:rPr>
          <w:rtl w:val="true"/>
        </w:rPr>
        <w:t>نوح به باطل</w:t>
      </w:r>
      <w:bookmarkEnd w:id="60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7" w:name="__RefHeading___Toc2903321_3804643083"/>
      <w:bookmarkStart w:id="608" w:name="_Toc231"/>
      <w:bookmarkEnd w:id="607"/>
      <w:r>
        <w:rPr>
          <w:rtl w:val="true"/>
        </w:rPr>
        <w:t>اشاره</w:t>
      </w:r>
      <w:bookmarkStart w:id="609" w:name="pg2375_19864"/>
      <w:bookmarkEnd w:id="608"/>
    </w:p>
    <w:p>
      <w:pPr>
        <w:pStyle w:val="Heading3"/>
        <w:numPr>
          <w:ilvl w:val="2"/>
          <w:numId w:val="1"/>
        </w:numPr>
        <w:rPr/>
      </w:pPr>
      <w:bookmarkStart w:id="610" w:name="__RefHeading___Toc2903323_3804643083"/>
      <w:bookmarkStart w:id="611" w:name="_Toc232"/>
      <w:bookmarkEnd w:id="609"/>
      <w:bookmarkEnd w:id="610"/>
      <w:r>
        <w:rPr>
          <w:rtl w:val="true"/>
        </w:rPr>
        <w:t>المسألة الخامسة و العشرون</w:t>
      </w:r>
      <w:r>
        <w:rPr>
          <w:rtl w:val="true"/>
        </w:rPr>
        <w:t xml:space="preserve">: </w:t>
      </w:r>
      <w:r>
        <w:rPr>
          <w:rtl w:val="true"/>
        </w:rPr>
        <w:t>النوح بالباطل</w:t>
      </w:r>
      <w:bookmarkEnd w:id="611"/>
    </w:p>
    <w:p>
      <w:pPr>
        <w:pStyle w:val="Heading4"/>
        <w:numPr>
          <w:ilvl w:val="3"/>
          <w:numId w:val="1"/>
        </w:numPr>
        <w:rPr/>
      </w:pPr>
      <w:bookmarkStart w:id="612" w:name="__RefHeading___Toc2903325_3804643083"/>
      <w:bookmarkStart w:id="613" w:name="_Toc233"/>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مسأله‌ي ديگري كه مرحوم شيخ در نوع رابع مطرح مي‌كنند، بحث نوح بالباطل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و العشرون النوح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المكاسب المحرّمة الشيخان و سلّار و الحلّي و المحقّق و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حرمته من حيث الباطل، يعني الكذب، و إلّا فهو في نفسه ليس بمحرّم، و على هذا التفصيل دلّ غير واحد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المبسوط و ابن حمزة التحريم مطلقاً كبعض الأخبار، و كلاهما محمولان على المقيّد؛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اكثر عامه</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نجيم الحنفي، زين الدين، البحر الرائق في شرح كنز الدقائق،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لِمَنْ تَبِعَ جِنَازَةً أَنْ يُطِيلَ الصَّمْتَ وَ يُكْرَهُ رَفْعُ الصَّوْتِ بِالذِّكْرِ وَ قِرَاءَةِ الْقُرْآنِ وَ غَيْرِهِمَا فِي الْجِنَازَةِ وَ الْكَرَاهَةُ فِيهَا كَرَاهَةَ تَحْرِيمٍ فِي فَتَاوَى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النَّوْحُ وَ الصِّيَاحُ فِي الْجِنَازَةِ وَ مَنْزِلِ الْمَيِّتِ لِلنَّهْيِ عَنْهُ فَأَمَّا الْبُكَاءُ فَلَا بَأْسَ بِهِ، وَ إِنْ كَانَ مَعَ الْجِنَازَةِ نَائِحَةٌ أَوْ صَائِحَةٌ زُجِرَتْ، فَإِنْ لَمْ تَنْزَجِرْ فَلَا بَأْسَ بِأَنْ تُتَّبَعَ الْجِنَازَةُ، وَ لَا يَمْتَنِعَ لِأَجْلِهَا؛ لِأَنَّ الِاتِّبَاعَ سُنَّةٌ فَلَا تُتْرَكُ بِبِدْعَةٍ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الحمداوي، ابوبكر بن علي بن محمد، الجوهرة النيرة،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أَجْمَعَتْ الْأُمَّةُ عَلَى تَحْرِيمِ النَّوْحِ وَ الدُّعَاءِ بِالْوَيْلِ وَ الثُّبُورِ وَ لَطْمِ الْخُدُودِ وَ شَقِّ الْجُيُوبِ وَ خَمْشِ الْوُجُوهِ لِأَنَّ هَذَا فِعْلُ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بَرِيءٌ مِنْ الصَّالِقَةِ وَالْحَالِقَةِ وَالشَّاقَّةِ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فَالصَّالِقَةُ الَّتِي تَرْفَعُ صَوْتَهَا بِالنِّيَاحَةِ وَ الْحَالِقَةُ الَّتِي تَحْلِقُ رَأْسَهَا عِنْدَ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النِّيَاحَةُ هِيَ رَفْعُ الصَّوْتِ بِالنَّدْبِ وَ النَّدْبُ تَعْدِيدُ النَّادِبَةِ بِصَوْتِهَا مَحَاسِنَ الْمَيِّتِ وَ يُكْرَهُ أَيْضًا الْإِفْرَاطُ فِي رَفْعِ الصَّوْتِ بِالْبُكَاءِ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الكاساني، علاء الدين، البدائع الصانع،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لِأَحَدٍ أَنْ يَقُومَ لِلْجِنَازَةِ إذَا أتى بها بين يَدَيْهِ إلَّا أَنْ يُرِيدَ اتِّبَاعَهَا وَ يُكْرَهُ النَّوْحُ وَ الصِّيَاحُ في الْجِنَازَةِ وَ مَنْزِلِ الْمَيِّتِ لِمَا رُوِيَ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عن الصَّوْتَيْنِ الْأَحْمَقَيْنِ صَوْتِ النَّائِحَةِ وَالْمُغَنِّيَةِ فَأَمَّا الْبُكَاءُ فَلَا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مع الْجِنَازَةِ نَائِحَةٌ أو صَائِحَةٌ زُجِرَتْ فَإِنْ لم تَنْزَجِرْ فَلَا بَأْسَ بِأَنْ يَتْبَعَ الْجِنَازَةَ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الطرابلسي المغربي، محمد بن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بالحطاب الرُّعيني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مواهب الجليل في شرح مختصر خليل،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اجْتِمَاعُ النِّسَاءِ لِلْبُكَاءِ بِالصُّرَاخِ الْعَالِي، أَوْ النَّوْحِ وَ النَّهْيُ فِيهِ قَائِمٌ سَوَاءٌ كَانَ عِنْدَ الْمَوْتِ، أَوْ بَعْدَهُ، أَوْ قَبْلَ الدَّفْنِ، أَوْ بَعْدَهُ بِقُرْبٍ، أَوْ بُعْدٍ،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مَعْنَى هَذَا مَا يَفْعَلُهُ النِّسَاءُ مِنْ الزَّغْرَتَةِ عِنْدَ حَمْلِ جِنَازَةِ الصَّالِحِ، أَوْ فَرَحٍ يَكُونُ فَإِنَّهُ مِنْ مَعْنَى رَفْعِ النِّسَاءِ الصَّوْتَ، وَ أَحْفَظُ لِلشَّيْخِ أَبِي عَلِيٍّ الْقَرَوِيِّ أَنَّهُ بِدْعَةٌ يَجِبُ النَّهْيُ عَنْهَا وَ تَقَدَّمَ هَذَا فِي الْجَنَائِزِ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القرافي، شهاب الدين أحمد بن إدريس، الذخيرة،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ابيح البكاء قبل الموت و بعده بغير صوت في الوحدة و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النوح ممنوع في سائر الأحوال لانه استغاثة على الله تعالى و اظهار انه جار و فعل غير ما ينبغي غير انه قد رثى ابن عمر اخاه عاصما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اباحة مثله من المراثي و أما ما فيه التشنيع على الله تعالى فلا و في ابي داود لعن الله النائحة و المستمعة قال سند هي التي تتخذ النوح صنعة و الا فالمرة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الماوردى، العلامة أبو الحسن، الحاوى الكبير،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الْبُكَاءِ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أُرَخِّصُ فِي الْبُكَاءِ بِلَا نَدْبٍ وَلَا نِيَاحَةٍ؛ لِمَا فِي النَّوْحِ مِنْ تَجْدِيدِ الْحُزْنِ وَ مَنْعِ الصَّبْرِ وَ عَظِيمِ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النَّوْحُ و َالتَّعْدِيدُ، وَ لَطْمُ الْخُدُودِ، وَ الدُّعَاءُ بِالْوَيْلِ وَ الثُّبُورِ فَكُلُّ ذَلِكَ مَحْظُورٌ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 أبو زكريا محيي الدين يحيى بن شرف، المجموع شرح المهذب،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يكره ان يكون عند القبر مجمرة حال الدفن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الجنازة بنائحة فحرام فان النوح حرام مطلقا و سنوضحه في باب التعزية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الشربيني الشافعي، شمس الدين محمد بن أحمد، مغني المحتاج إلى معرفة معاني ألفاظ المنهاج،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رَفْعُ الصَّوْتِ بِالنَّدْبِ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الْمَجْمُوعِ، وَ قَيَّدَهُ غَيْرُهُ بِالْكَلَامِ الْمُسْجَعِ، وَ لَيْسَ بِقَيْدٍ 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النَّائِحَةُ إذَا لَمْ تَتُبْ تُقَامُ يَوْمَ الْقِيَامَةِ وَ عَلَيْهَا سِرْبَالٌ مِنْ قَطِرَانٍ وَ دِرْعٌ مِنْ 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المرداوي، علاء الدين ابوالحسن علي بن سليمان، الانصاف،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الندب و لا النياحة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المذهب مطلقا و عليه أكثر الأصحاب و نص عليه في رواية حنبل و جزم به في المذهب و مسبوك الذهب و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الزركشي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المذهب و عنه يكره الندب و النوح الذي ليس فيه إلا تعداد المحاسن بصدق جزم به في الهداية و المستوعب و الخلاصة و قدمه في الرعايتين و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قدامة، المغني،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الْبُكَاءُ غَيْرُ مَكْرُوهٍ، إذَا لَمْ يَكُنْ مَعَهُ نَدْبٌ وَ لَا نِيَاحَةٌ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النِّيَاحَةُ، وَ خَمْشُ الْوُجُوهِ، وَ شَقُّ الْجُيُوب، وَ ضَرْبُ الْخُدُودِ، وَ الدُّعَاءُ بِالْوَيْلِ وَ الثُّبُورِ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حَرْبٌ عَنْ أَحْمَدَ كَلَامًا فِيهِ احْتِمَالُ إبَاحَةِ النَّوْحِ 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الْخَلَّالُ وَ صَاحِبُهُ؛ لِأَنَّ وَاثِلَةَ بْنَ الْأَسْقَعِ، وَ أَبَا وَائِلٍ، كَانَا يَسْتَمِعَانِ النَّوْحَ وَ يَبْكِيَانِ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الْمَرْأَةُ مِثْلَ مَا حُكِيَ عَنْ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مِثْلِ الدُّعَاءِ، لَا يَكُونُ مِثْلَ 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بَأْسَ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نوح را كلاً حرام مي‌دانند و استثنائي را هم براي</w:t>
      </w:r>
      <w:bookmarkStart w:id="614" w:name="pg2375_19867"/>
    </w:p>
    <w:p>
      <w:pPr>
        <w:pStyle w:val="BookText"/>
        <w:rPr/>
      </w:pPr>
      <w:bookmarkEnd w:id="614"/>
      <w:r>
        <w:rPr>
          <w:rFonts w:ascii="Amiri" w:hAnsi="Amiri" w:eastAsia="Amiri" w:cs="Amiri"/>
          <w:color w:val="111111"/>
          <w:sz w:val="28"/>
          <w:sz w:val="28"/>
          <w:szCs w:val="28"/>
          <w:rtl w:val="true"/>
          <w:lang w:bidi="ar-SA"/>
        </w:rPr>
        <w:t>آن قائل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شيعه حداقل به حسب نظر بدوي ـ در غير نوح براي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اقوال مختلف است</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2903327_3804643083"/>
      <w:bookmarkStart w:id="616" w:name="_Toc234"/>
      <w:bookmarkEnd w:id="615"/>
      <w:r>
        <w:rPr>
          <w:rtl w:val="true"/>
        </w:rPr>
        <w:t>اقوال در حكم نوح</w:t>
      </w:r>
      <w:bookmarkEnd w:id="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مطلقاً حرام است؛ چه نوح به باطل باشد و چه نوح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حمزه در الوسيله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المحظور ثمانية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و الخدش و جز الشعر و النياحة و تخريق الثياب إلا للأب و الأخ و إرسال الإزار على الرأس و إرسال طرف العمامة إلا لهما و وضع الرداء في مصيبة الغير و روي أن ذلك 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المحرمة في نفسها كعمل الصور المجسمة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النوح بالباطل بأن يصف الميت بما ليس فيه إجماعا، و أما بالحق فجائز إذا لم يسمعها الأجانب، على الأشهر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منه مطلقا و هو أحوط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شيخ طوسي در النهايه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كسب المغنّيات و تعلّم الغناء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كسب النّوائح بالأباطيل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بذلك على أهل الدّين بالحقّ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زده و</w:t>
      </w:r>
    </w:p>
    <w:p>
      <w:pPr>
        <w:pStyle w:val="BookText"/>
        <w:rPr/>
      </w:pPr>
      <w:r>
        <w:rPr>
          <w:rFonts w:ascii="Amiri" w:hAnsi="Amiri" w:eastAsia="Amiri" w:cs="Amiri"/>
          <w:color w:val="111111"/>
          <w:sz w:val="28"/>
          <w:sz w:val="28"/>
          <w:szCs w:val="28"/>
          <w:rtl w:val="true"/>
          <w:lang w:bidi="ar-SA"/>
        </w:rPr>
        <w:t xml:space="preserve">يكفي في التعزية أن يراه صاحب المصيبة، و يكره الجلوس للتعزية يومين و ثلاثة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اللطم و الخدش و جز الشعر و النوح فإنه كله باطل محرم إجماعا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طوسى، محمد بن على بن حمزه، الوسيلة إلى نيل الفضيلة،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طباطبايى، سيد على بن محمد، الشرح الصغير في شرح مختصر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النهاية في مجرد الفقه و الفتاوى، 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باطل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مطلقاً مكروه است؛ چه به حقّ باشد و چه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مفتاح الكرامه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 به باطل حرام، و نوح به حق جايز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المكاسب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محظور على كل حال، و مكروه، و مباح على كل حال، فأمّا المحظور على كلّ حال، فهو كلّ محرم من المأكل و المشارب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الأسمار، و النوح بالأباطيل، و النميمة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للشرائع، ص</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يحرم الأجر على الأعمال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كالغناء، و النوح بالباطل، و الهجاء و المدح بمثله، و عمل الأصنام و الصلبان، و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الأذهان إلى أحكام الإيمان،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حرام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كعمل الصور المجسمة، و الغناء، و معونة الظالمين بالحرام، و النوح بالباطل، و حفظ كتب الضلال و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منفعة محرمة لا يجوز عقد الاجارة فيها لأنها مطلوبة العدم في نظر الشرع فلا يجوز عقد الاجارة على تحصيلها و ذلك كالزنا و الزمر و انواع الملاهى و تعلمها و تعليمها و الغناء و النوح بالباطل فلا يجوز الاستيجار لفعل الغناء و به قال مالك و الشافعى و ابو 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استيجار كاتب ليكتب له غناء و نوحا بالباطل لأنه انتفاع بمحرم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عاملى، شهيد اول محمد بن مكى، ذكرى الشيعة في أحكام الشريعة،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اللطم و الخدش و جزّ الشعر،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النوح بالكلام الحسن و تعداد فضائله باعتماد الصدق، لأنّ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في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من ربه ما أدناه، يا أبتاه إلى جبريل أنعاه، يا أبتاه أجاب ربا دعاه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حمزة حرّما النوح، و ادّعى الشيخ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أرادا النوح بالباطل، أو المشتم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آبى، حسن بن ابى طالب يوسفى، كشف الرموز في شرح مختصر النافع،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المحرّمة كعمل الصّور المجسّمة، و الغناء عدا المغنية لزفّ العرائس، إذا لم تغنّ بالباطل، و لم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النوح بالباطل، أمّا بالحقّ فجائز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 في فقه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كعمل الصور المجسمة، و الغناء عدا المغنية لزف العرائس، إذا لم تغن بالباطل و لم تدخل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النوح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بالحق فجائز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الرائع لمختصر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النوح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بالحق فجائز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له منفعة محرّمة لا يجوز عقد الإجارة عليه كالشطرنج، و النرد، و آلات القمار و اللّهو، من الزمر، و النّوح بالباطل، و الغناء كذلك، و لا بأس بأخذ الأجر على النوح بالحق، و الغناء في الأعراس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يستأجر من يكتب له غناء أو نوحا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w:t>
      </w:r>
    </w:p>
    <w:p>
      <w:pPr>
        <w:pStyle w:val="BookText"/>
        <w:rPr/>
      </w:pPr>
      <w:r>
        <w:rPr>
          <w:rFonts w:ascii="Amiri" w:hAnsi="Amiri" w:eastAsia="Amiri" w:cs="Amiri"/>
          <w:color w:val="111111"/>
          <w:sz w:val="28"/>
          <w:sz w:val="28"/>
          <w:szCs w:val="28"/>
          <w:rtl w:val="true"/>
          <w:lang w:bidi="ar-SA"/>
        </w:rPr>
        <w:t>في اجرة النائحة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حرمة أجر النائحة بالباطل فهو خيرة المقنعة و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بالكراهية مطلقاً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تخصّ‌بما إذا شرطت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القائل بالإطلاق يقول بتأكّدها مع الشرط كما في التحرير و هو الموافق للقواعد الاصولية إذ لا يجب في المقام على المذهب الصحيح حمل المطلق على المقيّد، لأنّ الكراهة ممّا تتزايد و تتأكّد، و لا كذلك الوجوب و التحريم و إن كان بعضه أعظم من بعض،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ابن ادريس حلّى، محمد بن منصور بن احمد، السرائر الحاوي لتحرير الفتاوى،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البكاء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اللطم، و الخدش، و جرّ الشعر، و النوح بالباطل، فإنّه محرّم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جايز بودن نوح به حقّ هم بعضي قائل به جواز بالمعني الأعم شده‌اند كه با كراهت سازگار است؛ يعني قائل به كراهت نوح به حقّ شده‌اند و بعضي قائل به جواز بالمعني الأخص شده‌اند؛ يعني حتّي مكروه هم نيست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أما النياحة فتجوز إذا كانت بكلام حسن و صدق و تعداد الفضائل الموجودة فيه نظماً و نثراً، كما نقل عن فعل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كثيرة في جوازها و حلّيتها و حلّية أجر النائحة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به حقّ اگر شرط اجرت كند مكروه است و الا مكروه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نجفى، مهدى كاشف الغطاء، أحكام المتاجر المحرمة،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بكراهة النوح مطلقا لما رواه علي بن جعفر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النوح فكرهه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تخصيص الكراهة بخصوص المشارطة كخبر حنان بن سدير، قال كانت امرأة معنا في الحي </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النوع الرابع ما هو محرم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نوح النائحة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فمن ذلك كله يعلم ما عن محكي المبسوط و ابن حمزة، من إطلاق حرمة النياحة، بل في الأول الإجماع عليه اللهم إلا أن يريدا ما ذكرنا، خصوصا بعد الإجماع عن المنتهى على جواز أخذ الأجرة على النوح بالحق، المستلزم لجوازه المصرح به في كلام كثير بل المشهور، نعم لا يبعد الحكم بكراهته مطلقا، للخبر بل لا يبعد شدتها مع الشرط، لخبر حنان أيضا، بل لا يبعد كراهة أصل النوح خصوصا في الليل، إلا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الشهداء معه بل و غيره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إلحاق العلماء بهم</w:t>
      </w:r>
      <w:r>
        <w:rPr>
          <w:rFonts w:eastAsia="Amiri" w:cs="Amiri" w:ascii="Amiri" w:hAnsi="Amiri"/>
          <w:color w:val="111111"/>
          <w:sz w:val="28"/>
          <w:szCs w:val="28"/>
          <w:rtl w:val="true"/>
          <w:lang w:bidi="ar-SA"/>
        </w:rPr>
        <w:t>.</w:t>
      </w:r>
      <w:bookmarkStart w:id="617" w:name="pg2375_19871"/>
    </w:p>
    <w:p>
      <w:pPr>
        <w:pStyle w:val="BookText"/>
        <w:rPr/>
      </w:pPr>
      <w:bookmarkEnd w:id="617"/>
      <w:r>
        <w:rPr>
          <w:rFonts w:ascii="IRNazanin" w:hAnsi="IRNazanin" w:eastAsia="IRNazanin"/>
          <w:color w:val="111111"/>
          <w:sz w:val="28"/>
          <w:sz w:val="28"/>
          <w:szCs w:val="28"/>
          <w:rtl w:val="true"/>
          <w:lang w:bidi="fa-IR"/>
        </w:rPr>
        <w:t>منشأ اختلاف اقوال، رواياتي است كه در اين موضوع وارد شده و به حسب نظر بدوي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روايات نياحه‌ي براي ميت را مطلقاً ممنوع مي‌كند، بعضي مي‌فرمايد مكروه است، بعضي جايز مي‌شمارد و بعضي اجر نائحه را سحت مي‌شمارد و بعضي نهي از اشتراط اجرت مي‌كند و برخي ديگر مي‌گويد اگر صدق بگويد مانعي ندارد، ولي اگر غير صدق باشد ممنوع است</w:t>
      </w:r>
      <w:r>
        <w:rPr>
          <w:rFonts w:eastAsia="IRNazanin" w:cs="IRNazanin"/>
          <w:color w:val="111111"/>
          <w:sz w:val="28"/>
          <w:szCs w:val="28"/>
          <w:rtl w:val="true"/>
          <w:lang w:bidi="fa-IR"/>
        </w:rPr>
        <w:t>.</w:t>
      </w:r>
    </w:p>
    <w:p>
      <w:pPr>
        <w:pStyle w:val="Heading4"/>
        <w:numPr>
          <w:ilvl w:val="3"/>
          <w:numId w:val="1"/>
        </w:numPr>
        <w:rPr/>
      </w:pPr>
      <w:bookmarkStart w:id="618" w:name="__RefHeading___Toc2903329_3804643083"/>
      <w:bookmarkStart w:id="619" w:name="_Toc235"/>
      <w:bookmarkEnd w:id="618"/>
      <w:r>
        <w:rPr>
          <w:rtl w:val="true"/>
        </w:rPr>
        <w:t>روايات مربوط به نياحت</w:t>
      </w:r>
      <w:bookmarkEnd w:id="619"/>
    </w:p>
    <w:p>
      <w:pPr>
        <w:pStyle w:val="Heading5"/>
        <w:numPr>
          <w:ilvl w:val="4"/>
          <w:numId w:val="1"/>
        </w:numPr>
        <w:rPr/>
      </w:pPr>
      <w:bookmarkStart w:id="620" w:name="__RefHeading___Toc2903331_3804643083"/>
      <w:bookmarkStart w:id="621" w:name="_Toc236"/>
      <w:bookmarkEnd w:id="620"/>
      <w:r>
        <w:rPr>
          <w:rtl w:val="true"/>
        </w:rPr>
        <w:t>دسته‌ي اوّل</w:t>
      </w:r>
      <w:r>
        <w:rPr>
          <w:rtl w:val="true"/>
        </w:rPr>
        <w:t>: (</w:t>
      </w:r>
      <w:r>
        <w:rPr>
          <w:rtl w:val="true"/>
        </w:rPr>
        <w:t>روايات دالّ بر حرمت نياحت</w:t>
      </w:r>
      <w:r>
        <w:rPr>
          <w:rtl w:val="true"/>
        </w:rPr>
        <w:t>)</w:t>
      </w:r>
      <w:bookmarkEnd w:id="621"/>
    </w:p>
    <w:p>
      <w:pPr>
        <w:pStyle w:val="Heading6"/>
        <w:numPr>
          <w:ilvl w:val="5"/>
          <w:numId w:val="1"/>
        </w:numPr>
        <w:rPr/>
      </w:pPr>
      <w:bookmarkStart w:id="622" w:name="__RefHeading___Toc2903333_3804643083"/>
      <w:bookmarkStart w:id="623" w:name="_Toc237"/>
      <w:bookmarkEnd w:id="622"/>
      <w:r>
        <w:rPr>
          <w:rtl w:val="true"/>
        </w:rPr>
        <w:t>ـ روايت عمران الزعفراني</w:t>
      </w:r>
      <w:r>
        <w:rPr>
          <w:rtl w:val="true"/>
        </w:rPr>
        <w:t>:</w:t>
      </w:r>
      <w:bookmarkEnd w:id="62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سَلَمَةَ بْنِ الْخَطَّابِ عَنْ إِبْرَاهِيمَ بْنِ مُحَمَّدٍ عَنْ عُمَرَ الزَّعْفَرَانِيِّ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عَلَيْهِ بِنِعْمَةٍ فَجَاءَ</w:t>
      </w:r>
    </w:p>
    <w:p>
      <w:pPr>
        <w:pStyle w:val="BookText"/>
        <w:rPr/>
      </w:pPr>
      <w:r>
        <w:rPr>
          <w:rFonts w:ascii="Amiri" w:hAnsi="Amiri" w:eastAsia="Amiri" w:cs="Amiri"/>
          <w:color w:val="111111"/>
          <w:sz w:val="28"/>
          <w:sz w:val="28"/>
          <w:szCs w:val="28"/>
          <w:rtl w:val="true"/>
          <w:lang w:bidi="ar-SA"/>
        </w:rPr>
        <w:t>عِنْدَ تِلْكَ النِّعْمَةِ بِمِزْمَارٍ فَقَدْ كَفَرَهَا وَ مَنْ أُصِيبَ بِمُصِيبَةٍ فَجَاءَ عِنْدَ تِلْكَ الْمُصِيبَةِ بِنَائِحَةٍ فَقَدْ كَفَرَهَا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اين روايت از لحاظ سند به خاطر سلمة بن خطاب</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سلمة بن الخطاب أبو الفضل البراوستاني الأزدورقاني قرية من سواد الري كان ضعيفا في حديثه له عدة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أحمد بن إدريس و سعد و الحميري عن سلمة، و أخبرنا الحسين بن عبيد الله، عن أحمد بن جعفر بن سفيان عن أحمد بن إدريس، عن سلمة بسائر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ابراهيم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إسماعيل بن أبان، و روى عنه سلمة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 إبراهيم بن محمد الثقفي المذكور في الرواية هو المعروف بقرينة رواية الزعفراني عنه، و عدم تعرض أحد لترجمة المسمى بهذا الاسم غير من هو المعروف، إلا أنه يروي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لا أنه سمع الدعاء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سعيد بن هلال بن عاصم بن سعد بن مسعود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كوفي، و سعد بن مسعود أخو أبي عبيد بن مسعود، عم المختار، ولاة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 و هو الذي لجأ إليه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ساباط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القميين ـ كأحمد بن محمد بن خالد ـ وفدوا إليه، و سألوه الانتقال إلى قم، فأبى و كان سبب خروجه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عمل كتاب المعرفة و فيه المناقب المشهورة، و المثالب، فاستعظمه الكوفيون، و أشاروا عليه بأن يتركه، و لا يخرجه،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أبعد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 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 هذا الكتاب إلا بها، فانتقل إليها، و رواه بها، ثقة منه بصحة ما رواه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طاوس في كتاب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فهرست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الثقفي إبراهيم بن محمد الأصفهاني من الثقات العلماء المصنفين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مدائح كثيرة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عمر الزعفراني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الزعفراني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كسي كه خداوند به او نعمتي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 بزند، كفران نعمت كرده است و كسي كه به مصيبتي دچار گشته و نائحه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زن‌هاي نوحه‌گر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باز كفران نعمت كرده است</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مصيبت، باطنش نعمت است از آن جهت كه عند المصيبه اگر ناشكري نكند موجب حبط گناهانش مي‌شود و اگر صبر كند باعث رفعت درجه‌اش مي‌شود</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 آوردن نائحه اين نعمت را از دست مي‌دهد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ملاحظه مي‌فرماييد اين روايت دالّ بر حرمت نياحت نيست؛ زيرا كفران نعمت همه‌جا مساوي حرمت نيست و الا بايد بگوييم ما كه شبانه روز مشغول كفران نعمت هستيم و شكر</w:t>
      </w:r>
      <w:bookmarkStart w:id="624" w:name="pg2375_19874"/>
    </w:p>
    <w:p>
      <w:pPr>
        <w:pStyle w:val="BookText"/>
        <w:rPr/>
      </w:pPr>
      <w:bookmarkEnd w:id="624"/>
      <w:r>
        <w:rPr>
          <w:rFonts w:ascii="IRNazanin" w:hAnsi="IRNazanin" w:eastAsia="IRNazanin"/>
          <w:color w:val="111111"/>
          <w:sz w:val="28"/>
          <w:sz w:val="28"/>
          <w:szCs w:val="28"/>
          <w:rtl w:val="true"/>
          <w:lang w:bidi="fa-IR"/>
        </w:rPr>
        <w:t>نعمت‌هاي الهي را به جا نمي‌آوريم، مرتكب حرام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روايت بيش از كراهت نمي‌توانيم ملتزم شويم، مگر اين‌كه گفته شود در كنار آوردن مزمار ذكر شده كه آن قدر متيقن حرامي دارد و اين قرينه بر حرمت آوردن نائحه مي‌باشد، ولي علي أيّ حالٍ چون روايت سند تامي ندارد، نمي‌تواند مورد استناد قرار بگيرد</w:t>
      </w:r>
      <w:r>
        <w:rPr>
          <w:rFonts w:eastAsia="IRNazanin" w:cs="IRNazanin"/>
          <w:color w:val="111111"/>
          <w:sz w:val="28"/>
          <w:szCs w:val="28"/>
          <w:rtl w:val="true"/>
          <w:lang w:bidi="fa-IR"/>
        </w:rPr>
        <w:t>.</w:t>
      </w:r>
    </w:p>
    <w:p>
      <w:pPr>
        <w:pStyle w:val="Heading6"/>
        <w:numPr>
          <w:ilvl w:val="5"/>
          <w:numId w:val="1"/>
        </w:numPr>
        <w:rPr/>
      </w:pPr>
      <w:bookmarkStart w:id="625" w:name="__RefHeading___Toc2903335_3804643083"/>
      <w:bookmarkStart w:id="626" w:name="_Toc238"/>
      <w:bookmarkEnd w:id="625"/>
      <w:r>
        <w:rPr>
          <w:rtl w:val="true"/>
        </w:rPr>
        <w:t>ـ روايت صدوق در الخصال</w:t>
      </w:r>
      <w:r>
        <w:rPr>
          <w:rtl w:val="true"/>
        </w:rPr>
        <w:t>:</w:t>
      </w:r>
      <w:bookmarkEnd w:id="62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عَنْ أَبِيهِ عَنْ عَلِيِّ بْنِ إِبْرَاهِيمَ عَنْ أَبِيهِ عَنِ الْحَسَنِ بْنِ أَبِي الْحُسَيْنِ الْفَارِسِيِّ عَنْ سُلَيْمَانَ بْنِ جَعْفَرٍ الْبَصْرِيِّ عَنْ عَبْدِ اللَّهِ بْنِ الْحُسَيْنِ بْنِ زَيْدِ بْنِ عَلِيٍّ عَنْ أَبِيهِ عَنْ جَعْفَرِ بْنِ مُحَمَّدٍ 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تَزَالُ فِي أُمَّتِي إِلَى يَوْمِ الْقِيَامَةِ الْفَخْرُ بِالْأَحْسَابِ وَ الطَّعْنُ فِي الْأَنْسَابِ وَ الِاسْتِسْقَاءُ بِالنُّجُومِ وَ النِّيَاحَةُ وَ إِنَّ النَّائِحَةَ إِذَا لَمْ تَتُبْ قَبْلَ مَوْتِهَا تَقُومُ يَوْمَ الْقِيَامَةِ وَ عَلَيْهَا سِرْبَالٌ مِنْ قَطِرَانٍ</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يَتَقَطَّرُ من الهناء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سَرابِيلُهُمْ مِنْ قَطِرانٍ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قِطْرٍ 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نحاس مذاب قد أني حرّها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القَطْرانُ و 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الأَبْهَلِ و الأَرْزِ و نحوهما يُطْبَخ فيُتحلب منه ثم تُهْنَأُ به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سَرابِيلُهُمْ مِنْ قَطِرانٍ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جعلت من القطران لأَنه يُبالِغُ في اشْتِعالِ النار في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قرأَها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 و الآني الذي قد انتهى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لَبُوسُ الحديد، تذكر و تؤنث، حكى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سابغةٌ و درع سابغ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دِرْع و هي الزَّرَدِيَّةُ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ادَّرَع بالدِّرْع و تَدَرَّع بها و ادَّرَعَها و تَدَرَّعها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دُرِّعت الصبيةُ إِذا أُلبِست الدِّرْع، و ادَّرَعَتْه لبِسَتْه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دَرَّعَ المرأَةَ بالدِّرْع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الدُّرّاعةُ و المِدْرعُ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الثياب التي تُلْبَس،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مشقوقة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الجَرَب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الجَرْبَاء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التي لا يدور فيها فلك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جَرْبَاء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مقحوطة لا شي‌ء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جَرِبَ البعير يَجْرَب جَرَبا، فهو جَرِب و أَجْرَبُ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بَثَرٌ يَعْلُو أَبْدانَ الناسِ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يَجْرَبُ جَرَباً، فهو جَرِبٌ و جَرْبان و أَجْرَبُ، و الأُنثى جَرْباءُ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در امت من تا روز قيامت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به حسب، طعن در نسب، استسقاء به نجوم و نياحت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نوحه‌گر قبل از مرگش توبه نكند، روز قيامت برانگيخته مي‌شود در حالي كه پيراهني از قطران و تن پوشي از جرب بر تن 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دلالت اين روايت بر حرمت روشن است، امّا آيا نائحه خصوصيت دارد يا نائح را هم شامل مي‌شود، نمي‌توان تعميم</w:t>
      </w:r>
      <w:bookmarkStart w:id="627" w:name="pg2375_19876"/>
    </w:p>
    <w:p>
      <w:pPr>
        <w:pStyle w:val="BookText"/>
        <w:rPr/>
      </w:pPr>
      <w:bookmarkEnd w:id="627"/>
      <w:r>
        <w:rPr>
          <w:rFonts w:ascii="IRNazanin" w:hAnsi="IRNazanin" w:eastAsia="IRNazanin"/>
          <w:color w:val="111111"/>
          <w:sz w:val="28"/>
          <w:sz w:val="28"/>
          <w:szCs w:val="28"/>
          <w:rtl w:val="true"/>
          <w:lang w:bidi="fa-IR"/>
        </w:rPr>
        <w:t>داد؛ زيرا شايد از باب اين‌كه چون آن زمان‌ها زنانِ نوحه‌گر ميان نامحرمان هم مي‌خواندند، چنين حكمي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نمي‌توانيم بگوييم اطلاق دارد</w:t>
      </w:r>
      <w:r>
        <w:rPr>
          <w:rFonts w:eastAsia="IRNazanin" w:cs="IRNazanin"/>
          <w:color w:val="111111"/>
          <w:sz w:val="28"/>
          <w:szCs w:val="28"/>
          <w:rtl w:val="true"/>
          <w:lang w:bidi="fa-IR"/>
        </w:rPr>
        <w:t>.</w:t>
      </w:r>
    </w:p>
    <w:p>
      <w:pPr>
        <w:pStyle w:val="Heading6"/>
        <w:numPr>
          <w:ilvl w:val="5"/>
          <w:numId w:val="1"/>
        </w:numPr>
        <w:rPr/>
      </w:pPr>
      <w:bookmarkStart w:id="628" w:name="__RefHeading___Toc2903337_3804643083"/>
      <w:bookmarkStart w:id="629" w:name="_Toc239"/>
      <w:bookmarkEnd w:id="628"/>
      <w:r>
        <w:rPr>
          <w:rtl w:val="true"/>
        </w:rPr>
        <w:t>ـ حديث مناهي</w:t>
      </w:r>
      <w:r>
        <w:rPr>
          <w:rtl w:val="true"/>
        </w:rPr>
        <w:t>:</w:t>
      </w:r>
      <w:bookmarkEnd w:id="629"/>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شُعَيْبِ بْنِ وَاقِدٍ عَنِ الْحُسَيْنِ بْنِ زَيْدٍ عَنْ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نَهَى عَنِ الرَّنَّةِ عِنْدَ الْمُصِيبَةِ وَ نَهَى عَنِ النِّيَاحَةِ وَ الِاسْتِمَاعِ إِلَيْهَا وَ نَهَى عَنْ تَصْفِيقِ الْوَجْهِ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آباء طاهرينشان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كه حضرت نهي فرمودند از ناله زدن هنگام مصيبت و نهي فرمودند از نياحت و استماع به آن و نهي فرمودند از زدن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اين روايت بر حرمت نياحت و استماع آن روشن است، امّا از لحاظ سند به خاطر شعيب بن واقد و الحسين بن زيد ناتمام است</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ثم إن شعيب بن واقد لم يذكر في كتب الرجال فهو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غير مرة أن ذكر الصدوق طريقه إلى أحد لا يدل على وثاقته أو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زيد بن علي بن الحسين أبو عبد الله يلقب ذا 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تبناه و رباه و زوجه ببنت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الأرقط، روى عن أبي عبد الله و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تختلف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له قال أبو الحسين محمد بن علي بن تمام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عن الحسين بن زيد</w:t>
      </w:r>
      <w:r>
        <w:rPr>
          <w:rFonts w:eastAsia="Amiri" w:cs="Amiri" w:ascii="Amiri" w:hAnsi="Amiri"/>
          <w:color w:val="111111"/>
          <w:sz w:val="28"/>
          <w:szCs w:val="28"/>
          <w:rtl w:val="true"/>
          <w:lang w:bidi="ar-SA"/>
        </w:rPr>
        <w:t>.</w:t>
      </w:r>
      <w:bookmarkStart w:id="630" w:name="pg2375_19877"/>
    </w:p>
    <w:p>
      <w:pPr>
        <w:pStyle w:val="BookText"/>
        <w:rPr/>
      </w:pPr>
      <w:bookmarkEnd w:id="630"/>
      <w:r>
        <w:rPr>
          <w:rFonts w:ascii="Amiri" w:hAnsi="Amiri" w:eastAsia="Amiri" w:cs="Amiri"/>
          <w:color w:val="111111"/>
          <w:sz w:val="28"/>
          <w:sz w:val="28"/>
          <w:szCs w:val="28"/>
          <w:rtl w:val="true"/>
          <w:lang w:bidi="ar-SA"/>
        </w:rPr>
        <w:t>ـ روايت ابي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فِي 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لَعَنَ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النَّائِحَةَ وَ الْمُسْتَمِعَةَ</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اين روايت هم دالّ بر حرمت است و چون به همراه آن مستمعة با صيغه‌ي تأنيث ذكر شده، معلوم مي‌شود حرمت از حيث نياحت مي‌باشد، ولي به هر حال از حيث سند معتبر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چند روايتي كه ادعا شده دالّ بر حرمت نياحت است يا از لحاظ سند ناتمام است و يا از لحاظ سند و دلالت</w:t>
      </w:r>
      <w:r>
        <w:rPr>
          <w:rFonts w:eastAsia="IRNazanin" w:cs="IRNazanin"/>
          <w:color w:val="111111"/>
          <w:sz w:val="28"/>
          <w:szCs w:val="28"/>
          <w:rtl w:val="true"/>
          <w:lang w:bidi="fa-IR"/>
        </w:rPr>
        <w:t>.</w:t>
      </w:r>
    </w:p>
    <w:p>
      <w:pPr>
        <w:pStyle w:val="Heading5"/>
        <w:numPr>
          <w:ilvl w:val="4"/>
          <w:numId w:val="1"/>
        </w:numPr>
        <w:rPr/>
      </w:pPr>
      <w:bookmarkStart w:id="631" w:name="__RefHeading___Toc2903339_3804643083"/>
      <w:bookmarkStart w:id="632" w:name="_Toc240"/>
      <w:bookmarkEnd w:id="631"/>
      <w:r>
        <w:rPr>
          <w:rtl w:val="true"/>
        </w:rPr>
        <w:t>دسته‌ي دوم</w:t>
      </w:r>
      <w:r>
        <w:rPr>
          <w:rtl w:val="true"/>
        </w:rPr>
        <w:t>: (</w:t>
      </w:r>
      <w:r>
        <w:rPr>
          <w:rtl w:val="true"/>
        </w:rPr>
        <w:t>روايات دالّ بر كراهت نوح</w:t>
      </w:r>
      <w:r>
        <w:rPr>
          <w:rtl w:val="true"/>
        </w:rPr>
        <w:t>)</w:t>
      </w:r>
      <w:bookmarkEnd w:id="632"/>
    </w:p>
    <w:p>
      <w:pPr>
        <w:pStyle w:val="Heading6"/>
        <w:numPr>
          <w:ilvl w:val="5"/>
          <w:numId w:val="1"/>
        </w:numPr>
        <w:rPr/>
      </w:pPr>
      <w:bookmarkStart w:id="633" w:name="__RefHeading___Toc2903341_3804643083"/>
      <w:bookmarkStart w:id="634" w:name="_Toc241"/>
      <w:bookmarkEnd w:id="633"/>
      <w:r>
        <w:rPr>
          <w:rtl w:val="true"/>
        </w:rPr>
        <w:t>اشاره</w:t>
      </w:r>
      <w:bookmarkEnd w:id="63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 دسته، رواياتي است كه لفظ كراهت در آن‌ها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كراهت گاهي به معناي حرمت هم به كار مي‌رود؛ مثلاً در روايتي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w:t>
      </w:r>
      <w:bookmarkStart w:id="635" w:name="pg2375_19878"/>
    </w:p>
    <w:p>
      <w:pPr>
        <w:pStyle w:val="BookText"/>
        <w:rPr/>
      </w:pPr>
      <w:bookmarkEnd w:id="635"/>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الْحَلَالَ</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الْحَسَنِ بْنِ مَحْبُوبٍ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تَسْأَلَ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اسْتَبْدَلَ قَوْصَرَتَيْنِ فِيهِمَا بُسْرٌ مَطْبُوخٌ بِقَوْصَرَةٍ فِيهَا تَمْرٌ مُشَقَّقٌ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أَبُو بَصِيرٍ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مَكْرُوهٌ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أَنْ يَسْتَبْدِلَ وَسْقاً مِنْ تَمْرِ الْمَدِينَةِ بِوَسْقَيْنِ مِنْ تَمْرِ خَيْبَرَ لِأَنَّ تَمْرَ الْمَدِينَةِ أَدْوَنُهُمَا وَ لَمْ يَكُنْ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مراد از حلال ظاهراً حلال بالمعني الاعم است؛ يعني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كه جايز بالمعني الأعم بود مكروه نداشته و منع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مكروه در اين روايت به معناي حرام و ممنوع به كار رفته است</w:t>
      </w:r>
      <w:r>
        <w:rPr>
          <w:rFonts w:eastAsia="IRNazanin" w:cs="IRNazanin"/>
          <w:color w:val="111111"/>
          <w:sz w:val="28"/>
          <w:szCs w:val="28"/>
          <w:rtl w:val="true"/>
          <w:lang w:bidi="fa-IR"/>
        </w:rPr>
        <w:t>.</w:t>
      </w:r>
    </w:p>
    <w:p>
      <w:pPr>
        <w:pStyle w:val="Heading6"/>
        <w:numPr>
          <w:ilvl w:val="5"/>
          <w:numId w:val="1"/>
        </w:numPr>
        <w:rPr/>
      </w:pPr>
      <w:bookmarkStart w:id="636" w:name="__RefHeading___Toc2903343_3804643083"/>
      <w:bookmarkStart w:id="637" w:name="_Toc242"/>
      <w:bookmarkEnd w:id="636"/>
      <w:r>
        <w:rPr>
          <w:rtl w:val="true"/>
        </w:rPr>
        <w:t>ـ صحيحه‌ي علي بن جعفر</w:t>
      </w:r>
      <w:r>
        <w:rPr>
          <w:rtl w:val="true"/>
        </w:rPr>
        <w:t>:</w:t>
      </w:r>
      <w:bookmarkEnd w:id="637"/>
    </w:p>
    <w:p>
      <w:pPr>
        <w:pStyle w:val="BookText"/>
        <w:rPr/>
      </w:pPr>
      <w:r>
        <w:rPr>
          <w:rFonts w:ascii="Amiri" w:hAnsi="Amiri" w:eastAsia="Amiri" w:cs="Amiri"/>
          <w:color w:val="111111"/>
          <w:sz w:val="28"/>
          <w:sz w:val="28"/>
          <w:szCs w:val="28"/>
          <w:rtl w:val="true"/>
          <w:lang w:bidi="ar-SA"/>
        </w:rPr>
        <w:t>عَلِي بْنُ جَعْفَرٍ فِي كِتَابِهِ عَنْ أَخِيهِ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النَّوْحِ عَلَى الْمَيِّتِ أَ يَصْلُحُ؟ قَالَ يُكْرَهُ</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علي بن جعفر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برادرم موسي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درباره‌ي نوح سؤال كردم آيا جايز است؟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اين‌كه مراد از كراهت در اين روايت، حرمت است يا</w:t>
      </w:r>
      <w:bookmarkStart w:id="638" w:name="pg2375_19879"/>
    </w:p>
    <w:p>
      <w:pPr>
        <w:pStyle w:val="BookText"/>
        <w:rPr/>
      </w:pPr>
      <w:bookmarkEnd w:id="638"/>
      <w:r>
        <w:rPr>
          <w:rFonts w:ascii="IRNazanin" w:hAnsi="IRNazanin" w:eastAsia="IRNazanin"/>
          <w:color w:val="111111"/>
          <w:sz w:val="28"/>
          <w:sz w:val="28"/>
          <w:szCs w:val="28"/>
          <w:rtl w:val="true"/>
          <w:lang w:bidi="fa-IR"/>
        </w:rPr>
        <w:t>كراهت اصطلاحي، هر دو احتمال وجود دارد ولي به قرينه‌ي بعضي روايات ديگر نمي‌توانيم حمل بر حرمت كنيم</w:t>
      </w:r>
      <w:r>
        <w:rPr>
          <w:rFonts w:eastAsia="IRNazanin" w:cs="IRNazanin"/>
          <w:color w:val="111111"/>
          <w:sz w:val="28"/>
          <w:szCs w:val="28"/>
          <w:rtl w:val="true"/>
          <w:lang w:bidi="fa-IR"/>
        </w:rPr>
        <w:t>.</w:t>
      </w:r>
    </w:p>
    <w:p>
      <w:pPr>
        <w:pStyle w:val="Heading6"/>
        <w:numPr>
          <w:ilvl w:val="5"/>
          <w:numId w:val="1"/>
        </w:numPr>
        <w:rPr/>
      </w:pPr>
      <w:bookmarkStart w:id="639" w:name="__RefHeading___Toc2903345_3804643083"/>
      <w:bookmarkStart w:id="640" w:name="_Toc243"/>
      <w:bookmarkEnd w:id="639"/>
      <w:r>
        <w:rPr>
          <w:rtl w:val="true"/>
        </w:rPr>
        <w:t>ـ روايت علي بن جعفر</w:t>
      </w:r>
      <w:r>
        <w:rPr>
          <w:rtl w:val="true"/>
        </w:rPr>
        <w:t>:</w:t>
      </w:r>
      <w:bookmarkEnd w:id="640"/>
    </w:p>
    <w:p>
      <w:pPr>
        <w:pStyle w:val="BookText"/>
        <w:rPr/>
      </w:pPr>
      <w:r>
        <w:rPr>
          <w:rFonts w:ascii="Amiri" w:hAnsi="Amiri" w:eastAsia="Amiri" w:cs="Amiri"/>
          <w:color w:val="111111"/>
          <w:sz w:val="28"/>
          <w:sz w:val="28"/>
          <w:szCs w:val="28"/>
          <w:rtl w:val="true"/>
          <w:lang w:bidi="ar-SA"/>
        </w:rPr>
        <w:t>عَبْدُ اللَّهِ بْنُ جَعْفَرٍ فِي قُرْبِ الْإِسْنَادِ عَنْ عَبْدِ اللَّهِ بْنِ الْحَسَنِ عَنْ جَدِّهِ عَلِيِّ بْنِ جَعْفَرٍ عَنْ أَخِيهِ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النَّوْحِ فَكَرِهَهُ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اين روايت از لحاظ سند به خاطر عبدالله بن الحسن كه نمي توانيم وثاقش را احراز كنيم،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از نوادگان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شايد در أعلي درجات وثاقت باشد، امّا چيزي درباره‌ي وثاقت ايشان به ما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شايد همان روايت قبل باشد كه به عبارت ديگري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روايت هم بعضي گفته‌اند دالّ بر حرمت است، ولي همان‌طور كه در روايت قبل گفتيم، دو احتمال وجود دارد</w:t>
      </w:r>
      <w:r>
        <w:rPr>
          <w:rFonts w:eastAsia="IRNazanin" w:cs="IRNazanin"/>
          <w:color w:val="111111"/>
          <w:sz w:val="28"/>
          <w:szCs w:val="28"/>
          <w:rtl w:val="true"/>
          <w:lang w:bidi="fa-IR"/>
        </w:rPr>
        <w:t>.</w:t>
      </w:r>
    </w:p>
    <w:p>
      <w:pPr>
        <w:pStyle w:val="Heading5"/>
        <w:numPr>
          <w:ilvl w:val="4"/>
          <w:numId w:val="1"/>
        </w:numPr>
        <w:rPr/>
      </w:pPr>
      <w:bookmarkStart w:id="641" w:name="__RefHeading___Toc2903347_3804643083"/>
      <w:bookmarkStart w:id="642" w:name="_Toc244"/>
      <w:bookmarkEnd w:id="641"/>
      <w:r>
        <w:rPr>
          <w:rtl w:val="true"/>
        </w:rPr>
        <w:t>دسته‌ي سوم</w:t>
      </w:r>
      <w:r>
        <w:rPr>
          <w:rtl w:val="true"/>
        </w:rPr>
        <w:t>: (</w:t>
      </w:r>
      <w:r>
        <w:rPr>
          <w:rtl w:val="true"/>
        </w:rPr>
        <w:t>روايات اجر نائحه</w:t>
      </w:r>
      <w:r>
        <w:rPr>
          <w:rtl w:val="true"/>
        </w:rPr>
        <w:t>)</w:t>
      </w:r>
      <w:bookmarkEnd w:id="642"/>
    </w:p>
    <w:p>
      <w:pPr>
        <w:pStyle w:val="Heading6"/>
        <w:numPr>
          <w:ilvl w:val="5"/>
          <w:numId w:val="1"/>
        </w:numPr>
        <w:rPr/>
      </w:pPr>
      <w:bookmarkStart w:id="643" w:name="__RefHeading___Toc2903349_3804643083"/>
      <w:bookmarkStart w:id="644" w:name="_Toc245"/>
      <w:bookmarkEnd w:id="643"/>
      <w:r>
        <w:rPr>
          <w:rtl w:val="true"/>
        </w:rPr>
        <w:t>اشاره</w:t>
      </w:r>
      <w:bookmarkEnd w:id="64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 ي سوم رواياتي است كه در مورد اجر نائحه وارد شده است</w:t>
      </w:r>
      <w:r>
        <w:rPr>
          <w:rFonts w:eastAsia="Amiri" w:cs="Amiri" w:ascii="Amiri" w:hAnsi="Amiri"/>
          <w:color w:val="111111"/>
          <w:sz w:val="28"/>
          <w:szCs w:val="28"/>
          <w:rtl w:val="true"/>
          <w:lang w:bidi="ar-SA"/>
        </w:rPr>
        <w:t>.</w:t>
      </w:r>
      <w:bookmarkStart w:id="645" w:name="pg2375_19880"/>
    </w:p>
    <w:p>
      <w:pPr>
        <w:pStyle w:val="Heading6"/>
        <w:numPr>
          <w:ilvl w:val="5"/>
          <w:numId w:val="1"/>
        </w:numPr>
        <w:rPr/>
      </w:pPr>
      <w:bookmarkStart w:id="646" w:name="__RefHeading___Toc2903351_3804643083"/>
      <w:bookmarkStart w:id="647" w:name="_Toc246"/>
      <w:bookmarkEnd w:id="645"/>
      <w:bookmarkEnd w:id="646"/>
      <w:r>
        <w:rPr>
          <w:rtl w:val="true"/>
        </w:rPr>
        <w:t>ـ موثقه‌ي سماعة</w:t>
      </w:r>
      <w:r>
        <w:rPr>
          <w:rtl w:val="true"/>
        </w:rPr>
        <w:t>:</w:t>
      </w:r>
      <w:bookmarkEnd w:id="647"/>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كَسْبِ الْمُغَنِّيَةِ وَ النَّائِحَةِ فَكَرِهَهُ</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اين‌كه در سند روايت آيا عثمان بن عيسي واقع شده يا عثمان بن سعيد،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بن عيسي باشد روايت موثقه است، هرچند درباره‌ي عثمان بن عيسي كلامي داشتيم ولي با تحقيقاتي كه اخيراً انجام داديم به اين نتيجه رسيديم كه مي‌توان به رواياتش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عثمان بن سعيد باشد سند ناتمام است؛ چون ايشان توثيقي ندارد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سماعة مي‌گويد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كسب زن‌هاي آوازه‌خوان و زنان نوحه‌گر سؤال كردم، پس مكروه داشت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قرينه‌ي اين‌كه مي‌دانيم كسب مغنّيه ـ به آن شكلي كه در آن زمان مرسوم بوده ـ حرام است،</w:t>
      </w:r>
      <w:bookmarkStart w:id="648" w:name="pg2375_19881"/>
    </w:p>
    <w:p>
      <w:pPr>
        <w:pStyle w:val="BookText"/>
        <w:rPr/>
      </w:pPr>
      <w:bookmarkEnd w:id="648"/>
      <w:r>
        <w:rPr>
          <w:rFonts w:ascii="IRNazanin" w:hAnsi="IRNazanin" w:eastAsia="IRNazanin"/>
          <w:color w:val="111111"/>
          <w:sz w:val="28"/>
          <w:sz w:val="28"/>
          <w:szCs w:val="28"/>
          <w:rtl w:val="true"/>
          <w:lang w:bidi="fa-IR"/>
        </w:rPr>
        <w:t>بايد حرمت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اين حرمت اختصاص به نائحه دارد و نمي‌توانيم به نائح هم تسري دهيم؛ چون شايد به خاطر اين‌كه نوائح در كنار نامحرمان نوحه‌گري مي‌كردند، آن‌هم با خضوع صوت كه خلاف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&gt;</w:t>
      </w:r>
      <w:r>
        <w:rPr>
          <w:rStyle w:val="FootnoteAnchor"/>
          <w:rtl w:val="true"/>
        </w:rPr>
        <w:footnoteReference w:id="388"/>
      </w:r>
      <w:r>
        <w:rPr>
          <w:rFonts w:ascii="Amiri" w:hAnsi="Amiri" w:eastAsia="Amiri" w:cs="Amiri"/>
          <w:color w:val="111111"/>
          <w:sz w:val="28"/>
          <w:sz w:val="28"/>
          <w:szCs w:val="28"/>
          <w:rtl w:val="true"/>
          <w:lang w:bidi="ar-SA"/>
        </w:rPr>
        <w:t>است، حرام بوده و شايد هم به خاطر اين‌كه نوح بالباطل مي‌كردند حرام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هم هست كسي در اين‌جا احتمال دهد كسب نائحه حرام، ولي خود نياحت حرام نيست، امّا اين احتمال بعيد است؛ زيرا در اين‌جا وجه معقولي ندارد كه اصل نياحت حلال، امّا كسبش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حرمت كسب نائحه به خاطر حرمت خود نياحت مي‌باشد</w:t>
      </w:r>
      <w:r>
        <w:rPr>
          <w:rFonts w:eastAsia="IRNazanin" w:cs="IRNazanin"/>
          <w:color w:val="111111"/>
          <w:sz w:val="28"/>
          <w:szCs w:val="28"/>
          <w:rtl w:val="true"/>
          <w:lang w:bidi="fa-IR"/>
        </w:rPr>
        <w:t>.</w:t>
      </w:r>
    </w:p>
    <w:p>
      <w:pPr>
        <w:pStyle w:val="Heading5"/>
        <w:numPr>
          <w:ilvl w:val="4"/>
          <w:numId w:val="1"/>
        </w:numPr>
        <w:rPr/>
      </w:pPr>
      <w:bookmarkStart w:id="649" w:name="__RefHeading___Toc2903353_3804643083"/>
      <w:bookmarkStart w:id="650" w:name="_Toc247"/>
      <w:bookmarkEnd w:id="649"/>
      <w:r>
        <w:rPr>
          <w:rtl w:val="true"/>
        </w:rPr>
        <w:t>دسته‌ي چهارم</w:t>
      </w:r>
      <w:r>
        <w:rPr>
          <w:rtl w:val="true"/>
        </w:rPr>
        <w:t>: (</w:t>
      </w:r>
      <w:r>
        <w:rPr>
          <w:rtl w:val="true"/>
        </w:rPr>
        <w:t>روايات عدم جواز مشارطه در اجرت نياحت</w:t>
      </w:r>
      <w:r>
        <w:rPr>
          <w:rtl w:val="true"/>
        </w:rPr>
        <w:t>)</w:t>
      </w:r>
      <w:bookmarkEnd w:id="650"/>
    </w:p>
    <w:p>
      <w:pPr>
        <w:pStyle w:val="Heading6"/>
        <w:numPr>
          <w:ilvl w:val="5"/>
          <w:numId w:val="1"/>
        </w:numPr>
        <w:rPr/>
      </w:pPr>
      <w:bookmarkStart w:id="651" w:name="__RefHeading___Toc2903355_3804643083"/>
      <w:bookmarkStart w:id="652" w:name="_Toc248"/>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دسته‌ي ديگرِ روايات، رواياتي است كه دلالت مي‌كند مشارطه در اجرت جايز نيست</w:t>
      </w:r>
      <w:r>
        <w:rPr>
          <w:rFonts w:eastAsia="IRNazanin" w:cs="IRNazanin"/>
          <w:color w:val="111111"/>
          <w:sz w:val="28"/>
          <w:szCs w:val="28"/>
          <w:rtl w:val="true"/>
          <w:lang w:bidi="fa-IR"/>
        </w:rPr>
        <w:t>.</w:t>
      </w:r>
    </w:p>
    <w:p>
      <w:pPr>
        <w:pStyle w:val="Heading6"/>
        <w:numPr>
          <w:ilvl w:val="5"/>
          <w:numId w:val="1"/>
        </w:numPr>
        <w:rPr/>
      </w:pPr>
      <w:bookmarkStart w:id="653" w:name="__RefHeading___Toc2903357_3804643083"/>
      <w:bookmarkStart w:id="654" w:name="_Toc249"/>
      <w:bookmarkEnd w:id="653"/>
      <w:r>
        <w:rPr>
          <w:rtl w:val="true"/>
        </w:rPr>
        <w:t>ـ موثقه‌ي حنان بن سدير</w:t>
      </w:r>
      <w:r>
        <w:rPr>
          <w:rtl w:val="true"/>
        </w:rPr>
        <w:t>:</w:t>
      </w:r>
      <w:bookmarkEnd w:id="65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عَنْ مُحَمَّدِ بْنِ يَحْيَى عَنْ أَحْمَدَ بْنِ مُحَمَّدٍ عَنْ مُحَمَّدِ بْنِ إِسْمَاعِيلَ جَمِيعاً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مَعَنَا</w:t>
      </w:r>
    </w:p>
    <w:p>
      <w:pPr>
        <w:pStyle w:val="BookText"/>
        <w:rPr/>
      </w:pPr>
      <w:r>
        <w:rPr>
          <w:rFonts w:ascii="Amiri" w:hAnsi="Amiri" w:eastAsia="Amiri" w:cs="Amiri"/>
          <w:color w:val="111111"/>
          <w:sz w:val="28"/>
          <w:sz w:val="28"/>
          <w:szCs w:val="28"/>
          <w:rtl w:val="true"/>
          <w:lang w:bidi="ar-SA"/>
        </w:rPr>
        <w:t>فِي الْحَيِّ وَ لَهَا جَارِيَةٌ نَائِحَةٌ فَجَاءَتْ إِلَى 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أَنْتَ تَعْلَمُ أَنَّ مَعِيشَتِي مِنَ اللَّهِ ثُمَّ مِنْ هَذِهِ الْجَارِيَةِ فَأُحِبُّ أَنْ تَسْأَلَ أَبَا عَبْدِ اللَّهِ عَنْ ذَلِكَ فَإِنْ كَانَ حَلَالًا وَ إِلَّا بِعْتُهَا وَ أَكَلْتُ مِنْ ثَمَنِهَا حَتَّى يَأْتِيَ اللَّهُ بِالْفَرَجِ فَقَالَ لَهَا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لَأُعَظِّمُ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أَسْأَلَهُ عَنْ هَذِهِ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عَلَيْهِ أَخْبَرْتُهُ أَنَا بِذَلِكَ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تُشَارِطُ؟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تُشَارِطُ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لَا تُشَارِطُ وَ تَقْبَلُ مَا أُعْطِيَتْ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أَحْمَدَ بْنِ مُحَمَّدٍ وَ رَوَاهُ الْحِمْيَرِيُّ فِي قُرْبِ الْإِسْنَادِ عَنْ مُحَمَّدِ بْنِ عَبْدِ الْحَمِيدِ وَ عَبْدِ الصَّمَدِ بْنِ مُحَمَّدٍ عَنْ حَنَانِ بْنِ سَدِيرٍ نَحْوَهُ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اين روايت از لحاظ سند تمام بوده و به خاطر حنان بن سدير الصيرفي</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حنان بن سدير الصيرفي، واقفي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حنان بن سدير، له كتاب، و هو ثقة رحمه الله، روينا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رويناه بالإسناد الأول عن ابن أبي عمير عن الحسن بن محبوب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ص</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فِي أَصْحَابِ مُوسَى بْنِ جَعْفَرٍ و عَلِيِّ بْنِ مُوسَى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حَمْدَوَيْهِ، ذَكَرَ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حَنَانَ بْنَ سَدِيرٍ وَاقِفِيٌّ، أَدْرَكَ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يُدْرِكْ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يَرْتَضِي بِهِ سَدِيداً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واقفي است، تعبير به موثقه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حنان بن سدير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در قبيله‌ي ما بود كه كنيز نوحه‌گري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پيش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 الصيرفي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عمو به معناي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مي‌داني كه معيشت من در درجه‌ي اوّل از خدا و در درجه‌ي دوم از طريق اين كنيزك نوحه‌گر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طريق نوحه‌گري پول به دست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آن بپرسيد، اگر حلال باشد كه هيچ و الا او را بفروشم و از پول آن ارتزاق كنم تا اين‌كه خدا فرجش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 و بزرگتر از آن مي‌دانم كه اين مسأله را از ايشان سؤال كنم</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حنان بن سدير مي‌گويد وقتي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من آن مسأله را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كردم،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مشارطه مي‌كند؟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مشارطه مي‌كند يا 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بگو مشارطه نكند و هرچه دادند بگيرد</w:t>
      </w:r>
      <w:r>
        <w:rPr>
          <w:rFonts w:eastAsia="IRNazanin" w:cs="IRNazanin"/>
          <w:color w:val="111111"/>
          <w:sz w:val="28"/>
          <w:szCs w:val="28"/>
          <w:rtl w:val="true"/>
          <w:lang w:bidi="fa-IR"/>
        </w:rPr>
        <w:t>.</w:t>
      </w:r>
      <w:r>
        <w:rPr>
          <w:rStyle w:val="FootnoteAnchor"/>
          <w:rtl w:val="true"/>
        </w:rPr>
        <w:footnoteReference w:id="39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چهل سال پيش در يزد كه مبلغين نزد آن واعظ بزرگ استان يزد رفته بودند، ايشان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پنجاه سال تقريباً منبر مي‌روم، يك بار نشد پاكت را نگاه كنم و ببينم چقدر به من داده‌اند، تا مبادا بين جايي كه بيشتر داده‌اند با جايي كه كمتر داده‌اند فرق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داراي عالي‌ترين صدا، عالي‌ترين سليقه، گرم‌ترين لحن و محبوب‌ترين سخنران بود و با اين اخلاصي كه داشت توفيق پيدا كرد كتابخانه‌ي مهم وزيري را در يزد بسازد، مسجد جامع را تجديد بنا كند و در زمان طاغوت، نماز جمعه‌اي راه انداخت ـ با اين‌كه خود امام جمعه نبود و شخص ديگري اقامه مي‌كرد ـ كه تقريباً نظير نماز جمعه‌هاي بعد از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روايت قرارداد بستن در مورد اجرت نياحت را مورد نهي قرار مي‌دهد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دادند قبول كن</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مفسده‌اي كه امام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در مورد معين نكردن اجرت فرمودند، در اين‌جا هم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الْحَاجَةِ فَأَرَدْتُ أَنْ أَنْصَرِفَ إِلَى مَنْزِلِي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مَعِي فَبِتْ عِنْدِيَ اللَّيْلَةَ فَانْطَلَقْتُ مَعَهُ فَدَخَلَ إِلَى دَارِهِ مَعَ الْمَغِيبِ فَنَظَرَ إِلَى غِلْمَانِهِ يَعْمَلُونَ فِي الطِّينِ أَوَارِيَ الدَّوَابِّ وَ غَيْرَ ذَلِكَ وَ إِذَا مَعَهُمْ أَسْوَدُ لَيْسَ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الرَّجُلُ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يُعَاوِنُنَا وَ نُعْطِيهِ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قَاطَعْتُمُوهُ عَلَى أُجْرَتِهِ؟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يَرْضَى مِنَّا بِمَا نُعْطِيهِ فَأَقْبَلَ عَلَيْهِمْ يَضْرِبُهُمْ بِالسَّوْطِ وَ غَضِبَ لِذَلِكَ غَضَباً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تُدْخِلُ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نَهَيْتُهُمْ عَنْ مِثْلِ هَذَا غَيْرَ مَرَّةٍ أَنْ يَعْمَلَ مَعَهُمْ أَحَدٌ حَتَّى يُقَاطِعُوهُ عَلَى أُجْرَتِهِ وَ اعْلَمْ أَنَّهُ مَا مِنْ أَحَدٍ يَعْمَلُ لَكَ شَيْئاً بِغَيْرِ مُقَاطَعَةٍ ثُمَّ زِدْتَهُ لِذَلِكَ الشَّيْ‌ءِ ثَلَاثَةَ أَضْعَافٍ عَلَى أُجْرَتِهِ إِلَّا ظَنَّ أَنَّكَ قَدْ نَقَصْتَهُ أُجْرَتَهُ وَ إِذَا قَاطَعْتَهُ ثُمَّ أَعْطَيْتَهُ أُجْرَتَهُ حَمِدَكَ عَلَى الْوَفَاءِ فَإِنْ زِدْتَهُ حَبَّةً عَرَفَ ذَلِكَ لَكَ وَ رَأَى أَنَّكَ قَدْ زِدْتَهُ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كتاب التجارة، باب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اين حال اين مورد خاص استثناء بوده و مشارطه مورد نهي قرار گرفته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w:t>
      </w:r>
      <w:bookmarkStart w:id="655" w:name="pg2375_19885"/>
    </w:p>
    <w:p>
      <w:pPr>
        <w:pStyle w:val="BookText"/>
        <w:rPr/>
      </w:pPr>
      <w:bookmarkEnd w:id="655"/>
      <w:r>
        <w:rPr>
          <w:rFonts w:ascii="IRNazanin" w:hAnsi="IRNazanin" w:eastAsia="IRNazanin"/>
          <w:color w:val="111111"/>
          <w:sz w:val="28"/>
          <w:sz w:val="28"/>
          <w:szCs w:val="28"/>
          <w:rtl w:val="true"/>
          <w:lang w:bidi="fa-IR"/>
        </w:rPr>
        <w:t>كاملاً از اين روايت استفاده مي‌شود اصل نياحت حرام نيست و گرفتن اجرت بدون مشارطه بر آن جايز است؛ چون اگر حرام بود، ثمنش حلال نبود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نهي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نهي از مشارطه آيا نهي تنزيهي است يا تحريمي،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قرينه‌اي بر تنزيهي بودن نداشته باشيم از آن جايي كه نهي ظهور در تحريم دارد، قائل به حرمت آن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اين روايت مي‌توانيم روايت سابق را هم كه فرمود كسب نائحه سحت است، قيد زده و حمل بر مشارطه كنيم؛ يعني كسبي كه با شرط باشد سحت است و اگر شرط نكند مانعي ندارد</w:t>
      </w:r>
      <w:r>
        <w:rPr>
          <w:rFonts w:eastAsia="IRNazanin" w:cs="IRNazanin"/>
          <w:color w:val="111111"/>
          <w:sz w:val="28"/>
          <w:szCs w:val="28"/>
          <w:rtl w:val="true"/>
          <w:lang w:bidi="fa-IR"/>
        </w:rPr>
        <w:t>.</w:t>
      </w:r>
    </w:p>
    <w:p>
      <w:pPr>
        <w:pStyle w:val="Heading5"/>
        <w:numPr>
          <w:ilvl w:val="4"/>
          <w:numId w:val="1"/>
        </w:numPr>
        <w:rPr/>
      </w:pPr>
      <w:bookmarkStart w:id="656" w:name="__RefHeading___Toc2903359_3804643083"/>
      <w:bookmarkStart w:id="657" w:name="_Toc250"/>
      <w:bookmarkEnd w:id="656"/>
      <w:r>
        <w:rPr>
          <w:rtl w:val="true"/>
        </w:rPr>
        <w:t>دسته‌ي پنجم</w:t>
      </w:r>
      <w:r>
        <w:rPr>
          <w:rtl w:val="true"/>
        </w:rPr>
        <w:t>: (</w:t>
      </w:r>
      <w:r>
        <w:rPr>
          <w:rtl w:val="true"/>
        </w:rPr>
        <w:t>روايات جواز نياحت</w:t>
      </w:r>
      <w:r>
        <w:rPr>
          <w:rtl w:val="true"/>
        </w:rPr>
        <w:t>)</w:t>
      </w:r>
      <w:bookmarkEnd w:id="657"/>
    </w:p>
    <w:p>
      <w:pPr>
        <w:pStyle w:val="Heading6"/>
        <w:numPr>
          <w:ilvl w:val="5"/>
          <w:numId w:val="1"/>
        </w:numPr>
        <w:rPr/>
      </w:pPr>
      <w:bookmarkStart w:id="658" w:name="__RefHeading___Toc2903361_3804643083"/>
      <w:bookmarkStart w:id="659" w:name="_Toc251"/>
      <w:bookmarkEnd w:id="658"/>
      <w:r>
        <w:rPr>
          <w:rtl w:val="true"/>
        </w:rPr>
        <w:t>اشاره</w:t>
      </w:r>
      <w:bookmarkEnd w:id="659"/>
    </w:p>
    <w:p>
      <w:pPr>
        <w:pStyle w:val="BookText"/>
        <w:rPr/>
      </w:pPr>
      <w:r>
        <w:rPr>
          <w:rFonts w:ascii="Amiri" w:hAnsi="Amiri" w:eastAsia="Amiri" w:cs="Amiri"/>
          <w:color w:val="111111"/>
          <w:sz w:val="28"/>
          <w:sz w:val="28"/>
          <w:szCs w:val="28"/>
          <w:rtl w:val="true"/>
          <w:lang w:bidi="ar-SA"/>
        </w:rPr>
        <w:t>اين دسته روايات دلالت مي‌كند كه نياحت جايز بوده و اشكالي ندارد</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2903363_3804643083"/>
      <w:bookmarkStart w:id="661" w:name="_Toc252"/>
      <w:bookmarkEnd w:id="660"/>
      <w:r>
        <w:rPr>
          <w:rtl w:val="true"/>
        </w:rPr>
        <w:t>ـ صحيحه‌ي يونس بن يعقوب</w:t>
      </w:r>
      <w:r>
        <w:rPr>
          <w:rtl w:val="true"/>
        </w:rPr>
        <w:t>:</w:t>
      </w:r>
      <w:bookmarkEnd w:id="66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عِدَّةٍ مِنْ أَصْحَابِنَا عَنْ أَحْمَدَ بْنِ مُحَمَّدٍ عَنْ عَلِيِّ بْنِ الْحَكَمِ عَنْ يُونُسَ بْنِ يَعْقُوبَ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لِي مِنْ مَالِي</w:t>
      </w:r>
    </w:p>
    <w:p>
      <w:pPr>
        <w:pStyle w:val="BookText"/>
        <w:rPr/>
      </w:pPr>
      <w:r>
        <w:rPr>
          <w:rFonts w:ascii="Amiri" w:hAnsi="Amiri" w:eastAsia="Amiri" w:cs="Amiri"/>
          <w:color w:val="111111"/>
          <w:sz w:val="28"/>
          <w:sz w:val="28"/>
          <w:szCs w:val="28"/>
          <w:rtl w:val="true"/>
          <w:lang w:bidi="ar-SA"/>
        </w:rPr>
        <w:t>كَذَا وَ كَذَا لِنَوَادِبَ</w:t>
      </w:r>
      <w:r>
        <w:rPr>
          <w:rStyle w:val="FootnoteAnchor"/>
          <w:rtl w:val="true"/>
        </w:rPr>
        <w:footnoteReference w:id="394"/>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نَدَبَ الميتَ أَي بكى عليه، و عَدَّدَ مَحاسِنَه، يَنْدُبه نَدْباً؛ و الاسم النُّدْبةُ،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نَدَبَ الميت بعد موته من غير أَن يُقَيِّد ببكاء، و هو من النَّدَب للجراح، لأَنه احْتِراقٌ و لَذْعٌ من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تَدْعُوَ النادِبةُ الميتَ بحُسْنِ الثناءِ في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فُلاناهْ وا هَناه و اسم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دَعَوْتُهُ وَ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الْمَفْعُولُ مَنْدُوبٌ 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أَيْضاً وَ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كَالدُّعَاءِ فَإِنَّهَا تُقْبِلُ عَلَى تَعْدِيدِ مَحَاسِنِهِ كَأَنَّهُ يَسْمَعُهَا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الخَطَرُ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سَبَبٍ وَ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تَنْدُبُنِي عَشْرَ سِنِينَ بِمِنًى أَيَّامَ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يونس بن يعقوب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جعفر اين مقدار از اموالم را براي ندبه كنندگان وقف كن تا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مني در ايام مني براي من ندبه كنند</w:t>
      </w:r>
      <w:r>
        <w:rPr>
          <w:rFonts w:eastAsia="IRNazanin" w:cs="IRNazanin"/>
          <w:color w:val="111111"/>
          <w:sz w:val="28"/>
          <w:szCs w:val="28"/>
          <w:rtl w:val="true"/>
          <w:lang w:bidi="fa-IR"/>
        </w:rPr>
        <w:t>.</w:t>
      </w:r>
      <w:r>
        <w:rPr>
          <w:rStyle w:val="FootnoteAnchor"/>
          <w:rtl w:val="true"/>
        </w:rPr>
        <w:footnoteReference w:id="39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bookmarkStart w:id="662" w:name="pg2375_19887"/>
    </w:p>
    <w:p>
      <w:pPr>
        <w:pStyle w:val="Heading6"/>
        <w:numPr>
          <w:ilvl w:val="5"/>
          <w:numId w:val="1"/>
        </w:numPr>
        <w:rPr/>
      </w:pPr>
      <w:bookmarkStart w:id="663" w:name="__RefHeading___Toc2903365_3804643083"/>
      <w:bookmarkStart w:id="664" w:name="_Toc253"/>
      <w:bookmarkEnd w:id="662"/>
      <w:bookmarkEnd w:id="663"/>
      <w:r>
        <w:rPr>
          <w:rtl w:val="true"/>
        </w:rPr>
        <w:t>ـ صحيحه‌ي ابي حمزه‌ي ثمالي</w:t>
      </w:r>
      <w:r>
        <w:rPr>
          <w:rtl w:val="true"/>
        </w:rPr>
        <w:t>:</w:t>
      </w:r>
      <w:bookmarkEnd w:id="664"/>
    </w:p>
    <w:p>
      <w:pPr>
        <w:pStyle w:val="BookText"/>
        <w:rPr/>
      </w:pP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مَالِكِ بْنِ عَطِيَّةَ عَنْ أَبِي حَمْزَةَ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الْوَلِيدُ بْنُ الْمُغِيرَةِ فَقَالَتْ أُمُّ سَلَمَةَ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الْمُغِيرَةِ قَدْ أَقَامُوا مَنَاحَةً فَأَذْهَبُ إِلَيْهِمْ فَأَذِنَ لَهَا فَلَبِسَتْ ثِيَابَهَا وَ تَهَيَّأَتْ وَ كَانَتْ مِنْ حُسْنِهَا كَأَنَّهَا جَانٌّ وَ كَانَتْ إِذَا قَامَتْ فَأَرْخَتْ شَعْرَهَا جَلَّلَ جَسَدَهَا وَ عَقَدَتْ بِطَرَفَيْهِ خَلْخَالَهَا فَنَدَبَتِ ابْنَ عَمِّهَا بَيْنَ يَدَيْ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أَنْعَى الْوَلِيـدَ بْنَ الْوَلِيدِ أَبَا الْوَلِيدِ فَتَى الْعَشِيـرَهْ</w:t>
      </w:r>
    </w:p>
    <w:p>
      <w:pPr>
        <w:pStyle w:val="BookText"/>
        <w:rPr/>
      </w:pPr>
      <w:r>
        <w:rPr>
          <w:rFonts w:ascii="Amiri" w:hAnsi="Amiri" w:eastAsia="Amiri" w:cs="Amiri"/>
          <w:color w:val="111111"/>
          <w:sz w:val="28"/>
          <w:sz w:val="28"/>
          <w:szCs w:val="28"/>
          <w:rtl w:val="true"/>
          <w:lang w:bidi="ar-SA"/>
        </w:rPr>
        <w:t>حَامِـي الْحَقِيقَـةِ مَاجِـدٌ يَسْمُو إِلَى طَلَبِ الْوَتِيرَهْ</w:t>
      </w:r>
    </w:p>
    <w:p>
      <w:pPr>
        <w:pStyle w:val="BookText"/>
        <w:rPr/>
      </w:pPr>
      <w:r>
        <w:rPr>
          <w:rFonts w:ascii="Amiri" w:hAnsi="Amiri" w:eastAsia="Amiri" w:cs="Amiri"/>
          <w:color w:val="111111"/>
          <w:sz w:val="28"/>
          <w:sz w:val="28"/>
          <w:szCs w:val="28"/>
          <w:rtl w:val="true"/>
          <w:lang w:bidi="ar-SA"/>
        </w:rPr>
        <w:t>قَدْ كَانَ غَيْثاً فِي السِّنِينَ وَ جَعْفَـراً غَدَقـاً وَ مِيـرَهْ</w:t>
      </w:r>
    </w:p>
    <w:p>
      <w:pPr>
        <w:pStyle w:val="BookText"/>
        <w:rPr/>
      </w:pPr>
      <w:r>
        <w:rPr>
          <w:rFonts w:ascii="Amiri" w:hAnsi="Amiri" w:eastAsia="Amiri" w:cs="Amiri"/>
          <w:color w:val="111111"/>
          <w:sz w:val="28"/>
          <w:sz w:val="28"/>
          <w:szCs w:val="28"/>
          <w:rtl w:val="true"/>
          <w:lang w:bidi="ar-SA"/>
        </w:rPr>
        <w:t>فَمَا عَابَ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لَا قَالَ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أَحْمَدَ بْنِ مُحَمَّدٍ وَ كَذَا الَّذِي قَبْلَهُ</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ابوحمزه‌ي ثمالي نقل مي‌كند كه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مغيره از دنيا رفت، ام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ازواج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خديجه‌ي كبري سلام الله عليها كه نسبتي با وليد بن</w:t>
      </w:r>
      <w:bookmarkStart w:id="665" w:name="pg2375_19888"/>
    </w:p>
    <w:p>
      <w:pPr>
        <w:pStyle w:val="BookText"/>
        <w:rPr/>
      </w:pPr>
      <w:bookmarkEnd w:id="665"/>
      <w:r>
        <w:rPr>
          <w:rFonts w:ascii="IRNazanin" w:hAnsi="IRNazanin" w:eastAsia="IRNazanin"/>
          <w:color w:val="111111"/>
          <w:sz w:val="28"/>
          <w:sz w:val="28"/>
          <w:szCs w:val="28"/>
          <w:rtl w:val="true"/>
          <w:lang w:bidi="fa-IR"/>
        </w:rPr>
        <w:t>مغيره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مغيره مجلس نوحه و عزائي برپا كرده‌اند آيا اجازه مي‌دهيد من هم شركت كنم؟ حضرت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لباسش را پوشيد و آماده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كرد و اين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مرگ وليد، پسر وليد، پدر وليد، جوان عشيره را خبر مي‌دهم</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هو الوليد بن المغيرة و ابوه صحابي جليل و هو أخو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ولد هذا الثالث و سمّي بالوليد أيضاً فلمّا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رثاء امّ سلمه زوج النبي له و كانت ابنة عمّه إذ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الوليد بن الولي د أبي الوليد كفي العشيرة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اتخذتم الوليد إلا حناناً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كه حامي و پشتيبان حقيقت و بزرگ است و به خونخواهي به پا مي‌خيزد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در قحطي باران بود، نهر جاري پر آب بود، ذخيره‌ي غذائي براي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فعل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نگرفتند و چيزي هم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روايت استفاده مي‌شود كه حتّي نياحت نائحه ـ البته در جايي كه نامحرم نباشد ـ مشكلي ندارد</w:t>
      </w:r>
      <w:r>
        <w:rPr>
          <w:rFonts w:eastAsia="IRNazanin" w:cs="IRNazanin"/>
          <w:color w:val="111111"/>
          <w:sz w:val="28"/>
          <w:szCs w:val="28"/>
          <w:rtl w:val="true"/>
          <w:lang w:bidi="fa-IR"/>
        </w:rPr>
        <w:t>.</w:t>
      </w:r>
    </w:p>
    <w:p>
      <w:pPr>
        <w:pStyle w:val="Heading5"/>
        <w:numPr>
          <w:ilvl w:val="4"/>
          <w:numId w:val="1"/>
        </w:numPr>
        <w:rPr/>
      </w:pPr>
      <w:bookmarkStart w:id="666" w:name="__RefHeading___Toc2903367_3804643083"/>
      <w:bookmarkStart w:id="667" w:name="_Toc254"/>
      <w:bookmarkEnd w:id="666"/>
      <w:r>
        <w:rPr>
          <w:rtl w:val="true"/>
        </w:rPr>
        <w:t>دسته‌ي ششم</w:t>
      </w:r>
      <w:r>
        <w:rPr>
          <w:rtl w:val="true"/>
        </w:rPr>
        <w:t>: (</w:t>
      </w:r>
      <w:r>
        <w:rPr>
          <w:rtl w:val="true"/>
        </w:rPr>
        <w:t>روايات جواز اجرت نياحت</w:t>
      </w:r>
      <w:r>
        <w:rPr>
          <w:rtl w:val="true"/>
        </w:rPr>
        <w:t>)</w:t>
      </w:r>
      <w:bookmarkEnd w:id="667"/>
    </w:p>
    <w:p>
      <w:pPr>
        <w:pStyle w:val="Heading6"/>
        <w:numPr>
          <w:ilvl w:val="5"/>
          <w:numId w:val="1"/>
        </w:numPr>
        <w:rPr/>
      </w:pPr>
      <w:bookmarkStart w:id="668" w:name="__RefHeading___Toc2903369_3804643083"/>
      <w:bookmarkStart w:id="669" w:name="_Toc255"/>
      <w:bookmarkEnd w:id="668"/>
      <w:r>
        <w:rPr>
          <w:rtl w:val="true"/>
        </w:rPr>
        <w:t>اشاره</w:t>
      </w:r>
      <w:bookmarkEnd w:id="66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دسته‌ي ششم رواياتي است كه دالّ بر جواز اجر نائحه است</w:t>
      </w:r>
      <w:r>
        <w:rPr>
          <w:rFonts w:eastAsia="Amiri" w:cs="Amiri" w:ascii="Amiri" w:hAnsi="Amiri"/>
          <w:color w:val="111111"/>
          <w:sz w:val="28"/>
          <w:szCs w:val="28"/>
          <w:rtl w:val="true"/>
          <w:lang w:bidi="ar-SA"/>
        </w:rPr>
        <w:t>.</w:t>
      </w:r>
      <w:bookmarkStart w:id="670" w:name="pg2375_19889"/>
    </w:p>
    <w:p>
      <w:pPr>
        <w:pStyle w:val="Heading6"/>
        <w:numPr>
          <w:ilvl w:val="5"/>
          <w:numId w:val="1"/>
        </w:numPr>
        <w:rPr/>
      </w:pPr>
      <w:bookmarkStart w:id="671" w:name="__RefHeading___Toc2903371_3804643083"/>
      <w:bookmarkStart w:id="672" w:name="_Toc256"/>
      <w:bookmarkEnd w:id="670"/>
      <w:bookmarkEnd w:id="671"/>
      <w:r>
        <w:rPr>
          <w:rtl w:val="true"/>
        </w:rPr>
        <w:t>ـ صحيحه‌ي ابي بصير</w:t>
      </w:r>
      <w:r>
        <w:rPr>
          <w:rtl w:val="true"/>
        </w:rPr>
        <w:t>:</w:t>
      </w:r>
      <w:bookmarkEnd w:id="672"/>
    </w:p>
    <w:p>
      <w:pPr>
        <w:pStyle w:val="BookText"/>
        <w:rPr/>
      </w:pPr>
      <w:r>
        <w:rPr>
          <w:rFonts w:ascii="Amiri" w:hAnsi="Amiri" w:eastAsia="Amiri" w:cs="Amiri"/>
          <w:color w:val="111111"/>
          <w:sz w:val="28"/>
          <w:sz w:val="28"/>
          <w:szCs w:val="28"/>
          <w:rtl w:val="true"/>
          <w:lang w:bidi="ar-SA"/>
        </w:rPr>
        <w:t>مُحَمَّدُ بْنُ الْحَسَنِ بِإِسْنَادِهِ</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ما ذكرته في هذا الكتاب عن الحسين بن سعيد فقد اخبرنى به الشيخ ابو عبد اللّه محمد بن محمد بن النعمان و الحسين بن عبيد اللّه و احمد 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 احمد بن محمد بن الحسن بن الوليد عن ابيه محمد بن الحسن بن الوليد و اخبرنى به أيضا ابو الحسين ابي جيد القمي عن محمد بن الحسن بن الوليد عن الحسين بن الحسن بن 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و رواه أيضا محمد بن الحسن بن الوليد عن محمد بن الحسن الصفار عن احمد بن محمد 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سَعِيدٍ عَنِ النَّضْرِ عَنِ الْحَلَبِيِّ عَنْ أَيُّوبَ بْنِ الْحُرِّ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النَّائِحَةِ الَّتِي تَنُوحُ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أَيُّوبَ بْنِ الْحُرِّ مِثْلَهُ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ابوبصير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نائحه‌اي كه براي ميت نوحه‌گري مي‌كند، مانعي ندارد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صريح در جواز نياحت و جواز اجرتي كه در مقابل آن مي‌گيرد بوده و نسبت به جواز اشتراط و عدم اشتراط هم اطلاق دارد كه مي‌توانيم با روايت سابق كه فرمود اشتراط نكند، تقييد كنيم</w:t>
      </w:r>
      <w:r>
        <w:rPr>
          <w:rFonts w:eastAsia="IRNazanin" w:cs="IRNazanin"/>
          <w:color w:val="111111"/>
          <w:sz w:val="28"/>
          <w:szCs w:val="28"/>
          <w:rtl w:val="true"/>
          <w:lang w:bidi="fa-IR"/>
        </w:rPr>
        <w:t>.</w:t>
      </w:r>
      <w:bookmarkStart w:id="673" w:name="pg2375_19890"/>
    </w:p>
    <w:p>
      <w:pPr>
        <w:pStyle w:val="Heading6"/>
        <w:numPr>
          <w:ilvl w:val="5"/>
          <w:numId w:val="1"/>
        </w:numPr>
        <w:rPr/>
      </w:pPr>
      <w:bookmarkStart w:id="674" w:name="__RefHeading___Toc2903373_3804643083"/>
      <w:bookmarkStart w:id="675" w:name="_Toc257"/>
      <w:bookmarkEnd w:id="673"/>
      <w:bookmarkEnd w:id="674"/>
      <w:r>
        <w:rPr>
          <w:rtl w:val="true"/>
        </w:rPr>
        <w:t>ـ مرسله‌ي صدوق</w:t>
      </w:r>
      <w:r>
        <w:rPr>
          <w:rtl w:val="true"/>
        </w:rPr>
        <w:t>:</w:t>
      </w:r>
      <w:bookmarkEnd w:id="67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أَجْرِ النَّائِحَةِ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قَدْ نِيحَ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اين روايت دالّ بر جواز نياحت و جواز اجر نائحه است، ولي مرسله مي‌باشد</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2903375_3804643083"/>
      <w:bookmarkStart w:id="677" w:name="_Toc258"/>
      <w:bookmarkEnd w:id="676"/>
      <w:r>
        <w:rPr>
          <w:rtl w:val="true"/>
        </w:rPr>
        <w:t>دسته‌ي هفتم</w:t>
      </w:r>
      <w:r>
        <w:rPr>
          <w:rtl w:val="true"/>
        </w:rPr>
        <w:t>: (</w:t>
      </w:r>
      <w:r>
        <w:rPr>
          <w:rtl w:val="true"/>
        </w:rPr>
        <w:t>روايات جواز نياحت مشروط به صدق و عدم هجر</w:t>
      </w:r>
      <w:r>
        <w:rPr>
          <w:rtl w:val="true"/>
        </w:rPr>
        <w:t>)</w:t>
      </w:r>
      <w:bookmarkEnd w:id="677"/>
    </w:p>
    <w:p>
      <w:pPr>
        <w:pStyle w:val="Heading6"/>
        <w:numPr>
          <w:ilvl w:val="5"/>
          <w:numId w:val="1"/>
        </w:numPr>
        <w:rPr/>
      </w:pPr>
      <w:bookmarkStart w:id="678" w:name="__RefHeading___Toc2903377_3804643083"/>
      <w:bookmarkStart w:id="679" w:name="_Toc259"/>
      <w:bookmarkEnd w:id="678"/>
      <w:r>
        <w:rPr>
          <w:rtl w:val="true"/>
        </w:rPr>
        <w:t>اشاره</w:t>
      </w:r>
      <w:bookmarkEnd w:id="679"/>
    </w:p>
    <w:p>
      <w:pPr>
        <w:pStyle w:val="BookText"/>
        <w:rPr/>
      </w:pPr>
      <w:r>
        <w:rPr>
          <w:rFonts w:ascii="Amiri" w:hAnsi="Amiri" w:eastAsia="Amiri" w:cs="Amiri"/>
          <w:color w:val="111111"/>
          <w:sz w:val="28"/>
          <w:sz w:val="28"/>
          <w:szCs w:val="28"/>
          <w:rtl w:val="true"/>
          <w:lang w:bidi="ar-SA"/>
        </w:rPr>
        <w:t xml:space="preserve">دسته‌ي هفتم رواياتي است كه دالّ بر جواز نياحت است، به شرط صدق و عدم 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از حدّ</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2903379_3804643083"/>
      <w:bookmarkStart w:id="681" w:name="_Toc260"/>
      <w:bookmarkEnd w:id="680"/>
      <w:r>
        <w:rPr>
          <w:rtl w:val="true"/>
        </w:rPr>
        <w:t>ـ روايت مرحوم صدوق</w:t>
      </w:r>
      <w:r>
        <w:rPr>
          <w:rtl w:val="true"/>
        </w:rPr>
        <w:t>:</w:t>
      </w:r>
      <w:bookmarkEnd w:id="681"/>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بِكَسْبِ النَّائِحَةِ إِذَا قَالَتْ صِدْقاً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مرحوم صدوق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نائحه اگر در مطالبي كه مي‌گويد صادق باشد، مانعي ندارد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روايت دلالت بر جواز نياحت به صدق و عدم جواز نياحت به كذب مي‌كند</w:t>
      </w:r>
      <w:r>
        <w:rPr>
          <w:rFonts w:eastAsia="IRNazanin" w:cs="IRNazanin"/>
          <w:color w:val="111111"/>
          <w:sz w:val="28"/>
          <w:szCs w:val="28"/>
          <w:rtl w:val="true"/>
          <w:lang w:bidi="fa-IR"/>
        </w:rPr>
        <w:t>.</w:t>
      </w:r>
      <w:bookmarkStart w:id="682" w:name="pg2375_19891"/>
    </w:p>
    <w:p>
      <w:pPr>
        <w:pStyle w:val="BookText"/>
        <w:rPr/>
      </w:pPr>
      <w:bookmarkEnd w:id="682"/>
      <w:r>
        <w:rPr>
          <w:rFonts w:ascii="IRNazanin" w:hAnsi="IRNazanin" w:eastAsia="IRNazanin"/>
          <w:color w:val="111111"/>
          <w:sz w:val="28"/>
          <w:sz w:val="28"/>
          <w:szCs w:val="28"/>
          <w:rtl w:val="true"/>
          <w:lang w:bidi="fa-IR"/>
        </w:rPr>
        <w:t>اين روايت نزد ما مرسله است ـ ولي بعضي مثل 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برهه‌اي از زمان قائل بودند از آن‌جا كه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به ضرس قاطع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پس معلوم مي‌شود نزد ايشان صحيح بوده و همين مقدار كفايت در صحت آن مي‌كند، ولي ما اين را قبول نداريم و مفصلاً در جاي ديگر توضيح داده‌ايم ـ امّا از حيث مضمون صحيح است؛ چون نياحت به كذب، مصداق كذب بوده و حرام است</w:t>
      </w:r>
      <w:r>
        <w:rPr>
          <w:rFonts w:eastAsia="IRNazanin" w:cs="IRNazanin"/>
          <w:color w:val="111111"/>
          <w:sz w:val="28"/>
          <w:szCs w:val="28"/>
          <w:rtl w:val="true"/>
          <w:lang w:bidi="fa-IR"/>
        </w:rPr>
        <w:t>.</w:t>
      </w:r>
    </w:p>
    <w:p>
      <w:pPr>
        <w:pStyle w:val="Heading6"/>
        <w:numPr>
          <w:ilvl w:val="5"/>
          <w:numId w:val="1"/>
        </w:numPr>
        <w:rPr/>
      </w:pPr>
      <w:bookmarkStart w:id="683" w:name="__RefHeading___Toc2903381_3804643083"/>
      <w:bookmarkStart w:id="684" w:name="_Toc261"/>
      <w:bookmarkEnd w:id="683"/>
      <w:r>
        <w:rPr>
          <w:rtl w:val="true"/>
        </w:rPr>
        <w:t>ـ روايت خديجه بنت عمر بن علي بن الحسين</w:t>
      </w:r>
      <w:r>
        <w:rPr>
          <w:rtl w:val="true"/>
        </w:rPr>
        <w:t>:</w:t>
      </w:r>
      <w:bookmarkEnd w:id="68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مُحَمَّدِ بْنِ حَسَّانَ عَنْ مُحَمَّدِ بْنِ زَنْجَوَيْهِ عَنْ عَبْدِ اللَّهِ بْنِ الْحَكَمِ عَنْ عَبْدِ اللَّهِ بْنِ إِبْرَاهِيمَ الْجَعْفَرِيِّ عَنْ خَدِيجَةَ بِنْتِ عُمَرَ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تَحْتَاجُ الْمَرْأَةُ إِلَى النَّوْحِ لِتَسِيلَ دَمْعَتُهَا وَ لَا يَنْبَغِي لَهَا أَنْ تَقُولَ هُجْراً فَإِذَا جَاءَ اللَّيْلُ فَلَا تُؤْذِي الْمَلَائِكَةَ بِالنَّوْحِ</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نيز دالّ بر جواز نياحت مي‌باشد و مي‌فرمايد نبايد در نياحت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شب هم نياحت شايسته نيست، به خاطر تأذي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روايت داراي سد معتبر نيست و مجاهيل و ضعفاء در سند وجود دارند</w:t>
      </w:r>
      <w:r>
        <w:rPr>
          <w:rFonts w:eastAsia="IRNazanin" w:cs="IRNazanin"/>
          <w:color w:val="111111"/>
          <w:sz w:val="28"/>
          <w:szCs w:val="28"/>
          <w:rtl w:val="true"/>
          <w:lang w:bidi="fa-IR"/>
        </w:rPr>
        <w:t>.</w:t>
      </w:r>
      <w:bookmarkStart w:id="685" w:name="pg2375_19892"/>
    </w:p>
    <w:p>
      <w:pPr>
        <w:pStyle w:val="Heading4"/>
        <w:numPr>
          <w:ilvl w:val="3"/>
          <w:numId w:val="1"/>
        </w:numPr>
        <w:rPr/>
      </w:pPr>
      <w:bookmarkStart w:id="686" w:name="__RefHeading___Toc2903383_3804643083"/>
      <w:bookmarkStart w:id="687" w:name="_Toc262"/>
      <w:bookmarkEnd w:id="685"/>
      <w:bookmarkEnd w:id="686"/>
      <w:r>
        <w:rPr>
          <w:rtl w:val="true"/>
        </w:rPr>
        <w:t>نتيجه‌گيري از روايات مربوط به نياحت</w:t>
      </w:r>
      <w:bookmarkEnd w:id="687"/>
    </w:p>
    <w:p>
      <w:pPr>
        <w:pStyle w:val="BookText"/>
        <w:rPr/>
      </w:pPr>
      <w:r>
        <w:rPr>
          <w:rFonts w:ascii="IRNazanin" w:hAnsi="IRNazanin" w:eastAsia="IRNazanin"/>
          <w:color w:val="111111"/>
          <w:sz w:val="28"/>
          <w:sz w:val="28"/>
          <w:szCs w:val="28"/>
          <w:rtl w:val="true"/>
          <w:lang w:bidi="fa-IR"/>
        </w:rPr>
        <w:t>در مورد اصل نياحت با توجه به اين رواياتي كه ذكر كرديم و تصريح در جواز نياحت و اجرت بر آن داشت،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نياحت و اجرت بر آن جايز است و آن روايتي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النائحة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وسيله‌ي اين روايت اخير حمل بر نياحت به كذب و باطل مي‌كنيم؛ يعني اگر نياحت به كذب و باطل كند كسبش سحت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جواز يا عدم جواز مشارطه هم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مسأله‌ي نياحت مورد ابتلاء بوده و نوائح و نوادب زياد بودند، ولي با اين حال كسي را در فقه سراغ نداريم كه خصوص مشارطه را حرام كرده باشد و مسبوق به سابقه به نحوي كه حرام باشد، نيست؛ خصوصاً با توجه به اين‌كه معمولاً اجر، قبل از عمل تعيين مي‌شده ـ كما اين‌كه امروزه هم اين‌طور است كه مداح‌هاي معروف حتّي براي مجلس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قبل مشارطه مي‌كنند ـ نمي‌توانيم نهي از مشارطه را حمل بر حرمت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حمل بر كراهت مي‌شود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نوح جايز است و بلكه اگر تكريم مؤمن يا به خاطر اجابت درخواست مؤمني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هم دارد و مزد گرفتن براي آن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مشارطه مكروه است و احتياط استحبابي در ترك آن است</w:t>
      </w:r>
      <w:r>
        <w:rPr>
          <w:rFonts w:eastAsia="IRNazanin" w:cs="IRNazanin"/>
          <w:color w:val="111111"/>
          <w:sz w:val="28"/>
          <w:szCs w:val="28"/>
          <w:rtl w:val="true"/>
          <w:lang w:bidi="fa-IR"/>
        </w:rPr>
        <w:t>.</w:t>
      </w:r>
      <w:bookmarkStart w:id="688" w:name="pg2375_19894"/>
    </w:p>
    <w:p>
      <w:pPr>
        <w:pStyle w:val="Heading2"/>
        <w:numPr>
          <w:ilvl w:val="1"/>
          <w:numId w:val="1"/>
        </w:numPr>
        <w:rPr/>
      </w:pPr>
      <w:bookmarkStart w:id="689" w:name="__RefHeading___Toc2903385_3804643083"/>
      <w:bookmarkStart w:id="690" w:name="_Toc263"/>
      <w:bookmarkEnd w:id="688"/>
      <w:bookmarkEnd w:id="689"/>
      <w:r>
        <w:rPr>
          <w:rtl w:val="true"/>
        </w:rPr>
        <w:t>هجاء المؤمن</w:t>
      </w:r>
      <w:bookmarkEnd w:id="69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1" w:name="__RefHeading___Toc2903387_3804643083"/>
      <w:bookmarkStart w:id="692" w:name="_Toc264"/>
      <w:bookmarkEnd w:id="691"/>
      <w:r>
        <w:rPr>
          <w:rtl w:val="true"/>
        </w:rPr>
        <w:t>اشاره</w:t>
      </w:r>
      <w:bookmarkStart w:id="693" w:name="pg2375_19896"/>
      <w:bookmarkEnd w:id="692"/>
    </w:p>
    <w:p>
      <w:pPr>
        <w:pStyle w:val="Heading3"/>
        <w:numPr>
          <w:ilvl w:val="2"/>
          <w:numId w:val="1"/>
        </w:numPr>
        <w:rPr/>
      </w:pPr>
      <w:bookmarkStart w:id="694" w:name="__RefHeading___Toc2903389_3804643083"/>
      <w:bookmarkStart w:id="695" w:name="_Toc265"/>
      <w:bookmarkEnd w:id="693"/>
      <w:bookmarkEnd w:id="694"/>
      <w:r>
        <w:rPr>
          <w:rtl w:val="true"/>
        </w:rPr>
        <w:t>المسألة السابعة و العشرون</w:t>
      </w:r>
      <w:r>
        <w:rPr>
          <w:rtl w:val="true"/>
        </w:rPr>
        <w:t xml:space="preserve">: </w:t>
      </w:r>
      <w:r>
        <w:rPr>
          <w:rtl w:val="true"/>
        </w:rPr>
        <w:t>هجاء المؤمن</w:t>
      </w:r>
      <w:bookmarkEnd w:id="695"/>
    </w:p>
    <w:p>
      <w:pPr>
        <w:pStyle w:val="Heading4"/>
        <w:numPr>
          <w:ilvl w:val="3"/>
          <w:numId w:val="1"/>
        </w:numPr>
        <w:rPr/>
      </w:pPr>
      <w:bookmarkStart w:id="696" w:name="__RefHeading___Toc2903391_3804643083"/>
      <w:bookmarkStart w:id="697" w:name="_Toc266"/>
      <w:bookmarkEnd w:id="696"/>
      <w:r>
        <w:rPr>
          <w:rtl w:val="true"/>
        </w:rPr>
        <w:t>اشاره</w:t>
      </w:r>
      <w:bookmarkEnd w:id="697"/>
    </w:p>
    <w:p>
      <w:pPr>
        <w:pStyle w:val="BookText"/>
        <w:rPr/>
      </w:pPr>
      <w:r>
        <w:rPr>
          <w:rFonts w:ascii="Amiri" w:hAnsi="Amiri" w:eastAsia="Amiri" w:cs="Amiri"/>
          <w:color w:val="111111"/>
          <w:sz w:val="28"/>
          <w:sz w:val="28"/>
          <w:szCs w:val="28"/>
          <w:rtl w:val="true"/>
          <w:lang w:bidi="ar-SA"/>
        </w:rPr>
        <w:t xml:space="preserve">مسأله‌ي بيست و هفتم كه مرحوم شيخ در نوع رابع از مكاسب محرمه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التكسب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مي‌فرمايد، هجاء المؤمن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هجو خلاف مدح بوده و به معني قدح، نكوهيدن، اهانت، ذكر معايب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كتب لغت اختصاص به شعر داده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الهجاء هي الوقيعة في الأشعار</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هَجَا يَهْجُو هِجَاءً، ممدود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الوقيعة في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تَهْجِيَةُ الحروف،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تَهَجَّأْتُ و تَهَجَّيْتُ بهمز و تبديل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هَجَاه يَهْجُوه هَجْواً و هِجاء و تَهْجَاء، 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شتمه بالشِّعر، و هو خلاف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الوَقِيعةُ في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المُهَاجَاةُ بين الشاعِرَيْنِ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يَتهاجَيانِ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هَاجَيْتُه هَجَوْتُه و هَجَانِي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يَتَهَاجَوْنَ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يَهْجُو بعضُهم بعضاً، و بينهم أُهْجُوَّةٌ و أُهْجِيّةٌ و مُهَاجَاةٌ يتَهاجَوْن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تَهْجُو زَوْجَها أَي تَذُمُّ صُحبته؛ 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تَهْجُو صُحبة زوجها أَي تَذُمُّه و تَشْكُو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الهِجَاء تَقْطِيعُ اللفظة بحُروفِها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هَجَوْتُ الحروف و تَهَجَّيْتُها هَجْواً و هِجاء و هَجَّيْتها تَهْجِيةً و تَهَجَّيتُ كله بمعنى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فِيهِ بِالشِّعْرِ وَ سَبَّهُ و عَابَهُ و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تَعَلَّمْتُهُ وَ يَتَعَدَّى إِلَى ثَانٍ بِالتَّضْعِيفِ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الصَّبىَّ الْقُرْآنَ وَ قِيلَ لِأَعْرَابِىِّ أَ تَقْرَأُ الْقُرْآنَ فَقَالَ وَ اللّهِ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حَرْفاً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هم گفته‌اند</w:t>
      </w:r>
    </w:p>
    <w:p>
      <w:pPr>
        <w:pStyle w:val="BookText"/>
        <w:rPr/>
      </w:pPr>
      <w:r>
        <w:rPr>
          <w:rFonts w:ascii="Amiri" w:hAnsi="Amiri" w:eastAsia="Amiri" w:cs="Amiri"/>
          <w:color w:val="111111"/>
          <w:sz w:val="28"/>
          <w:sz w:val="28"/>
          <w:szCs w:val="28"/>
          <w:rtl w:val="true"/>
          <w:lang w:bidi="ar-SA"/>
        </w:rPr>
        <w:t>اختصاص به شعر ندارد و شامل نثر هم مي‌شود</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في حرمة هجاء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 و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للنصوص من الكتاب و السنّة لما فيه من إيذائهم و تأنيبهم و إذاعة أسرارهم و لأنّه غيبة في بعض أفراده سواء كان شعراً أو غيره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الشهادات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يتوهّم من عبارات بعضهم حيث يفسّرون الهجاء بذكر المعائب بالأشعار اختصاص التحريم بالشعر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جعفر على قواعد العلامة ابن المطهر،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هجاء المؤمنين و هو ذمّهم بالشعر أو مطلقاً على اختلاف الرأيين و يقيّد حينئذٍ للمقابلة و يزيد على الغيبة باقتضائه الدوام فيكون كذمّ جعل مثلًا أو رقم في طومار يعرض على الأعقاب و لذلك عمّ حكم المؤمنين عدولهم و فسّاقهم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هجاءِ در اشعار، در گذشته خيلي مورد ابتلاء بوده ولي الان بحمد الله فروكش كرده؛ چون اصل شعر هم در آن حدّي كه در گذشته معمول بوده مورد استفاده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تقريباً مهم‌ترين رسانه و وسيله‌ي تبليغي شعر بوده و هميشه شاهان، خلفاء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شعرايي را به نفع خود استخدام مي‌كردند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اثر نافذي در جامعه دارد و اگر در طريق صحيح استفاده</w:t>
      </w:r>
    </w:p>
    <w:p>
      <w:pPr>
        <w:pStyle w:val="BookText"/>
        <w:rPr/>
      </w:pPr>
      <w:r>
        <w:rPr>
          <w:rFonts w:ascii="IRNazanin" w:hAnsi="IRNazanin" w:eastAsia="IRNazanin"/>
          <w:color w:val="111111"/>
          <w:sz w:val="28"/>
          <w:sz w:val="28"/>
          <w:szCs w:val="28"/>
          <w:rtl w:val="true"/>
          <w:lang w:bidi="fa-IR"/>
        </w:rPr>
        <w:t>شود و در مورد هجاء هم اگر به حق هجاء شود، مطلوب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نيز شعر در راه اهداف اسلام مورد استفاده قرار مي‌گرفت و بعضي مثل حسّان بن ثابت، سِمَت شاعري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كه اشعار مؤثري را در نبرد با كفار در پاسخ به تبليغات و تحريكات آنان مي‌سرود و مورد تأييد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حسّان بن ثابت ظاهراً اوّلين كسي است كه درباره‌ي واقعه‌ي غدير خم شعر سرود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بعد از خطبه‌ي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معرفي حضرت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جانشين و نزول آيه‌ي شريفه‌ي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&gt;</w:t>
      </w:r>
      <w:r>
        <w:rPr>
          <w:rStyle w:val="FootnoteAnchor"/>
          <w:rtl w:val="true"/>
        </w:rPr>
        <w:footnoteReference w:id="405"/>
      </w:r>
      <w:r>
        <w:rPr>
          <w:rFonts w:ascii="Amiri" w:hAnsi="Amiri" w:eastAsia="Amiri" w:cs="Amiri"/>
          <w:color w:val="111111"/>
          <w:sz w:val="28"/>
          <w:sz w:val="28"/>
          <w:szCs w:val="28"/>
          <w:rtl w:val="true"/>
          <w:lang w:bidi="ar-SA"/>
        </w:rPr>
        <w:t>و بعد از تهنيت مردم و عمر</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اثر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 و انصر من نصره و اخذل من خذله ثم نزل فامر الكافة بالتسليم عليه ما مرة المؤمنين تهيئة له بالمقام فكان اول من هناه بذلك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بابن ابي طالب اصبحت مولاى و مولى كل مؤمن و مؤمنه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مسند احمد حنبل،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عَفَّانُ حَدَّثَنَا حَمَّادُ بْنُ سَلَمَةَ أَخْبَرَنَا عَلِيُّ بْنُ زَيْدٍ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فَنَزَلْنَا بِغَدِيرِ خُمٍّ فَنُودِيَ فِينَا الصَّلَاةُ جَامِعَةٌ وَ كُسِحَ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شَجَرَتَيْنِ فَصَلَّى الظُّهْرَ وَ أَخَذَ بِيَدِ عَلِيٍّ رَضِيَ اللَّهُ تَعَالَى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ابْنَ أَبِي طَالِبٍ أَصْبَحْتَ وَ أَمْسَيْتَ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مختلفي به اين مضمون در ساير مصادر اهل سنت آمده است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نزلت هذه الآية أخذ بيده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طالب أصبحت مولاي و مولى كل مؤمن و مؤمنة، و هو قول ابن عباس و البراء بن عازب و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 مَوْلَى كُلِّ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الدين محمد بن عمر التميمي الرازي الشافعي، التفسير الكبير،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العلل المتناهية في الأحاديث الواهية،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مفاتيح الغيب،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ابن عساكر، تاريخ دمشق، ج</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الذهبى، التفسير و المفسرون،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صدر الدين، أبو طاهر السِّلَفي الأصبهاني، أحاديث و حكايات،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أبو الفداء إسماعيل بن عمر بن كثير القرشي، البداية و النهاية،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أبي القاسم علي بن الحسن إبن هبة الله بن عبد الله الشافعي، تاريخ مدينة دمشق، ج</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ملاحويش آل غازى عبدالقادر، بيان المعاني،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تفسير النيسابوري،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شمس الدين محمد بن أحمد بن عثمان الذهبي، أحاديث مختارة من موضوعات الجورقاني،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يحيى بن الحسين بن إسماعيل بن زيد الحسني الشجري، ترتيب الأمالي الخميسية،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البته برخي از بزرگان اهل سنت، ابوبكر را نيز نقل كرده‌اند كه مانند جملات عمر را به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الهيتمي، أبي العباس أحمد بن محمد، الصواعق المحرقة،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سمعاه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يا ابن أبي طالب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الدارقطني و أخرج أيضا أنه قيل لعمر إنك تصنع بعلي شيئا لا تصنعه بأحد من أصحاب النبي فقال إنه مولاي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ائْذَنْ لِي أَنْ أَقُولَ فِي هَذَا الْمَقَامِ مَا يَرْضَاهُ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حَسَّانُ عَلَى اسْمِ اللَّهِ فَوَقَفَ عَلَى نَشَزٍ مِنَ الْأَرْضِ وَ تَطَاوَلَ الْمُسْلِمُونَ لِسَمَاعِ كَلَامِهِ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الْغَدِيـرِ نَبِيُّهُـمْ</w:t>
      </w:r>
    </w:p>
    <w:p>
      <w:pPr>
        <w:pStyle w:val="BookText"/>
        <w:rPr/>
      </w:pPr>
      <w:r>
        <w:rPr>
          <w:rFonts w:ascii="Amiri" w:hAnsi="Amiri" w:eastAsia="Amiri" w:cs="Amiri"/>
          <w:color w:val="111111"/>
          <w:sz w:val="28"/>
          <w:sz w:val="28"/>
          <w:szCs w:val="28"/>
          <w:rtl w:val="true"/>
          <w:lang w:bidi="ar-SA"/>
        </w:rPr>
        <w:t>بِخُـمٍّ وَ أَسْمِعْ بِالـرَّسُـولِ مُنَادِيـاً</w:t>
      </w:r>
    </w:p>
    <w:p>
      <w:pPr>
        <w:pStyle w:val="BookText"/>
        <w:rPr/>
      </w:pPr>
      <w:r>
        <w:rPr>
          <w:rFonts w:ascii="Amiri" w:hAnsi="Amiri" w:eastAsia="Amiri" w:cs="Amiri"/>
          <w:color w:val="111111"/>
          <w:sz w:val="28"/>
          <w:sz w:val="28"/>
          <w:szCs w:val="28"/>
          <w:rtl w:val="true"/>
          <w:lang w:bidi="ar-SA"/>
        </w:rPr>
        <w:t>وَ قَالَ فَمَنْ مَوْلَاكُمْ وَ وَلِيُّكُمْ</w:t>
      </w:r>
    </w:p>
    <w:p>
      <w:pPr>
        <w:pStyle w:val="BookText"/>
        <w:rPr/>
      </w:pPr>
      <w:r>
        <w:rPr>
          <w:rFonts w:ascii="Amiri" w:hAnsi="Amiri" w:eastAsia="Amiri" w:cs="Amiri"/>
          <w:color w:val="111111"/>
          <w:sz w:val="28"/>
          <w:sz w:val="28"/>
          <w:szCs w:val="28"/>
          <w:rtl w:val="true"/>
          <w:lang w:bidi="ar-SA"/>
        </w:rPr>
        <w:t>فَقَالُوا وَ لَـمْ يَبْدُوا هُنَاكَ التَّعَادِيَـا</w:t>
      </w:r>
    </w:p>
    <w:p>
      <w:pPr>
        <w:pStyle w:val="BookText"/>
        <w:rPr/>
      </w:pPr>
      <w:r>
        <w:rPr>
          <w:rFonts w:ascii="Amiri" w:hAnsi="Amiri" w:eastAsia="Amiri" w:cs="Amiri"/>
          <w:color w:val="111111"/>
          <w:sz w:val="28"/>
          <w:sz w:val="28"/>
          <w:szCs w:val="28"/>
          <w:rtl w:val="true"/>
          <w:lang w:bidi="ar-SA"/>
        </w:rPr>
        <w:t>إِلَهُكَ مَوْلَانَـا وَ أَنْتَ وَلِيُّنـَا</w:t>
      </w:r>
    </w:p>
    <w:p>
      <w:pPr>
        <w:pStyle w:val="BookText"/>
        <w:rPr/>
      </w:pPr>
      <w:r>
        <w:rPr>
          <w:rFonts w:ascii="Amiri" w:hAnsi="Amiri" w:eastAsia="Amiri" w:cs="Amiri"/>
          <w:color w:val="111111"/>
          <w:sz w:val="28"/>
          <w:sz w:val="28"/>
          <w:szCs w:val="28"/>
          <w:rtl w:val="true"/>
          <w:lang w:bidi="ar-SA"/>
        </w:rPr>
        <w:t>وَ لَنْ تَجِدَنَّ مِنَّا لَكَ الْيَوْمَ عَاصِياً</w:t>
      </w:r>
    </w:p>
    <w:p>
      <w:pPr>
        <w:pStyle w:val="BookText"/>
        <w:rPr/>
      </w:pPr>
      <w:r>
        <w:rPr>
          <w:rFonts w:ascii="Amiri" w:hAnsi="Amiri" w:eastAsia="Amiri" w:cs="Amiri"/>
          <w:color w:val="111111"/>
          <w:sz w:val="28"/>
          <w:sz w:val="28"/>
          <w:szCs w:val="28"/>
          <w:rtl w:val="true"/>
          <w:lang w:bidi="ar-SA"/>
        </w:rPr>
        <w:t>فَقَـالَ لَهُ قُـمْ يَا عَلِيُّ فَإِنَّنِـي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وَلِيُّـهُ</w:t>
      </w:r>
    </w:p>
    <w:p>
      <w:pPr>
        <w:pStyle w:val="BookText"/>
        <w:rPr/>
      </w:pPr>
      <w:r>
        <w:rPr>
          <w:rFonts w:ascii="Amiri" w:hAnsi="Amiri" w:eastAsia="Amiri" w:cs="Amiri"/>
          <w:color w:val="111111"/>
          <w:sz w:val="28"/>
          <w:sz w:val="28"/>
          <w:szCs w:val="28"/>
          <w:rtl w:val="true"/>
          <w:lang w:bidi="ar-SA"/>
        </w:rPr>
        <w:t>فَكُونُوا لَـهُ أَنْصَـارَ صِدْقٍ مُوَالِيـاً</w:t>
      </w:r>
    </w:p>
    <w:p>
      <w:pPr>
        <w:pStyle w:val="BookText"/>
        <w:rPr/>
      </w:pPr>
      <w:r>
        <w:rPr>
          <w:rFonts w:ascii="Amiri" w:hAnsi="Amiri" w:eastAsia="Amiri" w:cs="Amiri"/>
          <w:color w:val="111111"/>
          <w:sz w:val="28"/>
          <w:sz w:val="28"/>
          <w:szCs w:val="28"/>
          <w:rtl w:val="true"/>
          <w:lang w:bidi="ar-SA"/>
        </w:rPr>
        <w:t>هُنَاكَ دَعَـا اللَّهُمَّ وَالِ وَلِيَّـهُ</w:t>
      </w:r>
    </w:p>
    <w:p>
      <w:pPr>
        <w:pStyle w:val="BookText"/>
        <w:rPr/>
      </w:pPr>
      <w:r>
        <w:rPr>
          <w:rFonts w:ascii="Amiri" w:hAnsi="Amiri" w:eastAsia="Amiri" w:cs="Amiri"/>
          <w:color w:val="111111"/>
          <w:sz w:val="28"/>
          <w:sz w:val="28"/>
          <w:szCs w:val="28"/>
          <w:rtl w:val="true"/>
          <w:lang w:bidi="ar-SA"/>
        </w:rPr>
        <w:t>وَ كُنْ لِلَّـذِي عَـادَى عَلِيّاً مُعَادِيـاً</w:t>
      </w:r>
    </w:p>
    <w:p>
      <w:pPr>
        <w:pStyle w:val="BookText"/>
        <w:rPr/>
      </w:pPr>
      <w:r>
        <w:rPr>
          <w:rFonts w:ascii="IRNazanin" w:hAnsi="IRNazanin" w:eastAsia="IRNazanin"/>
          <w:color w:val="111111"/>
          <w:sz w:val="28"/>
          <w:sz w:val="28"/>
          <w:szCs w:val="28"/>
          <w:rtl w:val="true"/>
          <w:lang w:bidi="fa-IR"/>
        </w:rPr>
        <w:t>حضرت هم به او فرموند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اين روايت در كتب مختلف اهل سنت هم آمده است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أكره أن ينتصروا ممن ظلمهم و أنت يا حسان لم تزل مؤيدا بروح القدس ما نافحت و فى لفظ ما كافحت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السيوطي، جلال الدين، جامع الأحاديث، ج</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علي بن حسام الدين المتقي، كنز العمال في سنن الأقوال والأفعال،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ابن الأعرابي، أبو سعيد، المعجم،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أبو القاسم، إسماعيل بن محمد بن الفضل، الحجة في بيان المحجة وشرح عقيدة أهل السنة،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موسوعة أطراف الحديث،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169360</w:t>
      </w:r>
      <w:r>
        <w:rPr>
          <w:rFonts w:ascii="Amiri" w:hAnsi="Amiri" w:eastAsia="Amiri" w:cs="Amiri"/>
          <w:color w:val="111111"/>
          <w:sz w:val="28"/>
          <w:sz w:val="28"/>
          <w:szCs w:val="28"/>
          <w:rtl w:val="true"/>
          <w:lang w:bidi="ar-SA"/>
        </w:rPr>
        <w:t>؛ ابن النديم، الفهرست،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ابن جوزي، غريب الحديث،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تاريخ دمشق،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 حسّان مادامي كه ما را با زبانت ياري مي‌كني، پيوسته مؤيد به روح القدس خواهي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مي‌تواند اشاره به اين باشد كه حسّان بن ثابت در</w:t>
      </w:r>
    </w:p>
    <w:p>
      <w:pPr>
        <w:pStyle w:val="BookText"/>
        <w:rPr/>
      </w:pPr>
      <w:r>
        <w:rPr>
          <w:rFonts w:ascii="IRNazanin" w:hAnsi="IRNazanin" w:eastAsia="IRNazanin"/>
          <w:color w:val="111111"/>
          <w:sz w:val="28"/>
          <w:sz w:val="28"/>
          <w:szCs w:val="28"/>
          <w:rtl w:val="true"/>
          <w:lang w:bidi="fa-IR"/>
        </w:rPr>
        <w:t>راه حق ثابت قدم نخواهد بود و متأسفانه چنين شد و همين حسّان كه آن شعر بلند را در روز غدير درباره‌ي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و براي محبّين حضرت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بر دشمنانش از زبان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دَعَـا اللَّهُمَّ وَالِ وَلِيَّـهُ</w:t>
      </w:r>
    </w:p>
    <w:p>
      <w:pPr>
        <w:pStyle w:val="BookText"/>
        <w:rPr/>
      </w:pPr>
      <w:r>
        <w:rPr>
          <w:rFonts w:ascii="Amiri" w:hAnsi="Amiri" w:eastAsia="Amiri" w:cs="Amiri"/>
          <w:color w:val="111111"/>
          <w:sz w:val="28"/>
          <w:sz w:val="28"/>
          <w:szCs w:val="28"/>
          <w:rtl w:val="true"/>
          <w:lang w:bidi="ar-SA"/>
        </w:rPr>
        <w:t>وَ كُنْ لِلَّـذِي عَـادَى عَلِيّاً مُعَادِيـاً</w:t>
      </w:r>
    </w:p>
    <w:p>
      <w:pPr>
        <w:pStyle w:val="BookText"/>
        <w:rPr/>
      </w:pPr>
      <w:r>
        <w:rPr>
          <w:rFonts w:ascii="IRNazanin" w:hAnsi="IRNazanin" w:eastAsia="IRNazanin"/>
          <w:color w:val="111111"/>
          <w:sz w:val="28"/>
          <w:sz w:val="28"/>
          <w:szCs w:val="28"/>
          <w:rtl w:val="true"/>
          <w:lang w:bidi="fa-IR"/>
        </w:rPr>
        <w:t>به يك‌باره از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 شد و به شدت عثماني و متمايل به معاويه شد</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كان حسان عثمانياً منحرفاً عن غيره، و كان عثمان إليه محسناً، و هو المتوعد للأنصار في قوله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شعري و ليت الطير تخبرني ما كان شأن علي وابـن عفانـا</w:t>
      </w:r>
    </w:p>
    <w:p>
      <w:pPr>
        <w:pStyle w:val="BookText"/>
        <w:rPr/>
      </w:pPr>
      <w:r>
        <w:rPr>
          <w:rFonts w:ascii="Amiri" w:hAnsi="Amiri" w:eastAsia="Amiri" w:cs="Amiri"/>
          <w:color w:val="111111"/>
          <w:sz w:val="28"/>
          <w:sz w:val="28"/>
          <w:szCs w:val="28"/>
          <w:rtl w:val="true"/>
          <w:lang w:bidi="ar-SA"/>
        </w:rPr>
        <w:t>لَتَسْمَعُـنّ و شيكـا فـي ديـارهـمُ اللّه أكبر، يـا ثـارات عثمانـا</w:t>
      </w:r>
    </w:p>
    <w:p>
      <w:pPr>
        <w:pStyle w:val="BookText"/>
        <w:rPr/>
      </w:pPr>
      <w:r>
        <w:rPr>
          <w:rFonts w:ascii="IRNazanin" w:hAnsi="IRNazanin" w:eastAsia="IRNazanin"/>
          <w:color w:val="111111"/>
          <w:sz w:val="28"/>
          <w:sz w:val="28"/>
          <w:szCs w:val="28"/>
          <w:rtl w:val="true"/>
          <w:lang w:bidi="fa-IR"/>
        </w:rPr>
        <w:t>ولي تعدادي از ابيات حسان در رثاء و مدح شاميان و بني اميه در كتب آمده است كه بيتي را كه نام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صريحاً ذكر كرده، صاحب اسد الغابة ظاهراً نتوانسته تحمل 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زادوا فيها تحريضًا لأهل الشام عَلَى قتال عليّ، ليقوي ظنهم أَنَّهُ هُوَ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زياده‌هاي شاميان بر آن است براي تحريض اهل شام بر قتال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هر حال اين شعر و نظائر آن را كتب معتبر بسياري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الغابة،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 شعري و ليتَ الطيرَ تخبرني مـا كـانَ شأنُ عليٍّ وَ ابنِ عفّـانـا</w:t>
      </w:r>
    </w:p>
    <w:p>
      <w:pPr>
        <w:pStyle w:val="BookText"/>
        <w:rPr/>
      </w:pPr>
      <w:r>
        <w:rPr>
          <w:rFonts w:ascii="Amiri" w:hAnsi="Amiri" w:eastAsia="Amiri" w:cs="Amiri"/>
          <w:color w:val="111111"/>
          <w:sz w:val="28"/>
          <w:sz w:val="28"/>
          <w:szCs w:val="28"/>
          <w:rtl w:val="true"/>
          <w:lang w:bidi="ar-SA"/>
        </w:rPr>
        <w:t>ضحّوا بأشمـطَ عنوانُ السجود بِـهِ يُقَطّـع الليـل تسبيـحـاً و قـرآنـا</w:t>
      </w:r>
    </w:p>
    <w:p>
      <w:pPr>
        <w:pStyle w:val="BookText"/>
        <w:rPr/>
      </w:pPr>
      <w:r>
        <w:rPr>
          <w:rFonts w:ascii="Amiri" w:hAnsi="Amiri" w:eastAsia="Amiri" w:cs="Amiri"/>
          <w:color w:val="111111"/>
          <w:sz w:val="28"/>
          <w:sz w:val="28"/>
          <w:szCs w:val="28"/>
          <w:rtl w:val="true"/>
          <w:lang w:bidi="ar-SA"/>
        </w:rPr>
        <w:t>لتسمعـنّ و شيكـاً فـي ديـارهـمِ اللَّـهُ أكـْبَـرُ، يـا ثَـارَاتِ عُثْمـانَـا</w:t>
      </w:r>
    </w:p>
    <w:p>
      <w:pPr>
        <w:pStyle w:val="BookText"/>
        <w:rPr/>
      </w:pPr>
      <w:r>
        <w:rPr>
          <w:rFonts w:ascii="Amiri" w:hAnsi="Amiri" w:eastAsia="Amiri" w:cs="Amiri"/>
          <w:color w:val="111111"/>
          <w:sz w:val="28"/>
          <w:sz w:val="28"/>
          <w:szCs w:val="28"/>
          <w:rtl w:val="true"/>
          <w:lang w:bidi="ar-SA"/>
        </w:rPr>
        <w:t>و قَـدْ رَضِيـتُ بأهلِ الشّأمِ زَافِـرَة ً و بِـالأميرِ، و بـالإخـوانِ إخوَانَـا</w:t>
      </w:r>
    </w:p>
    <w:p>
      <w:pPr>
        <w:pStyle w:val="BookText"/>
        <w:rPr/>
      </w:pPr>
      <w:r>
        <w:rPr>
          <w:rFonts w:ascii="Amiri" w:hAnsi="Amiri" w:eastAsia="Amiri" w:cs="Amiri"/>
          <w:color w:val="111111"/>
          <w:sz w:val="28"/>
          <w:sz w:val="28"/>
          <w:szCs w:val="28"/>
          <w:rtl w:val="true"/>
          <w:lang w:bidi="ar-SA"/>
        </w:rPr>
        <w:t>إنّي لمنهُمْ، و إن غابوُا، و إن شهِدوا ما دمت حيّا و ما سميتُ حسانـا</w:t>
      </w:r>
    </w:p>
    <w:p>
      <w:pPr>
        <w:pStyle w:val="BookText"/>
        <w:rPr/>
      </w:pPr>
      <w:r>
        <w:rPr>
          <w:rFonts w:ascii="Amiri" w:hAnsi="Amiri" w:eastAsia="Amiri" w:cs="Amiri"/>
          <w:color w:val="111111"/>
          <w:sz w:val="28"/>
          <w:sz w:val="28"/>
          <w:szCs w:val="28"/>
          <w:rtl w:val="true"/>
          <w:lang w:bidi="ar-SA"/>
        </w:rPr>
        <w:t>صبـرا فدى لكم أمّي و مـا ولـدت قد ينفع الصبر في المكروه أحيانا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حتّي زماني كه در مدينه بود، از همان</w:t>
      </w:r>
    </w:p>
    <w:p>
      <w:pPr>
        <w:pStyle w:val="BookText"/>
        <w:rPr/>
      </w:pPr>
      <w:r>
        <w:rPr>
          <w:rFonts w:ascii="Amiri" w:hAnsi="Amiri" w:eastAsia="Amiri" w:cs="Amiri"/>
          <w:color w:val="111111"/>
          <w:sz w:val="28"/>
          <w:sz w:val="28"/>
          <w:szCs w:val="28"/>
          <w:rtl w:val="true"/>
          <w:lang w:bidi="ar-SA"/>
        </w:rPr>
        <w:t>جا شاميان را عليه مردم مدينه تحريك مي‌كرد و اهل مدينه را از شمشير معاويه مي‌ترساند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 تا آن‌جا پيش رفت كه وقتي حضرت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بن عباده را از حكومت مصر بركنار و محمد بن ابي بكر را حاكم كرد، نزد قيس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 عثمان را كشتيد ولي علي تو را عزل كرد و ارزشي براي كار تو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با اين شماتت مي‌خواست قيس را عليه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كند ولي قيس با ايمان محكم در مقابل او ايستاد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أعمى القلب و البصر و اللَّه، لو لا أن القِيَ بين رهطي و رهطك حرباً لضربت عنقك اخرج عنّي</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قَدْ بَعَثْتُ إِلَيْكُمْ قَيْسَ بْنَ سَعْدٍ الْأَنْصَارِيَ أَمِيراً فَوَازِرُوهُ وَ أَعِينُوهُ عَلَى الْحَقِّ وَ قَدْ أَمَرْتُهُ بِالْإِحْسَانِ إِلَى مُحْسِنِكُمْ وَ الشِّدَّةِ عَلَى مُرِيبِكُمْ وَ الرِّفْقِ بِعَوَامِّكُمْ وَ خَوَاصِّكُمْ وَ هُوَ مِمَّنْ أَرْضَى هَدْيَهُ وَ أَرْجُو صَلَاحَهُ وَ نَصِيحَتَهُ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چند بار به او نامه نوشت و از قيس خواست كه بيعت كند، امّا قيس با او بيعت نكرد و در پاسخ معاويه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قيس بن سعد إلى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فالعجب من استسقاطك رأيي و الطمع في أن تسومني لا أبا لغيرك الخروج من طاعة أولى الناس بالأمر و أقولهم بالحق و أهداهم سبيلا و أقربهم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و تأمرني بالدخول في طاعتك و طاعة أبعد الناس من هذا الأمر و أقولهم بالزور و أضلهم سبيلا و أدناهم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و لديك قوم ضالون مضلون طواغيت من طواغيت إبليس و أما قولك إنك تملأ علي مصر خيلا و رجلا فلئن لم أشغلك عن ذلك حتى يكون منك إنك لذو جد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علت عزل قيس بن سعد بن عباده از خلافت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قيس بن سعد به مصر رسيد، اكثر قبائل با او بيعت كردند، مگر بعض قبائل كه طرفدار معاويه بودند و قتل عثمان براي آن‌ها سنگين بود، قيس به آن‌ها نامه‌اي نوشت كه بيعت كنند، امّا آن‌ها در پاسخ خواستند كه كاري با آن‌ها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شام شايعه شد كه قيس با معاويه بيعت كرده و اين خبر به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اين حال نامه‌اي هم از قيس به حضرت رسيد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من عده‌اي هستند كه بيعت نمي‌كنند و خواسته اند آن‌ها به خودشان واگذارم و من صلاح را در همين 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براي اين‌كه جلوي فتنه‌ي اين قوم را بگيرد، در پاسخ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وادار به بيعت كن و اگر قبول نكردند با آن‌ها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در جواب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به جنگ با قومي مي‌كني كه دست به فتنه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اين است كه با آن‌ها كاري نداشته باشي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نامه‌ي قيس رسيد، حضرت قيس را از حكومت مصر عزل كردند و محمد بن ابي بكر را به ولايت مصر منصوب كردند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على مصر و عزل عنها قيسا ولاية محمد بن أبي بكر مصر قال هشام عن ابن مخنف فحدثني الحارث بن كعب الوالبي من والبة الازد عن أبيه أن عليا كتب معه إلى أهل مصر كتابا فلما قدم به على قيس 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ما غيره أدخل أحد بيني و بينه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هذا السلطان سلطانك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أقيم معك ساعة واحدة و غضب حين عزله فخرج منها مقبلا إلى المدينة فقدمها فجاء حسان بن ثابت شامتا به و كان حسانا عثمانيا فقال له نزعك علي بن أبي طالب و قد قتلت عثمان فبقى عليك الاثم و لم يحسن لك الشكر فقال له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أعمى القلب و البصر و الله لولا أن ألقى بين رهطي و رهطك حربا لضربت عنقك اخرج عني ثم إن قيسا خرج هو و سهل بن حنيف حتى قدما على علي فخبره قيس فصدقه علي ثم إن قيسا و سهلا شهدا مع علي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كتب مختلفي به اين مضمون اشاره شده،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الغارات،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أنساب الأشراف،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bookmarkStart w:id="698" w:name="pg2375_19905"/>
    </w:p>
    <w:p>
      <w:pPr>
        <w:pStyle w:val="BookText"/>
        <w:rPr/>
      </w:pPr>
      <w:bookmarkEnd w:id="698"/>
      <w:r>
        <w:rPr>
          <w:rFonts w:ascii="IRNazanin" w:hAnsi="IRNazanin" w:eastAsia="IRNazanin"/>
          <w:color w:val="111111"/>
          <w:sz w:val="28"/>
          <w:sz w:val="28"/>
          <w:szCs w:val="28"/>
          <w:rtl w:val="true"/>
          <w:lang w:bidi="fa-IR"/>
        </w:rPr>
        <w:t>اي كوردل و كور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ترس اين نبود كه جنگ بين قوم من و قوم تو درگيرد، گردنت را مي‌زدم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من برو</w:t>
      </w:r>
      <w:r>
        <w:rPr>
          <w:rFonts w:eastAsia="IRNazanin" w:cs="IRNazanin"/>
          <w:color w:val="111111"/>
          <w:sz w:val="28"/>
          <w:szCs w:val="28"/>
          <w:rtl w:val="true"/>
          <w:lang w:bidi="fa-IR"/>
        </w:rPr>
        <w:t>!</w:t>
      </w:r>
    </w:p>
    <w:p>
      <w:pPr>
        <w:pStyle w:val="Heading4"/>
        <w:numPr>
          <w:ilvl w:val="3"/>
          <w:numId w:val="1"/>
        </w:numPr>
        <w:rPr/>
      </w:pPr>
      <w:bookmarkStart w:id="699" w:name="__RefHeading___Toc2903393_3804643083"/>
      <w:bookmarkStart w:id="700" w:name="_Toc267"/>
      <w:bookmarkEnd w:id="699"/>
      <w:r>
        <w:rPr>
          <w:rtl w:val="true"/>
        </w:rPr>
        <w:t>ادلّه‌ي حرمت هجاء مؤمن</w:t>
      </w:r>
      <w:bookmarkEnd w:id="700"/>
    </w:p>
    <w:p>
      <w:pPr>
        <w:pStyle w:val="BookText"/>
        <w:rPr/>
      </w:pPr>
      <w:r>
        <w:rPr>
          <w:rFonts w:ascii="Amiri" w:hAnsi="Amiri" w:eastAsia="Amiri" w:cs="Amiri"/>
          <w:color w:val="111111"/>
          <w:sz w:val="28"/>
          <w:sz w:val="28"/>
          <w:szCs w:val="28"/>
          <w:rtl w:val="true"/>
          <w:lang w:bidi="ar-SA"/>
        </w:rPr>
        <w:t>مرحوم شيخ مي‌فرمايد ادلّه‌ي اربعة دلالت بر حرمت هجاء مؤمن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هجاء المؤمن حرام بالأدلّة الأربعة؛ لأنّه هَمْزٌ وَ لَمْزٌ و أكلُ اللحم و تعييرٌ و إذاعةُ سرٍّ و كلّ ذلك كبيرة موبِقة</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المسألة 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هجاء المؤمن حرام بالأدلّة الأربعة؛ لأنّه هَمْزٌ وَ لَمْزٌ و أكلُ اللحم و تعييرٌ و إذاعةُ سرٍّ، و كلّ ذلك كبيرة موبِقة، فيدلّ عليه فحوى جميع ما تقدم في الغيبة، بل البهتان أيضاً؛ بناء على تفسير الهجاء بخلاف المدح كما عن الصحاح، فيعمّ ما فيه من المعايب و ما ليس فيه، كما عن القاموس و النهاية و المصباح، لكن مع تخصيصه فيها بالشعر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تخصيصه بذكر ما فيه بالشعر كما هو ظاهر جامع المقاصد فلا يخلو عن تأمّل، و لا فرق في المؤمن بين الفاسق و غيره</w:t>
      </w:r>
      <w:r>
        <w:rPr>
          <w:rFonts w:eastAsia="Amiri" w:cs="Amiri" w:ascii="Amiri" w:hAnsi="Amiri"/>
          <w:color w:val="111111"/>
          <w:sz w:val="28"/>
          <w:szCs w:val="28"/>
          <w:rtl w:val="true"/>
          <w:lang w:bidi="ar-SA"/>
        </w:rPr>
        <w:t>.</w:t>
      </w:r>
      <w:bookmarkStart w:id="701" w:name="pg2375_19906"/>
    </w:p>
    <w:p>
      <w:pPr>
        <w:pStyle w:val="BookText"/>
        <w:rPr/>
      </w:pPr>
      <w:bookmarkEnd w:id="701"/>
      <w:r>
        <w:rPr>
          <w:rFonts w:ascii="IRNazanin" w:hAnsi="IRNazanin" w:eastAsia="IRNazanin"/>
          <w:color w:val="111111"/>
          <w:sz w:val="28"/>
          <w:sz w:val="28"/>
          <w:szCs w:val="28"/>
          <w:rtl w:val="true"/>
          <w:lang w:bidi="fa-IR"/>
        </w:rPr>
        <w:t>لفظ هجاء، ظاهراً در روايات ذكر نشده امّا چون حداقل مصداق يكي از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 لمز، اكل لحم، تعيير، إذاعه‌ي سرّ، بهتان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حرام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حيث كبيره بودن هم در مورد بعض گناهان قبلاً به طور مفصل بحث كرده‌ايم و معيار كلّي هم ارائه داديم كه چندان نياز به بحث بيشتر نمي‌باشد</w:t>
      </w:r>
      <w:r>
        <w:rPr>
          <w:rFonts w:eastAsia="IRNazanin" w:cs="IRNazanin"/>
          <w:color w:val="111111"/>
          <w:sz w:val="28"/>
          <w:szCs w:val="28"/>
          <w:rtl w:val="true"/>
          <w:lang w:bidi="fa-IR"/>
        </w:rPr>
        <w:t>.</w:t>
      </w:r>
    </w:p>
    <w:p>
      <w:pPr>
        <w:pStyle w:val="Heading4"/>
        <w:numPr>
          <w:ilvl w:val="3"/>
          <w:numId w:val="1"/>
        </w:numPr>
        <w:rPr/>
      </w:pPr>
      <w:bookmarkStart w:id="702" w:name="__RefHeading___Toc2903395_3804643083"/>
      <w:bookmarkStart w:id="703" w:name="_Toc268"/>
      <w:bookmarkEnd w:id="702"/>
      <w:r>
        <w:rPr>
          <w:rtl w:val="true"/>
        </w:rPr>
        <w:t>هجاء مصداق غير قابل تفكيك اهانت</w:t>
      </w:r>
      <w:bookmarkEnd w:id="703"/>
    </w:p>
    <w:p>
      <w:pPr>
        <w:pStyle w:val="BookText"/>
        <w:rPr/>
      </w:pPr>
      <w:r>
        <w:rPr>
          <w:rFonts w:ascii="IRNazanin" w:hAnsi="IRNazanin" w:eastAsia="IRNazanin"/>
          <w:color w:val="111111"/>
          <w:sz w:val="28"/>
          <w:sz w:val="28"/>
          <w:szCs w:val="28"/>
          <w:rtl w:val="true"/>
          <w:lang w:bidi="fa-IR"/>
        </w:rPr>
        <w:t xml:space="preserve">هجاء گرچه ممكن است هميشه تحت عناويني مثل همز، لمز، اكل لحم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مرحوم شيخ ذكر فرمودند قرار نگيرد، ولي چون هميشه تحت عنوان عام اهانت مؤمن قرار مي‌گيرد ـ زيرا هر هجوي توهين به مؤمن است ـ پس اگر حتّي تحت هيچ يك از آن عناوين هم نباشد، حداقل تحت عنوان اهانت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با تعابير تندي از اهانت به مؤمن تحذير كرده كه دلالتشان بر حرمت روشن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ابان بن تغلب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عِدَّةٍ مِنْ أَصْحَابِنَا عَنْ أَحْمَدَ بْنِ مُحَمَّدِ بْنِ خَالِدٍ عَنْ إِسْمَاعِيلَ بْنِ مِهْرَانَ عَنْ أَبِي سَعِيدٍ الْقَمَّاطِ عَنْ أَبَانِ بْنِ تَغْلِبَ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حَالُ الْمُؤْمِنِ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أَهَانَ لِي وَلِيّاً فَقَدْ بَارَزَنِي بِالْمُحَارَبَةِ وَ أَنَا</w:t>
      </w:r>
    </w:p>
    <w:p>
      <w:pPr>
        <w:pStyle w:val="BookText"/>
        <w:rPr/>
      </w:pPr>
      <w:r>
        <w:rPr>
          <w:rFonts w:ascii="Amiri" w:hAnsi="Amiri" w:eastAsia="Amiri" w:cs="Amiri"/>
          <w:color w:val="111111"/>
          <w:sz w:val="28"/>
          <w:sz w:val="28"/>
          <w:szCs w:val="28"/>
          <w:rtl w:val="true"/>
          <w:lang w:bidi="ar-SA"/>
        </w:rPr>
        <w:t>أَسْرَعُ شَيْ‌ءٍ إِلَى نُصْرَةِ أَوْلِيَائِي وَ مَا تَرَدَّدْتُ فِي شَيْ‌ءٍ أَنَا فَاعِلُهُ كَتَرَدُّدِي فِي وَفَاةِ الْمُؤْمِنِ يَكْرَهُ الْمَوْتَ وَ أَكْرَهُ مَسَاءَتَهُ الْحَدِيثَ</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ابان بن تغلب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إسراء برده شدند به خداوند متعال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مؤمن نزد تو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وليّ مرا اهانت كند، به جنگ با من در آمده است و من به سرعت به ياري اولياءم مي‌شتابم</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تتمة كتاب الحج، أبواب احكام العشرة، باب</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عَلِيِّ بْنِ النُّعْمَانِ عَنِ ابْنِ مُسْكَانَ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يَقُولُ مَنْ أَهَانَ لِي وَلِيّاً فَقَدْ أَرْصَدَ لِمُحَارَبَتِي وَ أَنَا أَسْرَعُ شَيْ‌ءٍ إِلَى نُصْرَةِ أَوْلِيَائِي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الاعمال، 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بْنِ إِدْرِيسَ عَنْ أَحْمَدَ بْنِ مُحَمَّدٍ عَنِ ابْنِ فَضَّالٍ عَنْ حَمَّادِ بْنِ عِيسَى عَنْ إِبْرَاهِيمَ بْنِ عُمَرَ الْيَمَانِيِّ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يَخْذُلُ أَخَاهُ وَ هُوَ يَقْدِرُ عَلَى نُصْرَتِهِ إِلَّا خَذَلَهُ اللَّهُ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الْبَرْقِيُّ فِي الْمَحَاسِنِ عَنِ ابْنِ فَضَّالٍ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باب</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الاعمال، 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الْأَعْمَالِ وَ فِي عِقَابِ الْأَعْمَالِ عَنْ مُحَمَّدِ بْنِ مُوسَى بْنِ الْمُتَوَكِّلِ عَنْ عَبْدِ اللَّهِ بْنِ جَعْفَرٍ الْحِمْيَرِيِّ عَنْ مُحَمَّدِ بْنِ الْحُسَيْنِ بْنِ أَبِي الْخَطَّابِ عَنِ الْحَسَنِ بْنِ مَحْبُوبٍ عَنْ عَلِيِّ بْنِ رِئَابٍ عَنْ أَبِي الْوَرْدِ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اغْتِيبَ عِنْدَهُ أَخُوهُ الْمُؤْمِنُ فَنَصَرَهُ وَ أَعَانَهُ نَصَرَهُ اللَّهُ وَ أَعَانَهُ فِي الدُّنْيَا وَ الْآخِرَةِ وَ مَنْ لَمْ يَنْصُرْهُ وَ لَمْ يُعِنْهُ وَ لَمْ يَدْفَعْ عَنْهُ وَ هُوَ يَقْدِرُ عَلَى نُصْرَتِهِ وَ عَوْنِهِ إِلَّا خَفَضَهُ اللَّهُ فِي الدُّنْيَا وَ الْآخِرَةِ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الْبَرْقِيُّ فِي الْمَحَاسِنِ عَنْ مُحَمَّدِ بْنِ عَلِيٍّ عَنِ ابْنِ مَحْبُوبٍ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كسي بگويد اين مربوط به اهانت به وليّ است، در حالي كه محل كلام در مورد مطلق مؤمن است، امّا ظاهراً وليّ در اين‌جا به مفهومي است كه مساوق با مؤمن مي‌باشد؛ چون دو شاهد وجود دارد بر اين‌كه مراد از وليّ در اين‌جا مطلق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اين‌كه چون سؤال حضرت درباره‌ي مؤمن است و ديگر اين‌كه در روايت ديگري كه به همين مضمون است، وليّ را به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إِبْرَاهِيمَ عَنْ مُحَمَّدِ بْنِ عِيسَى عَنْ يُونُسَ عَنْ مُعَاوِيَةَ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أَسْرَى رَبِّي بِي فَأَوْحَى إِلَيَّ مِنْ وَرَاءِ الْحِجَابِ مَا أَوْحَى وَ شَافَهَنِي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أَذَلَّ لِي وَلِيّاً فَقَدْ أَرْصَدَ لِي بِالْمُحَارَبَةِ وَ مَنْ حَارَبَنِي حَارَبْتُهُ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وَلِيُّكَ هَذَا فَقَدْ عَلِمْتُ أَنَّ مَنْ حَارَبَكَ حَارَبْتَهُ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أَخَذْتُ مِيثَاقَهُ لَكَ وَ لِوَصِيِّكَ وَ لِذُرِّيَّتِكُمَا بِالْوَلَايَةِ</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بررسي سند روايت</w:t>
      </w:r>
    </w:p>
    <w:p>
      <w:pPr>
        <w:pStyle w:val="BookText"/>
        <w:rPr/>
      </w:pPr>
      <w:r>
        <w:rPr>
          <w:rFonts w:ascii="Amiri" w:hAnsi="Amiri" w:eastAsia="Amiri" w:cs="Amiri"/>
          <w:color w:val="111111"/>
          <w:sz w:val="28"/>
          <w:sz w:val="28"/>
          <w:szCs w:val="28"/>
          <w:rtl w:val="true"/>
          <w:lang w:bidi="ar-SA"/>
        </w:rPr>
        <w:t>جناب كليني اين روايت را از علي بن ابراهيم نقل مي‌كند و ايشان از محمد بن عيسي بن عبيد نقل مي‌كند كه ثقه است و شبهه‌اي كه بعضي در مورد او وارد كرده‌اند، درست نيست</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قال أبو عمرو الكشي نصر بن صباح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عيسى بن عبيد بن يقطين أصغر في السن أن يروي عن ابن محبوب،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بن شاذان رحمه الله يحب العبيدي و يثنى عليه، و يمدحه و يميل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 و بحسبك هذا الثناء من الفضل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محمد بن جعفر الرزاز، أنه سكن سوق العطش،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الإمامة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عن الحميري،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بكتبه، و رواياته و عن أحمد بن محمد، عن سعد، عنه، بالمسائل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نجاشي، 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اليقطيني ضعيف استثناه أبو جعفر محمد بن علي بن بابويه عن رجال نوادر الحكمة،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 ما يختص برواياته،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يذهب مذهب الغلاة، له كتاب الوصايا، و له كتاب تفسير القرآن، و له كتاب التجمل و المروة و كتاب الأمل و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ترجمه‌ي يونس بن عبدالرحمن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يونس التي هي بالروايات كلها صحيحة يعتمد عليها إلا ما ينفرد به محمد بن عيسى بن عبيد و لم يروه غيره فإنه لا يعتمد عليه و لا يفتى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فهرست الطوسي، ص</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عبيد اليقطيني، يونسي،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القميين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شيخ طوسي، 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بررسي وثاقت محمد بن عيسي بن عبيد</w:t>
      </w:r>
    </w:p>
    <w:p>
      <w:pPr>
        <w:pStyle w:val="BookText"/>
        <w:rPr/>
      </w:pPr>
      <w:r>
        <w:rPr>
          <w:rFonts w:ascii="Amiri" w:hAnsi="Amiri" w:eastAsia="Amiri" w:cs="Amiri"/>
          <w:color w:val="111111"/>
          <w:sz w:val="28"/>
          <w:sz w:val="28"/>
          <w:szCs w:val="28"/>
          <w:rtl w:val="true"/>
          <w:lang w:bidi="ar-SA"/>
        </w:rPr>
        <w:t>در مورد تضعيف محمد بن عيسي بن عبيد، مي‌توان اين سه وجه را بيان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مورد اعتمادشان محمد بن الحسن بن الوليد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تفرد به محمد بن عيسى من كتب يونس و حديثه لا تعتمد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همان‌طور كه خيلي از اصحاب از اين عبارت استفاده كرده‌اند، ظهور در تضعيف محمد بن عيسي بن عبيد دارد، ولي شايد بتوان گفت اين عبارت دالّ بر عدم وثاقت محمد بن عيسي بن عبيد نيست، بلكه فقط رواياتي كه ايشان متفرداً از يونس نقل كرده قابل اعتماد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خاطر آن‌كه نسخي كه از كتب يونس در دست محمد بن عيسي بن عبيد بوده، مغشوش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اين‌كه اصحاب از اين كلام ابن وليد تعجب كرده و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آن روشن نيست؛ زيرا محمد بن عيسي بن عبيد بر ظاهر وثاقت و عدالت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نجاشي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أصحابنا يذكرون هذا القول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أبي جعفر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بن شاذان در مورد 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اقرانه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ابوالعباس بن نوح در مورد كلام ديگر محمد بن الحسن بن الوليد كه افرادي را از روايات محمد بن احمد بن يحيي صاحب نوادر الحكمة استثناء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محمد بن الحسن بن الوليد يستثني من رواية محمد بن أحمد بن يحيى ما رواه عن محمد بن موسى الهمداني، أو ما رواه عن رجل، أو يقول بعض أصحابنا، أو عن محمد بن يحيى المعاذي، أو عن أبي عبد الله الرازي الجاموراني، أو عن أبي عبد الله السياري، أو عن يوسف بن السخت، أو عن وهب بن منبه، أو عن أبي علي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النيسابوري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عن أبي يحيى الواسطي، أو عن محمد بن علي أبي سمينة، أو يقول في حديث، أو كتاب و لم أروه، أو عن سهل بن زياد الآدمي، أو عن محمد بن عيسى بن عبيد بإسناد منقطع، أو عن أحمد بن هلال، أو محمد بن علي الهمداني، أو عبد الله بن محمد الشامي، أو عبد الله بن أحمد الرازي، أو أحمد بن الحسين بن سعيد، أو أحمد بن بشير الرقي أو عن محمد بن هارون، أو عن ممويه بن معروف، أو عن محمد بن عبد الله بن مهران، أو ما ينفرد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الحسن بن الحسين اللؤلؤي و ما يرويه عن جعفر بن محمد بن مالك، أو يوسف بن الحارث، أو عبد الله بن محمد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أصاب شيخنا أبو جعفر محمد بن الحسن بن الوليد في ذلك كله و تبعه أبو جعفر بن بابويه رحمه الله على ذلك إلا في محمد بن عيسى بن عبيد فلا أدري ما رابه فيه، لأنه كان على ظاهر العدالة و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را تضعيف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وجه دوم را هم مي‌توان پاسخ داد كه مبناي تضعيف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خودشان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عبارت محمد بن الحسن بن الوليد بوده كه در وجه اوّل پاسخ آن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طوسي به قيل نسبت داده كه محمد بن محمد بن عيسي بن عبيد اهل غلو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وجه هم چون به نحو قيل بيان شده و ثابت نيست از چه كسي است، قابل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سه وجهي كه مي‌توان در تضعيف محمد بن عيسي بن عبيد بيان كرد تمام نيست و از آن جايي كه نجاشي ايشان را توثيق كرده و در مورد ايشان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في أصحابنا، ثقة، عين، كثير الرواية، حسن التصانيف و توثيق عده‌ي ديگري ـ كه حتّي از كلام جناب محمد بن الحسن بن وليد تعجب كرده بودند ـ اطمينان به وثاقت محمد بن عيسي بن عبيد حاصل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خويي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اين باره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أن تضعيف الشيخ كما هو صريح كلامه هنا و في فهرسته، مبني على استثناء الصدوق و ابن الوليد إياه، من جملة الرجال الذين روى عنهم صاحب نوادر الحكمة، و الذي ظهر لنا من كلامهما أنهما لم يناقشا في محمد بن عيسى بن عبيد نفسه، فإنما ناقشا في رواياته عن خصوص يونس فيما يرويه عنه بإسناد منقطع، أي إن يونس يرويه مرسلا، أو فيما ينفرد بروايته محمد بن عيسى، عن يونس، و أما في غير ذلك فلم يظهر من ابن الوليد، و لا من الصدوق، ترك العمل بروايات محمد بن عيسى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يكشف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شيخه ابن الوليد في الاستثناء المزبور، فلم يرو في الفقيه و لا رواية واحدة، عن محمد بن عيسى، عن يونس، و قد روى فيه عن محمد بن عيسى، عن غير يونس، في نفس الكتاب في المشيخة في نيف و ثلاثين موضعا غير ما ذكره في طريقه إليه، و هذا أقوى شاهد على أن الاستثناء غير مبتن على تضعيف محمد بن عيسى بن عبيد نفسه، و إنما هو لأمر يختص برواياته عن يونس و هذا الوجه مبني على اجتهاد ابن الوليد و رأيه، و وجهه عندنا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أن ابن الوليد، و الصدوق، لم يضعفا محمد بن عيسى نفسه، و لم يناقشا فيه، و قد روى ابن الوليد نفسه، عن الصفار، عن محمد بن عيسى بن عبيد، عن غير يونس، كما تقدم في ترجمة إسماعيل بن جابر و حريز بن عبد الله و حنان بن سدير و فضل بن عثمان الأعور و القاسم بن سليمان و يأتي في ترجمة نضر بن سويد و ياسين الضرير و في طريق الصدوق إلى محمد بن عيسى بن عبيد، هنا، و لكنه لا يروي ما يرويه محمد بن عيسى، عن يونس، بطريق منقطع، أو ما ينفرد بروايته عنه، إلا أن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غفل عن خصوصية كلام ابن الوليد و تخيل إن ترك ابن الوليد رواية ما يرويه محمد بن عيسى بن عبيد، عن يونس، بإسناد منقطع، أو ما ينفرد بروايته عنه، مبتن على ضعف محمد بن عيسى، فحكم بضعفه تبعا له، و لكن الأمر ليس كما تخيل، و إنما الاستثناء مبني على اجتهاد ابن الوليد و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نسب القول بغلو محمد بن عيسى بن عبيد إلى قائل مجهول، و الظاهر أن هذا القول على خلاف الواقع، لقول ابن نوح أنه كان على ظاهر العدالة و الثقة، و قد عرفت من كلام النجاشي و غيره جلالة الرجل من دون غمز في مذهبه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البته اين را بايد متذكر شويم اين‌كه جناب ابن وليد افرادي را از روايات محمد بن احمد بن يحيي صاحب نوادر الحكمة استثناء مي‌كند، از جمله مارواه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بن عبيد باسناد منقطع و سيد خويي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اين كلام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و ابن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يناقشا في محمد بن عيسي بن عبيد نفسه، فانما ناقشا في رواياته عن خصوص يونس فيما يرويه عنه باسناد منقطع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يونس يرويه مرسلاً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توضيح سيد خويي يكي از احتمالات است و احتمال هم دارد كه بگوييم مراد اين است كه در سند، بعد از يقطيني ارسال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هم معنا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 منقطع أي تفرد به منقطعا عن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از عبارت الفهرست اين احتمال استظهار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 و احمدي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هم از يونس بن عبدالرحمان</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يونس بن عبد الرحمن مولى علي بن يقطين بن موسى مولى بني أسد، أبو محمد، كان وجها في أصحابنا، متقدما، عظيم المنزلة، ولد في أيام هشام بن عبد الملك، و رأى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الصفا و المروة و لم يرو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الحسن موسى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إليه في العلم و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بذل له على الوقف مال جزيل و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أخذه و ثبت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يونس بن عبد الرحمن رحمه الله مدح و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 فيما أخبرني به غير واحد من أصحابنا عن جعفر بن محمد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المهتدي، و كان خير قمي رأيته، و كان وكيل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أقدر على لقائك في كل وقت، فعمن آخذ معالم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منزلة عظيمة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ذكرنا هذا حتى لا نخليه من بعض حقوقه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تصانيف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أبو عبد الله 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بجميع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الطوسي، 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عبد الرحمن مولى علي بن يقطين، ضعفه القميون، و هو 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 بن عبد الرحمن من أصحاب أبي الحسن موسى، مولى علي بن يقطين، طعن عليه القميون و هو عندي ثقة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جليل القدر نقل مي‌كند و</w:t>
      </w:r>
    </w:p>
    <w:p>
      <w:pPr>
        <w:pStyle w:val="BookText"/>
        <w:rPr/>
      </w:pPr>
      <w:r>
        <w:rPr>
          <w:rFonts w:ascii="Amiri" w:hAnsi="Amiri" w:eastAsia="Amiri" w:cs="Amiri"/>
          <w:color w:val="111111"/>
          <w:sz w:val="28"/>
          <w:sz w:val="28"/>
          <w:szCs w:val="28"/>
          <w:rtl w:val="true"/>
          <w:lang w:bidi="ar-SA"/>
        </w:rPr>
        <w:t>ايشان هم از معاويه كه يا معاوية بن وهب است يا معاوية بن عمار كه هر دو ثقه اند</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معاوية بن وهب البجلي أبو الحسن عربي صميمي، ثقة، حسن الطريقة، روى عن أبي عبد الله و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غالب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معاوية بن وهب بكتابه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بن معاوية بن عمار الدهني ثقة، جليل، في أصحاب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شيوخنا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حكيم أربعة و عشرين أصلا لم يرو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عنه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روايت از لحاظ سند تمام است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به إسراء برد و مطالبي را از پشت پرده به من وحي فرمود و مشافهتاً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وليّ مرا ذليل كند، در كمين جنگ با من نشسته است و هر كه با من بجنگد با او جنگ خواهم كرد،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اين وليّ تو كيست؟ دانستم كه هر كه با تو بجنگد با او جنگ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براي تو و وصي تو و فرزندانتان ميثاق ولايت از او گرفته‌ام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شيعه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مراد از وليّ در اين روايت، مطلق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ابي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الْأَعْمَالِ عَنْ مُحَمَّدِ بْنِ مُوسَى بْنِ الْمُتَوَكِّلِ عَنْ عَبْدِ اللَّهِ بْنِ جَعْفَرٍ الْحِمْيَرِيِّ عَنْ مُحَمَّدِ بْنِ الْحُسَيْنِ بْنِ أَبِي الْخَطَّابِ عَنِ الْحَسَنِ بْنِ مَحْبُوبٍ عَنِ الْمُثَنَّى عَنْ أَبِي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مُؤْمِناً فَقِيراً فَإِنَّ مَنْ حَقَّرَ مُؤْمِناً أَوِ اسْتَخَفَّ بِهِ حَقَّرَهُ اللَّهُ وَ لَمْ يَزَلْ مَاقِتاً لَهُ حَتَّى يَرْجِعَ عَنْ مَحْقَرَتِهِ أَوْ يَتُوبَ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أَوِ احْتَقَرَهُ لِقِلَّةِ ذَاتِ يَدِهِ شَهَرَهُ اللَّهُ يَوْمَ الْقِيَامَةِ عَلَى رُءُوسِ الْخَلَائِقِ</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اين روايت از لحاظ سند تمام است و مراد از المثني، المثني بن الوليد</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 محمد بن مسعود، 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المثنى بن الوليد، و المثنى بن عبد السلام، كلهم حناطون كوفيون لا بأس بهم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كه توثيق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فقيري را تحقير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مؤمني را تحقير يا استخفاف كند، خدا او را تحقير مي‌كند و همواره مورد غضب خداست تا اين‌كه از تحقير او دست بردارد يا توبه كند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مؤمني را ذليل كند يا به خاطر قلّت مالش تحقير كند، روز قيامت خداوند او را در پيش خلائق رسوا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ابتداي اين روايت گرچه در مورد تحقير مؤمن فقير است، امّا در تعليل آن قاعده كلي را مي‌فرمايند كه اختصاص به مؤمن فقير ندارد و به روشني دلالت بر حرمت مي‌كند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وسائل‌الشيعة،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تتمة كتاب الحج، أبواب احكام العشره، 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عيون الاخبار،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عُيُونِ الْأَخْبَارِ بِأَسَانِيدَ تَقَدَّمَتْ فِي إِسْبَاغِ الْوُضُوءِ عَنِ الرِّضَا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أَوْ حَقَّرَهُ لِفَقْرِهِ وَ قِلَّةِ ذَاتِ يَدِهِ شَهَرَهُ اللَّهُ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باب</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الْحُسَيْنِ بْنِ عُثْمَانَ عَنْ مُحَمَّدِ بْنِ أَبِي حَمْزَةَ عَمَّنْ ذَكَرَهُ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حَقَّرَ مُؤْمِناً مِسْكِيناً أَوْ غَيْرَ مِسْكِينٍ لَمْ يَزَلِ اللَّهُ عَزَّ وَ جَلَّ حَاقِراً لَهُ مَاقِتاً حَتَّى يَرْجِعَ عَنْ مَحْقَرَتِهِ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حقر مؤمناً اؤ استخف به حقره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رواياتي هم در مورد حرمت تعيير مؤمن وجود دارد</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بْنِ عِيسَى عَنِ ابْنِ مَحْبُوبٍ عَنْ عَبْدِ اللَّهِ بْنِ سِنَانٍ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عَيَّرَ مُؤْمِناً بِذَنْبٍ لَمْ يَمُتْ حَتَّى يَرْكَبَهُ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إِسْمَاعِيلَ بْنِ عَمَّارٍ عَنْ إِسْحَاقَ بْنِ عَمَّارٍ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فَاحِشَةً كَانَ كَمُبْتَدِئِهَا وَ مَنْ عَيَّرَ مُؤْمِناً بِشَيْ‌ءٍ لَمْ يَمُتْ حَتَّى يَرْكَبَهُ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حُسَيْنِ بْنِ عُثْمَانَ عَنْ رَجُلٍ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 مُؤْمِناً أَنَّبَهُ اللَّهُ عَزَّ وَ جَلَّ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بْنِ خَالِدٍ عَنِ ابْنِ فَضَّالٍ عَنْ حُسَيْنِ بْنِ عُمَرَ بْنِ سُلَيْمَانَ عَنْ مُعَاوِيَةَ بْنِ عَمَّارٍ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أَخَاهُ بِمَا يُؤَنِّبُهُ أَنَّبَهُ اللَّهُ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باب</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الاخبار، 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فِي مَعَانِي الْأَخْبَارِ عَنْ جَعْفَرِ بْنِ مُحَمَّدِ بْنِ مَسْرُورٍ عَنِ الْحُسَيْنِ بْنِ مُحَمَّدِ بْنِ عَامِرٍ عَنْ عَمِّهِ عَبْدِ اللَّهِ بْنِ عَامِرٍ عَنْ مُحَمَّدِ بْنِ أَبِي عُمَيْرٍ عَنْ سَيْفِ بْنِ عَمِيرَةَ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يَخْرُجُ بِهِ الرَّجُلُ مِنَ الْإِيمَانِ أَنْ يُؤَاخِيَ الرَّجُلُ الرَّجُلَ عَلَى دِينِهِ فَيُحْصِيَ عَلَيْهِ عَثَرَاتِهِ وَ زَلَّاتِهِ لِيُعَيِّرَهُ بِهَا يَوْماً مَا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آن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بر بسياري از هجاءها قابل تطبيق است؛ زيرا هجاء نوعاً ـ اگر نگوييم كلاً ـ تعيير و عار گذاشتن روي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شيخ تعيير را ذكر كرده بودند</w:t>
      </w:r>
      <w:r>
        <w:rPr>
          <w:rFonts w:eastAsia="IRNazanin" w:cs="IRNazanin"/>
          <w:color w:val="111111"/>
          <w:sz w:val="28"/>
          <w:szCs w:val="28"/>
          <w:rtl w:val="true"/>
          <w:lang w:bidi="fa-IR"/>
        </w:rPr>
        <w:t>.</w:t>
      </w:r>
      <w:bookmarkStart w:id="704" w:name="pg2375_19918"/>
    </w:p>
    <w:p>
      <w:pPr>
        <w:pStyle w:val="Heading4"/>
        <w:numPr>
          <w:ilvl w:val="3"/>
          <w:numId w:val="1"/>
        </w:numPr>
        <w:rPr/>
      </w:pPr>
      <w:bookmarkStart w:id="705" w:name="__RefHeading___Toc2903397_3804643083"/>
      <w:bookmarkStart w:id="706" w:name="_Toc269"/>
      <w:bookmarkEnd w:id="704"/>
      <w:bookmarkEnd w:id="705"/>
      <w:r>
        <w:rPr>
          <w:rtl w:val="true"/>
        </w:rPr>
        <w:t>آيا حرمت هجاء شامل مؤمن فاسق مي‌شود؟</w:t>
      </w:r>
      <w:bookmarkEnd w:id="706"/>
    </w:p>
    <w:p>
      <w:pPr>
        <w:pStyle w:val="Heading5"/>
        <w:numPr>
          <w:ilvl w:val="4"/>
          <w:numId w:val="1"/>
        </w:numPr>
        <w:rPr/>
      </w:pPr>
      <w:bookmarkStart w:id="707" w:name="__RefHeading___Toc2903399_3804643083"/>
      <w:bookmarkStart w:id="708" w:name="_Toc270"/>
      <w:bookmarkEnd w:id="707"/>
      <w:r>
        <w:rPr>
          <w:rtl w:val="true"/>
        </w:rPr>
        <w:t>اشاره</w:t>
      </w:r>
      <w:bookmarkEnd w:id="708"/>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في المؤمن بين الفاسق و غيره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لا فرق في المؤمن بين الفاسق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محّصوا ذنوبكم بذكر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الخارجون عن الإيمان أو المتجاهرون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در حرمت هجاء مؤمن، فرقي بين مؤمن عادل و مؤمن فاسق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است؛ زيرا موضوع اين احكام در روايات، مؤمن است، نه مؤمن 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روايتي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محّصوا ذنوبكم بذكر الفاسقين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گناهتان را پاك كنيد با ذكر 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ذكر بالاستخفاف و الوهن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فاسقين يا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الخارجين من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 فَمَنْ كانَ مُؤْمِناً كَمَنْ كانَ فاسِقاً لا يَسْتَوُونَ</w:t>
      </w:r>
      <w:r>
        <w:rPr>
          <w:rFonts w:eastAsia="IRNazanin" w:cs="IRNazanin"/>
          <w:color w:val="111111"/>
          <w:sz w:val="28"/>
          <w:szCs w:val="28"/>
          <w:rtl w:val="true"/>
          <w:lang w:bidi="fa-IR"/>
        </w:rPr>
        <w:t>&gt;</w:t>
      </w:r>
      <w:r>
        <w:rPr>
          <w:rStyle w:val="FootnoteAnchor"/>
          <w:rtl w:val="true"/>
        </w:rPr>
        <w:footnoteReference w:id="422"/>
      </w:r>
      <w:r>
        <w:rPr>
          <w:rFonts w:ascii="Amiri" w:hAnsi="Amiri" w:eastAsia="Amiri" w:cs="Amiri"/>
          <w:color w:val="111111"/>
          <w:sz w:val="28"/>
          <w:sz w:val="28"/>
          <w:szCs w:val="28"/>
          <w:rtl w:val="true"/>
          <w:lang w:bidi="ar-SA"/>
        </w:rPr>
        <w:t xml:space="preserve">كه فاسق در اين‌جا در مقابل عادل نيست بلكه در مقابل مؤمن است و يا مقصود از فاسقين يعني المتجاهرين بالفسق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مطلق فاسقين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توجيه اوّل مرحوم شيخ أقرب است، ولي مهم آن است كه اصلاً 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محّصوا ذنوبكم بذكر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نيست؛ چون با جستجويي كه انجام داديم در هيچ يك از مجامع روايي</w:t>
      </w:r>
      <w:bookmarkStart w:id="709" w:name="pg2375_19919"/>
    </w:p>
    <w:p>
      <w:pPr>
        <w:pStyle w:val="BookText"/>
        <w:rPr/>
      </w:pPr>
      <w:bookmarkEnd w:id="709"/>
      <w:r>
        <w:rPr>
          <w:rFonts w:ascii="IRNazanin" w:hAnsi="IRNazanin" w:eastAsia="IRNazanin"/>
          <w:color w:val="111111"/>
          <w:sz w:val="28"/>
          <w:sz w:val="28"/>
          <w:szCs w:val="28"/>
          <w:rtl w:val="true"/>
          <w:lang w:bidi="fa-IR"/>
        </w:rPr>
        <w:t>ذكر نشده، كما اين‌كه در پاورقي طبع جديد مكاسب هم متذكر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صاحب مفتاح الكرامه</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 لا فرق في المؤمن هنا بين الفاسق و غيره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يدخل هجاء الفاسق في مراتب النهي عن المنكر بحيث يتوقّف ردعه عليه فيمكن جوازه إن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جوّز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هجاء الفاسق المتظاهر،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محّصوا ذنوبكم بغيبة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يفرّق بينه و بين الغيبة، لاقتضائه الدوام بحيث يشمل الأعقاب، فالرخصة فيها لا تدلّ على الرخصة فيه، و يأتي تمام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بعض كتب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شهيد نقل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محّصوا ذنوبكم بغيبة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اولاً مستند كلام شهيد معلوم نيست و ثانياً اختصاص به غيبت دارد</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2903401_3804643083"/>
      <w:bookmarkStart w:id="711" w:name="_Toc271"/>
      <w:bookmarkEnd w:id="710"/>
      <w:r>
        <w:rPr>
          <w:rtl w:val="true"/>
        </w:rPr>
        <w:t>جواز هجاء غير مؤمن و مبتدع</w:t>
      </w:r>
      <w:bookmarkEnd w:id="711"/>
    </w:p>
    <w:p>
      <w:pPr>
        <w:pStyle w:val="BookText"/>
        <w:rPr/>
      </w:pPr>
      <w:r>
        <w:rPr>
          <w:rFonts w:ascii="IRNazanin" w:hAnsi="IRNazanin" w:eastAsia="IRNazanin"/>
          <w:color w:val="111111"/>
          <w:sz w:val="28"/>
          <w:sz w:val="28"/>
          <w:szCs w:val="28"/>
          <w:rtl w:val="true"/>
          <w:lang w:bidi="fa-IR"/>
        </w:rPr>
        <w:t>سپس مرحوم شيخ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احترز بالمؤمن عن المخالف؛ فإنّه يجوز هجوه لعدم احترامه، و كذا يجوز هجاء الفاسق المبدع؛ لئلّا يؤخذ ببدعة</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حرمت هجاء اختصاص به مؤمن دارد و هجاء غير مؤمن حرمتي ندارد،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بيان كرديم كه حرمت اختصاص به مؤمن دارد و اين‌جا هم چون عنوان جديدي نيست، پس الكلام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هجو مبتدع هم نه تنها حرام نيست، بلكه در روايات دستور به هجو و مذمت آن ها شده است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داود بن سرحان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مُحَمَّدِ بْنِ مُحَمَّدِ بْنِ الْحُسَيْنِ عَنْ أَحْمَدَ بْنِ مُحَمَّدِ بْنِ أَبِي نَصْرٍ عَنْ دَاوُدَ بْنِ سِرْحَانَ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الْوَقِيعَةِ وَ بَاهِتُوهُمْ كَيْلَا يَطْمَعُوا فِي الْفَسَادِ فِي الْإِسْلَامِ وَ يَحْذَرَهُمُ النَّاسُ وَ لَا يَتَعَلَّمُونَ مِنْ بِدَعِهِمْ يَكْتُبِ اللَّهُ لَكُمْ بِذَلِكَ الْحَسَنَاتِ وَ 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سرحان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اهل شك و بدعت را پس از من ديديد، از آن‌ها بيزارى بجوييد و بسيار دشنام‌شان بدهيد و زياد درباره‌ي آن‌ها بد بگوييد و آبروي‌شان را ببريد و آنان را مورد مباهته قرار دهيد تا طمع به فساد در اسلام نكنند و مردم از آن‌ها حذر كنند و از بدعت‌هايشان نياموزند تا خدا به واسطه‌ي اين كار براى شما حسنه نوشته، درجات شما را در آخرت بالا ببرد</w:t>
      </w:r>
      <w:r>
        <w:rPr>
          <w:rFonts w:eastAsia="IRNazanin" w:cs="IRNazanin"/>
          <w:color w:val="111111"/>
          <w:sz w:val="28"/>
          <w:szCs w:val="28"/>
          <w:rtl w:val="true"/>
          <w:lang w:bidi="fa-IR"/>
        </w:rPr>
        <w:t>.</w:t>
      </w:r>
      <w:bookmarkStart w:id="712" w:name="pg2375_19921"/>
    </w:p>
    <w:p>
      <w:pPr>
        <w:pStyle w:val="Heading5"/>
        <w:numPr>
          <w:ilvl w:val="4"/>
          <w:numId w:val="1"/>
        </w:numPr>
        <w:rPr/>
      </w:pPr>
      <w:bookmarkStart w:id="713" w:name="__RefHeading___Toc2903403_3804643083"/>
      <w:bookmarkStart w:id="714" w:name="_Toc272"/>
      <w:bookmarkEnd w:id="712"/>
      <w:bookmarkEnd w:id="713"/>
      <w:r>
        <w:rPr>
          <w:rtl w:val="true"/>
        </w:rPr>
        <w:t xml:space="preserve">آيا هجاء مبتدع به معايب غير موجود </w:t>
      </w:r>
      <w:r>
        <w:rPr>
          <w:rtl w:val="true"/>
        </w:rPr>
        <w:t>(</w:t>
      </w:r>
      <w:r>
        <w:rPr>
          <w:rtl w:val="true"/>
        </w:rPr>
        <w:t>غير واقعي</w:t>
      </w:r>
      <w:r>
        <w:rPr>
          <w:rtl w:val="true"/>
        </w:rPr>
        <w:t xml:space="preserve">) </w:t>
      </w:r>
      <w:r>
        <w:rPr>
          <w:rtl w:val="true"/>
        </w:rPr>
        <w:t>جايز است؟</w:t>
      </w:r>
      <w:bookmarkEnd w:id="714"/>
    </w:p>
    <w:p>
      <w:pPr>
        <w:pStyle w:val="BookText"/>
        <w:rPr/>
      </w:pP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هجاء الفاسق المبدع؛ لئلّا يؤخذ ببدعه، لكن بشرط الاقتصار على المعايب الموجودة فيه، فلا يجوز بهته بما ليس فيه</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احترز بالمؤمن عن المخالف؛ فإنّه يجوز هجوه لعدم احترامه، و كذا يجوز هجاء الفاسق المبدع؛ لئلّا يؤخذ ببدعة، لكن بشرط الاقتصار على المعايب الموجودة فيه، فلا يجوز بهته بما ليس فيه؛ لعموم حرمة الكذب، و ما تقدم من الخبر في الغيبة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المبتدعة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باهتوهم كيلا يطمعوا في إضلالكم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اتهامهم و سوء الظن بهم بما يحرم اتهام المؤمن به،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زانٍ، أو 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زاده ذكر ما ليس فيه من باب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إبقاؤه على ظاهره بتجويز الكذب عليهم لأجل 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در هجو مبتدع هم بايد اقتصار به معايب موجود كرد و از ذكر معايبي كه در او موجود نيست پرهيز كرد؛ چون مشمول اطلاق ادلّه‌ي حرمت كذب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فراز از صحيحه‌ي داود بن سرحان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بَاهِتُوهُمْ كَيْلَا يَطْمَعُوا فِي الْفَسَادِ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غيبت بيان كرديم كه به دو گونه مي‌توان معني كرد</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در اين‌كه مراد از باهتوهم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مباهته قرارشان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از قديم اختلافي بين علما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عدّاه‌ي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مبهوت كردن است، مانند آيه‌ي شريفه‌ي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فَبُهِتَ الَّذي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 با بيان حجج قاطعه و براهين بيّنه، مبهوتشان كنيد كه ديگر نتوانند حرف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سياق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بهتان زدن؛ چون اين شخص احترام خداوند را رعايت نكرده، به خداوند بهتان زده است، پس ديگر احترامي ندارد و مي‌توان به او بهتان زد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به يك معنا نتيجه</w:t>
      </w:r>
    </w:p>
    <w:p>
      <w:pPr>
        <w:pStyle w:val="BookText"/>
        <w:rPr/>
      </w:pPr>
      <w:r>
        <w:rPr>
          <w:rFonts w:ascii="IRNazanin" w:hAnsi="IRNazanin" w:eastAsia="IRNazanin"/>
          <w:color w:val="111111"/>
          <w:sz w:val="28"/>
          <w:sz w:val="28"/>
          <w:szCs w:val="28"/>
          <w:rtl w:val="true"/>
          <w:lang w:bidi="fa-IR"/>
        </w:rPr>
        <w:t>اين مي‌شود كه بهتان زدن به مبتدع جايز است، مرحوم شيخ ابتدا اين معنا را نمي‌پذيرند و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باهتوهم كيلا يطمعوا في إضلالكم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اتهامهم و سوء الظن بهم بما يحرم اتهام المؤمن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اين معناست كه بايد مبتدع را متّهم دانست و نسبت به او سوء ظن داشت؛ نه اين‌كه مطالب كذبي را به او نسبت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روايت را به ظاهرش حمل كنيم و بگوييم كذب بر مبتدع جايز است؛ چون مصلحت دور كردن مردم از مبتدع بالاتر از مفسده‌ي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روايتي را ذكر مي‌كنند كه از آن استفاده مي‌شود ـ در آن‌جا كه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 عَنْهُمْ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نسبت إفتراء و قذف به مخالفين معهود علي كراهةٍ جايز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يحتمل إبقاؤه على ظاهره بتجويز الكذب عليهم لأجل المصلحة؛ فإنّ مصلحة تنفير الخلق عنهم أقوى من مفسدة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حمزة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يفترون و يقذفون من خالفهم،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عنهم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حمزة إنّ الناس كلّهم أولاد بغايا ما خلا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الخمس، و قد حرّمناه على جميع الناس ما خلا شيعتنا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صدرها دلالة على جواز الافتراء و هو القذف على كراهة، ثم أشار عليه السلام إلى أولوية قصد الصدق بإرادة الزنا من حيث استحلال حقوق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ابي حمزه‌ي 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عَلِيِّ بْنِ الْعَبَّاسِ عَنِ الْحَسَنِ بْنِ عَبْدِ الرَّحْمَنِ عَنْ عَاصِمِ بْنِ حُمَيْدٍ عَنْ أَبِي حَمْزَةَ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يَفْتَرُونَ وَ يَقْذِفُونَ مَنْ خَالَفَهُمْ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عَنْهُمْ أَجْمَلُ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وَ اللَّهِ إِنَّ النَّاسَ كُلَّهُمْ أَوْلَادُ بَغَايَا مَا خَلَا شِيعَتَنَا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الْخُمُسِ وَ قَدْ حَرَّمْنَاهُ عَلَى جَمِيعِ النَّاسِ مَا خَلَا شِيعَتَنَا الْحَدِيثَ</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ابوحمزه‌ي ثمالي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اصحاب ما به مخالفين خود إفتراء مي‌بندند و قذف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از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همه‌ي مردم به جز شيعيان ما اولاد فاجرات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توضيح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صاحبان خمس هستيم و آن را بر تمام مردم به جز شيعيان حرام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روايت از لحاظ سند ناتمام است</w:t>
      </w:r>
      <w:r>
        <w:rPr>
          <w:rStyle w:val="FootnoteAnchor"/>
          <w:rtl w:val="true"/>
        </w:rPr>
        <w:footnoteReference w:id="430"/>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العباس الخراذيني الرازي، رمي بالغلو و غمر عليه، ضعيف جدا، له كتاب الآداب و المروات و كتاب الرد على السليمانية طائفة من الغلاة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العباس الجراذيني أبو الحسن الرازي مشهور له تصنيف في الممدوحين و المذمومين يدل على خبثه و تهالك في مذهبه لا يلتفت إليه و لا يعبأ بما رواه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نمي‌تواند مورد استناد جناب شيخ واقع شود كه هجاء به كذب و حتّي قذف جايز است، خصوصاً كه در ذيل، فجور را به معناي خاصي اخذ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آن‌كه در مورد خصوص قذف، روايات متعددي وارد شده كه قذف دروغ را نسبت به كافرين و در بعض روايات حتّي نسبت به مشركين و مجوس مورد نهي قرار داده است،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عبدالله بن سنان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إِبْرَاهِيمَ عَنْ مُحَمَّدِ بْنِ عِيسَى عَنْ يُونُسَ عَنْ عَبْدِ اللَّهِ بْنِ سِنَانٍ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قَذْفِ مَنْ لَيْسَ عَلَى الْإِسْلَامِ إِلَّا أَنْ يَطَّلِعَ عَلَى ذَلِكَ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مَا يَكُونُ أَنْ يَكُونَ قَدْ كَذَبَ</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عبدالله بن سنان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قذف غير مسلمان نهي كردند،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ولد الزنا بودن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اشكال ندارد، هرچند در مورد مسلمان اگر اطلاع داشته باشد، نيز جايز نيست، مگر در موارد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دروغ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بودن قذف غير مسلمان به خاطر آن است كه در روايات متعددي 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قومي نكاح است و كسي كه طبق رأي قوم خود نكاح كرده، بچه‌اي كه از اين طريق متولد مي‌شود ولد الزنا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اين روايات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ابي الحسن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أَبِي الْحَسَنِ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رَجُلٌ مَا فَعَلَ غَرِيمُكَ؟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ابْنُ الْفَاعِلَةِ فَنَظَرَ إِلَيَّ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مَجُوسِيٌّ أُمُّهُ أُخْتُهُ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ذَلِكَ فِي دِينِهِمْ نِكَاحاً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الشَّيْخُ بِإِسْنَادِهِ عَنْ عَلِيِّ بْنِ إِبْرَاهِيمَ وَ كَذَا الَّذِي قَبْلَهُ وَ الَّذِي قَبْلَهُمَا بِإِسْنَادِهِ عَنْ يُونُسَ مِثْلَه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ابي الحسن الحذاء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شخصي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بدهكارت چكار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زن بدكاره است،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شنيدن حرف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تندي به من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فدايتان شوم او مجوسي است و مادرش خواهرش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پدرش با دختر خودش ازدواج كرده و او ثمره‌ي اين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در دين خودشان نكاح و ازدواج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عبدالله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رَجُلٌ رَجُلًا مَجُوسِيّاً عِنْدَ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يَنْكِحُ أُمَّهُ وَ أُخْتَهُ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عِنْدَهُمْ نِكَاحٌ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يَعْقُوبَ مِثْلَهُ</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در حضور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مجوسي را قذف كرد،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مادرش يا خواهرش نكاح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نزد خودشان و در دين خودشان نكاح محسوب مي‌شود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روايات بيا‌ن مي‌كند كه قذف غير مسلمان جايز نيست و حدّاقل اين‌كه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كسي براي جواز دروغ عليه اهل بدعت به صحيحه‌ي داود بن سرحان ـ بنا بر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بهتان زدن باشد ـ تمسك كند، مانعي ندارد، آن هم در خصوص اهل بدعت كه مقصود غير كفار است</w:t>
      </w:r>
      <w:r>
        <w:rPr>
          <w:rFonts w:eastAsia="IRNazanin" w:cs="IRNazanin"/>
          <w:color w:val="111111"/>
          <w:sz w:val="28"/>
          <w:szCs w:val="28"/>
          <w:rtl w:val="true"/>
          <w:lang w:bidi="fa-IR"/>
        </w:rPr>
        <w:t>.</w:t>
      </w:r>
      <w:bookmarkStart w:id="715" w:name="pg2375_19928"/>
    </w:p>
    <w:p>
      <w:pPr>
        <w:pStyle w:val="Heading2"/>
        <w:numPr>
          <w:ilvl w:val="1"/>
          <w:numId w:val="1"/>
        </w:numPr>
        <w:rPr/>
      </w:pPr>
      <w:bookmarkStart w:id="716" w:name="__RefHeading___Toc2903405_3804643083"/>
      <w:bookmarkStart w:id="717" w:name="_Toc273"/>
      <w:bookmarkEnd w:id="715"/>
      <w:bookmarkEnd w:id="716"/>
      <w:r>
        <w:rPr>
          <w:rtl w:val="true"/>
        </w:rPr>
        <w:t>هُجر</w:t>
      </w:r>
      <w:bookmarkEnd w:id="71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8" w:name="__RefHeading___Toc2903407_3804643083"/>
      <w:bookmarkStart w:id="719" w:name="_Toc274"/>
      <w:bookmarkEnd w:id="718"/>
      <w:r>
        <w:rPr>
          <w:rtl w:val="true"/>
        </w:rPr>
        <w:t>اشاره</w:t>
      </w:r>
      <w:bookmarkStart w:id="720" w:name="pg2375_19930"/>
      <w:bookmarkEnd w:id="719"/>
    </w:p>
    <w:p>
      <w:pPr>
        <w:pStyle w:val="Heading3"/>
        <w:numPr>
          <w:ilvl w:val="2"/>
          <w:numId w:val="1"/>
        </w:numPr>
        <w:rPr/>
      </w:pPr>
      <w:bookmarkStart w:id="721" w:name="__RefHeading___Toc2903409_3804643083"/>
      <w:bookmarkStart w:id="722" w:name="_Toc275"/>
      <w:bookmarkEnd w:id="720"/>
      <w:bookmarkEnd w:id="721"/>
      <w:r>
        <w:rPr>
          <w:rtl w:val="true"/>
        </w:rPr>
        <w:t>المسألة الثامنة و العشرون</w:t>
      </w:r>
      <w:r>
        <w:rPr>
          <w:rtl w:val="true"/>
        </w:rPr>
        <w:t xml:space="preserve">: </w:t>
      </w:r>
      <w:r>
        <w:rPr>
          <w:rtl w:val="true"/>
        </w:rPr>
        <w:t>الهُجر</w:t>
      </w:r>
      <w:bookmarkEnd w:id="722"/>
    </w:p>
    <w:p>
      <w:pPr>
        <w:pStyle w:val="Heading4"/>
        <w:numPr>
          <w:ilvl w:val="3"/>
          <w:numId w:val="1"/>
        </w:numPr>
        <w:rPr/>
      </w:pPr>
      <w:bookmarkStart w:id="723" w:name="__RefHeading___Toc2903411_3804643083"/>
      <w:bookmarkStart w:id="724" w:name="_Toc276"/>
      <w:bookmarkEnd w:id="723"/>
      <w:r>
        <w:rPr>
          <w:rtl w:val="true"/>
        </w:rPr>
        <w:t>اشاره</w:t>
      </w:r>
      <w:bookmarkEnd w:id="724"/>
    </w:p>
    <w:p>
      <w:pPr>
        <w:pStyle w:val="BookText"/>
        <w:rPr/>
      </w:pPr>
      <w:r>
        <w:rPr>
          <w:rFonts w:ascii="Amiri" w:hAnsi="Amiri" w:eastAsia="Amiri" w:cs="Amiri"/>
          <w:color w:val="111111"/>
          <w:sz w:val="28"/>
          <w:sz w:val="28"/>
          <w:szCs w:val="28"/>
          <w:rtl w:val="true"/>
          <w:lang w:bidi="ar-SA"/>
        </w:rPr>
        <w:t>آخرين مسأله‌اي كه 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نوع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مي‌فرمايد، مسأله‌ي حرمت هُجر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هجر در لغت به معناي فحش و هر چيزي است كه تصريح به آن در نسبت دادن به كسي زشت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من الكلام، و قد أَهْجَرَ في منطقه إِهْجاراً و هُجْراً؛ عن كراع و اللحياني، و الصحيح أَن الهُجْر، بالضم، الاسم من الإِهْجار و أَن الإِهْجارَ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أَهْجَرَ به إِهْجاراً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استهزأَ به و قال فيه قولًا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هَجْراً و بَجْراً و هُجْراً و بُجْراً، إِذا فتح فهو مصدر، و إِذا ضم فهو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 بالمَهاجِر أَي بالهُجْر، و رماه بِهاجِرات و مُهْجِرات، 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بِمُهَجِّرات أَي فضائح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الإِهْجار، و هو الإِفحاش، و كذلك إِذا أَكثر الكلام فيما لا ينبغي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الهِجِّيرَى كثرة الكلام و القول السيّ‌ء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الهِجِّيرَى اسم من هَجَر إِذا هَذَى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 المريضُ يَهْجُر هَجْراً، فهو هاجِرٌ، و هَجَرَ به في النوم يَهْجُر 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 هَذَى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الفُحْشُ وَ هُوَ 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وَ فِيهِ لُغَةٌ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مَنْطِقِهِ بِالْأَلِفِ إِذَا أَكْثَر مِنْهُ حَتَّى جَاوَزَ مَا كَانَ يَتَكَلَّمُ بِهِ قَبْلَ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بِالرَّجُلِ اسْتَهْزَأْتُ بِهِ وَ قُلْتُ فِيهِ قَوْلًا قَبِيحاً وَ رَمَاهُ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بِالْكَلِمَاتِ الَّتِى فِيهَا فُحْشٌ و هذِهِ مِنْ بَابِ لَابِنٍ و تَامِرٍ وَ رَمَاهُ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بِالْفَوَاحِشِ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 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الهُجْرُ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الإهْجَارِ، و هو الإفحاشُ فى المنطق، و الخَنَا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رواياتي كه در مورد حرمت فحش وارد شده مي‌توانيم بگوييم تواتر معنوي دارد و حداقل آن است كه اطمينان به صدور دست كم تعدادي از آن روايات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واژه‌ي فحش، واژه‌ي بذاء هم كه شبيه يا عين معناي فحش است در روايات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عليه الرحمة نيز باب بذاء را از باب فحش جدا كرده كه ظاهراً به نظر ايشان اين دو لغت با هم متفاوت است</w:t>
      </w:r>
      <w:r>
        <w:rPr>
          <w:rStyle w:val="FootnoteAnchor"/>
          <w:rtl w:val="true"/>
        </w:rPr>
        <w:footnoteReference w:id="435"/>
      </w:r>
      <w:r>
        <w:rPr>
          <w:rFonts w:ascii="IRNazanin" w:hAnsi="IRNazanin" w:eastAsia="IRNazanin"/>
          <w:color w:val="111111"/>
          <w:sz w:val="28"/>
          <w:sz w:val="28"/>
          <w:szCs w:val="28"/>
          <w:rtl w:val="true"/>
          <w:lang w:bidi="fa-IR"/>
        </w:rPr>
        <w:t>و الا اگر صد در صد مترادف بود، وجهي نداشت كه باب جداگانه‌اي به بذاء اختصاص دهد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بعضي روايات، بذاء كنار فحش ذكر شده كه اين مي‌تواند تقويت كند اين دو واژه تفاوت‌هايي با هم دارند، امّا تعيين مقدار تفاوت اين دو واژه مشكل است و اثر چنداني هم ندارد؛ زيرا حداقل آن است كه فحش و بذاء، استخفاف و تحقير مؤمن است كه اثبات كرديم حرام است</w:t>
      </w:r>
      <w:r>
        <w:rPr>
          <w:rFonts w:eastAsia="IRNazanin" w:cs="IRNazanin"/>
          <w:color w:val="111111"/>
          <w:sz w:val="28"/>
          <w:szCs w:val="28"/>
          <w:rtl w:val="true"/>
          <w:lang w:bidi="fa-IR"/>
        </w:rPr>
        <w:t>.</w:t>
      </w:r>
      <w:bookmarkStart w:id="725" w:name="pg2375_19932"/>
    </w:p>
    <w:p>
      <w:pPr>
        <w:pStyle w:val="BookText"/>
        <w:rPr/>
      </w:pPr>
      <w:bookmarkEnd w:id="725"/>
      <w:r>
        <w:rPr>
          <w:rFonts w:ascii="Amiri" w:hAnsi="Amiri" w:eastAsia="Amiri" w:cs="Amiri"/>
          <w:color w:val="111111"/>
          <w:sz w:val="28"/>
          <w:sz w:val="28"/>
          <w:szCs w:val="28"/>
          <w:rtl w:val="true"/>
          <w:lang w:bidi="ar-SA"/>
        </w:rPr>
        <w:t>مرحوم شيخ روايات متعددي را در اين‌جا ذكر مي‌كنند كه ما هم به تبع ايشان ذكر مي‌كنيم</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2903413_3804643083"/>
      <w:bookmarkStart w:id="727" w:name="_Toc277"/>
      <w:bookmarkEnd w:id="726"/>
      <w:r>
        <w:rPr>
          <w:rtl w:val="true"/>
        </w:rPr>
        <w:t>روايات دالّ بر حرمت فحش، بذاء و هُجر</w:t>
      </w:r>
      <w:bookmarkEnd w:id="727"/>
    </w:p>
    <w:p>
      <w:pPr>
        <w:pStyle w:val="Heading5"/>
        <w:numPr>
          <w:ilvl w:val="4"/>
          <w:numId w:val="1"/>
        </w:numPr>
        <w:rPr/>
      </w:pPr>
      <w:bookmarkStart w:id="728" w:name="__RefHeading___Toc2903415_3804643083"/>
      <w:bookmarkStart w:id="729" w:name="_Toc278"/>
      <w:bookmarkEnd w:id="728"/>
      <w:r>
        <w:rPr>
          <w:rtl w:val="true"/>
        </w:rPr>
        <w:t>ـ صحيحه‌ي ابي عبيدة الحذاء</w:t>
      </w:r>
      <w:r>
        <w:rPr>
          <w:rtl w:val="true"/>
        </w:rPr>
        <w:t>:</w:t>
      </w:r>
      <w:bookmarkEnd w:id="729"/>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عَنِ ابْنِ مَحْبُوبٍ عَنِ ابْنِ رِئَابٍ عَنْ أَبِي عُبَيْدَةَ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 مِنَ الْجَفَاءِ وَ الْجَفَاءُ فِي النَّارِ</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ابي عبيده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بذاء از جفاء و ستم است و جفاء در آتش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اين روايت بر حرمت بذاء روشن است؛ زيرا چيزي كه در آتش باشد، معلوم است كه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مسألة 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 بالضمّ و هو الفحش من القول و ما استقبح التصريح به منه، ففي صحيحة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البذاء من الجفاء، و الجفاء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روايت تعبير به صحيحه كرده‌اند، ولي در طريق مرحوم كليني به خاطر سهل بن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أبو سعيد الأدمي الرازي كان ضعيفا في الحديث غير معتمد عليه فيه، و كان أحمد بن محمد بن عيسى يشهد عليه بالغلو و الكذب و أخرجه من قم إلى الري و كان يسكنها و قد كاتب أبا محمد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محمد بن عبد الحميد العطار للنصف من شهر ربيع الآخر سنة خمس و خمسين و مائتين ذكر ذلك أحمد بن علي بن نوح، و أحمد بن الحسين رحمهما الله له كتاب التوحيد، رواه أبو الحسن العباس بن أحمد بن الفضل بن محمد الهاشمي الصالحي، عن أبيه، عن أبي سعيد الأدمي، و له كتاب النوادر أخبرناه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سهل بن زياد، و رواه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الأدمي الرازي يكنى أبا سعيد، ضعيف، له كتاب أخبرنا به ابن أبي جيد، عن محمد بن الحسن، عن محمد بن يحيى، عن محمد بن أحمد بن يحيى، عنه، و رواه محمد بن الحسن بن الوليد، عن سعد و الحميري عن أحمد بن أبي عبد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سهل بن زياد الآدمي، يكنى أبا سعيد من أهل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الآدمي، يكنى أبا سعيد ثقة 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يكنى أبا سعيد الآدمي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الحديث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الخبر الأول فراويه أبو سعيد الآدمي و هو ضعيف جدا عند نقاد الأخبار و قد استثناه أبو جعفر بن بابويه في رجال نوادر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الكشي في ترجمة صالح بن أبي حماد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محمد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يرتضيه و يمدحه و لا يرتضي أبا سعيد الآدمي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 و الشيخ في ترجمة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 ابن الوليد من روايات محمد بن أحمد بن يحيى في جملة ما استثناه روايته عن سهل بن زياد الآدمي و تبعه على ذلك الصدوق و ابن نوح فلم يعتمدوا على رواية محمد بن أحمد بن يحيى، عن سهل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أبو سعيد الآدمي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جدا فاسد الرواية و المذهب و كان أحمد بن محمد بن عيسى الأشعري أخرجه عن قم و أظهر البراءة منه و نهى الناس عن السماع منه و الرواية عنه، و يروي المراسيل، و يعتمد المجاهيل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طوري كه ملاحظه مي‌فرماييد، سهل بن زياد الآدمي در تمام امهات كتب رجاليه تضعيف شده است، الا در يك مورد و آن رجال شيخ طوسي است كه توثيق كرده، در حالي كه خود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جاي الفهرست تضعيف كرده و در الاستبصار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ضعيف جدا عند نقاد الأخبار و قد استثناه أبو جعفر بن بابويه في رجال نوادر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نهايت حرفي كه در مورد سهل بن زياد مي‌توانيم بگوييم اين است كه هم تضعيف شده و هم توثيق و اين دو با هم تعارض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نمي‌توانيم وثاقتش را احراز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 و احمدي</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نمي‌توانيم</w:t>
      </w:r>
      <w:bookmarkStart w:id="730" w:name="pg2375_19934"/>
    </w:p>
    <w:p>
      <w:pPr>
        <w:pStyle w:val="BookText"/>
        <w:rPr/>
      </w:pPr>
      <w:bookmarkEnd w:id="730"/>
      <w:r>
        <w:rPr>
          <w:rFonts w:ascii="IRNazanin" w:hAnsi="IRNazanin" w:eastAsia="IRNazanin"/>
          <w:color w:val="111111"/>
          <w:sz w:val="28"/>
          <w:sz w:val="28"/>
          <w:szCs w:val="28"/>
          <w:rtl w:val="true"/>
          <w:lang w:bidi="fa-IR"/>
        </w:rPr>
        <w:t>بگوييم صحيحه است ولي در كتاب الزهد الحسين بن سعيد الاهوازي به طريق صحيح نيز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مَحْبُوبٍ عَنْ عَلِيِّ بْنِ رِئَابٍ عَنْ أَبِي عُبَيْدَةَ الْحَذَّاءِ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الْإِيمَانِ وَ الْإِيمَانُ فِي الْجَنَّةِ وَ الْبَذَاءُ مِنَ الْجَفَاءِ وَ الْجَفَاءُ فِي النَّارِ</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2903417_3804643083"/>
      <w:bookmarkStart w:id="732" w:name="_Toc279"/>
      <w:bookmarkEnd w:id="731"/>
      <w:r>
        <w:rPr>
          <w:rtl w:val="true"/>
        </w:rPr>
        <w:t>ـ روايت سليم بن قيس</w:t>
      </w:r>
      <w:r>
        <w:rPr>
          <w:rtl w:val="true"/>
        </w:rPr>
        <w:t>:</w:t>
      </w:r>
      <w:bookmarkEnd w:id="73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بْنِ خَالِدٍ عَنْ عُثْمَانَ بْنِ عِيسَى عَنْ عُمَرَ بْنِ أُذَيْنَةَ عَنْ أَبَانِ بْنِ أَبِي عَيَّاشٍ عَنْ سُلَيْمِ بْنِ قَيْسٍ عَنْ</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عَلَى كُلِّ فَحَّاشٍ بَذِي‌ءٍ قَلِيلِ الْحَيَاءِ لَا يُبَالِي مَا قَالَ وَ لَا مَا قِيلَ لَهُ فَإِنَّكَ إِنْ فَتَّشْتَهُ لَمْ تَجِدْهُ إِلَّا لِغَيَّةٍ أَوْ شِرْكِ شَيْطَانٍ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فِي النَّاسِ شِرْكُ شَيْطَانٍ؟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تَقْرَأُ قَوْلَ اللَّهِ عَزَّ وَ 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الْحُسَيْنُ بْنُ سَعِيدٍ فِي كِتَابِ الزُّهْدِ عَنْ عُثْمَانَ بْنِ عِيسَى مِثْلَهُ</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اين روايت از لحاظ سند به خاطر ابان بن ابي عياش</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أبان بن أبي عياش فيروز تابعي، 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بن أبي عياش، فيروز البصري، تابعي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الغضائري،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أبي عياش ـ و اسم عياش هارون ـ تابعي روى عن أنس بن مالك و روى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 يلتفت إليه و ينسب أصحابنا وضع كتاب سليم بن قيس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تضعيف شده ناتمام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حسين بن سعيد هم طريق مضطرب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عِيسَى عَنْ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أُذَيْنَةَ عَنْ سُلَيْمَانَ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الْجَنَّةَ عَلَى كُلِّ فَحَّاشٍ بَذِيٍّ قَلِيلِ الْحَيَاءِ لَا يُبَالِي مَا قَالَ وَ مَا قِيلَ 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الزهد، 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طريق مذكور در كتاب حسين بن سعيد، عثمان بن عيسي از عمير بن اذينه نقل مي‌كند كه ظاهراً همان عمر بن اذينه است و ايشان از سليمان بن قيس نقل مي‌كند كه ظاهراً همان سليم بن قيس است، ولي از آن‌جا كه عمر بن اذينه نمي‌تواند بدون واسطه از سليم بن قيس نقل كند، پس افتادگي در سند وجود دارد و قابل اعتماد نمي‌باشد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از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حرام كرده بر هر فحاش بذي كه حيائش كم است و نسبت به آن‌چه مي‌گويد و آن‌چه در موردش گفته مي‌شود بي مبالات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بررسي كني مي‌يابي كه اين يا به خاطر زناست يا اين‌كه شيطان شريك نطفه‌اش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مگر 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شيطان شريك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آيه‌ي شريفه را نخوانده‌اي كه خداوند عزّ و جلّ مي‌فرمايد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شارِكْهُمْ فِي الْأَمْوالِ وَ الْأَوْلادِ</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علاوه بر ضعف سند، در دلالتش هم مي‌توان مناقشه كرد؛ چون نمي‌توان استفاده كرد مطلق فحش حرام است، بلكه فقط مي‌توان استفاده كرد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فَحَّاشٍ بَذِي‌ءٍ قَلِيلِ الْحَيَاءِ لَا يُبَالِي مَا قَالَ وَ لَا مَا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bookmarkStart w:id="733" w:name="pg2375_19937"/>
    </w:p>
    <w:p>
      <w:pPr>
        <w:pStyle w:val="BookText"/>
        <w:rPr/>
      </w:pPr>
      <w:bookmarkEnd w:id="733"/>
      <w:r>
        <w:rPr>
          <w:rFonts w:ascii="IRNazanin" w:hAnsi="IRNazanin" w:eastAsia="IRNazanin"/>
          <w:color w:val="111111"/>
          <w:sz w:val="28"/>
          <w:sz w:val="28"/>
          <w:szCs w:val="28"/>
          <w:rtl w:val="true"/>
          <w:lang w:bidi="fa-IR"/>
        </w:rPr>
        <w:t xml:space="preserve">علاوه آن‌كه استمرار بر اين امور به نحوي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فحّاش بذي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ثابت شخص شود مورد نظر روايت است و چنين شخصي است كه يا از زنا متولد شده و يا اين‌كه شيطان شريك نطفه‌اش بوده است</w:t>
      </w:r>
      <w:r>
        <w:rPr>
          <w:rFonts w:eastAsia="IRNazanin" w:cs="IRNazanin"/>
          <w:color w:val="111111"/>
          <w:sz w:val="28"/>
          <w:szCs w:val="28"/>
          <w:rtl w:val="true"/>
          <w:lang w:bidi="fa-IR"/>
        </w:rPr>
        <w:t>.</w:t>
      </w:r>
    </w:p>
    <w:p>
      <w:pPr>
        <w:pStyle w:val="Heading5"/>
        <w:numPr>
          <w:ilvl w:val="4"/>
          <w:numId w:val="1"/>
        </w:numPr>
        <w:rPr/>
      </w:pPr>
      <w:bookmarkStart w:id="734" w:name="__RefHeading___Toc2903419_3804643083"/>
      <w:bookmarkStart w:id="735" w:name="_Toc280"/>
      <w:bookmarkEnd w:id="734"/>
      <w:r>
        <w:rPr>
          <w:rtl w:val="true"/>
        </w:rPr>
        <w:t>ـ روايت سماعة</w:t>
      </w:r>
      <w:r>
        <w:rPr>
          <w:rtl w:val="true"/>
        </w:rPr>
        <w:t>:</w:t>
      </w:r>
      <w:bookmarkEnd w:id="735"/>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مُحَمَّدٍ عَنْ أَحْمَدَ بْنِ غَسَّانَ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مَا هَذَا الَّذِي كَانَ بَيْنَكَ وَ بَيْنَ جَمَّالِكَ إِيَّاكَ أَنْ تَكُونَ فَحَّاشاً أَوْ سَخَّاباً</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السِّخابُ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تُتَّخَذُ من قَرَنْفُلٍ، و سُكٍّ، و مَحْلَبٍ، ليس فيها من اللُّؤْلُؤِ و الجوهر شي‌ءٌ، و الجمعُ سُخُبٌ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قِلادَةٍ كانت ذاتَ جَوْهَرٍ، أَو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السَّخَب و الصَّخَب بمعنى الصياح، و الصادُ و السينُ يجوزُ في كُلِّ كَلِمَة فيها 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خَيْطٌ يُنْظَمُ فيه خَرَزٌ، و تُلْبَسُه الصِّبْيانُ و الجَواري؛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بُدِئَ بتفسيره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في ذكر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بالليلِ سُخُبٌ بالنهار؛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 عليهمُ الليلُ سَقَطُوا؛ نِياماً كأَنهم خُشُبٌ، فإِذا أَصْبَحُوا تَسَاخَبُوا على الدُّنيا شُحّاً و حِرْصاً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السَّخَب و الصَّخَب بمعنى الصياح، و الصادُ و السينُ يجوزُ في كُلِّ كَلِمَة فيها 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سَخَّاب هو بالسين المفتوحة و الباء الموحدة صيغة مبالغة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 هو شدة الصوت، من تساخب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تصايحوا و تضاربوا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الصخب و السخب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 اضطراب الأصوات للخصام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لَعَّاناً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كَانَ ذَلِكَ</w:t>
      </w:r>
    </w:p>
    <w:p>
      <w:pPr>
        <w:pStyle w:val="BookText"/>
        <w:rPr/>
      </w:pPr>
      <w:r>
        <w:rPr>
          <w:rFonts w:ascii="Amiri" w:hAnsi="Amiri" w:eastAsia="Amiri" w:cs="Amiri"/>
          <w:color w:val="111111"/>
          <w:sz w:val="28"/>
          <w:sz w:val="28"/>
          <w:szCs w:val="28"/>
          <w:rtl w:val="true"/>
          <w:lang w:bidi="ar-SA"/>
        </w:rPr>
        <w:t>أَنَّهُ ظَلَمَنِي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ظَلَمَكَ لَقَدْ أَرْبَيْتَ عَلَيْهِ إِنَّ هَذَا لَيْسَ مِنْ فِعَالِي وَ لَا آمُرُ بِهِ شِيعَتِي اسْتَغْفِرْ رَبَّكَ وَ لَا تَعُدْ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لَا أَعُودُ</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اين روايت از لحاظ سند به خاطر معلي بن محمد</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معلى بن محمد البصري أبو الحسن مضطرب الحديث و المذهب، و كتبه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معلى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احمد بن غَسّان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حضرت بي‌مقدمه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كاري بود كه با جمّالت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اين‌كه فحّاش، سخّاب يا لعّان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چون به من ظلم كرده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 ظلم كرده، تو هم از او نفع برده‌اي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و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كارهاي من نيست و شيعه‌ي خودم را به آن امر نمي‌كنم، استغفار كن و ديگر تكرار نكن،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ديگر تكرار نمي‌كنم</w:t>
      </w:r>
      <w:r>
        <w:rPr>
          <w:rFonts w:eastAsia="IRNazanin" w:cs="IRNazanin"/>
          <w:color w:val="111111"/>
          <w:sz w:val="28"/>
          <w:szCs w:val="28"/>
          <w:rtl w:val="true"/>
          <w:lang w:bidi="fa-IR"/>
        </w:rPr>
        <w:t>.</w:t>
      </w:r>
      <w:bookmarkStart w:id="736" w:name="pg2375_19939"/>
    </w:p>
    <w:p>
      <w:pPr>
        <w:pStyle w:val="Heading5"/>
        <w:numPr>
          <w:ilvl w:val="4"/>
          <w:numId w:val="1"/>
        </w:numPr>
        <w:rPr/>
      </w:pPr>
      <w:bookmarkStart w:id="737" w:name="__RefHeading___Toc2903421_3804643083"/>
      <w:bookmarkStart w:id="738" w:name="_Toc281"/>
      <w:bookmarkEnd w:id="736"/>
      <w:bookmarkEnd w:id="737"/>
      <w:r>
        <w:rPr>
          <w:rtl w:val="true"/>
        </w:rPr>
        <w:t xml:space="preserve">ـ </w:t>
      </w:r>
      <w:r>
        <w:rPr>
          <w:rtl w:val="true"/>
        </w:rPr>
        <w:t>[</w:t>
      </w:r>
      <w:r>
        <w:rPr>
          <w:rtl w:val="true"/>
        </w:rPr>
        <w:t>صحيحه‌ي</w:t>
      </w:r>
      <w:r>
        <w:rPr>
          <w:rtl w:val="true"/>
        </w:rPr>
        <w:t xml:space="preserve">] </w:t>
      </w:r>
      <w:r>
        <w:rPr>
          <w:rtl w:val="true"/>
        </w:rPr>
        <w:t>ابي بصير</w:t>
      </w:r>
      <w:bookmarkEnd w:id="738"/>
    </w:p>
    <w:p>
      <w:pPr>
        <w:pStyle w:val="BookText"/>
        <w:rPr/>
      </w:pP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مات حماد بن عيسى غريقا بوادي قناة و هو واد يسيل من الشجرة إلى المدينة و هو غريق الجحفة في سنة تسع و مائتين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مائتين و له نيف و تسعون سنة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و رجال الشيخ الطوسي،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سَعِيدٍ فِي كِتَابِ الزُّهْدِ عَنْ حَمَّادِ بْنِ عِيسَى عَنْ شُعَيْبٍ الْعَقَرْقُوفِيِّ عَنْ أَبِي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 عِبَادِ اللَّهِ مَنْ تُكْرَهُ مُجَالَسَتُهُ لِفُحْشِهِ</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بدترين بندگان خدا كسي است كه مجالست با او به خاطر فحشش ناپسند است</w:t>
      </w:r>
      <w:r>
        <w:rPr>
          <w:rFonts w:eastAsia="IRNazanin" w:cs="IRNazanin"/>
          <w:color w:val="111111"/>
          <w:sz w:val="28"/>
          <w:szCs w:val="28"/>
          <w:rtl w:val="true"/>
          <w:lang w:bidi="fa-IR"/>
        </w:rPr>
        <w:t>.</w:t>
      </w:r>
      <w:bookmarkStart w:id="739" w:name="pg2375_19940"/>
    </w:p>
    <w:p>
      <w:pPr>
        <w:pStyle w:val="Heading5"/>
        <w:numPr>
          <w:ilvl w:val="4"/>
          <w:numId w:val="1"/>
        </w:numPr>
        <w:rPr/>
      </w:pPr>
      <w:bookmarkStart w:id="740" w:name="__RefHeading___Toc2903423_3804643083"/>
      <w:bookmarkStart w:id="741" w:name="_Toc282"/>
      <w:bookmarkEnd w:id="739"/>
      <w:bookmarkEnd w:id="740"/>
      <w:r>
        <w:rPr>
          <w:rtl w:val="true"/>
        </w:rPr>
        <w:t>ـ روايت جابر</w:t>
      </w:r>
      <w:r>
        <w:rPr>
          <w:rtl w:val="true"/>
        </w:rPr>
        <w:t>:</w:t>
      </w:r>
      <w:bookmarkEnd w:id="741"/>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فِي 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النُّعْمَانِ عَنْ عَمْرِو بْنِ شِمْرٍ عَنْ جَابِرٍ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الْحَيِيَّ الْحَلِيمَ الْغَنِيَّ</w:t>
      </w:r>
      <w:r>
        <w:rPr>
          <w:rStyle w:val="FootnoteAnchor"/>
          <w:rtl w:val="true"/>
        </w:rPr>
        <w:footnoteReference w:id="445"/>
      </w:r>
      <w:r>
        <w:rPr>
          <w:rFonts w:ascii="Amiri" w:hAnsi="Amiri" w:eastAsia="Amiri" w:cs="Amiri"/>
          <w:color w:val="111111"/>
          <w:sz w:val="28"/>
          <w:sz w:val="28"/>
          <w:szCs w:val="28"/>
          <w:rtl w:val="true"/>
          <w:lang w:bidi="ar-SA"/>
        </w:rPr>
        <w:t>الْمُتَعَفِّفَ أَلَا وَ إِنَّ اللَّهَ يُبْغِضُ الْفَاحِشَ الْبَذِي‌ءَ السَّائِلَ الْمُلْحِفَ</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الإِلْحافُ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الإِلْحاحِ في المَسْأَلَةِ وَ 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يَسْئَلُونَ النّاسَ إِلْحافاً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أَلْحَفَ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بالمَسْأَلَةِ و هو مُسْتَغْنٍ عنها، وَ منه اشْتُقَّ اللِّحافُ؛ لأَنّه يَشْمَلُ الإِنْسانَ في التَّغْطِيَةِ، 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سُؤالٌ فيكونُ إِلْحافٌ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أَلْحَفَ الرجلُ ضيفه إذا آثَره بفِراشه و لحافه في الحَلِيت، و هو الثَّلج الدائم و الأَرِيزُ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لاحَفْت الرجل مُلاحَفة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الإِلْحاح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يَسْئَلُونَ النّاسَ إِلْحافاً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أَلْحَفَ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أَلْحَفَ أَي شَمِل بالمسأَلة و هو مُستغْن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اللِّحَاف من هذا اشتقاقُه لأَنه يشمل الإِنسان في التغْطية؛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يَسْئَلُونَ النّاسَ إِلْحافاً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منهم سؤال فيكون إلحاف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لُحِفَ في ماله لَحْفةً إذا ذهب منه شي‌ء؛ عن اللحياني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روايت از لحاظ سند به خاطر عمرو بن شمر و جابر ناتمام است</w:t>
      </w:r>
      <w:r>
        <w:rPr>
          <w:rFonts w:eastAsia="Amiri" w:cs="Amiri" w:ascii="Amiri" w:hAnsi="Amiri"/>
          <w:color w:val="111111"/>
          <w:sz w:val="28"/>
          <w:szCs w:val="28"/>
          <w:rtl w:val="true"/>
          <w:lang w:bidi="ar-SA"/>
        </w:rPr>
        <w:t>.</w:t>
      </w:r>
      <w:r>
        <w:rPr>
          <w:rStyle w:val="FootnoteAnchor"/>
          <w:rtl w:val="true"/>
        </w:rPr>
        <w:footnoteReference w:id="447"/>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يزيد أبو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الجعفي عربي، قديم،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الحرث بن عبد يغوث بن كعب بن الحرث بن معاوية بن وائل بن مرار بن جعفي، لقي أبا جعفر و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 أيامه، سنة ثمان و عشرين و مائة، روى عنه جماعة غمز فيهم و ضعفوا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و مفضل بن صالح و منخل بن جميل و يوسف بن يعقوب و كان في نفسه مختلطا و كان شيخنا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رحمه الله، ينشدنا أشعارا كثيرة في معناه، يدل علي الاختلاط، ليس هذا موضعا لذكرها و قل ما يورد عنه شي‌ء في الحلال و الحرام،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أخبرناه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خاقان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أبو سمينة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ربيع بن زكريا الوراق، عن عبد الله بن محمد، عن جابر، به و هذا عبد الله بن محمد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ضعيف</w:t>
      </w:r>
      <w:r>
        <w:rPr>
          <w:rFonts w:eastAsia="Amiri" w:cs="Amiri" w:ascii="Amiri" w:hAnsi="Amiri"/>
          <w:color w:val="111111"/>
          <w:sz w:val="28"/>
          <w:szCs w:val="28"/>
          <w:rtl w:val="true"/>
          <w:lang w:bidi="ar-SA"/>
        </w:rPr>
        <w:t>.</w:t>
      </w:r>
      <w:bookmarkStart w:id="742" w:name="pg2375_19941"/>
    </w:p>
    <w:p>
      <w:pPr>
        <w:pStyle w:val="BookText"/>
        <w:rPr/>
      </w:pPr>
      <w:bookmarkEnd w:id="742"/>
      <w:r>
        <w:rPr>
          <w:rFonts w:ascii="IRNazanin" w:hAnsi="IRNazanin" w:eastAsia="IRNazanin"/>
          <w:color w:val="111111"/>
          <w:sz w:val="28"/>
          <w:sz w:val="28"/>
          <w:szCs w:val="28"/>
          <w:rtl w:val="true"/>
          <w:lang w:bidi="fa-IR"/>
        </w:rPr>
        <w:t>جابر الجعفي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با حياءِ حليمِ غنيِ متعفف را دوست دارد و بدانيد خدا فحش‌دهنده‌ي بد دهان سائلي كه در سؤالش پافشاري مي‌كند، مبغوض مي‌دارد</w:t>
      </w:r>
      <w:r>
        <w:rPr>
          <w:rFonts w:eastAsia="IRNazanin" w:cs="IRNazanin"/>
          <w:color w:val="111111"/>
          <w:sz w:val="28"/>
          <w:szCs w:val="28"/>
          <w:rtl w:val="true"/>
          <w:lang w:bidi="fa-IR"/>
        </w:rPr>
        <w:t>.</w:t>
      </w:r>
    </w:p>
    <w:p>
      <w:pPr>
        <w:pStyle w:val="Heading5"/>
        <w:numPr>
          <w:ilvl w:val="4"/>
          <w:numId w:val="1"/>
        </w:numPr>
        <w:rPr/>
      </w:pPr>
      <w:bookmarkStart w:id="743" w:name="__RefHeading___Toc2903425_3804643083"/>
      <w:bookmarkStart w:id="744" w:name="_Toc283"/>
      <w:bookmarkEnd w:id="743"/>
      <w:r>
        <w:rPr>
          <w:rtl w:val="true"/>
        </w:rPr>
        <w:t>ـ روايت الحسن الصيقل</w:t>
      </w:r>
      <w:r>
        <w:rPr>
          <w:rtl w:val="true"/>
        </w:rPr>
        <w:t>:</w:t>
      </w:r>
      <w:bookmarkEnd w:id="74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فِي 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w:t>
      </w:r>
      <w:r>
        <w:rPr>
          <w:rStyle w:val="FootnoteAnchor"/>
          <w:rtl w:val="true"/>
        </w:rPr>
        <w:footnoteReference w:id="448"/>
      </w:r>
      <w:r>
        <w:rPr>
          <w:rFonts w:ascii="Amiri" w:hAnsi="Amiri" w:eastAsia="Amiri" w:cs="Amiri"/>
          <w:color w:val="111111"/>
          <w:sz w:val="28"/>
          <w:sz w:val="28"/>
          <w:szCs w:val="28"/>
          <w:rtl w:val="true"/>
          <w:lang w:bidi="ar-SA"/>
        </w:rPr>
        <w:t>عَنِ ابْنِ مُسْكَانَ عَنِ الْحَسَنِ الصَّيْقَلِ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الْحَيَاءَ وَ الْعَفَافَ وَ الْعِيَّ أَعْنِي عِيَّ اللِّسَانِ لَا عِيَّ الْقَلْبِ مِنَ الْإِيمَانِ وَ الْفُحْشَ وَ الْبَذَاءَ وَ السَّلَاطَةَ مِنَ النِّفَاقِ</w:t>
      </w:r>
      <w:r>
        <w:rPr>
          <w:rFonts w:eastAsia="Amiri" w:cs="Amiri" w:ascii="Amiri" w:hAnsi="Amiri"/>
          <w:color w:val="111111"/>
          <w:sz w:val="28"/>
          <w:szCs w:val="28"/>
          <w:rtl w:val="true"/>
          <w:lang w:bidi="ar-SA"/>
        </w:rPr>
        <w:t>.</w:t>
      </w:r>
      <w:r>
        <w:rPr>
          <w:rStyle w:val="FootnoteAnchor"/>
          <w:rtl w:val="true"/>
        </w:rPr>
        <w:footnoteReference w:id="449"/>
      </w:r>
      <w:bookmarkStart w:id="745" w:name="pg2375_19942"/>
    </w:p>
    <w:p>
      <w:pPr>
        <w:pStyle w:val="BookText"/>
        <w:rPr/>
      </w:pPr>
      <w:bookmarkEnd w:id="745"/>
      <w:r>
        <w:rPr>
          <w:rFonts w:ascii="IRNazanin" w:hAnsi="IRNazanin" w:eastAsia="IRNazanin"/>
          <w:color w:val="111111"/>
          <w:sz w:val="28"/>
          <w:sz w:val="28"/>
          <w:szCs w:val="28"/>
          <w:rtl w:val="true"/>
          <w:lang w:bidi="fa-IR"/>
        </w:rPr>
        <w:t>الحسن الصيقل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كه در حديثي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حياء، عفاف و 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عيّ لسان، نه عيّ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است و فحش، بد زباني و هرزه‌گويي از نفاق است</w:t>
      </w:r>
      <w:r>
        <w:rPr>
          <w:rFonts w:eastAsia="IRNazanin" w:cs="IRNazanin"/>
          <w:color w:val="111111"/>
          <w:sz w:val="28"/>
          <w:szCs w:val="28"/>
          <w:rtl w:val="true"/>
          <w:lang w:bidi="fa-IR"/>
        </w:rPr>
        <w:t>.</w:t>
      </w:r>
    </w:p>
    <w:p>
      <w:pPr>
        <w:pStyle w:val="Heading5"/>
        <w:numPr>
          <w:ilvl w:val="4"/>
          <w:numId w:val="1"/>
        </w:numPr>
        <w:rPr/>
      </w:pPr>
      <w:bookmarkStart w:id="746" w:name="__RefHeading___Toc2903427_3804643083"/>
      <w:bookmarkStart w:id="747" w:name="_Toc284"/>
      <w:bookmarkEnd w:id="746"/>
      <w:r>
        <w:rPr>
          <w:rtl w:val="true"/>
        </w:rPr>
        <w:t>ـ وصيت پيامبر اكرم</w:t>
      </w:r>
      <w:r>
        <w:rPr>
          <w:rtl w:val="true"/>
        </w:rPr>
        <w:t xml:space="preserve">- </w:t>
      </w:r>
      <w:r>
        <w:rPr>
          <w:rtl w:val="true"/>
        </w:rPr>
        <w:t xml:space="preserve">صلي الله عليه و آله و سلم </w:t>
      </w:r>
      <w:r>
        <w:rPr>
          <w:rtl w:val="true"/>
        </w:rPr>
        <w:t xml:space="preserve">- </w:t>
      </w:r>
      <w:r>
        <w:rPr>
          <w:rtl w:val="true"/>
        </w:rPr>
        <w:t>به حضرت علي</w:t>
      </w:r>
      <w:r>
        <w:rPr>
          <w:rtl w:val="true"/>
        </w:rPr>
        <w:t xml:space="preserve">- </w:t>
      </w:r>
      <w:r>
        <w:rPr>
          <w:rtl w:val="true"/>
        </w:rPr>
        <w:t xml:space="preserve">عليه السلام </w:t>
      </w:r>
      <w:r>
        <w:rPr>
          <w:rtl w:val="true"/>
        </w:rPr>
        <w:t>-:</w:t>
      </w:r>
      <w:bookmarkEnd w:id="747"/>
    </w:p>
    <w:p>
      <w:pPr>
        <w:pStyle w:val="BookText"/>
        <w:rPr/>
      </w:pPr>
      <w:r>
        <w:rPr>
          <w:rFonts w:ascii="Amiri" w:hAnsi="Amiri" w:eastAsia="Amiri" w:cs="Amiri"/>
          <w:color w:val="111111"/>
          <w:sz w:val="28"/>
          <w:sz w:val="28"/>
          <w:szCs w:val="28"/>
          <w:rtl w:val="true"/>
          <w:lang w:bidi="ar-SA"/>
        </w:rPr>
        <w:t>مُحَمَّدُ بْنُ عَلِيِّ بْنِ الْحُسَيْنِ بِإِسْنَادِهِ عَنْ حَمَّادِ بْنِ عَمْرٍو وَ أَنَسِ بْنِ مُحَمَّدٍ عَنْ أَبِيهِ جَمِيعاً عَنْ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أَفْضَلُ الْجِهَادِ مَنْ أَصْبَحَ لَا يَهُمُّ بِظُلْمِ أَحَدٍ يَا عَلِيُّ مَنْ خَافَ النَّاسُ لِسَانَهُ فَهُوَ مِنْ أَهْلِ النَّارِ يَا عَلِيُ شَرُّ النَّاسِ مَنْ أَكْرَمَهُ النَّاسُ اتِّقَاءَ فُحْشِهِ وَ شَرِّهِ يَا عَلِيُ شَرُّ النَّاسِ مَنْ بَاعَ آخِرَتَهُ بِدُنْيَاهُ وَ شَرٌّ مِنْهُ مَنْ بَاعَ آخِرَتَهُ بِدُنْيَا غَيْرِهِ</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خود به حضرت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جهاد اين است كه كسي قصد ظلم به احدي نداشته باشد،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مردم از زبانش بترسند، از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 كسي است كه مردم به خاطر ترس از فحش و شرّ او اكرامش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 كسي است كه آخرتش را به دنيايش بفروشد و از او هم بدتر كسي است كه آخرتش را به خاطر دنياي ديگري بفروشد</w:t>
      </w:r>
      <w:r>
        <w:rPr>
          <w:rFonts w:eastAsia="IRNazanin" w:cs="IRNazanin"/>
          <w:color w:val="111111"/>
          <w:sz w:val="28"/>
          <w:szCs w:val="28"/>
          <w:rtl w:val="true"/>
          <w:lang w:bidi="fa-IR"/>
        </w:rPr>
        <w:t>.</w:t>
      </w:r>
      <w:bookmarkStart w:id="748" w:name="pg2375_19943"/>
    </w:p>
    <w:p>
      <w:pPr>
        <w:pStyle w:val="Heading5"/>
        <w:numPr>
          <w:ilvl w:val="4"/>
          <w:numId w:val="1"/>
        </w:numPr>
        <w:rPr/>
      </w:pPr>
      <w:bookmarkStart w:id="749" w:name="__RefHeading___Toc2903429_3804643083"/>
      <w:bookmarkStart w:id="750" w:name="_Toc285"/>
      <w:bookmarkEnd w:id="748"/>
      <w:bookmarkEnd w:id="749"/>
      <w:r>
        <w:rPr>
          <w:rtl w:val="true"/>
        </w:rPr>
        <w:t>ـ موثقه‌ي سماعة</w:t>
      </w:r>
      <w:r>
        <w:rPr>
          <w:rtl w:val="true"/>
        </w:rPr>
        <w:t>:</w:t>
      </w:r>
      <w:bookmarkEnd w:id="750"/>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سَمَاعَةَ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 عِبَادِ اللَّهِ مَنْ تُكْرَهُ مُجَالَسَتُهُ لِفُحْشِهِ</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سماعة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بدترين بندگان خدا كسي است كه مجالست با او به خاطر فحشش ناپسند است</w:t>
      </w:r>
      <w:r>
        <w:rPr>
          <w:rFonts w:eastAsia="IRNazanin" w:cs="IRNazanin"/>
          <w:color w:val="111111"/>
          <w:sz w:val="28"/>
          <w:szCs w:val="28"/>
          <w:rtl w:val="true"/>
          <w:lang w:bidi="fa-IR"/>
        </w:rPr>
        <w:t>.</w:t>
      </w:r>
    </w:p>
    <w:p>
      <w:pPr>
        <w:pStyle w:val="Heading5"/>
        <w:numPr>
          <w:ilvl w:val="4"/>
          <w:numId w:val="1"/>
        </w:numPr>
        <w:rPr/>
      </w:pPr>
      <w:bookmarkStart w:id="751" w:name="__RefHeading___Toc2903431_3804643083"/>
      <w:bookmarkStart w:id="752" w:name="_Toc286"/>
      <w:bookmarkEnd w:id="751"/>
      <w:r>
        <w:rPr>
          <w:rtl w:val="true"/>
        </w:rPr>
        <w:t>ـ صحيحه‌ي زرارة</w:t>
      </w:r>
      <w:r>
        <w:rPr>
          <w:rtl w:val="true"/>
        </w:rPr>
        <w:t>:</w:t>
      </w:r>
      <w:bookmarkEnd w:id="75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ابْنِ أُذَيْنَةَ عَنْ زُرَارَةَ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الْفُحْشَ لَوْ كَانَ مِثَالًا لَكَانَ مِثَالَ سَوْءٍ</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فحش مجسّم مي‌شد، تمثال بدي مي‌شد</w:t>
      </w:r>
      <w:r>
        <w:rPr>
          <w:rFonts w:eastAsia="IRNazanin" w:cs="IRNazanin"/>
          <w:color w:val="111111"/>
          <w:sz w:val="28"/>
          <w:szCs w:val="28"/>
          <w:rtl w:val="true"/>
          <w:lang w:bidi="fa-IR"/>
        </w:rPr>
        <w:t>.</w:t>
      </w:r>
      <w:bookmarkStart w:id="753" w:name="pg2375_19944"/>
    </w:p>
    <w:p>
      <w:pPr>
        <w:pStyle w:val="Heading5"/>
        <w:numPr>
          <w:ilvl w:val="4"/>
          <w:numId w:val="1"/>
        </w:numPr>
        <w:rPr/>
      </w:pPr>
      <w:bookmarkStart w:id="754" w:name="__RefHeading___Toc2903433_3804643083"/>
      <w:bookmarkStart w:id="755" w:name="_Toc287"/>
      <w:bookmarkEnd w:id="753"/>
      <w:bookmarkEnd w:id="754"/>
      <w:r>
        <w:rPr>
          <w:rtl w:val="true"/>
        </w:rPr>
        <w:t>ـ موثقه‌ي ابي بصير</w:t>
      </w:r>
      <w:r>
        <w:rPr>
          <w:rtl w:val="true"/>
        </w:rPr>
        <w:t>:</w:t>
      </w:r>
      <w:bookmarkEnd w:id="755"/>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عِيسَى عَنْ سَمَاعَةَ عَنْ أَبِي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ذَاتَ يَوْمٍ عِنْدَ عَائِشَةَ إِذَا اسْتَأْذَنَ عَلَيْهِ رَجُلٌ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أَخُو الْعَشِيرَةِ فَقَامَتْ عَائِشَةُ فَدَخَلَتِ الْبَيْتَ وَ أَذِنَ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فَلَمَّا دَخَلَ أَقْبَلَ عَلَيْهِ بِوَجْهِهِ وَ بِشْرُهُ إِلَيْهِ يُحَدِّثُهُ حَتَّى إِذَا فَرَغَ وَ خَرَجَ مِنْ عِنْدِهِ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بَيْنَا أَنْتَ تَذْكُرُ هَذَا الرَّجُلَ بِمَا ذَكَرْتَهُ بِهِ إِذْ أَقْبَلْتَ عَلَيْهِ بِوَجْهِكَ وَ بِشْرِكَ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 عِبَادِ اللَّهِ مَنْ تُكْرَهُ مُجَالَسَتُهُ لِفُحْشِهِ</w:t>
      </w:r>
      <w:r>
        <w:rPr>
          <w:rFonts w:eastAsia="Amiri" w:cs="Amiri" w:ascii="Amiri" w:hAnsi="Amiri"/>
          <w:color w:val="111111"/>
          <w:sz w:val="28"/>
          <w:szCs w:val="28"/>
          <w:rtl w:val="true"/>
          <w:lang w:bidi="ar-SA"/>
        </w:rPr>
        <w:t>.</w:t>
      </w:r>
      <w:r>
        <w:rPr>
          <w:rStyle w:val="FootnoteAnchor"/>
          <w:rtl w:val="true"/>
        </w:rPr>
        <w:footnoteReference w:id="453"/>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عايشه بودند، تا اين‌كه مردي اذن خواست تا داخل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برادر عشيره‌اي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بلند شد و داخل خانه</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حضرت به آن مرد اذن دادند، وقتي داخل شد حضرت با روي گشاده با او برخورد كردند و صحبت كردند تا اين‌كه صحبت تمام شد و آن مرد خارج شد، عائشه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آن مرد آن حرف</w:t>
      </w:r>
      <w:bookmarkStart w:id="756" w:name="pg2375_19945"/>
    </w:p>
    <w:p>
      <w:pPr>
        <w:pStyle w:val="BookText"/>
        <w:rPr/>
      </w:pPr>
      <w:bookmarkEnd w:id="756"/>
      <w:r>
        <w:rPr>
          <w:rFonts w:ascii="IRNazanin" w:hAnsi="IRNazanin" w:eastAsia="IRNazanin"/>
          <w:color w:val="111111"/>
          <w:sz w:val="28"/>
          <w:sz w:val="28"/>
          <w:szCs w:val="28"/>
          <w:rtl w:val="true"/>
          <w:lang w:bidi="fa-IR"/>
        </w:rPr>
        <w:t xml:space="preserve">را زديد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بئس اخو العشيرة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روي گشاده با او برخورد كرديد و صحبت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بدترين بندگان خدا كسي است كه مجالست با او به خاطر فحشش ناپسند است</w:t>
      </w:r>
      <w:r>
        <w:rPr>
          <w:rFonts w:eastAsia="IRNazanin" w:cs="IRNazanin"/>
          <w:color w:val="111111"/>
          <w:sz w:val="28"/>
          <w:szCs w:val="28"/>
          <w:rtl w:val="true"/>
          <w:lang w:bidi="fa-IR"/>
        </w:rPr>
        <w:t>.</w:t>
      </w:r>
    </w:p>
    <w:p>
      <w:pPr>
        <w:pStyle w:val="Heading4"/>
        <w:numPr>
          <w:ilvl w:val="3"/>
          <w:numId w:val="1"/>
        </w:numPr>
        <w:rPr/>
      </w:pPr>
      <w:bookmarkStart w:id="757" w:name="__RefHeading___Toc2903435_3804643083"/>
      <w:bookmarkStart w:id="758" w:name="_Toc288"/>
      <w:bookmarkEnd w:id="757"/>
      <w:r>
        <w:rPr>
          <w:rtl w:val="true"/>
        </w:rPr>
        <w:t>آيا هُجر كافر جايز است؟</w:t>
      </w:r>
      <w:bookmarkEnd w:id="758"/>
    </w:p>
    <w:p>
      <w:pPr>
        <w:pStyle w:val="BookText"/>
        <w:rPr/>
      </w:pPr>
      <w:r>
        <w:rPr>
          <w:rFonts w:ascii="IRNazanin" w:hAnsi="IRNazanin" w:eastAsia="IRNazanin"/>
          <w:color w:val="111111"/>
          <w:sz w:val="28"/>
          <w:sz w:val="28"/>
          <w:szCs w:val="28"/>
          <w:rtl w:val="true"/>
          <w:lang w:bidi="fa-IR"/>
        </w:rPr>
        <w:t>بيان كرديم إفتراء حتّي نسبت به كافر هم جايز نيست؛ زيرا مشمول اطلاقات حرمت كذب است، امّا در مورد هُجر كافر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در صحيحه‌ي عبدالله بن سنان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عَنْ قَذْفِ مَنْ لَيْسَ عَلَى الْإِسْلَامِ إِلَّا أَنْ يَطَّلِعَ عَلَى ذَلِكَ مِنْهُمْ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مُحَمَّدُ بْنُ يَعْقُوبَ عَنْ عَلِيِّ بْنِ إِبْرَاهِيمَ عَنْ مُحَمَّدِ بْنِ عِيسَى عَنْ يُونُسَ عَنْ عَبْدِ اللَّهِ بْنِ سِنَانٍ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قَذْفِ مَنْ لَيْسَ عَلَى الْإِسْلَامِ إِلَّا أَنْ يَطَّلِعَ عَلَى ذَلِكَ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مَا يَكُونُ أَنْ يَكُونَ قَدْ 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در صورتي كه اطلاع داشته باشد مي‌تواند كافر را قذف كند، پس به طريق اولي هُجر كافر در غير مورد مثل زنا هم در صورتي كه إفتراء نباشد،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شيرازى، ميرزا محمد تقى، حاشية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الإطلاق عدم الفرق بين ان يكون المخاطب به مؤمنا أو مسلما أو كافرا أو فاسقا ذكرا أو أنثى حرا أو مملوكا صغيرا أو كبيرا فانّ الظّاهر كون حرمته من حيث نفسه لا من حيث كونه إيذاء أو توهينا أو هتكا حتى يتوهّم اختصاصه ببعض الأقسام المتقدّمة بل يمكن دعوى شمول الإطلاق لما إذا كان المقول له غير المميّز من الأطفال بل و كذا البهائم و الحيوانات كما قد يشعر به بعض الاخبار الواردة في لعن الحيوان المركوب و التّوبيخ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حالي كه كلام ايشان خلاف نظر فقهاست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ص</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قذف المسلمين بشي‌ء من القبائح سوى الزنى و اللواط من سرق و خيانة و شرب خمر و أشباه ذلك فإنه لا يوجب حد الفرية بالزنى و اللواط و لكن يوجب التعزير و الأدب بحسب ما يراه السلطان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 القائل للمسلم أنت خسيس أو وضيع أو رقيع أو نذل أو ساقط أو نجس أو رجس أو كلب أو خنزير أو مسخ و ما أشبه ذلك يوجب التعزير و التأديب و ليس فيه حد محدود فإن كان المقول له ذلك مستحقا للاستخفاف لضلاله عن الحق لم يجب على القائل له تأديب و كان باستخفافه به مأجورا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 الفتاوى، ص</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للمسلم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 كان عليه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المقول له كافرا مستحقّا للاستخفاف و الإهانة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ظاهر الإسلام، ضرب ضربا وجيعا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المقول له جاحدا لفريضة عامّة معلومة في شريعة الإسلام، لم يكن عليه شي‌ء، بل أجر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القائل للمسلم أنت خسيس، أو وضيع، أو رقيع، أو نذل، أو ساقط، أو بخيل، أو نجس، أو كلب، أو خنزير، أو حمار، أو ثور، أو مسخ، و ما أشبه ذلك، يوجب التعزير و التأديب، و ليس فيه حد محدود، فان كان المقول له بذلك مستحقا للاستخفاف، لضلاله عن الحق، لم يجب على القائل له تأديب، و كان باستخفافه به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 ان من قال لغيره يا فاسق و هو على ظاهر الإسلام و العدالة، وجب عليه التعزير، فان قال له ذلك و هو على ظاهر الفسق، فقد صدق عليه، و أجر في الاستخفاف به و الإهانة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في مسائل الحلال و الحرام،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تعريض بما يكرهه المواجه و لم يوضع للقذف لغة و لا عرفا يثبت به التعزير لا الحد كقوله أنت ولد حرام أو حملت بك أمك في حيضها أو يقول لزوجته لم أجدك عذراء أو يقول يا فاسق أو يا شارب الخمر و هو متظاهر بالستر أو يا خنزير أو يا حقير أو يا وضيع و لو كان المقول له مستحقا للاستخفاف فلا حد و لا تعزير و كذا كل ما يوجب أذى كقوله يا أجذم أو يا أبرص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النهاية،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للمسلم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 كان عليه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المقول له كافرا مستحقا للاستخفاف و الإهانة لم يكن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تعريض يكرهه المواجه و لا يفيد القذف وضعا و لا عرفا يوجب التعزير لا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خنزير، أو يا رقيع، أو يا وضيع، أو يا خسيس، أو يا كلب، أو يا مسخ، أو غير ذلك، و كان المقول له مستحقّا للاستخفاف، فلا حدّ عليه و لا تعزير، و إن لم يكن مستحقّا لذلك عزّر، و كذا لو عيّره بشي‌ء من بلاء اللّه تعالى، أو أظهر ما هو مستور منه،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أجذم، أو يا أبرص، أو يا أعمى، أو يا 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في معرفة الحلال و الحرام،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تعريض بما يكرهه المواجه يوجب التعزير إذا لم يوضع للقذف عرفا، أو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المقول له مستحقّا للاستخفاف سقط عنه التعزير إلّا بما لا يسوغ لقاؤه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حلّى، محمد بن حسن بن يوسف، إيضاح الفوائد في شرح مشكلات القواعد،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تعريض بما يكرهه المواجه يوجب التعزير إذا لم يوضع للقذف عرفا أو وضعا مثل أنت ولد حرام أو لست بولد حلال أو أنت ولد شبهة أو حملت بك أمك في حيضها أو قال لزوجته لم أجدك عذراء أو قال له يا فاسق أو يا خائن أو يا شارب الخمر و هو متظاهر بالستر أو يا خنزير أو يا وضيع أو يا حقير أو يا كلب و ما أشبه ذلك و كذا لو قال له أنت كافر أو زنديق أو مرتد أو عيّره بشي‌ء من بلاء اللّه تعالى مثل أنت أجذم أو أبرص و ان كان به ذلك إذا كان المقول له من أهل الصلاح و كذا كل ما يوجب الأذى و لو كان المقول له مستحقا للاستخفاف سقط عنه التعزير الا بما لا يسوغ له لقائه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عاملى، شهيد اول، محمد بن مكى، اللمعة الدمشقية في فقه الإمامية، 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الدَّيُّوثُ وَ الْكَشْخَانُ وَ الْقَرْنَانُ قَدْ يُفِيدُ الْقَذْفَ فِي عُرْفِ الْقَائِلِ فَيَجِبُ الْحَدُّ لِلْمَنْسُوبِ إِلَيْهِ، وَ إِنْ لَمْ يُفِدْ فِي عُرْفِهِ وَ أَفَادَتْ شَتْماً عُزِّرَ، وَ لَوْ لَمْ يَعْلَمْ فَائِدَتَهَا أَصْلًا فَلَا شَيْ‌ءَ، وَ كَذَا كُلُّ قَذْفٍ جَرَى عَلَى لِسَانِ مَنْ لَا يَعْلَمُ مَعْنَاهُ وَ لَا التَّأَذِّي وَ التَّعْرِيضُ يُوجِبُ التَّعْزِيرَ لَا الْحَدَّ،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 حَرَامٍ أَوْ أَنَا لَسْتُ بِزَانٍ وَ لَا أُمِّي زَانِيَةً، أَوْ يَقُولُ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 وَ كَذَا يُعَزَّرُ بِكُلِّ مَا يَكْرَهُهُ الْمُوَاجَهُ مِثْلَ الْفَاسِقِ وَ شَارِبِ الْخَمْرِ وَ هُوَ مُسْتَتِرٌ، وَ كَذَا الْخِنْزِيرُ وَ الْكَلْبُ وَ الْحَقِيرُ وَ الْوَضِيعُ إِلَّا مَعَ كَوْنِ الْمُخَاطَبِ مُسْتَحِقّاً لِلِاسْتِخْفَافِ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اردبيلى، احمد بن محمد، مجمع الفائدة و البرهان في شرح إرشاد الأذهان،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جواز ذكره على ذلك الوجه حينئذ فلا يحرم و لا يستحق التعزير للخبر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احتمل ان يكون معناه النهي عن غيبة الفاسق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الشهيد في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بكون المقول له مستحقا للاستخفاف ان يكون فاسقا متظاهرا بفسقه، فإنّه لا حرمة له حينئذ، لما روي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جاهر الفاسق بفسقه، فلا حرمة له و لا غيبة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اصفهانى، فاضل هندى، محمد بن حسن، كشف اللثام و الإبهام عن قواعد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المقول له من أهل الستر و الصلاح، و كذا كلّ ما يوجب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المقول له مستحقّاً للاستخفاف لكفر، أو ابتداع، أو مجاهرة بالفسق سقط عنه التعزير بل كان مثاباً بذلك مأجوراً، لأنّه من النهي عن المنكر، و قد ورد أنّ من تمام العبادة الوقيعة في أهل الريب و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باهتوهم لئلّا يطمعوا في الفساد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بكون المقول له مستحقّا للاستخفاف أن يكون فاسقا متظاهرا بفسقه، فإنه لا حرمة له حينئذ، لما روي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العبادة الوقيعة في أهل الريب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حق من نسب اليه الزنا دون المواجه، كما يستفاد من الاخبار، و يعزر للمواجه زيادة على الحد لإيذائه المحرم، و كذا كل تعريض بما يكرهه المواجه، و ان لم يوضع للقذف لغة و لا عرفا فان فيه التعزير، و كذا كل ما يوجب أذى كالتعبير بالأمراض و العلل، و كل سب كما في الصحيح، الا أن يكون المقول له مستحقا للاستخفاف، لتظاهره بالفسق، فإنه لا حرمة له بالنص، بل الوقيعة فيه مندوب إليها مرغوب فيها، للأمر بذلك في الصحيح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يعزر الكفار مع تنابزهم بالألقاب و تعييرهم بالأمراض، الا أن يخشى حدوث فتنة فيحسمها الامام بما يراه، كذا قالوه و كأنه 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مستحقّاً للاستخفاف فلا حرمة إلّا فيما لا يسوغ لقاؤه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يراد به في المقام خصوص مثل الوضيع و الحقير و الناقص و إن ثبت بها التعزير لتبادره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يراد خصوص ما ثبت به التعزير دون الحدّ كالقذف، لأنّه من الكبائر فلا يناسب وضعه مع الكذب على المؤمنين،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المقول له مستحقا للاستخفاف لكفر أو ابتداع أو تجاهر بفسق فلا حد و لا تعزير بلا خلاف، بل عن الغنية الإجماع عليه، بل و لا إشكال، بل يترتب له الأجر على ذلك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كه ملاحظه مي‌فرماييد، تقريباً همه‌ي فقهاء ـ همان‌طور كه جواهر ادعاي لاخلاف و الغنية ادعاي اجماع كرده ـ مستحق للاستخفاف را فرموده‌اند تعزير ندارد و اين آيت آن است كه حرمتي ندارد و بعضي مثل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 حتّي مأجور است و مراد از مستحق للاستخفاف را هم كافر، متجاهر به فسق و مبدع ذكر 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bookmarkStart w:id="759" w:name="pg2375_19950"/>
    </w:p>
    <w:p>
      <w:pPr>
        <w:pStyle w:val="Heading4"/>
        <w:numPr>
          <w:ilvl w:val="3"/>
          <w:numId w:val="1"/>
        </w:numPr>
        <w:rPr/>
      </w:pPr>
      <w:bookmarkStart w:id="760" w:name="__RefHeading___Toc2903437_3804643083"/>
      <w:bookmarkStart w:id="761" w:name="_Toc289"/>
      <w:bookmarkEnd w:id="759"/>
      <w:bookmarkEnd w:id="760"/>
      <w:r>
        <w:rPr>
          <w:rtl w:val="true"/>
        </w:rPr>
        <w:t>آيا هُجر متجاهر به فسق جايز است؟</w:t>
      </w:r>
      <w:bookmarkEnd w:id="761"/>
    </w:p>
    <w:p>
      <w:pPr>
        <w:pStyle w:val="BookText"/>
        <w:rPr/>
      </w:pPr>
      <w:r>
        <w:rPr>
          <w:rFonts w:ascii="IRNazanin" w:hAnsi="IRNazanin" w:eastAsia="IRNazanin"/>
          <w:color w:val="111111"/>
          <w:sz w:val="28"/>
          <w:sz w:val="28"/>
          <w:szCs w:val="28"/>
          <w:rtl w:val="true"/>
          <w:lang w:bidi="fa-IR"/>
        </w:rPr>
        <w:t xml:space="preserve">در مورد غيبت متجاهر به فسق اگر دليل بر جواز، مفهوم موثقه‌ي سماعة بن مهران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عَامَلَ النَّاسَ فَلَمْ يَظْلِمْهُمْ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مِمَّنْ حَرُمَتْ غِيبَتُهُ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بْنِ خَالِدٍ عَنْ عُثْمَانَ بْنِ عِيسَى عَنْ سَمَاعَةَ بْنِ مِهْرَانَ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 حَدَّثَهُمْ فَلَمْ يَكْذِبْهُمْ وَ وَاعَدَهُمْ فَلَمْ يُخْلِفْهُمْ كَانَ مِمَّنْ حَرُمَتْ غِيبَتُهُ وَ كَمَلَتْ مُرُوَّتُهُ وَ ظَهَرَ عَدْلُهُ وَ وَجَبَتْ أُخُوَّتُهُ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استاد دام ظله الوارف در مبحث غيبت در مورد دلالت روايت و نقد آن اين‌چنين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به صورت جمله‌ي شرطيه است؛ يعني كسي كه داراي صفات مذكورِ در روايت باشد، غيبتش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يكي از موارد شرط شده نباشد، غيبت فرد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مفهوم شرط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انتفاي سنخ حكم، هنگام انتفاي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كسي در حقّ مردم ظلم كرد يا دروغ گفت يا خلف وعده كرد، ديگر غيبتش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كه موارد مذكورِ در روايت، از باب مثال است و مثلاً كذب با تهمت يا بي‌حيايي، فرقي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در دلالت روايت</w:t>
      </w:r>
    </w:p>
    <w:p>
      <w:pPr>
        <w:pStyle w:val="BookText"/>
        <w:rPr/>
      </w:pPr>
      <w:r>
        <w:rPr>
          <w:rFonts w:ascii="Amiri" w:hAnsi="Amiri" w:eastAsia="Amiri" w:cs="Amiri"/>
          <w:color w:val="111111"/>
          <w:sz w:val="28"/>
          <w:sz w:val="28"/>
          <w:szCs w:val="28"/>
          <w:rtl w:val="true"/>
          <w:lang w:bidi="ar-SA"/>
        </w:rPr>
        <w:t>ما به اين استدلال دو اشكال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در مطلق شرطيه قائل به ثبوت مفهوم نمي‌باشيم، مگر قرائن خاصّه‌اي وجود داشته باشد، در اين روايت هدف اصلي بيان حدود حرمت غيبت نيست، بلكه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يك مجموعه، يك مجموعه‌ي ديگر محقّق مي‌شود؛ يعني در كسي كه معاشرت با مردم دارد اگر ظلم، كذب و خلف وعد نباشد، براي اين فرد حرمت غيبت، كمال مروّت، ظهور عدالت و وجوب برادري ثابت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اين امور چهارگانه مترتّب بر آن مجموعه‌ي سه‌گانه مي‌باشد كه البته با انتفاء مجموعه‌ي اوّل ـ كه با انتفاء هر يك از امور سه‌گانه منتفي مي‌شود ـ مجموعه‌ي دوم منتفي است و چون در مقام تحديد است و با توجّه به برخي نكات ديگر، سنخ مجموعه‌ي دوم منتفي است، ولي نمي‌توان گفت با انتفاء هر يك از مجموعه‌ي اوّل يا حتّي كلّ مجموعه‌ي اوّل، تك‌تك مجموعه‌ي دوم از جمله حرمت غيبت و به خصوص سنخ حرمت غيبت منتفي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قرينه‌اي در روايت هست كه با وجود آن نمي‌توان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سنخ جزا منتفي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قرينه‌ي مورد نظر اين است كه يكي از موارد، خلف وعد بود؛ يعني شخص، مرتكب خلف وعد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بنابر مبناي مشهور، خلف وعد حرام نيست، چگونه بگوييم اگر كسي خلف وعد كرد غيبتش جايز است و از عدالت هم ساقط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اصلاً حرام نبوده و كسي كه خلف وعد كرده، مرتكب حرامي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معناي پيمان دوطرفه است، التزام به وجوب رعايت آن قريب است و از اين نظر، اشكال منتفي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كسي به استدلال به اين روايت اشكال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مفهوم داشته باشد، پس كسي كه مخفيانه هم گناه كرد، عدالتش ساقط و غيبتش جايز مي‌شود؛ زيرا در روايت مفروض نيست كسي كه ظلم به مردم يا دروغ يا خلف وعد را علني انجام دهد، بلكه روايت از اين حيث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اشكال، به روايت قبل هم شد و جناب شيخ در پاسخ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غير متجاهر، قطعاً از شمول روايت خارج است و تنها مجاهر به فسق، تحت حكم روايت باقي مي‌ماند و بلكه گفته شده است اطلاق موثّقه از اين جهت با برخي روايات؛ مثل روايت ابن ابي يعفور و روايت ابن الجهم مقيّد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وانگهي اساساً با تعبيري كه در روايت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عامل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توضيحي كه داديم روشن مي‌شود موضوعِ حكم، منطوقاً و مفهوماً كسي است كه با افراد متعدّدي معاشرت و معامله دارد و چنين فردي گناهش مخفي باقي نمي‌ماند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مقلات فقهي</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گسترده‌ي فقهي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نظير آن باشد، اين ملاك چون در</w:t>
      </w:r>
    </w:p>
    <w:p>
      <w:pPr>
        <w:pStyle w:val="BookText"/>
        <w:rPr/>
      </w:pPr>
      <w:r>
        <w:rPr>
          <w:rFonts w:ascii="IRNazanin" w:hAnsi="IRNazanin" w:eastAsia="IRNazanin"/>
          <w:color w:val="111111"/>
          <w:sz w:val="28"/>
          <w:sz w:val="28"/>
          <w:szCs w:val="28"/>
          <w:rtl w:val="true"/>
          <w:lang w:bidi="fa-IR"/>
        </w:rPr>
        <w:t>مورد هُجر متجاهر به فسق هم وجود دارد، پس همان مقدار كه غيبت جايز است، هُجر هم جايز خواهد بود؛ خصوصاً اگر مصداق نهي از منكر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ملاك جواز غيبت متجاهر را عدم وجود مقتضي حرمت دانستيم ـ چون اصلاً غيبت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متجاهر، ستري نداشته و خودش آشكارا مرتكب مي‌شود ـ در اين صورت تعدّي از جواز غيبت به جواز هُجر مشكل خواهد بود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ما مي‌گوييم اصلاً اطلاقي كه سنداً و دلالتاً تام باشد و بيان كند هُجر و فحش بما هو هُجرٌ و فحشٌ مطلقاً حرام است وجود ندارد، بنابراين نمي‌توانيم بگوييم فحش نسبت به متجاهر به فسق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صورتي است كه مشتمل بر افتراء و دروغ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هم اگر اطلاقي كه سنداً و دلالتاً تام باشد در مورد حرمت فحش بما هو فحش نداشته باشيم، ولي در مورد عناوين ديگري مانند استخفاف، تحقير و اهانت مؤمن كه چنين اطلاقي وجود دارد و موضوعش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عادل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چون فحش متجاهر به فسق مصداق استخفاف، تحقير و اهانت مؤمن است، جايز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بحث غيبت متجاهر بيان كرديم، ادلّه‌ي حرمت غيبت نسبت به متجاهري كه خودش آبروي خودش را مي‌برد و حرمتي براي خود قائل نيست قاصر است، بعيد نيست بگوييم ادلّه‌ي حرمت استخفاف، تحقير و اهانت هم از كسي كه خودش با ارتكاب علني گناه، خودش را تحقير مي‌كند و حرمتي براي خود قائل نيست، منصرف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غير علني و مخفيانه مرتكب فسق شود، كسي حقّ ندارد او را تحقير و تعيير كند؛ چون اطلاقات شامل او مي‌شود و بلكه در صحيحه‌ي عبدالله بن سنان تصريح به آن مي‌كند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مُحَمَّدِ بْنِ يَحْيَى عَنْ أَحْمَدَ بْن مُحَمَّدِ بْنِ عِيسَى عَنِ ابْنِ مَحْبُوبٍ عَنْ عَبْدِ اللَّهِ بْنِ سِنَانٍ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عَيَّرَ مُؤْمِناً بِذَنْبٍ لَمْ يَمُتْ حَتَّى يَرْكَبَه</w:t>
      </w:r>
      <w:r>
        <w:rPr>
          <w:rFonts w:eastAsia="Amiri" w:cs="Amiri" w:ascii="Amiri" w:hAnsi="Amiri"/>
          <w:color w:val="111111"/>
          <w:sz w:val="28"/>
          <w:szCs w:val="28"/>
          <w:rtl w:val="true"/>
          <w:lang w:bidi="ar-SA"/>
        </w:rPr>
        <w:t>.</w:t>
      </w:r>
      <w:r>
        <w:rPr>
          <w:rStyle w:val="FootnoteAnchor"/>
          <w:rtl w:val="true"/>
        </w:rPr>
        <w:footnoteReference w:id="457"/>
      </w:r>
      <w:bookmarkStart w:id="762" w:name="pg2375_19954"/>
    </w:p>
    <w:p>
      <w:pPr>
        <w:pStyle w:val="BookText"/>
        <w:rPr/>
      </w:pPr>
      <w:bookmarkEnd w:id="762"/>
      <w:r>
        <w:rPr>
          <w:rFonts w:ascii="IRNazanin" w:hAnsi="IRNazanin" w:eastAsia="IRNazanin"/>
          <w:color w:val="111111"/>
          <w:sz w:val="28"/>
          <w:sz w:val="28"/>
          <w:szCs w:val="28"/>
          <w:rtl w:val="true"/>
          <w:lang w:bidi="fa-IR"/>
        </w:rPr>
        <w:t>عبدالله بن سنان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مؤمني را به خاطر گناهي</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مرتكب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تعيير كند، نمي‌ميرد مگر اين‌كه خودش نيز مرتكب آن گناه شود</w:t>
      </w:r>
      <w:r>
        <w:rPr>
          <w:rFonts w:eastAsia="IRNazanin" w:cs="IRNazanin"/>
          <w:color w:val="111111"/>
          <w:sz w:val="28"/>
          <w:szCs w:val="28"/>
          <w:rtl w:val="true"/>
          <w:lang w:bidi="fa-IR"/>
        </w:rPr>
        <w:t>.</w:t>
      </w:r>
    </w:p>
    <w:p>
      <w:pPr>
        <w:pStyle w:val="Heading4"/>
        <w:numPr>
          <w:ilvl w:val="3"/>
          <w:numId w:val="1"/>
        </w:numPr>
        <w:rPr/>
      </w:pPr>
      <w:bookmarkStart w:id="763" w:name="__RefHeading___Toc2903439_3804643083"/>
      <w:bookmarkStart w:id="764" w:name="_Toc290"/>
      <w:bookmarkEnd w:id="763"/>
      <w:r>
        <w:rPr>
          <w:rtl w:val="true"/>
        </w:rPr>
        <w:t>حكم فحش انشائي</w:t>
      </w:r>
      <w:bookmarkEnd w:id="764"/>
    </w:p>
    <w:p>
      <w:pPr>
        <w:pStyle w:val="BookText"/>
        <w:rPr/>
      </w:pPr>
      <w:r>
        <w:rPr>
          <w:rFonts w:ascii="IRNazanin" w:hAnsi="IRNazanin" w:eastAsia="IRNazanin"/>
          <w:color w:val="111111"/>
          <w:sz w:val="28"/>
          <w:sz w:val="28"/>
          <w:szCs w:val="28"/>
          <w:rtl w:val="true"/>
          <w:lang w:bidi="fa-IR"/>
        </w:rPr>
        <w:t>تا اين‌جا كلام در مورد فحش و هُجر إخباري بود، حال اگر به صورت انشائي فحش بدهد؛ مثلاً بگويد بول به صورت فلاني ـ چون فحش يعني القبيح من القول و شامل انشائيات هم مي‌شود ـ آيا حكمش مانند فحش إخباري است؟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انشائي نسبت به مؤمن غير مجاهر به فسق، معلوم است كه جايز نيست و نسبت به مؤمن مجاهر به فسق هم مي‌توانيم بگوييم جايز نيست؛ زيرا طبق برخي روايات صحيحه، اهانت به مؤمن مطلقاً حرام است، فقط اهانت در خصوص مواردي كه خود مؤمن علناً مرتكب مي‌شود، گفتيم اطلاقات ادلّه از فحش إخباري يا در قوّه‌ي إخباري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ادلّه‌ي حرمت اهانت نسبت به فحش‌هاي انشايي اطلاق دارد و علي الاظهر حرام است، خصوصاً واژه‌ها و عباراتي كه فطرت از</w:t>
      </w:r>
    </w:p>
    <w:p>
      <w:pPr>
        <w:pStyle w:val="BookText"/>
        <w:rPr/>
      </w:pPr>
      <w:r>
        <w:rPr>
          <w:rFonts w:ascii="IRNazanin" w:hAnsi="IRNazanin" w:eastAsia="IRNazanin"/>
          <w:color w:val="111111"/>
          <w:sz w:val="28"/>
          <w:sz w:val="28"/>
          <w:szCs w:val="28"/>
          <w:rtl w:val="true"/>
          <w:lang w:bidi="fa-IR"/>
        </w:rPr>
        <w:t>استعمال آن‌ها نفرت دارد و استعمال آن‌ها استعمال خبائث است، مگر در موارد نادري كه از باب تزاحم ملتزم به جواز آن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فحش انشائي نسبت به مؤمن مبتدع هم مي‌گوييم اگر به عنوان نهي از منكر باشد، جايز بالمعني الاعم بوده و حتّي گاهي ممكن است واجب يا مستحب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هم به عنوان نهي از منكر نباشد، در صورتي كه عناوين ثانويه‌اي بر آن منطبق نباشد، باز نمي‌توانيم بگوييم حرمت دارد؛ چون اطلاقات ادلّه‌ي حرمت فحش، تعيير، اهانت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صحيحه‌ي داود بن سرحان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مُحَمَّدُ بْنُ يَعْقُوبَ عَنْ مُحَمَّدِ بْنِ مُحَمَّدِ بْنِ الْحُسَيْنِ عَنْ أَحْمَدَ بْنِ مُحَمَّدِ بْنِ أَبِي نَصْرٍ عَنْ دَاوُدَ بْنِ سِرْحَانَ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الْوَقِيعَةِ وَ بَاهِتُوهُمْ كَيْلَا يَطْمَعُوا فِي الْفَسَادِ فِي الْإِسْلَامِ وَ يَحْذَرَهُمُ النَّاسُ وَ لَا يَتَعَلَّمُونَ مِنْ بِدَعِهِمْ يَكْتُبِ اللَّهُ لَكُمْ بِذَلِكَ الْحَسَنَاتِ وَ يَرْفَعْ لَكُمْ بِهِ الدَّرَجَاتِ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غير مؤمن هم حكم اين‌چنين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اين عبارات را آن‌قدر تكرار كند كه فحّاش، متفحّش و بذي اللسان بر او صدق كند، شايد خلاف بعضي روايات يا مجموع آن‌ها باشد، مانند صحيحه‌ي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شِرَارِ</w:t>
      </w:r>
    </w:p>
    <w:p>
      <w:pPr>
        <w:pStyle w:val="BookText"/>
        <w:rPr/>
      </w:pPr>
      <w:r>
        <w:rPr>
          <w:rFonts w:ascii="Amiri" w:hAnsi="Amiri" w:eastAsia="Amiri" w:cs="Amiri"/>
          <w:color w:val="111111"/>
          <w:sz w:val="28"/>
          <w:sz w:val="28"/>
          <w:szCs w:val="28"/>
          <w:rtl w:val="true"/>
          <w:lang w:bidi="ar-SA"/>
        </w:rPr>
        <w:t xml:space="preserve">رِجَالِكُمُ الْبَهَّاتَ الْجَرِي‌ءَ الْفَحَّاشَ </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ابْنِ رِئَابٍ عَنْ أَبِي حَمْزَةَ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بِشِرَارِ رِجَالِكُمْ؟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شِرَارِ رِجَالِكُمُ الْبَهَّاتَ الْجَرِي‌ءَ الْفَحَّاشَ الْآكِلَ وَحْدَهُ وَ الْمَانِعَ رِفْدَهُ وَ الضَّارِبَ عَبْدَهُ وَ الْمُلْجِئَ عِيَالَهُ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هرچند بعيد نيست مقصود كسي باشد كه همه‌ي اين صفات را جمع كرده است ـ و روايت سكوني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يَقْبَلُ شَهَادَةَ فَحَّاشٍ وَ لَا ذِي مُخْزِيَةٍ فِي 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النَّوْفَلِيِّ عَنِ السَّكُونِيِّ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يَقْبَلُ شَهَادَةَ فَحَّاشٍ وَ لَا ذِي مُخْزِيَةٍ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موثقه يا صحيحه‌ي أبي حمزه كه در آن شريرترين مردم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الْمُتَفَحِّشُ اللَّعَّان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أَسْبَاطٍ عَنْ دَاوُدَ بْنِ النُّعْمَانِ عَنْ أَبِي حَمْزَةَ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بِشِرَارِكُمْ؟ قَالُوا 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يَمْنَعُ رِفْدَهُ وَ يَضْرِبُ عَبْدَهُ وَ يَتَزَوَّدُ وَحْدَهُ فَظَنُّوا أَنَّ اللَّهَ لَمْ يَخْلُقْ خَلْقاً هُوَ شَرٌّ مِنْ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بِمَنْ هُوَ شَرٌّ 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يُرْجَى خَيْرُهُ وَ لَا يُؤْمَنُ شَرُّهُ فَظَنُّوا أَنَّ اللَّهَ لَمْ يَخْلُقْ خَلْقاً هُوَ شَرٌّ مِنْ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بِمَنْ هُوَ شَرٌّ 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الْمُتَفَحِّشُ اللَّعَّانُ الَّذِي إِذَا ذُكِرَ عِنْدَهُ الْمُؤْمِنُونَ لَعَنَهُمْ وَ إِذَا ذَكَرُوهُ لَعَنُوهُ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معرفي شده است و روايت</w:t>
      </w:r>
    </w:p>
    <w:p>
      <w:pPr>
        <w:pStyle w:val="BookText"/>
        <w:rPr/>
      </w:pPr>
      <w:r>
        <w:rPr>
          <w:rFonts w:ascii="Amiri" w:hAnsi="Amiri" w:eastAsia="Amiri" w:cs="Amiri"/>
          <w:color w:val="111111"/>
          <w:sz w:val="28"/>
          <w:sz w:val="28"/>
          <w:szCs w:val="28"/>
          <w:rtl w:val="true"/>
          <w:lang w:bidi="ar-SA"/>
        </w:rPr>
        <w:t xml:space="preserve">حلبي كه مي‌فرمايد براي عدّه‌اي عذاب اليم است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 الْمُتَفَحِّش</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إِلَيْهِمْ يَوْمَ الْقِيَامَةِ وَ لَا يُزَكِّيهِمْ وَ لَهُمْ عَذَابٌ أَلِيمٌ الدَّيُّوثُ مِنَ الرِّجَالِ وَ الْفَاحِشُ الْمُتَفَحِّشُ وَ الَّذِي يَسْأَلُ النَّاسَ وَ فِي يَدِهِ ظَهْرُ 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باز ممكن است كسي ادعا كند كه اطلاق اين روايات، داراي مقيّد است و يا انصراف به فحش و بذاءتِ ناحق دارد، ولي به هر حال خلاف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آن‌كه از بعض روايت استفاده مي‌شود فحش بي‌جا حتّي نسبت به كافر، خلاف كرائم اخلاقي مانند حلم، رفق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زرارة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عُمَرَ بْنِ أُذَيْنَةَ عَنْ زُرَارَةَ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يَهُودِيٌ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عَائِشَةُ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ثُمَّ دَخَلَ آخَرُ فَقَالَ مِثْلَ ذَلِكَ فَرَدَّ عَلَيْهِ كَمَا رَدَّ عَلَى صَاحِبِهِ ثُمَّ دَخَلَ آخَرُ فَقَالَ مِثْلَ ذَلِكَ فَرَدَّ عَلَيْهِ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 عَلَى صَاحِبَيْهِ فَغَضِبَتْ عَائِشَةُ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السَّامُ وَ الْغَضَبُ وَ اللَّعْنَةُ يَا مَعْشَرَ الْيَهُودِ يَا إِخْوَةَ الْقِرَدَةِ وَ الْخَنَازِيرِ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الْفُحْشَ لَوْ كَانَ مُمَثَّلًا لَكَانَ مِثَالَ سَوْءٍ إِنَّ الرِّفْقَ لَمْ يُوضَعْ عَلَى شَيْ‌ءٍ قَطُّ إِلَّا زَانَهُ وَ لَمْ يُرْفَعْ عَنْهُ قَطُّ إِلَّا شَانَهُ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مَا سَمِعْتَ إِلَى قَوْلِهِمْ السَّامُ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 مَا سَمِعْتِ مَا رَدَدْتُ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فَإِذَا سَلَّمَ عَلَيْكُمْ مُسْلِمٌ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فَإِذَا سَلَّمَ عَلَيْكُمْ كَافِرٌ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يهودي بر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عائشه در كنارشان بود داخل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جسارت به جاي 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به معناي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مثل فرد قبلي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همان‌طور پاسخ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فرمودند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فرد ديگري وارد شد و او هم مثل دو نفر قبلي گفت و حضرت هم همان پاسخ را دادند تا اين‌كه عائشه غضب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السام و الغضب و اللعنة، اي يهوديان، اي برادران ميمون و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عائشه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اگر ممثل و</w:t>
      </w:r>
    </w:p>
    <w:p>
      <w:pPr>
        <w:pStyle w:val="BookText"/>
        <w:rPr/>
      </w:pPr>
      <w:r>
        <w:rPr>
          <w:rFonts w:ascii="IRNazanin" w:hAnsi="IRNazanin" w:eastAsia="IRNazanin"/>
          <w:color w:val="111111"/>
          <w:sz w:val="28"/>
          <w:sz w:val="28"/>
          <w:szCs w:val="28"/>
          <w:rtl w:val="true"/>
          <w:lang w:bidi="fa-IR"/>
        </w:rPr>
        <w:t>مجسم مي‌شد به شكل بدي ممثل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 و مدارا بر چيزي گذاشته نمي‌شود مگر آن‌كه باعث زينت آن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اين‌جا مناسب رفق و مدارا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نشنيديد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عليكم؟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مگرنشنيدي چه پاسخ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يك قاعده‌ي كلي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مسلماني بر شما سلام كرد در جوابش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و اگر كافري سلام كرد در جواب فقط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روايت نمي‌توانيم استفاده‌ي حرمت فحش به كفار كنيم، ولي استفاده مي‌شود مناسب است در موارد خاصي به خاطر رفق، مدارا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 زشت و قبيح استفاده نشود، ولي اگر هيچ يك از اين جهات نباشد، نه تنها مرجوح نيست بلكه رجحان هم دارد؛ چون خداوند متعال استعمال كرده است، مانند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مَثَلُ الَّذينَ حُمِّلُوا التَّوْراةَ ثُمَّ لَمْ يَحْمِلُوها كَمَثَلِ الْحِمارِ يَحْمِلُ أَسْفاراً</w:t>
      </w:r>
      <w:r>
        <w:rPr>
          <w:rFonts w:eastAsia="IRNazanin" w:cs="IRNazanin"/>
          <w:color w:val="111111"/>
          <w:sz w:val="28"/>
          <w:szCs w:val="28"/>
          <w:rtl w:val="true"/>
          <w:lang w:bidi="fa-IR"/>
        </w:rPr>
        <w:t>&gt;</w:t>
      </w:r>
      <w:r>
        <w:rPr>
          <w:rStyle w:val="FootnoteAnchor"/>
          <w:rtl w:val="true"/>
        </w:rPr>
        <w:footnoteReference w:id="4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&gt;</w:t>
      </w:r>
      <w:r>
        <w:rPr>
          <w:rStyle w:val="FootnoteAnchor"/>
          <w:rtl w:val="true"/>
        </w:rPr>
        <w:footnoteReference w:id="464"/>
      </w:r>
      <w:bookmarkStart w:id="765" w:name="pg2375_19960"/>
    </w:p>
    <w:p>
      <w:pPr>
        <w:pStyle w:val="Heading2"/>
        <w:numPr>
          <w:ilvl w:val="1"/>
          <w:numId w:val="1"/>
        </w:numPr>
        <w:rPr/>
      </w:pPr>
      <w:bookmarkStart w:id="766" w:name="__RefHeading___Toc2903441_3804643083"/>
      <w:bookmarkStart w:id="767" w:name="_Toc291"/>
      <w:bookmarkEnd w:id="765"/>
      <w:bookmarkEnd w:id="766"/>
      <w:r>
        <w:rPr>
          <w:rtl w:val="true"/>
        </w:rPr>
        <w:t>بيع مصحف</w:t>
      </w:r>
      <w:bookmarkEnd w:id="76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8" w:name="__RefHeading___Toc2903443_3804643083"/>
      <w:bookmarkStart w:id="769" w:name="_Toc292"/>
      <w:bookmarkEnd w:id="768"/>
      <w:r>
        <w:rPr>
          <w:rtl w:val="true"/>
        </w:rPr>
        <w:t>اشاره</w:t>
      </w:r>
      <w:bookmarkStart w:id="770" w:name="pg2375_19962"/>
      <w:bookmarkEnd w:id="769"/>
    </w:p>
    <w:p>
      <w:pPr>
        <w:pStyle w:val="Heading3"/>
        <w:numPr>
          <w:ilvl w:val="2"/>
          <w:numId w:val="1"/>
        </w:numPr>
        <w:rPr/>
      </w:pPr>
      <w:bookmarkStart w:id="771" w:name="__RefHeading___Toc2903445_3804643083"/>
      <w:bookmarkStart w:id="772" w:name="_Toc293"/>
      <w:bookmarkEnd w:id="770"/>
      <w:bookmarkEnd w:id="771"/>
      <w:r>
        <w:rPr>
          <w:rtl w:val="true"/>
        </w:rPr>
        <w:t>حرمت بيع مصحف</w:t>
      </w:r>
      <w:bookmarkEnd w:id="772"/>
    </w:p>
    <w:p>
      <w:pPr>
        <w:pStyle w:val="Heading4"/>
        <w:numPr>
          <w:ilvl w:val="3"/>
          <w:numId w:val="1"/>
        </w:numPr>
        <w:rPr/>
      </w:pPr>
      <w:bookmarkStart w:id="773" w:name="__RefHeading___Toc2903447_3804643083"/>
      <w:bookmarkStart w:id="774" w:name="_Toc294"/>
      <w:bookmarkEnd w:id="773"/>
      <w:r>
        <w:rPr>
          <w:rtl w:val="true"/>
        </w:rPr>
        <w:t>اشاره</w:t>
      </w:r>
      <w:bookmarkEnd w:id="774"/>
    </w:p>
    <w:p>
      <w:pPr>
        <w:pStyle w:val="BookText"/>
        <w:rPr/>
      </w:pPr>
      <w:r>
        <w:rPr>
          <w:rFonts w:ascii="Amiri" w:hAnsi="Amiri" w:eastAsia="Amiri" w:cs="Amiri"/>
          <w:color w:val="111111"/>
          <w:sz w:val="28"/>
          <w:sz w:val="28"/>
          <w:szCs w:val="28"/>
          <w:rtl w:val="true"/>
          <w:lang w:bidi="ar-SA"/>
        </w:rPr>
        <w:t>مسأله‌ي</w:t>
      </w:r>
      <w:r>
        <w:rPr>
          <w:rStyle w:val="FootnoteAnchor"/>
          <w:rtl w:val="true"/>
        </w:rPr>
        <w:footnoteReference w:id="465"/>
      </w:r>
      <w:r>
        <w:rPr>
          <w:rFonts w:ascii="IRNazanin" w:hAnsi="IRNazanin" w:eastAsia="IRNazanin"/>
          <w:color w:val="111111"/>
          <w:sz w:val="28"/>
          <w:sz w:val="28"/>
          <w:szCs w:val="28"/>
          <w:rtl w:val="true"/>
          <w:lang w:bidi="fa-IR"/>
        </w:rPr>
        <w:t>مورد ابتلايي كه از صدر اسلام تا كنون مطرح بوده و تقريباً هيچ مسلماني از آن فارغ نيست، بحث بيع مصحف است كه آيا خريد و فروش قرآن جايز است يا چنان‌كه عده‌اي مي‌گويند حرام است؟ كما اين‌كه امروزه نيز خريد و فروش قرآن مرسوم نيست و به صورت هديه معاوضه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اعلامي را نام مي‌برد كه تصريح به حرمت بيع مصحف كرده‌اند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جماعة كما عن النهاية و السرائر و التذكرة و الدروس و جامع المقاصد بحرمة بيع المصحف و المراد به كما صرّح به في الدروس خطه و ظاهر المحكي عن نهاية الإحكام اشتهارها بين الصحابة،</w:t>
      </w:r>
    </w:p>
    <w:p>
      <w:pPr>
        <w:pStyle w:val="BookText"/>
        <w:rPr/>
      </w:pPr>
      <w:r>
        <w:rPr>
          <w:rFonts w:ascii="Amiri" w:hAnsi="Amiri" w:eastAsia="Amiri" w:cs="Amiri"/>
          <w:color w:val="111111"/>
          <w:sz w:val="28"/>
          <w:sz w:val="28"/>
          <w:szCs w:val="28"/>
          <w:rtl w:val="true"/>
          <w:lang w:bidi="ar-SA"/>
        </w:rPr>
        <w:t>حيث تمسّك على الحرمة بمنع الصحابة، و عليه تدلّ ظواهر الأخبار المستفيضة</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در بين اين اعلام ابن ادريس هم كه به اخبار آحاد عمل نمي‌كند، قائل به حرمت بيع مصحف شده در حالي كه مستند حرمت، اخبار آحاد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همان‌طور كه شيخ مي‌فرمايد 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نهاية الاحكام</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بيع المصحف و شراؤه حرام، بل يباع الجلد و الورق، لمنع الصحابة منه و لم يعلم لهم مخالف، و لأنه يشتمل على كلام اللّه فيجب صيانته عن البيع و الابتذال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منع صحابه نيز استناد كرده، هرچند منع صحابه در حدّي نيست كه بتواند مدرك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عمده دليل بر حرمت، روايات است و همان‌طور كه مرحوم شيخ مي‌فرمايد اخبار ظهور در حرمت دارد، هرچند ايشان در نهايت به خاطر بعضي وجوه اعتباري از إفتاء به حرمت صرف نظر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عده‌اي مانند علامه‌ي بحرالعلوم، صاحب 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متأخرين و معاصرين قائل به كراهت و عدم حرمت بيع مصحف شده‌اند و مستند آن‌ها نيز بعضي روايات است كه دالّ بر جواز بيع مصحف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رسيدگي به اين مسأله با اين ابتلاء فراگير و اختلافي كه در فتوا وجود دارد، داراي اهميت ويژه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رسيدگي به اين مسأله، اوّل روايات دالّ بر حرمت و</w:t>
      </w:r>
      <w:bookmarkStart w:id="775" w:name="pg2375_19964"/>
    </w:p>
    <w:p>
      <w:pPr>
        <w:pStyle w:val="BookText"/>
        <w:rPr/>
      </w:pPr>
      <w:bookmarkEnd w:id="775"/>
      <w:r>
        <w:rPr>
          <w:rFonts w:ascii="IRNazanin" w:hAnsi="IRNazanin" w:eastAsia="IRNazanin"/>
          <w:color w:val="111111"/>
          <w:sz w:val="28"/>
          <w:sz w:val="28"/>
          <w:szCs w:val="28"/>
          <w:rtl w:val="true"/>
          <w:lang w:bidi="fa-IR"/>
        </w:rPr>
        <w:t>سپس روايات دالّ بر جواز را بررسي مي‌كنيم</w:t>
      </w:r>
      <w:r>
        <w:rPr>
          <w:rFonts w:eastAsia="IRNazanin" w:cs="IRNazanin"/>
          <w:color w:val="111111"/>
          <w:sz w:val="28"/>
          <w:szCs w:val="28"/>
          <w:rtl w:val="true"/>
          <w:lang w:bidi="fa-IR"/>
        </w:rPr>
        <w:t>.</w:t>
      </w:r>
    </w:p>
    <w:p>
      <w:pPr>
        <w:pStyle w:val="Heading4"/>
        <w:numPr>
          <w:ilvl w:val="3"/>
          <w:numId w:val="1"/>
        </w:numPr>
        <w:rPr/>
      </w:pPr>
      <w:bookmarkStart w:id="776" w:name="__RefHeading___Toc2903449_3804643083"/>
      <w:bookmarkStart w:id="777" w:name="_Toc295"/>
      <w:bookmarkEnd w:id="776"/>
      <w:r>
        <w:rPr>
          <w:rtl w:val="true"/>
        </w:rPr>
        <w:t>روايت دالّ بر حرمت بيع مصحف</w:t>
      </w:r>
      <w:bookmarkEnd w:id="777"/>
    </w:p>
    <w:p>
      <w:pPr>
        <w:pStyle w:val="Heading5"/>
        <w:numPr>
          <w:ilvl w:val="4"/>
          <w:numId w:val="1"/>
        </w:numPr>
        <w:rPr/>
      </w:pPr>
      <w:bookmarkStart w:id="778" w:name="__RefHeading___Toc2903451_3804643083"/>
      <w:bookmarkStart w:id="779" w:name="_Toc296"/>
      <w:bookmarkEnd w:id="778"/>
      <w:r>
        <w:rPr>
          <w:rtl w:val="true"/>
        </w:rPr>
        <w:t>اشاره</w:t>
      </w:r>
      <w:bookmarkEnd w:id="779"/>
    </w:p>
    <w:p>
      <w:pPr>
        <w:pStyle w:val="BookText"/>
        <w:rPr/>
      </w:pPr>
      <w:r>
        <w:rPr>
          <w:rFonts w:ascii="Amiri" w:hAnsi="Amiri" w:eastAsia="Amiri" w:cs="Amiri"/>
          <w:color w:val="111111"/>
          <w:sz w:val="28"/>
          <w:sz w:val="28"/>
          <w:szCs w:val="28"/>
          <w:rtl w:val="true"/>
          <w:lang w:bidi="ar-SA"/>
        </w:rPr>
        <w:t>اين روايات را صاحب 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بابي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عَدَمِ جَوَازِ بَيْعِ الْمُصْحَفِ وَ جَوَازِ بَيْعِ الْوَرَقِ وَ الْجِلْدِ وَ نَحْوِهِمَا وَ أَخْذِ الْأُجْرَةِ عَلَى 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جمع‌آوري كرده كه معلوم مي‌شود فتواي ايشان نيز حرمت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عبارتند از</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2903453_3804643083"/>
      <w:bookmarkStart w:id="781" w:name="_Toc297"/>
      <w:bookmarkEnd w:id="780"/>
      <w:r>
        <w:rPr/>
        <w:t>1</w:t>
      </w:r>
      <w:r>
        <w:rPr>
          <w:rtl w:val="true"/>
        </w:rPr>
        <w:t xml:space="preserve">. </w:t>
      </w:r>
      <w:r>
        <w:rPr>
          <w:rtl w:val="true"/>
        </w:rPr>
        <w:t>روايت عبدالرحمان بن سيابه</w:t>
      </w:r>
      <w:r>
        <w:rPr>
          <w:rtl w:val="true"/>
        </w:rPr>
        <w:t>:</w:t>
      </w:r>
      <w:bookmarkEnd w:id="781"/>
    </w:p>
    <w:p>
      <w:pPr>
        <w:pStyle w:val="BookText"/>
        <w:rPr/>
      </w:pPr>
      <w:r>
        <w:rPr>
          <w:rFonts w:ascii="Amiri" w:hAnsi="Amiri" w:eastAsia="Amiri" w:cs="Amiri"/>
          <w:color w:val="111111"/>
          <w:sz w:val="28"/>
          <w:sz w:val="28"/>
          <w:szCs w:val="28"/>
          <w:rtl w:val="true"/>
          <w:lang w:bidi="ar-SA"/>
        </w:rPr>
        <w:t>مُحَمَّدُ بْنُ يَعْقُوبَ عَنْ مُحَمَّدِ بْنِ يَحْيَى عَنْ عَبْدِ اللَّهِ بْنِ مُحَمَّدٍ</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از لحاظ علمي هم فقيه بزرگي بود و نظارت بر عملكرد علماء و اهل حديث داشت و اگر كسي از ضعفاء نقل مي‌كرد، هرچند شخصيت مهمي بود تا مرحله‌ي تبعيد او هم پيش مي‌رفت، به عنوان مثال احمد بن محمد بن خالد البرقي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يروي عن الضعفاء و يعتمد المراسيل و كان لا يبالي عمن يأخذ علي طريقة اهل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بيرون كرد، هرچند بعداً پشيمان شد و عذر خواهي كرد و در تشييع جنازه‌ي او حافياً و حاسراً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برهنه و سر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ـ تا زمان رضا‌خان ملعون كه فرهنگ غرب را به ارمغان آورد، سر برهنه بودن يك نوع عيب بود و جز در موارد خاص، كسي سر برهنه نبود ـ يكي ديگر از كساني كه احمد بن محمد بن عيسي او را از قم اخراج كرد، سهل بن زياد آدمي است كه نجاشي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احمد بن محمد بن عيسي يشهد عليه بالغلو و الكذب و أخرجه من قم الي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محمد بن علي معروف به ابا سمينه را هم از قم اخراج كرد كه نجاشي در اين مورد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قم و قد اشتهر بالكذب بالكوفة و نزل على أحمد بن محمد بن عيسى مدة، ثم تشهر بالغلو، فجفا، و أخرجه أحمد بن محمد بن عيسى عن قم و له 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عبدالله بن محمد هرچند در خانواده‌ي بزرگي بوده، ولي توثيقي از ايشان به ما نرسيده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الْحَكَمِ عَنْ أَبَانٍ عَنْ عَبْدِ</w:t>
      </w:r>
    </w:p>
    <w:p>
      <w:pPr>
        <w:pStyle w:val="BookText"/>
        <w:rPr/>
      </w:pPr>
      <w:r>
        <w:rPr>
          <w:rFonts w:ascii="Amiri" w:hAnsi="Amiri" w:eastAsia="Amiri" w:cs="Amiri"/>
          <w:color w:val="111111"/>
          <w:sz w:val="28"/>
          <w:sz w:val="28"/>
          <w:szCs w:val="28"/>
          <w:rtl w:val="true"/>
          <w:lang w:bidi="ar-SA"/>
        </w:rPr>
        <w:t>الرَّحْمَنِ بْنِ سَيَابَةَ</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لم نجد رواية أبان ـ و هو ابن عثمان ـ عن عبد الرحمن بن سليمان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روى هو عن عبد اللَّه بن سليمان في بعض الأسناد، و مضمون الخبر ورد في 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ـ و قد عبّر عنه بالضمير ـ عن فضالة عن أبان عن أبي عبد اللَّه بن سليمان ـ لكن لم يرد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 التهذيب، كما أنّه لم يذكر في الوسائل،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فلا يبعد أن يكون الصواب في ما نحن فيه أيضاً هو عبد اللَّه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الْمَصَاحِفَ لَنْ تُشْتَرَى فَإِذَا اشْتَرَيْتَ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أَشْتَرِي مِنْكَ الْوَرَقَ وَ مَا فِيهِ مِنَ الْأَدِيمِ‌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ما كان،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المَدْبوغُ،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بعد الأَفيق، و ذلك إِذا تَمَّ و 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الجلْد الذي يَلي اللحم و البَشَرةُ ظاهرها،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الذي عليه الشعَر و باطنه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أَدِيمُ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أَدَمَةُ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سمي وجْهُ الأَرض أَديماً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حِلْيَتَهُ وَ مَا</w:t>
      </w:r>
      <w:bookmarkStart w:id="782" w:name="pg2375_19966"/>
    </w:p>
    <w:p>
      <w:pPr>
        <w:pStyle w:val="BookText"/>
        <w:rPr/>
      </w:pPr>
      <w:bookmarkEnd w:id="782"/>
      <w:r>
        <w:rPr>
          <w:rFonts w:ascii="Amiri" w:hAnsi="Amiri" w:eastAsia="Amiri" w:cs="Amiri"/>
          <w:color w:val="111111"/>
          <w:sz w:val="28"/>
          <w:sz w:val="28"/>
          <w:szCs w:val="28"/>
          <w:rtl w:val="true"/>
          <w:lang w:bidi="ar-SA"/>
        </w:rPr>
        <w:t>فِيهِ مِنْ عَمَلِ يَدِكَ بِكَذَا وَ كَذَا</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عبدالرحمان بن سيابه مي‌گويد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مصاحف هرگز خريداري نمي‌شوند، پس هرگاه خريدي بگو من از تو ورق و 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دباغي شده كه جلد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تزيينات آن و آن‌چه با دستت انجام دادي ـ مثلاً تنظيم و صحافي كردي ـ را در مقابل فلان مقدار مي‌خرم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لحاظ سند به خاطر عبدالله بن محمد و عبدالرحمان بن سيابه ناتمام است، ولي دلالت آن بر حرمت بيع مصحف تمام است؛ زيرا حضرت با لحن محكمي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مصاحف هرگز خريداري نمي‌شود و اگر كسي مي‌خواهد بخرد بايد ورق، اديم، حليه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بخرد</w:t>
      </w:r>
      <w:r>
        <w:rPr>
          <w:rFonts w:eastAsia="IRNazanin" w:cs="IRNazanin"/>
          <w:color w:val="111111"/>
          <w:sz w:val="28"/>
          <w:szCs w:val="28"/>
          <w:rtl w:val="true"/>
          <w:lang w:bidi="fa-IR"/>
        </w:rPr>
        <w:t>.</w:t>
      </w:r>
    </w:p>
    <w:p>
      <w:pPr>
        <w:pStyle w:val="Heading5"/>
        <w:numPr>
          <w:ilvl w:val="4"/>
          <w:numId w:val="1"/>
        </w:numPr>
        <w:rPr/>
      </w:pPr>
      <w:bookmarkStart w:id="783" w:name="__RefHeading___Toc2903455_3804643083"/>
      <w:bookmarkStart w:id="784" w:name="_Toc298"/>
      <w:bookmarkEnd w:id="783"/>
      <w:r>
        <w:rPr/>
        <w:t>2</w:t>
      </w:r>
      <w:r>
        <w:rPr>
          <w:rtl w:val="true"/>
        </w:rPr>
        <w:t xml:space="preserve">. </w:t>
      </w:r>
      <w:r>
        <w:rPr>
          <w:rtl w:val="true"/>
        </w:rPr>
        <w:t>موثقه‌ي سماعة</w:t>
      </w:r>
      <w:r>
        <w:rPr>
          <w:rtl w:val="true"/>
        </w:rPr>
        <w:t>:</w:t>
      </w:r>
      <w:bookmarkEnd w:id="78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عُثْمَانَ بْنِ عِيسَى عَنْ سَمَاعَةَ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الْمَصَاحِفِ وَ شِرَائِهَا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كِتَابَ اللَّهِ وَ لَكِنِ اشْتَرِ الْحَدِيدَ وَ</w:t>
      </w:r>
      <w:bookmarkStart w:id="785" w:name="pg2375_19967"/>
    </w:p>
    <w:p>
      <w:pPr>
        <w:pStyle w:val="BookText"/>
        <w:rPr/>
      </w:pPr>
      <w:bookmarkEnd w:id="785"/>
      <w:r>
        <w:rPr>
          <w:rFonts w:ascii="Amiri" w:hAnsi="Amiri" w:eastAsia="Amiri" w:cs="Amiri"/>
          <w:color w:val="111111"/>
          <w:sz w:val="28"/>
          <w:sz w:val="28"/>
          <w:szCs w:val="28"/>
          <w:rtl w:val="true"/>
          <w:lang w:bidi="ar-SA"/>
        </w:rPr>
        <w:t>الْوَرَقَ وَ الدَّفَّتَيْنِ وَ قُلْ أَشْتَرِي مِنْكَ هَذَا بِكَذَا وَ كَذَا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سماعة بن مهران مي‌گويد از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خريد و فروش مصاحف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را نخر لكن ورق و جلد و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آهني كه در آن به 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لحاظ سند تمام است، هرچند در مورد عثمان بن عيسي مدتي توقف داشتيم ولي با تأمل بيشتر به اين نتيجه رسيديم كه روايات ايشان قابل اعتماد است؛ چون شيخ مي‌فرمايد طائفه به روايات ايشان عمل مي‌كنند و درباره‌ي روايات قدح صحبت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ظهور در حرمت اشتراء مصحف دارد؛ چون حضرت از آن نهي مي‌كنند</w:t>
      </w:r>
      <w:r>
        <w:rPr>
          <w:rFonts w:eastAsia="IRNazanin" w:cs="IRNazanin"/>
          <w:color w:val="111111"/>
          <w:sz w:val="28"/>
          <w:szCs w:val="28"/>
          <w:rtl w:val="true"/>
          <w:lang w:bidi="fa-IR"/>
        </w:rPr>
        <w:t>.</w:t>
      </w:r>
    </w:p>
    <w:p>
      <w:pPr>
        <w:pStyle w:val="Heading5"/>
        <w:numPr>
          <w:ilvl w:val="4"/>
          <w:numId w:val="1"/>
        </w:numPr>
        <w:rPr/>
      </w:pPr>
      <w:bookmarkStart w:id="786" w:name="__RefHeading___Toc2903457_3804643083"/>
      <w:bookmarkStart w:id="787" w:name="_Toc299"/>
      <w:bookmarkEnd w:id="786"/>
      <w:r>
        <w:rPr/>
        <w:t>3</w:t>
      </w:r>
      <w:r>
        <w:rPr>
          <w:rtl w:val="true"/>
        </w:rPr>
        <w:t xml:space="preserve">. </w:t>
      </w:r>
      <w:r>
        <w:rPr>
          <w:rtl w:val="true"/>
        </w:rPr>
        <w:t>مرسله‌ي عثمان به عيسي</w:t>
      </w:r>
      <w:r>
        <w:rPr>
          <w:rtl w:val="true"/>
        </w:rPr>
        <w:t>:</w:t>
      </w:r>
      <w:bookmarkEnd w:id="787"/>
    </w:p>
    <w:p>
      <w:pPr>
        <w:pStyle w:val="BookText"/>
        <w:rPr/>
      </w:pPr>
      <w:r>
        <w:rPr>
          <w:rFonts w:ascii="Amiri" w:hAnsi="Amiri" w:eastAsia="Amiri" w:cs="Amiri"/>
          <w:color w:val="111111"/>
          <w:sz w:val="28"/>
          <w:sz w:val="28"/>
          <w:szCs w:val="28"/>
          <w:rtl w:val="true"/>
          <w:lang w:bidi="ar-SA"/>
        </w:rPr>
        <w:t>وَ رَوَاهُ الشَّيْخُ بِإِسْنَادِهِ عَنِ الْحُسَيْنِ بْنِ سَعِيدٍ 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الْمَصَاحِفِ وَ شِرَائِهَا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كَلَامَ اللَّهِ وَ لَكِنِ اشْتَرِ الْحَدِيدَ وَ الْجُلُودَ وَ الدَّفْتَرَ وَ قُلْ أَشْتَرِي هَذَا مِنْكَ بِكَذَا وَ كَذَا</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آن‌طور كه صاحب وسائل نقل كرده مضمره</w:t>
      </w:r>
      <w:bookmarkStart w:id="788" w:name="pg2375_19968"/>
    </w:p>
    <w:p>
      <w:pPr>
        <w:pStyle w:val="BookText"/>
        <w:rPr/>
      </w:pPr>
      <w:bookmarkEnd w:id="788"/>
      <w:r>
        <w:rPr>
          <w:rFonts w:ascii="Amiri" w:hAnsi="Amiri" w:eastAsia="Amiri" w:cs="Amiri"/>
          <w:color w:val="111111"/>
          <w:sz w:val="28"/>
          <w:sz w:val="28"/>
          <w:szCs w:val="28"/>
          <w:rtl w:val="true"/>
          <w:lang w:bidi="ar-SA"/>
        </w:rPr>
        <w:t xml:space="preserve">است، ولي در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سَمِعَهُ</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الْحُسَيْنُ بْنُ سَعِيدٍ عَنْ عُثْمَانَ بْنِ عِيسَى عَمَّنْ 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بَيْعِ الْمَصَاحِفِ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دارد كه در اين صورت مرسله هم مي‌شود و از لحاظ مضمون مثل روايت سابق است</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2903459_3804643083"/>
      <w:bookmarkStart w:id="790" w:name="_Toc300"/>
      <w:bookmarkEnd w:id="789"/>
      <w:r>
        <w:rPr/>
        <w:t>4</w:t>
      </w:r>
      <w:r>
        <w:rPr>
          <w:rtl w:val="true"/>
        </w:rPr>
        <w:t xml:space="preserve">. </w:t>
      </w:r>
      <w:r>
        <w:rPr>
          <w:rtl w:val="true"/>
        </w:rPr>
        <w:t>مضمره‌ي عبدالله بن سليمان</w:t>
      </w:r>
      <w:r>
        <w:rPr>
          <w:rtl w:val="true"/>
        </w:rPr>
        <w:t>:</w:t>
      </w:r>
      <w:bookmarkEnd w:id="790"/>
    </w:p>
    <w:p>
      <w:pPr>
        <w:pStyle w:val="BookText"/>
        <w:rPr/>
      </w:pPr>
      <w:r>
        <w:rPr>
          <w:rFonts w:ascii="Amiri" w:hAnsi="Amiri" w:eastAsia="Amiri" w:cs="Amiri"/>
          <w:color w:val="111111"/>
          <w:sz w:val="28"/>
          <w:sz w:val="28"/>
          <w:szCs w:val="28"/>
          <w:rtl w:val="true"/>
          <w:lang w:bidi="ar-SA"/>
        </w:rPr>
        <w:t>مُحَمَّدُ بْنُ الْحَسَنِ بِإِسْنَادِهِ عَنِ الْحُسَيْنِ بْنِ سَعِيدٍ عَنْ فَضَالَةَ عَنْ أَبَانٍ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الْمَصَاحِفِ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تَشْتَرِيَ فَقُلْ أَشْتَرِي مِنْكَ وَرَقَهُ وَ أَدِيمَهُ وَ عَمَلَ يَدِكَ بِكَذَا وَ كَذَا</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عبدالله بن سليمان مي‌گويد از ايشان درباره‌ي خريد قرآن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مي‌خواهي بخري بگو من ورق و اديم و آن‌چه با دستت انجام دادي را در مقابل اين مقدار مي‌خرم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از لحاظ سند به خاطر عبدالله بن سليمان ناتمام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آن‌كه مضمره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لحاظ دلالت بر حرمت نيز ضعيف و قابل مناقشه است</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2903461_3804643083"/>
      <w:bookmarkStart w:id="792" w:name="_Toc301"/>
      <w:bookmarkEnd w:id="791"/>
      <w:r>
        <w:rPr/>
        <w:t>5</w:t>
      </w:r>
      <w:r>
        <w:rPr>
          <w:rtl w:val="true"/>
        </w:rPr>
        <w:t xml:space="preserve">. </w:t>
      </w:r>
      <w:r>
        <w:rPr>
          <w:rtl w:val="true"/>
        </w:rPr>
        <w:t>روايت جراح المدائني</w:t>
      </w:r>
      <w:r>
        <w:rPr>
          <w:rtl w:val="true"/>
        </w:rPr>
        <w:t>:</w:t>
      </w:r>
      <w:bookmarkEnd w:id="79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عَنِ الْقَاسِمِ بْنِ سُلَيْمَانَ عَنْ جَرَّاحٍ</w:t>
      </w:r>
      <w:bookmarkStart w:id="793" w:name="pg2375_19969"/>
    </w:p>
    <w:p>
      <w:pPr>
        <w:pStyle w:val="BookText"/>
        <w:rPr/>
      </w:pPr>
      <w:bookmarkEnd w:id="793"/>
      <w:r>
        <w:rPr>
          <w:rFonts w:ascii="Amiri" w:hAnsi="Amiri" w:eastAsia="Amiri" w:cs="Amiri"/>
          <w:color w:val="111111"/>
          <w:sz w:val="28"/>
          <w:sz w:val="28"/>
          <w:szCs w:val="28"/>
          <w:rtl w:val="true"/>
          <w:lang w:bidi="ar-SA"/>
        </w:rPr>
        <w:t>الْمَدَائِنِيِّ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الْكِتَابَ وَ لَا تَشْتَرِهِ وَ بِعِ الْوَرَقَ وَ الْأَدِيمَ وَ الْحَدِيدَ</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جراح المدائني مي‌گويد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بيع مصاحف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يا قرآن است يا مكتوب و خط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نفروش و نخر، بلكه ورق و اديم و حديد را بفروش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به خاطر قاسم بن سليمان و جراح المدائني ناتمام است، ولي از لحاظ دلالت تمام است و ظهور در حرمت دارد</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2903463_3804643083"/>
      <w:bookmarkStart w:id="795" w:name="_Toc302"/>
      <w:bookmarkEnd w:id="794"/>
      <w:r>
        <w:rPr/>
        <w:t>6</w:t>
      </w:r>
      <w:r>
        <w:rPr>
          <w:rtl w:val="true"/>
        </w:rPr>
        <w:t xml:space="preserve">. </w:t>
      </w:r>
      <w:r>
        <w:rPr>
          <w:rtl w:val="true"/>
        </w:rPr>
        <w:t>روايت سماعة بن مهران</w:t>
      </w:r>
      <w:r>
        <w:rPr>
          <w:rtl w:val="true"/>
        </w:rPr>
        <w:t>:</w:t>
      </w:r>
      <w:bookmarkEnd w:id="79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أَبِي عَبْدِ اللَّهِ الرَّازِيِّ عَنِ الْحَسَنِ بْنِ عَلِيِّ بْنِ أَبِي حَمْزَةَ عَنْ زُرْعَةَ بْنِ مُحَمَّدٍ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 الْمَصَاحِفَ فَإِنَّ بَيْعَهَا 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شِرَائِهَا؟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 الدَّفَّتَيْنِ وَ الْحَدِيدَ وَ الْغِلَافَ وَ إِيَّاكَ أَنْ تَشْتَرِيَ مِنْهُ الْوَرَقَ وَ فِيهِ الْقُرْآنُ مَكْتُوبٌ فَيَكُونَ عَلَيْكَ حَرَاماً وَ عَلَى مَنْ بَاعَهُ حَرَاماً</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سماعة بن مهران مي‌گويد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 را نفروشيد چرا كه بيعش حرام است، عرض كردم درباره‌ي خريد آن چه مي‌فرماييد؟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حديد و غلاف را خريداري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اين‌كه ورقي را كه در آن قرآن مكتوب است بخري كه در اين صورت هم بر تو و هم بر كسي كه فروخته حرام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شيخ با سند خود از محمد بن احمد بن يحيي ـ صاحب نوادر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دبة الشبيب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نقل مي‌كند كه سند شيخ به ايشان در تهذيب</w:t>
      </w:r>
      <w:r>
        <w:rPr>
          <w:rStyle w:val="FootnoteAnchor"/>
          <w:rtl w:val="true"/>
        </w:rPr>
        <w:footnoteReference w:id="477"/>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المشيخة، 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ذكرته في هذا الكتاب عن محمد بن احمد بن يحيى الأشعرى فقد اخبرني به الشيخ ابو عبد اللّه و الحسين بن عبيد اللّه و احمد بن عبدون كلهم عن ابي جعفر محمد بن الحسين بن سفيان عن احمد بن ادريس عن محمد بن احمد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اخبرنا ابو الحسين بن ابى جيد عن محمد بن الحسن بن الوليد عن محمد بن يحيى و احمد بن ادريس جميعا عن محمد بن احمد بن يحيى</w:t>
      </w:r>
    </w:p>
    <w:p>
      <w:pPr>
        <w:pStyle w:val="BookText"/>
        <w:rPr/>
      </w:pPr>
      <w:r>
        <w:rPr>
          <w:rFonts w:ascii="Amiri" w:hAnsi="Amiri" w:eastAsia="Amiri" w:cs="Amiri"/>
          <w:color w:val="111111"/>
          <w:sz w:val="28"/>
          <w:sz w:val="28"/>
          <w:szCs w:val="28"/>
          <w:rtl w:val="true"/>
          <w:lang w:bidi="ar-SA"/>
        </w:rPr>
        <w:t>و اخبرني به أيضا الحسين بن عبيد اللّه عن احمد بن محمد بن يحيى عن ابيه محمد بن يحيى عن محمد بن احمد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اخبرني به الشيخ ابو عبد اللّه و الحسين بن عبيد اللّه و احمد بن عبدون كلهم عن ابي محمد الحسن بن حمزة العلوي و ابي جعفر محمد ابن الحسين البزوفري جميعا عن احمد بن ادريس عن محمد بن احمد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جناب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الفهرست نيز به جميع كتب و روايات محمد بن احمد بن يحيي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بجميع كتبه و رواياته عدة من أصحابنا عن أبي المفضل عن ابن بطة القمي عن محمد بن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بها أيضا، الحسين بن عبيد الله و ابن أبي جيد جميعا عن أحمد بن محمد بن يحيى عن أبيه عن محمد بن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بها جماعة عن أبي جعفر ابن بابويه عن أبيه، و محمد بن الحسن عن أحمد بن إدريس، و محمد بن يحيى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حمزة بن علي بن عبد الله بن محمد بن الحسن بن الحسين بن علي بن الحسين بن علي بن أبي طالب عليهم السلام أبو محمد الطبري، يعرف بالمرعش، كان من أجلاء هذه الطائفة و فقهائها، قدم بغداد و لقيه شيوخنا في سنة ست و خمسين و ثلاثمائة، و مات في سنة ثماني و خمسين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بها شيخنا أبو عبد الله و جميع شيوخنا رحمهم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حمزة العلوي الطبري، يكنى أبا محمد، كان فاضلا أديبا عارفا فقيها زاهدا ورعا كثير المحاسن، له كتب و تصانيف كثيرة، منها كتاب المبسوط، كتاب المفتخر، و غير ذلك، أخبرنا بجميع كتبه و رواياته جماعة من أصحابنا منهم الشيخ المفيد أبو عبد الله محمد بن محمد بن النعمان و الحسين بن عبيد الله و أحمد بن عبدون عن أبي محمد الحسن بن حمزة العلوي سماعا منه و إجازة في سنة ست و خمسين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است، محمد بن احمد بن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يحيي نيز از ابوعبدالله الرازي نقل مي‌كند كه توثيق ندارد و جناب</w:t>
      </w:r>
    </w:p>
    <w:p>
      <w:pPr>
        <w:pStyle w:val="BookText"/>
        <w:rPr/>
      </w:pPr>
      <w:r>
        <w:rPr>
          <w:rFonts w:ascii="IRNazanin" w:hAnsi="IRNazanin" w:eastAsia="IRNazanin"/>
          <w:color w:val="111111"/>
          <w:sz w:val="28"/>
          <w:sz w:val="28"/>
          <w:szCs w:val="28"/>
          <w:rtl w:val="true"/>
          <w:lang w:bidi="fa-IR"/>
        </w:rPr>
        <w:t>محمد بن الحسن بن الوليد ايشان را از رجال نوادر الحكمة استثناء كرده است، ايشان هم از الحسن بن علي بن ابي حمزة البطائني ـ فرزند علي بن ابي حمزه بطائني كذاب و ملعون ـ نقل مي‌كند كه توثيق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از لحاظ سند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بالصراحة دال بر حرمت است؛ زيرا اوّل نهي از بيع مصاحف مي‌كند 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تَبِيعُوا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تعليل به حرام بودن آن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بَيْعَهَا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اشتراء هم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ظهور در حرمت دارد و در نهايت هم تأكيد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عَلَيْكَ حَرَاماً وَ عَلَى مَنْ بَاعَهُ حَرَاما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كسي از اين روايت استفاده كند حتّي خريد و فروش ورق قرآن هم جايز نيست؛ زيرا ابتدا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مِنْهُ الدَّفَّتَيْنِ وَ الْحَدِيد وَ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ورق را ذكر نمي‌فرمايد، سپس هم تصريح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أَنْ تَشْتَرِيَ مِنْهُ الْوَرَقَ وَ فِيهِ الْقُرْآنُ مَكْتُوبٌ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حتّي كسي ورق قرآن را بما هو ورق بخرد جايز نيست، ولي روايات ديگر مي‌تواند قرينه باشد كه منظور ورق بما فيه القران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استفاده مي‌شود كه جزءِ قرآن هم فروشش جايز نيست؛ مثلاً كسي آيت الكرسي را در ورقي بنويسد و خريد و فروش كند جايز نيست</w:t>
      </w:r>
      <w:r>
        <w:rPr>
          <w:rFonts w:eastAsia="IRNazanin" w:cs="IRNazanin"/>
          <w:color w:val="111111"/>
          <w:sz w:val="28"/>
          <w:szCs w:val="28"/>
          <w:rtl w:val="true"/>
          <w:lang w:bidi="fa-IR"/>
        </w:rPr>
        <w:t>.</w:t>
      </w:r>
      <w:bookmarkStart w:id="796" w:name="pg2375_19973"/>
    </w:p>
    <w:p>
      <w:pPr>
        <w:pStyle w:val="Heading4"/>
        <w:numPr>
          <w:ilvl w:val="3"/>
          <w:numId w:val="1"/>
        </w:numPr>
        <w:rPr/>
      </w:pPr>
      <w:bookmarkStart w:id="797" w:name="__RefHeading___Toc2903465_3804643083"/>
      <w:bookmarkStart w:id="798" w:name="_Toc303"/>
      <w:bookmarkEnd w:id="796"/>
      <w:bookmarkEnd w:id="797"/>
      <w:r>
        <w:rPr>
          <w:rtl w:val="true"/>
        </w:rPr>
        <w:t>روايات دالّ بر جواز بيع قرآن</w:t>
      </w:r>
      <w:bookmarkEnd w:id="798"/>
    </w:p>
    <w:p>
      <w:pPr>
        <w:pStyle w:val="Heading5"/>
        <w:numPr>
          <w:ilvl w:val="4"/>
          <w:numId w:val="1"/>
        </w:numPr>
        <w:rPr/>
      </w:pPr>
      <w:bookmarkStart w:id="799" w:name="__RefHeading___Toc2903467_3804643083"/>
      <w:bookmarkStart w:id="800" w:name="_Toc304"/>
      <w:bookmarkEnd w:id="799"/>
      <w:r>
        <w:rPr/>
        <w:t>1</w:t>
      </w:r>
      <w:r>
        <w:rPr>
          <w:rtl w:val="true"/>
        </w:rPr>
        <w:t xml:space="preserve">. </w:t>
      </w:r>
      <w:r>
        <w:rPr>
          <w:rtl w:val="true"/>
        </w:rPr>
        <w:t>موثقه‌ي روح بن عبدالرحيم</w:t>
      </w:r>
      <w:r>
        <w:rPr>
          <w:rtl w:val="true"/>
        </w:rPr>
        <w:t>:</w:t>
      </w:r>
      <w:bookmarkEnd w:id="800"/>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غَالِبِ بْنِ عُثْمَانَ عَنْ رَوْحِ بْنِ عَبْدِ الرَّحِيمِ</w:t>
      </w:r>
      <w:r>
        <w:rPr>
          <w:rStyle w:val="FootnoteAnchor"/>
          <w:rtl w:val="true"/>
        </w:rPr>
        <w:footnoteReference w:id="478"/>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عبد الرحيم شريك المعلى بن خنيس كوفي، ثقة، روى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معلّي بن خنيس كه پيشكار حضرت بود، از شيعيان تند و تيزي بود كه گاهي هم رعايت تقيه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معلّي بن خنيس به دستور داود بن علي والي مدينه به شهادت رسيد، حضرت خيلي تحت تأثير قرار گرفتند و داود بن علي را نفرين فرمودند كه بلافاصله به درك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معلي بن خنيس انسان جليل القدري بوده، ولي در بحثي كه قبلاً به طور مفصل درباره‌ي ايشان مطرح كرديم نتوانستيم وثاقتش را احراز كنيم، هرچند بعضي ايشان را توثيق مي‌كنند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الْمَصَاحِفِ وَ بَيْعِهَا؟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يُوضَعُ الْوَرَقُ عِنْدَ الْمِنْبَرِ وَ كَانَ مَا بَيْنَ الْمِنْبَرِ وَ الْحَائِطِ قَدْرَ مَا تَمُرُّ الشَّاةُ أَوْ رَجُلٌ مُنْحَرِفٌ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يَأْتِي فَيَكْتُبُ مِنْ ذَلِكَ ثُمَّ إِنَّهُمُ اشْتَرَوْا بَعْدُ قُلْتُ فَمَا تَرَى فِي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أَحَبُّ إِلَيَّ مِنْ أَنْ</w:t>
      </w:r>
    </w:p>
    <w:p>
      <w:pPr>
        <w:pStyle w:val="BookText"/>
        <w:rPr/>
      </w:pPr>
      <w:r>
        <w:rPr>
          <w:rFonts w:ascii="Amiri" w:hAnsi="Amiri" w:eastAsia="Amiri" w:cs="Amiri"/>
          <w:color w:val="111111"/>
          <w:sz w:val="28"/>
          <w:sz w:val="28"/>
          <w:szCs w:val="28"/>
          <w:rtl w:val="true"/>
          <w:lang w:bidi="ar-SA"/>
        </w:rPr>
        <w:t xml:space="preserve">أَبِيعَهُ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أَنْ أُعْطِيَ عَلَى كِتَابَتِهِ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هَكَذَا كَانُوا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أَحْمَدَ بْنِ مُحَمَّدٍ نَحْوَهُ</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روح بن عبدالرحيم مي‌گويد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خريد و فروش مصاحف سؤال كردم،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اين‌طور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نزد منبر گذاشته مي‌شد و ما بين منبر و ديوار به اندازه‌ي محل عبور يك گوسفند يا انسانِ مايل جا بود و فرد آن‌جا مي‌رفت و قرآن كتابت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اين‌طور صاحب قرآن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بعد از آن خريداري مرسوم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عبدالرحيم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نظرتان درباره‌ي آن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خريد و فروش جايز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قرآن را بخرم نزد من محبوب‌تر است از اين‌كه قرآن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درباره‌ي پرداخت اجرت بر كتابت قرآن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اشكالي ندارد و لكن قبلاً اين‌طور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هر كسي قرآن مي‌خواست، ما بين منبر و حائط مي‌نوشت و اين‌طور صاحب قرآن مي‌شد نه با إشتراء</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از لحاظ سند تمام است و به روشني دلالت مي‌كند بيع مصحف جايز است؛ زيرا حضرت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أَشْتَرِي أَحَبُّ إِلَيَّ مِنْ أَنْ أَبِيعَهُ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شرائي مستلزم بيع است، پس بايد</w:t>
      </w:r>
    </w:p>
    <w:p>
      <w:pPr>
        <w:pStyle w:val="BookText"/>
        <w:rPr/>
      </w:pPr>
      <w:r>
        <w:rPr>
          <w:rFonts w:ascii="IRNazanin" w:hAnsi="IRNazanin" w:eastAsia="IRNazanin"/>
          <w:color w:val="111111"/>
          <w:sz w:val="28"/>
          <w:sz w:val="28"/>
          <w:szCs w:val="28"/>
          <w:rtl w:val="true"/>
          <w:lang w:bidi="fa-IR"/>
        </w:rPr>
        <w:t>بيع نيز حلال باشد و الا اگر بيع جايز نباشد از آن‌جا كه شراء مصداق إعانه‌ي بر اثم مي‌شود، جايز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جواز شراء مستلزم جواز بيع نيز هست، امّا چون قرآن داراي ارزش معنويي بسيار بالايي است مناسب است فروخته نشود و مانند آن است كه در روايات وارد شده كسي كه داراي باغي است آن را نفروشد، مگر اين‌كه به جاي آن باغ ديگري بخرد</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بُنْدَارَ عَنْ أَحْمَدَ بْنِ أَبِي عَبْدِ اللَّهِ عَنْ مُحَمَّدِ بْنِ عَلِيِّ بْنِ يُوسُفَ عَنْ عَبْدِ السَّلَامِ عَنْ هِشَامِ بْنِ أَحْمَرَ عَنْ 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الْعَقَارِ مَمْحُوقٌ إِلَّا أَنْ يُجْعَلَ فِي عَقَارٍ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مُحَمَّدِ بْنِ الْحَسَنِ بْنِ شَمُّونٍ عَنِ الْأَصَمِّ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أَرْضاً تُطْلَبُ مِنِّي وَ يُرَغِّبُونِّي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أَمَا عَلِمْتَ أَنَّهُ مَنْ بَاعَ الْمَاءَ وَ الطِّينَ وَ لَمْ يَجْعَلْ مَالَهُ فِي الْمَاءِ وَ الطِّينِ ذَهَبَ مَالُهُ هَبَاءً؟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أَبِيعُ بِالثَّمَنِ الْكَثِيرِ وَ أَشْتَرِي مَا هُوَ أَوْسَعُ رُقْعَةً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العَقارُ، بالفتح، الضَّيْعة و النخل و الأَرض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در اين‌جا هم اگر كسي قرآن دارد آن را نفروشد بلكه نگه دارد و تلاوت كند يا به فرزندان خود هديه كند يا وقف كند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روايت به روشني دلالت مي‌كند بيع و شراء مصحف جايز است</w:t>
      </w:r>
      <w:r>
        <w:rPr>
          <w:rFonts w:eastAsia="IRNazanin" w:cs="IRNazanin"/>
          <w:color w:val="111111"/>
          <w:sz w:val="28"/>
          <w:szCs w:val="28"/>
          <w:rtl w:val="true"/>
          <w:lang w:bidi="fa-IR"/>
        </w:rPr>
        <w:t>.</w:t>
      </w:r>
      <w:bookmarkStart w:id="801" w:name="pg2375_19976"/>
    </w:p>
    <w:p>
      <w:pPr>
        <w:pStyle w:val="Heading5"/>
        <w:numPr>
          <w:ilvl w:val="4"/>
          <w:numId w:val="1"/>
        </w:numPr>
        <w:rPr/>
      </w:pPr>
      <w:bookmarkStart w:id="802" w:name="__RefHeading___Toc2903469_3804643083"/>
      <w:bookmarkStart w:id="803" w:name="_Toc305"/>
      <w:bookmarkEnd w:id="801"/>
      <w:bookmarkEnd w:id="802"/>
      <w:r>
        <w:rPr/>
        <w:t>2</w:t>
      </w:r>
      <w:r>
        <w:rPr>
          <w:rtl w:val="true"/>
        </w:rPr>
        <w:t xml:space="preserve">. </w:t>
      </w:r>
      <w:r>
        <w:rPr>
          <w:rtl w:val="true"/>
        </w:rPr>
        <w:t>روايت عنبسة الوراق</w:t>
      </w:r>
      <w:r>
        <w:rPr>
          <w:rtl w:val="true"/>
        </w:rPr>
        <w:t>:</w:t>
      </w:r>
      <w:bookmarkEnd w:id="80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أَحْمَدَ بْنِ أَبِي عَبْدِ اللَّهِ عَنْ مُحَمَّدِ بْنِ عَلِيٍّ عَنْ عَبْدِ الرَّحْمَنِ بْنِ أَبِي هَاشِمٍ عَنْ سَابِقٍ السِّنْدِيِّ عَنْ عَنْبَسَةَ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أَبِيعُ الْمَصَاحِفَ فَإِنْ نَهَيْتَنِي لَمْ أَبِعْهَا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تَشْتَرِي وَرَقاً وَ تَكْتُبُ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أُعَالِجُهَا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عنبسة الوراق مي‌گويد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من مصاحف را مي‌فروشم، اگر از آن نهي كنيد ديگر نمي‌فروشم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اين است كه ورق را مي‌خري و در آن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درستش هم 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از لحاظ سند به خاطر بعض مجاهيل و مضعفين ناتمام است</w:t>
      </w:r>
      <w:r>
        <w:rPr>
          <w:rStyle w:val="FootnoteAnchor"/>
          <w:rtl w:val="true"/>
        </w:rPr>
        <w:footnoteReference w:id="482"/>
      </w:r>
      <w:r>
        <w:rPr>
          <w:rFonts w:ascii="Amiri" w:hAnsi="Amiri" w:eastAsia="Amiri" w:cs="Amiri"/>
          <w:color w:val="111111"/>
          <w:sz w:val="28"/>
          <w:sz w:val="28"/>
          <w:szCs w:val="28"/>
          <w:rtl w:val="true"/>
          <w:lang w:bidi="ar-SA"/>
        </w:rPr>
        <w:t>ولي دلالتش بر جواز تمام است؛ زيرا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bookmarkStart w:id="804" w:name="pg2375_19977"/>
    </w:p>
    <w:p>
      <w:pPr>
        <w:pStyle w:val="Heading5"/>
        <w:numPr>
          <w:ilvl w:val="4"/>
          <w:numId w:val="1"/>
        </w:numPr>
        <w:rPr/>
      </w:pPr>
      <w:bookmarkStart w:id="805" w:name="__RefHeading___Toc2903471_3804643083"/>
      <w:bookmarkStart w:id="806" w:name="_Toc306"/>
      <w:bookmarkEnd w:id="804"/>
      <w:bookmarkEnd w:id="805"/>
      <w:r>
        <w:rPr/>
        <w:t>3</w:t>
      </w:r>
      <w:r>
        <w:rPr>
          <w:rtl w:val="true"/>
        </w:rPr>
        <w:t xml:space="preserve">. </w:t>
      </w:r>
      <w:r>
        <w:rPr>
          <w:rtl w:val="true"/>
        </w:rPr>
        <w:t>صحيحه‌ي ابي بصير</w:t>
      </w:r>
      <w:r>
        <w:rPr>
          <w:rtl w:val="true"/>
        </w:rPr>
        <w:t>:</w:t>
      </w:r>
      <w:bookmarkEnd w:id="806"/>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الْمَصَاحِفِ وَ شِرَائِهَا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يُوضَعُ عِنْدَ الْقَامَةِ</w:t>
      </w:r>
      <w:r>
        <w:rPr>
          <w:rStyle w:val="FootnoteAnchor"/>
          <w:rtl w:val="true"/>
        </w:rPr>
        <w:footnoteReference w:id="483"/>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 عَنْ مُحَمَّدِ بْنِ سِنَانٍ عَنِ ابْنِ مُسْكَانَ عَنْ زُرَارَةَ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مِنْ زَوَالِ الشَّمْسِ وَ وَقْتُ الْعَصْرِ ذِرَاعٌ مِنْ وَقْتِ الظُّهْرِ فَذَلِكَ أَرْبَعَةُ أَقْدَامٍ مِنْ زَوَالِ الشَّمْسِ 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سَأَلْتُهُ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حَائِطَ مَسْجِدِ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قَامَةً فَكَانَ إِذَا مَضَى مِنْ فَيْئِهِ ذِرَاعٌ صَلَّى الظُّهْرَ وَ إِذَا مَضَى مِنْ فَيْئِهِ ذِرَاعَانِ صَلَّى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النَّافِلَةِ فَإِنَّ لَكَ أَنْ تَنْتَفِلَ مِنْ زَوَالِ الشَّمْسِ إِلَى أَنْ يَمْضِيَ الْفَيْ‌ءُ ذِرَاعاً فَإِذَا بَلَغَ فَيْئُكَ ذِرَاعاً مِنَ الزَّوَالِ بَدَأْتَ بِالْفَرِيضَةِ وَ تَرَكْتَ النَّافِلَةَ قَالَ ابْنُ مُسْكَانَ وَ حَدَّثَنِي بِالذِّرَاعِ وَ الذِّرَاعَيْنِ سُلَيْمَانُ بْنُ خَالِدٍ وَ أَبُو بَصِيرٍ الْمُرَادِيُّ وَ حُسَيْنٌ صَاحِبُ الْقَلَانِسِ وَ ابْنُ أَبِي يَعْفُورٍ وَ مَنْ لَا أُحْصِيهِ مِنْهُمْ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الْحَائِطِ وَ الْمِنْبَرِ قَيْدُ مَمَرِّ شَاةٍ وَ رَجُلٍ وَ هُوَ مُنْحَرِفٌ فَكَانَ الرَّجُلُ يَأْتِي فَيَكْتُبُ الْبَقَرَةَ وَ يَجِي‌ءُ آخَرُ فَيَكْتُبُ السُّورَةَ كَذَلِكَ كَانُوا ثُمَّ إِنَّهُمُ اشْتَرَوْا بَعْدَ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w:t>
      </w:r>
      <w:bookmarkStart w:id="807" w:name="pg2375_19978"/>
    </w:p>
    <w:p>
      <w:pPr>
        <w:pStyle w:val="BookText"/>
        <w:rPr/>
      </w:pPr>
      <w:bookmarkEnd w:id="807"/>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أَشْتَرِيهِ أَحَبُّ إِلَيَّ مِنْ أَنْ أَبِيعَهُ</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ابوبصير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خريد و فروش مصاحف سؤال كردم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منبر و ديوار گذاشته مي‌شد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منبر و ديوار فاصله‌اي به اندازه‌ي عبور گوسفند يا انسان مايل وجود داشت و در آن‌جا مثلاً كسي سوره‌ي بقره را مي‌نوشت، اين‌طور مرسوم بود ولي بعداً خريد و فروش رسم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و فروش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بخرم نزد من محبوب‌تر است از اين‌كه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اين روايت و دلالت آن بر جواز بيع و شراء مانند موثقه‌ي روح بن عبدالرحيم است؛ فقط ذيلي كه مربوط به پرداخت اجرت بر كتابت در موثقه‌ي روح بن عبدالرحيم بود، اين روايت آن را ندارد</w:t>
      </w:r>
      <w:r>
        <w:rPr>
          <w:rFonts w:eastAsia="IRNazanin" w:cs="IRNazanin"/>
          <w:color w:val="111111"/>
          <w:sz w:val="28"/>
          <w:szCs w:val="28"/>
          <w:rtl w:val="true"/>
          <w:lang w:bidi="fa-IR"/>
        </w:rPr>
        <w:t>.</w:t>
      </w:r>
    </w:p>
    <w:p>
      <w:pPr>
        <w:pStyle w:val="Heading4"/>
        <w:numPr>
          <w:ilvl w:val="3"/>
          <w:numId w:val="1"/>
        </w:numPr>
        <w:rPr/>
      </w:pPr>
      <w:bookmarkStart w:id="808" w:name="__RefHeading___Toc2903473_3804643083"/>
      <w:bookmarkStart w:id="809" w:name="_Toc307"/>
      <w:bookmarkEnd w:id="808"/>
      <w:r>
        <w:rPr>
          <w:rtl w:val="true"/>
        </w:rPr>
        <w:t>حمل بر كراهت مقتضاي جمع بين دو دسته روايات</w:t>
      </w:r>
      <w:bookmarkEnd w:id="809"/>
    </w:p>
    <w:p>
      <w:pPr>
        <w:pStyle w:val="Heading5"/>
        <w:numPr>
          <w:ilvl w:val="4"/>
          <w:numId w:val="1"/>
        </w:numPr>
        <w:rPr/>
      </w:pPr>
      <w:bookmarkStart w:id="810" w:name="__RefHeading___Toc2903475_3804643083"/>
      <w:bookmarkStart w:id="811" w:name="_Toc308"/>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در بين روايات دالّ بر حرمت، فقط يك روايت از لحاظ سند تمام بود و بقيه به عنوان مؤيد بود، در بين روايات دالّ بر جواز نيز دو روايت از لحاظ سند تمام بود كه هر دو به يك مضمون بودند و روايت ديگري هم وجود داشت كه به عنوان مؤيد 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بين اين دو دسته روايات اقتضاء مي‌كند روايات مانعه را حمل بر كراهت كنيم؛ زيرا دلالت اين روايات بر حرمت بيش از</w:t>
      </w:r>
    </w:p>
    <w:p>
      <w:pPr>
        <w:pStyle w:val="BookText"/>
        <w:rPr/>
      </w:pPr>
      <w:r>
        <w:rPr>
          <w:rFonts w:ascii="IRNazanin" w:hAnsi="IRNazanin" w:eastAsia="IRNazanin"/>
          <w:color w:val="111111"/>
          <w:sz w:val="28"/>
          <w:sz w:val="28"/>
          <w:szCs w:val="28"/>
          <w:rtl w:val="true"/>
          <w:lang w:bidi="fa-IR"/>
        </w:rPr>
        <w:t xml:space="preserve">ظهور نيست؛ چون در روايت عبدالرحمان بن سيابه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الْمَصَاحِفَ لَنْ تُشْتَرَى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جمله‌ي خبري در مقام انشاء به كار رفته و در واقع نهي است، پس ظهور در حرمت دارد، بقيه‌ي روايات هم به صورت نهي بود كه آن‌ها هم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روايت سماعة بن مهران صراحت در حرمت دارد؛ چون تعبيرات شديدي به كار برده و لفظ حرمت هم چند مرتبه در آن تكرار شده، ولي با اين حال قابليت حمل بر كراهت شديد را دارد ـ نظير آن را مثلاً در مورد غسل جمعه داريم كه در روايت در عِداد غسل‌هاي واجب شمرده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مُحَمَّدُ بْنُ الْحَسَنِ بِإِسْنَادِهِ عَنِ الْحُسَيْنِ بْنِ سَعِيدٍ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فِي السَّفَرِ وَ الْحَضَرِ إِلَّا أَنَّهُ رُخِّصَ لِلنِّسَاءِ فِي السَّفَرِ لِقِلَّةِ الْمَاءِ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وَاجِبٌ وَ غُسْلُ الْحَائِضِ إِذَا طَهُرَتْ وَاجِبٌ وَ غُسْلُ الِاسْتِحَاضَةِ وَاجِبٌ إِذَا احْتَشَتْ بِالْكُرْسُفِ فَجَازَ الدَّمُ الْكُرْسُفَ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النُّفَسَاءِ وَاجِبٌ وَ غُسْلُ الْمَوْلُودِ وَاجِبٌ وَ غُسْلُ الْمَيِّتِ وَاجِبٌ وَ غُسْلُ مَنْ غَسَّلَ الْمَيِّتَ وَاجِبٌ وَ غُسْلُ الْمُحْرِمِ وَاجِبٌ وَ غُسْلُ يَوْمِ عَرَفَةَ وَاجِبٌ وَ غُسْلُ الزِّيَارَةِ وَاجِبٌ إِلَّا مِنْ عِلَّةٍ وَ غُسْلُ دُخُولِ الْبَيْتِ وَاجِبٌ وَ غُسْلُ دُخُولِ الْحَرَمِ يُسْتَحَبُّ أَنْ لَا تَدْخُلَهُ إِلَّا بِغُسْلٍ وَ غُسْلُ الْمُبَاهَلَةِ وَاجِبٌ وَ غُسْلُ الِاسْتِسْقَاءِ وَاجِبٌ وَ غُسْلُ أَوَّلِ لَيْلَةٍ مِنْ شَهْرِ رَمَضَانَ مُسْتَحَبٌّ وَ غُسْلُ لَيْلَةِ إِحْدَى وَ عِشْرِينَ سُنَّةٌ وَ غُسْلُ لَيْلَةِ ثَلَاثٍ وَ عِشْرِينَ سُنَّةٌ لَا تَتْرُكْهَا لِأَنَّهُ يُرْجَى فِي إِحْدَاهُنَّ لَيْلَةُ الْقَدْرِ وَ غُسْلُ يَوْمِ الْفِطْرِ وَ غُسْلُ يَوْمِ الْأَضْحَى سُنَّةٌ لَا أُحِبُّ تَرْكَهَا وَ غُسْلُ الِاسْتِخَارَةِ يُسْتَحَبُّ</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w:t>
      </w:r>
      <w:bookmarkStart w:id="812" w:name="pg2375_19980"/>
    </w:p>
    <w:p>
      <w:pPr>
        <w:pStyle w:val="BookText"/>
        <w:rPr/>
      </w:pPr>
      <w:bookmarkEnd w:id="812"/>
      <w:r>
        <w:rPr>
          <w:rFonts w:ascii="IRNazanin" w:hAnsi="IRNazanin" w:eastAsia="IRNazanin"/>
          <w:color w:val="111111"/>
          <w:sz w:val="28"/>
          <w:sz w:val="28"/>
          <w:szCs w:val="28"/>
          <w:rtl w:val="true"/>
          <w:lang w:bidi="fa-IR"/>
        </w:rPr>
        <w:t>اطلاق شده، ولي با اين حال حمل بر استحباب مي‌كنيم و تعبير به وجوب را مي‌گوييم يا به خاطر تغليب بوده يا به خاطر شدت استحباب ـ و مهم آن‌كه از لحاظ سند نيز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روايات مانعه كه حجّت است، بيش از ظهور در حرمت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روايات مجوّزه، نص ـ يا قريب به نص ـ در جواز بيع مصحف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طبق قاعده‌ي حمل ظاهر بر نص يا اظهر</w:t>
      </w:r>
      <w:r>
        <w:rPr>
          <w:rStyle w:val="FootnoteAnchor"/>
          <w:rtl w:val="true"/>
        </w:rPr>
        <w:footnoteReference w:id="486"/>
      </w:r>
      <w:r>
        <w:rPr>
          <w:rFonts w:ascii="Amiri" w:hAnsi="Amiri" w:eastAsia="Amiri" w:cs="Amiri"/>
          <w:color w:val="111111"/>
          <w:sz w:val="28"/>
          <w:sz w:val="28"/>
          <w:szCs w:val="28"/>
          <w:rtl w:val="true"/>
          <w:lang w:bidi="ar-SA"/>
        </w:rPr>
        <w:t>، نتيجه اين مي‌شود كه روايات مانعه حمل بر كراهت مي‌شود</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2903477_3804643083"/>
      <w:bookmarkStart w:id="814" w:name="_Toc309"/>
      <w:bookmarkEnd w:id="813"/>
      <w:r>
        <w:rPr>
          <w:rtl w:val="true"/>
        </w:rPr>
        <w:t>جمع مرحوم شيخ</w:t>
      </w:r>
      <w:r>
        <w:rPr>
          <w:rtl w:val="true"/>
        </w:rPr>
        <w:t xml:space="preserve">- </w:t>
      </w:r>
      <w:r>
        <w:rPr>
          <w:rtl w:val="true"/>
        </w:rPr>
        <w:t xml:space="preserve">قدس سره </w:t>
      </w:r>
      <w:r>
        <w:rPr>
          <w:rtl w:val="true"/>
        </w:rPr>
        <w:t xml:space="preserve">- </w:t>
      </w:r>
      <w:r>
        <w:rPr>
          <w:rtl w:val="true"/>
        </w:rPr>
        <w:t>بين دو دسته روايات</w:t>
      </w:r>
      <w:bookmarkEnd w:id="814"/>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 ديگري ارائه مي‌دهد و آن اين‌كه روايات مجوّزه حمل بر بيع ورق، جلد، اديم و عمل يد مي‌شود و روايات مانعه بر ظهور در حرمت بيع مصحف باقي مي‌ماند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كيف كان، فالحكم في المسألة واضح بعد الأخبار و عمل من عرفت، حتّى مثل الحلّي الذي لا يعمل بأخبار الآحاد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يتوهّم هنا ما يصرف هذه الأخبار عن ظواهرها، مثل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مثله رواية روح بن عبد الرحيم،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 اعطي على كتابته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هكذا كانوا يصنعون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تدلّ على جواز الشراء من جهة حكايته عن المسلمين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إنّهم اشتروا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أشتريه أحبّ إليّ من أن أبيعه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نفي البأس عن الاستئجار لكتابته، كما في أخبار أُخر غيرها، فيجوز تملّك الكتابة بالأُجرة، فيجوز وقوع جزء من الثمن بإزائها عند بيع المجموع المركب منها و من القرطاس و غيرهما</w:t>
      </w:r>
      <w:r>
        <w:rPr>
          <w:rFonts w:eastAsia="Amiri" w:cs="Amiri" w:ascii="Amiri" w:hAnsi="Amiri"/>
          <w:color w:val="111111"/>
          <w:sz w:val="28"/>
          <w:szCs w:val="28"/>
          <w:rtl w:val="true"/>
          <w:lang w:bidi="ar-SA"/>
        </w:rPr>
        <w:t>.</w:t>
      </w:r>
      <w:bookmarkStart w:id="815" w:name="pg2375_19981"/>
    </w:p>
    <w:p>
      <w:pPr>
        <w:pStyle w:val="BookText"/>
        <w:rPr/>
      </w:pPr>
      <w:bookmarkEnd w:id="815"/>
      <w:r>
        <w:rPr>
          <w:rFonts w:ascii="Amiri" w:hAnsi="Amiri" w:eastAsia="Amiri" w:cs="Amiri"/>
          <w:color w:val="111111"/>
          <w:sz w:val="28"/>
          <w:sz w:val="28"/>
          <w:szCs w:val="28"/>
          <w:rtl w:val="true"/>
          <w:lang w:bidi="ar-SA"/>
        </w:rPr>
        <w:t>تفصيل كلام مرحوم شيخ به اين صورت است كه ايشان ابتدا دلالت موثقه‌ي روح بن عبدالرحيم و صحيحه‌ي ابي بصير ـ كه مضمونشان مثل هم است ـ را بر جواز بيع مصحف بررسي مي‌كند و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كسي بگويد اين دو روايت مطلقاً دالّ بر جواز بيع مصحف است به خاطر وجوه مذكور در ذيل</w:t>
      </w:r>
      <w:r>
        <w:rPr>
          <w:rFonts w:eastAsia="IRNazanin" w:cs="IRNazanin"/>
          <w:color w:val="111111"/>
          <w:sz w:val="28"/>
          <w:szCs w:val="28"/>
          <w:rtl w:val="true"/>
          <w:lang w:bidi="fa-IR"/>
        </w:rPr>
        <w:t>:</w:t>
      </w:r>
    </w:p>
    <w:p>
      <w:pPr>
        <w:pStyle w:val="Heading5"/>
        <w:numPr>
          <w:ilvl w:val="4"/>
          <w:numId w:val="1"/>
        </w:numPr>
        <w:rPr/>
      </w:pPr>
      <w:bookmarkStart w:id="816" w:name="__RefHeading___Toc2903479_3804643083"/>
      <w:bookmarkStart w:id="817" w:name="_Toc310"/>
      <w:bookmarkEnd w:id="816"/>
      <w:r>
        <w:rPr>
          <w:rtl w:val="true"/>
        </w:rPr>
        <w:t>وجوه دلالت موثقه‌ي روح بن عبدالرحيم بر جواز بيع مصحف در كلام شيخ</w:t>
      </w:r>
      <w:r>
        <w:rPr>
          <w:rtl w:val="true"/>
        </w:rPr>
        <w:t xml:space="preserve">- </w:t>
      </w:r>
      <w:r>
        <w:rPr>
          <w:rtl w:val="true"/>
        </w:rPr>
        <w:t xml:space="preserve">قدس سره </w:t>
      </w:r>
      <w:r>
        <w:rPr>
          <w:rtl w:val="true"/>
        </w:rPr>
        <w:t>-</w:t>
      </w:r>
      <w:bookmarkEnd w:id="8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كلام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أَشْتَرِي أَحَبُّ إِلَيَّ مِنْ أَنْ أَبِيعَهُ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دلالت بر جواز اشتراء مي‌كند، بالملازمه دالّ بر جواز بيع نيز 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دو روايت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إِنَّهُمُ اشْتَرَوْا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مي‌كند خريد و فروش قرآن تبديل به سيره‌ي عملي مسلمانان شده و از آن‌جا كه رادع و نهي عملي از آن نشده كشف مي‌شود جايز بوده و الا مشكل است بگوييم مسلمانان كه اين عمل را انجام مي‌دادند، مرتكب حرام مي‌شدند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ذيل موثقه‌ي روح بن عبدالرحيم كه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تَرَى أَنْ أُعْطِيَ عَلَى كِتَابَتِهِ أَجْراً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جواز پرداخت اجرت بر كتابت قرآن است و اين بدين معني است كه خطوط قرآن</w:t>
      </w:r>
      <w:bookmarkStart w:id="818" w:name="pg2375_19982"/>
    </w:p>
    <w:p>
      <w:pPr>
        <w:pStyle w:val="BookText"/>
        <w:rPr/>
      </w:pPr>
      <w:bookmarkEnd w:id="818"/>
      <w:r>
        <w:rPr>
          <w:rFonts w:ascii="IRNazanin" w:hAnsi="IRNazanin" w:eastAsia="IRNazanin"/>
          <w:color w:val="111111"/>
          <w:sz w:val="28"/>
          <w:sz w:val="28"/>
          <w:szCs w:val="28"/>
          <w:rtl w:val="true"/>
          <w:lang w:bidi="fa-IR"/>
        </w:rPr>
        <w:t>ماليت دارد و مي تواند در مقابل ثمن قرار گيرد و در نتيجه بيع آن صحيح است؛ زيرا احتمال داده نمي‌شود اجاره به اعتبار خطوط صحيح باشد ولي بيع آن صحيح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متفق بر جواز پرداخت اجرت بر كتابت قرآن بوده و برخي از لحاظ سند نيز تمام است و هيچ روايتي بر خلاف آن وجود ندارد و كسي هم مخالفت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در يك دسته بندي مي‌توان به اين صورت ارائه كرد</w:t>
      </w:r>
      <w:r>
        <w:rPr>
          <w:rFonts w:eastAsia="IRNazanin" w:cs="IRNazanin"/>
          <w:color w:val="111111"/>
          <w:sz w:val="28"/>
          <w:szCs w:val="28"/>
          <w:rtl w:val="true"/>
          <w:lang w:bidi="fa-IR"/>
        </w:rPr>
        <w:t>:</w:t>
      </w:r>
    </w:p>
    <w:p>
      <w:pPr>
        <w:pStyle w:val="Heading4"/>
        <w:numPr>
          <w:ilvl w:val="3"/>
          <w:numId w:val="1"/>
        </w:numPr>
        <w:rPr/>
      </w:pPr>
      <w:bookmarkStart w:id="819" w:name="__RefHeading___Toc2903481_3804643083"/>
      <w:bookmarkStart w:id="820" w:name="_Toc311"/>
      <w:bookmarkEnd w:id="819"/>
      <w:r>
        <w:rPr>
          <w:rtl w:val="true"/>
        </w:rPr>
        <w:t>روايات دالّ بر جواز پرداخت اجرت بر كتابت قرآن</w:t>
      </w:r>
      <w:bookmarkEnd w:id="820"/>
    </w:p>
    <w:p>
      <w:pPr>
        <w:pStyle w:val="Heading5"/>
        <w:numPr>
          <w:ilvl w:val="4"/>
          <w:numId w:val="1"/>
        </w:numPr>
        <w:rPr/>
      </w:pPr>
      <w:bookmarkStart w:id="821" w:name="__RefHeading___Toc2903483_3804643083"/>
      <w:bookmarkStart w:id="822" w:name="_Toc312"/>
      <w:bookmarkEnd w:id="821"/>
      <w:r>
        <w:rPr>
          <w:rtl w:val="true"/>
        </w:rPr>
        <w:t>ـ موثقه‌ي روح بن عبدالرحيم</w:t>
      </w:r>
      <w:r>
        <w:rPr>
          <w:rtl w:val="true"/>
        </w:rPr>
        <w:t>:</w:t>
      </w:r>
      <w:bookmarkEnd w:id="82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غَالِبِ بْنِ عُثْمَانَ عَنْ رَوْحِ بْنِ عَبْدِ الرَّحِيمِ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الْمَصَاحِفِ وَ بَيْعِهَا؟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يُوضَعُ الْوَرَقُ عِنْدَ الْمِنْبَرِ وَ كَانَ مَا بَيْنَ الْمِنْبَرِ وَ الْحَائِطِ قَدْرَ مَا تَمُرُّ الشَّاةُ أَوْ رَجُلٌ مُنْحَرِفٌ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يَأْتِي فَيَكْتُبُ مِنْ ذَلِكَ ثُمَّ إِنَّهُمُ اشْتَرَوْا بَعْدُ قُلْتُ فَمَا تَرَى فِي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أَحَبُّ إِلَيَّ مِنْ أَنْ أَبِيعَهُ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أَنْ أُعْطِيَ عَلَى كِتَابَتِهِ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هَكَذَا كَانُوا يَصْنَعُونَ</w:t>
      </w:r>
      <w:r>
        <w:rPr>
          <w:rFonts w:eastAsia="Amiri" w:cs="Amiri" w:ascii="Amiri" w:hAnsi="Amiri"/>
          <w:color w:val="111111"/>
          <w:sz w:val="28"/>
          <w:szCs w:val="28"/>
          <w:rtl w:val="true"/>
          <w:lang w:bidi="ar-SA"/>
        </w:rPr>
        <w:t>.</w:t>
      </w:r>
      <w:bookmarkStart w:id="823" w:name="pg2375_19983"/>
    </w:p>
    <w:p>
      <w:pPr>
        <w:pStyle w:val="BookText"/>
        <w:rPr/>
      </w:pPr>
      <w:bookmarkEnd w:id="823"/>
      <w:r>
        <w:rPr>
          <w:rFonts w:ascii="Amiri" w:hAnsi="Amiri" w:eastAsia="Amiri" w:cs="Amiri"/>
          <w:color w:val="111111"/>
          <w:sz w:val="28"/>
          <w:sz w:val="28"/>
          <w:szCs w:val="28"/>
          <w:rtl w:val="true"/>
          <w:lang w:bidi="ar-SA"/>
        </w:rPr>
        <w:t>وَ رَوَاهُ الشَّيْخُ بِإِسْنَادِهِ عَنْ أَحْمَدَ بْنِ مُحَمَّدٍ نَحْوَهُ</w:t>
      </w:r>
      <w:r>
        <w:rPr>
          <w:rFonts w:eastAsia="Amiri" w:cs="Amiri" w:ascii="Amiri" w:hAnsi="Amiri"/>
          <w:color w:val="111111"/>
          <w:sz w:val="28"/>
          <w:szCs w:val="28"/>
          <w:rtl w:val="true"/>
          <w:lang w:bidi="ar-SA"/>
        </w:rPr>
        <w:t>.</w:t>
      </w:r>
      <w:r>
        <w:rPr>
          <w:rStyle w:val="FootnoteAnchor"/>
          <w:rtl w:val="true"/>
        </w:rPr>
        <w:footnoteReference w:id="488"/>
      </w:r>
    </w:p>
    <w:p>
      <w:pPr>
        <w:pStyle w:val="Heading5"/>
        <w:numPr>
          <w:ilvl w:val="4"/>
          <w:numId w:val="1"/>
        </w:numPr>
        <w:rPr/>
      </w:pPr>
      <w:bookmarkStart w:id="824" w:name="__RefHeading___Toc2903485_3804643083"/>
      <w:bookmarkStart w:id="825" w:name="_Toc313"/>
      <w:bookmarkEnd w:id="824"/>
      <w:r>
        <w:rPr>
          <w:rtl w:val="true"/>
        </w:rPr>
        <w:t>ـ صحيحه‌ي علي بن جعفر</w:t>
      </w:r>
      <w:r>
        <w:rPr>
          <w:rtl w:val="true"/>
        </w:rPr>
        <w:t>:</w:t>
      </w:r>
      <w:bookmarkEnd w:id="825"/>
    </w:p>
    <w:p>
      <w:pPr>
        <w:pStyle w:val="BookText"/>
        <w:rPr/>
      </w:pPr>
      <w:r>
        <w:rPr>
          <w:rFonts w:ascii="Amiri" w:hAnsi="Amiri" w:eastAsia="Amiri" w:cs="Amiri"/>
          <w:color w:val="111111"/>
          <w:sz w:val="28"/>
          <w:sz w:val="28"/>
          <w:szCs w:val="28"/>
          <w:rtl w:val="true"/>
          <w:lang w:bidi="ar-SA"/>
        </w:rPr>
        <w:t>عَبْدُ اللَّهِ بْنُ جَعْفَرٍ فِي قُرْبِ الْإِسْنَادِ عَنْ عَبْدِ اللَّهِ بْنِ الْحَسَنِ عَنْ جَدِّهِ عَلِيِّ بْنِ جَعْفَرٍ عَنْ أَخِيهِ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يَكْتُبُ الْمُصْحَفَ بِالْأَجْرِ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اين روايت از لحاظ سند به خاطر عبدالله بن الحسن ناتمام است؛ زيرا توثيقي براي ايشان در مجامع روايي ذكر نشده، هرچند مي‌دانيم امام‌زاده و سيد واجب التعظيم است ولي نمي‌توانيم روايات ايشان را به عنوان مستند حكم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 جايي كه اين روايت علي بن جعفر و روايت بعدي در كتاب خودشان به نام مسائل علي بن جعفر</w:t>
      </w:r>
      <w:r>
        <w:rPr>
          <w:rStyle w:val="FootnoteAnchor"/>
          <w:rtl w:val="true"/>
        </w:rPr>
        <w:footnoteReference w:id="490"/>
      </w:r>
      <w:r>
        <w:rPr>
          <w:rFonts w:ascii="IRNazanin" w:hAnsi="IRNazanin" w:eastAsia="IRNazanin"/>
          <w:color w:val="111111"/>
          <w:sz w:val="28"/>
          <w:sz w:val="28"/>
          <w:szCs w:val="28"/>
          <w:rtl w:val="true"/>
          <w:lang w:bidi="fa-IR"/>
        </w:rPr>
        <w:t>كه به دست ما رسيده موجود است، پس اين دو روايت از لحاظ سند تمام است</w:t>
      </w:r>
      <w:r>
        <w:rPr>
          <w:rFonts w:eastAsia="IRNazanin" w:cs="IRNazanin"/>
          <w:color w:val="111111"/>
          <w:sz w:val="28"/>
          <w:szCs w:val="28"/>
          <w:rtl w:val="true"/>
          <w:lang w:bidi="fa-IR"/>
        </w:rPr>
        <w:t>.</w:t>
      </w:r>
    </w:p>
    <w:p>
      <w:pPr>
        <w:pStyle w:val="Heading5"/>
        <w:numPr>
          <w:ilvl w:val="4"/>
          <w:numId w:val="1"/>
        </w:numPr>
        <w:rPr/>
      </w:pPr>
      <w:bookmarkStart w:id="826" w:name="__RefHeading___Toc2903487_3804643083"/>
      <w:bookmarkStart w:id="827" w:name="_Toc314"/>
      <w:bookmarkEnd w:id="826"/>
      <w:r>
        <w:rPr>
          <w:rtl w:val="true"/>
        </w:rPr>
        <w:t>ـ صحيحه‌ي ديگر علي بن جعفر</w:t>
      </w:r>
      <w:r>
        <w:rPr>
          <w:rtl w:val="true"/>
        </w:rPr>
        <w:t>:</w:t>
      </w:r>
      <w:bookmarkEnd w:id="82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فِي قُرْبِ الْإِسْنَادِ عَنْ عَبْدِ اللَّهِ</w:t>
      </w:r>
      <w:bookmarkStart w:id="828" w:name="pg2375_19984"/>
    </w:p>
    <w:p>
      <w:pPr>
        <w:pStyle w:val="BookText"/>
        <w:rPr/>
      </w:pPr>
      <w:bookmarkEnd w:id="828"/>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يَكْتُبَ الْمُصْحَفَ بِالْأَجْرِ؟</w:t>
      </w:r>
      <w:r>
        <w:rPr>
          <w:rStyle w:val="FootnoteAnchor"/>
          <w:rtl w:val="true"/>
        </w:rPr>
        <w:footnoteReference w:id="4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2903489_3804643083"/>
      <w:bookmarkStart w:id="830" w:name="_Toc315"/>
      <w:bookmarkEnd w:id="829"/>
      <w:r>
        <w:rPr>
          <w:rtl w:val="true"/>
        </w:rPr>
        <w:t>ـ صحيحه‌اي در جامع بزنطي به نقل جناب ابن ادريس</w:t>
      </w:r>
      <w:r>
        <w:rPr>
          <w:rtl w:val="true"/>
        </w:rPr>
        <w:t>:</w:t>
      </w:r>
      <w:bookmarkEnd w:id="830"/>
    </w:p>
    <w:p>
      <w:pPr>
        <w:pStyle w:val="BookText"/>
        <w:rPr/>
      </w:pPr>
      <w:r>
        <w:rPr>
          <w:rFonts w:ascii="Amiri" w:hAnsi="Amiri" w:eastAsia="Amiri" w:cs="Amiri"/>
          <w:color w:val="111111"/>
          <w:sz w:val="28"/>
          <w:sz w:val="28"/>
          <w:szCs w:val="28"/>
          <w:rtl w:val="true"/>
          <w:lang w:bidi="ar-SA"/>
        </w:rPr>
        <w:t xml:space="preserve">قَالَ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يَكْتُبُ الْمُصْحَفَ بِالْأَجْرِ؟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در مورد تمام بودن سند رواياتي كه جناب ابن ادريس به طور مستقيم از كتاب‌هايي مثل جامع بزنطي نقل مي‌كند، چندين بار صحبت كرده‌ايم كه خلاصه‌اش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كتاب‌هايي مانند جامع بزنطي در زمان جناب ابن ادريس حلّي متواتر يا در حكم متواتر بوده، بنابراين احتياج به ذكر سند به آن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از لحاظ سند تمام است</w:t>
      </w:r>
      <w:r>
        <w:rPr>
          <w:rFonts w:eastAsia="IRNazanin" w:cs="IRNazanin"/>
          <w:color w:val="111111"/>
          <w:sz w:val="28"/>
          <w:szCs w:val="28"/>
          <w:rtl w:val="true"/>
          <w:lang w:bidi="fa-IR"/>
        </w:rPr>
        <w:t>.</w:t>
      </w:r>
    </w:p>
    <w:p>
      <w:pPr>
        <w:pStyle w:val="Heading5"/>
        <w:numPr>
          <w:ilvl w:val="4"/>
          <w:numId w:val="1"/>
        </w:numPr>
        <w:rPr/>
      </w:pPr>
      <w:bookmarkStart w:id="831" w:name="__RefHeading___Toc2903491_3804643083"/>
      <w:bookmarkStart w:id="832" w:name="_Toc316"/>
      <w:bookmarkEnd w:id="831"/>
      <w:r>
        <w:rPr>
          <w:rtl w:val="true"/>
        </w:rPr>
        <w:t>ـ روايت عبدالرحمن بن ابي عبدالله</w:t>
      </w:r>
      <w:r>
        <w:rPr>
          <w:rtl w:val="true"/>
        </w:rPr>
        <w:t>:</w:t>
      </w:r>
      <w:bookmarkEnd w:id="83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 عَنْ أَبَانٍ عَنْ عَبْدِ الرَّحْمَنِ بْنِ أَبِي عَبْدِ اللَّهِ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عَبْدِ اللَّهِ بْنِ الْحَارِثِ أَرَادَتْ أَنْ تَكْتُبَ مُصْحَفاً وَ اشْتَرَتْ وَرَقاً مِنْ عِنْدِهَا وَ دَعَتْ رَجُلًا فَكَتَبَ لَهَا عَلَى غَيْرِ شَرْطٍ</w:t>
      </w:r>
    </w:p>
    <w:p>
      <w:pPr>
        <w:pStyle w:val="BookText"/>
        <w:rPr/>
      </w:pPr>
      <w:r>
        <w:rPr>
          <w:rFonts w:ascii="Amiri" w:hAnsi="Amiri" w:eastAsia="Amiri" w:cs="Amiri"/>
          <w:color w:val="111111"/>
          <w:sz w:val="28"/>
          <w:sz w:val="28"/>
          <w:szCs w:val="28"/>
          <w:rtl w:val="true"/>
          <w:lang w:bidi="ar-SA"/>
        </w:rPr>
        <w:t>فَأَعْطَتْهُ حِينَ فَرَغَ خَمْسِينَ دِينَاراً وَ إِنَّهُ لَمْ تُبَعِ الْمَصَاحِفُ إِلَّا حَدِيثاً</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عبدالرحمن بن ابي عبدالله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عبدالله بن حارث وقتي خواست مصحفي كتابت كند ورق خريد و از شخصي خواست كه بر آن ورق كتابت كند، بدون اين‌كه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درباره‌ي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مشارطه و مقاطعه كرده باشد، وقتي كتابت قرآن تمام شد پنجاه دينار</w:t>
      </w:r>
      <w:r>
        <w:rPr>
          <w:rStyle w:val="FootnoteAnchor"/>
          <w:rtl w:val="true"/>
        </w:rPr>
        <w:footnoteReference w:id="494"/>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محمد باقر بن محمد تقى اصفهانى، أوزان المقادير،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الدينار و المثقال الشرعي متحدان و هذا مما لا شك فيه، و هما ثلاثة أرباع، المثقال الصيرفي مثقال و ثلث من الشرعي، و المثقال الشرعي درهم و ثلاثة أرباع درهم، و الدرهم نصف المثقال الشرعي و خمسه و نصف المثقال الصيرفي و ربع عشره، فيكون مقدار عشرة دراهم سبعة مثاقيل، فيكون عشرون مثقالا أول نصب الذهب في وزان ثمانية و عشرون درهما و أربعة أسباع درهم، و مائتا درهم أول نصب الفضة في وزان مائة و أربعين مثقالا، و هذا النسب مما لا شك فيها، و اتفقت عليها الخاصة و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اعطاء كرد و همانا مصحف خريد و فروش نمي‌شد مگر جديداً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از لحاظ سند به خاطر قاسم بن محمد الجوهري ناتمام است</w:t>
      </w:r>
      <w:r>
        <w:rPr>
          <w:rFonts w:eastAsia="Amiri" w:cs="Amiri" w:ascii="Amiri" w:hAnsi="Amiri"/>
          <w:color w:val="111111"/>
          <w:sz w:val="28"/>
          <w:szCs w:val="28"/>
          <w:rtl w:val="true"/>
          <w:lang w:bidi="ar-SA"/>
        </w:rPr>
        <w:t>.</w:t>
      </w:r>
      <w:bookmarkStart w:id="833" w:name="pg2375_19986"/>
    </w:p>
    <w:p>
      <w:pPr>
        <w:pStyle w:val="BookText"/>
        <w:rPr/>
      </w:pPr>
      <w:bookmarkEnd w:id="833"/>
      <w:r>
        <w:rPr>
          <w:rFonts w:ascii="Amiri" w:hAnsi="Amiri" w:eastAsia="Amiri" w:cs="Amiri"/>
          <w:color w:val="111111"/>
          <w:sz w:val="28"/>
          <w:sz w:val="28"/>
          <w:szCs w:val="28"/>
          <w:rtl w:val="true"/>
          <w:lang w:bidi="ar-SA"/>
        </w:rPr>
        <w:t>اين‌كه حضرت در مقام تكريم، اين واقعه را تعريف مي‌كنند استفاده مي‌شود بهتر است در اجاره براي كتابت مصحف هم اجرت معين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ذيل روايت هم كه 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 تُبَعِ الْمَصَاحِفُ إِلَّا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بيان نمي‌كنند اين كار حرام و غلط است، اشعار به اين دارد كه بيع مصحف حرام نيست و از آن جهت كه حضرت يك نوع اظهار تكدّر خاطري از بيع مصحف مي‌كنند، استفاده مي‌شود حداقل كراهت دارد</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2903493_3804643083"/>
      <w:bookmarkStart w:id="835" w:name="_Toc317"/>
      <w:bookmarkEnd w:id="834"/>
      <w:r>
        <w:rPr>
          <w:rtl w:val="true"/>
        </w:rPr>
        <w:t>ادامه‌ي كلام در جمع شيخ</w:t>
      </w:r>
      <w:r>
        <w:rPr>
          <w:rtl w:val="true"/>
        </w:rPr>
        <w:t xml:space="preserve">- </w:t>
      </w:r>
      <w:r>
        <w:rPr>
          <w:rtl w:val="true"/>
        </w:rPr>
        <w:t xml:space="preserve">قدس سره </w:t>
      </w:r>
      <w:r>
        <w:rPr>
          <w:rtl w:val="true"/>
        </w:rPr>
        <w:t xml:space="preserve">- </w:t>
      </w:r>
      <w:r>
        <w:rPr>
          <w:rtl w:val="true"/>
        </w:rPr>
        <w:t>بين دو دسته روايات</w:t>
      </w:r>
      <w:bookmarkEnd w:id="835"/>
    </w:p>
    <w:p>
      <w:pPr>
        <w:pStyle w:val="Heading5"/>
        <w:numPr>
          <w:ilvl w:val="4"/>
          <w:numId w:val="1"/>
        </w:numPr>
        <w:rPr/>
      </w:pPr>
      <w:bookmarkStart w:id="836" w:name="__RefHeading___Toc2903495_3804643083"/>
      <w:bookmarkStart w:id="837" w:name="_Toc318"/>
      <w:bookmarkEnd w:id="836"/>
      <w:r>
        <w:rPr>
          <w:rtl w:val="true"/>
        </w:rPr>
        <w:t>اشاره</w:t>
      </w:r>
      <w:bookmarkEnd w:id="837"/>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بيان وجوه استفاده‌ي جواز بيع مصحف از موثقه‌ي روح بن عبدالرحيم و صحيحه‌ي ابي بصير مي‌فرمايد اين وجوه ناتمام است؛ زيرا اين دو روايت در مقام بيان اين است كه تحصيل مصحف در صدر اسلام از طريق كتابت خود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همكاري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ولي جديداً همت‌ها كوتاه شده و به جاي مباشرت در كتابت قرآن، از طريق خريد و فروش و استيجار شخصي براي كتابت و پرداخت اجرت، تحصيل مصحف مي‌كنند، امّا ديگر اين دو روايت كيفيت شراء را بيان نمي‌كند كه چگونه بوده و چگونه بايد باشد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دلالة فيها على جواز اشتراء خطّ المصحف، و إنّما تدلّ على أنّ تحصيل المصحف في الصدر الأوّل كان بمباشرة كتابته، ثم قصرت الهمم فلم يباشروها بأنفسهم، و حصّلوا المصاحف بأموالهم شراءً و استئجاراً، و لا دلالة فيها على كيفية الشراء، و أنّ الشراء و المعاوضة لا بدّ أن لا يقع إلّا على ما عدا الخط، من القرطاس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الروايات دلالة على أنّ الأولى مع عدم مباشرة الكتابة بنفسه أن يستكتب بلا شرط ثمّ يعطيه ما يرضيه، مثل رواية عبد الرحمن بن أبي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ممّا يدلّ على الجواز رواية عنبسة الورّاق </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 إن كانت ظاهرة في الجواز إلّا أنّ ظهورها من حيث السكوت عن كيفية البيع، في مقام الحاجة إلى البيان، فلا تعارض ما تقدّم من الأخبار المتضمّنة للبيان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فالأظهر في الأخبار ما تقدّم من الأساطين المتقدم إليهم الإشارة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مقتضاي جمع با روايات ناهيه از بيع مصحف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مي‌خواهد از طريق خريد و فروش تحصيل مصحف كند، بايد بيع را بر غير كتابت يعني بر ورق، جلد، اديم، حديد، عمل 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اگر از طريق استيجار براي كتابت مي‌خواهد تحصيل مصحف كند، به مقتضاي روايت عبدالرحمن بن ابي عبدالله بهتر است قبل از عمل نسبت به اجرت مقاطعه نكند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سپس در مورد روايت عنبسة الوراق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گرچه ظهور در جواز بيع مصحف دارد، ولي اين ظهور بالاطلاق و با استفاده از مقدمات حكمت است؛ يعني چون در مقام بيان بوده ولي سكوت از ذكر قيد و كيفيت شراء فرموده، استفاده‌ي جواز بيع مطلقاً مي‌شود كه در اين صورت نيز مقتضاي جمع با روايات مانعه اين است كه بگوييم اين اطلاق</w:t>
      </w:r>
      <w:bookmarkStart w:id="838" w:name="pg2375_19988"/>
    </w:p>
    <w:p>
      <w:pPr>
        <w:pStyle w:val="BookText"/>
        <w:rPr/>
      </w:pPr>
      <w:bookmarkEnd w:id="838"/>
      <w:r>
        <w:rPr>
          <w:rFonts w:ascii="IRNazanin" w:hAnsi="IRNazanin" w:eastAsia="IRNazanin"/>
          <w:color w:val="111111"/>
          <w:sz w:val="28"/>
          <w:sz w:val="28"/>
          <w:szCs w:val="28"/>
          <w:rtl w:val="true"/>
          <w:lang w:bidi="fa-IR"/>
        </w:rPr>
        <w:t>به وسيله‌ي روايات مانعه تقييد مي‌خورد و نتيجه اين مي‌شود كه اگر بيع بر خطوط و كتاب الله انجام بگيرد جايز نيست، ولي بر جلد، اديم و ورق اشكالي ندارد</w:t>
      </w:r>
      <w:r>
        <w:rPr>
          <w:rFonts w:eastAsia="IRNazanin" w:cs="IRNazanin"/>
          <w:color w:val="111111"/>
          <w:sz w:val="28"/>
          <w:szCs w:val="28"/>
          <w:rtl w:val="true"/>
          <w:lang w:bidi="fa-IR"/>
        </w:rPr>
        <w:t>.</w:t>
      </w:r>
    </w:p>
    <w:p>
      <w:pPr>
        <w:pStyle w:val="Heading5"/>
        <w:numPr>
          <w:ilvl w:val="4"/>
          <w:numId w:val="1"/>
        </w:numPr>
        <w:rPr/>
      </w:pPr>
      <w:bookmarkStart w:id="839" w:name="__RefHeading___Toc2903497_3804643083"/>
      <w:bookmarkStart w:id="840" w:name="_Toc319"/>
      <w:bookmarkEnd w:id="839"/>
      <w:r>
        <w:rPr>
          <w:rtl w:val="true"/>
        </w:rPr>
        <w:t>نقد وجه جمع شيخ</w:t>
      </w:r>
      <w:r>
        <w:rPr>
          <w:rtl w:val="true"/>
        </w:rPr>
        <w:t xml:space="preserve">- </w:t>
      </w:r>
      <w:r>
        <w:rPr>
          <w:rtl w:val="true"/>
        </w:rPr>
        <w:t xml:space="preserve">قدس سره </w:t>
      </w:r>
      <w:r>
        <w:rPr>
          <w:rtl w:val="true"/>
        </w:rPr>
        <w:t>-</w:t>
      </w:r>
      <w:bookmarkEnd w:id="840"/>
    </w:p>
    <w:p>
      <w:pPr>
        <w:pStyle w:val="BookText"/>
        <w:rPr/>
      </w:pPr>
      <w:r>
        <w:rPr>
          <w:rFonts w:ascii="IRNazanin" w:hAnsi="IRNazanin" w:eastAsia="IRNazanin"/>
          <w:color w:val="111111"/>
          <w:sz w:val="28"/>
          <w:sz w:val="28"/>
          <w:szCs w:val="28"/>
          <w:rtl w:val="true"/>
          <w:lang w:bidi="fa-IR"/>
        </w:rPr>
        <w:t>خدمت مرحوم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 روايات مانعه كه مي‌فرمايد بيع مصحف جايز نيست و اگر خواستي بيع كني ورق، اديم و جلد را بيع كن، اين در واقع تفصيل در بيع مصحف نيست كه قِسمٌ جايز و قِسمٌ غير جايز، و اصلاً اين لحن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الْمَصَاحِفَ لَنْ تُشْتَرَى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تفصيل سازگار نيست، بلكه موضوع اين دو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كه جايز نيست، بيع مصحف است و آن چيزي كه جايز است بيع ورق، اديم 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اين دو با هم فرق مي‌كند و در حقيقت حضرت بعد از بيان عدم جواز بيع مصحف، راه ياد مي‌دهند كه چطور مبادله كنند و آن اين‌كه ورق، اديم و جلد را خريد و فروش كنند؛ نه مصحف را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مجوّزه هم وقتي از حضرت درباره‌ي بيع و شراء مصحف سؤال مي‌شود و حضرت در جواب مي‌فرمايند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أَشْتَرِي أَحَبُّ إِلَيَّ مِنْ أَنْ أَبِيعَهُ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موضوع بيع و شراء مصحف است؛ نه مثل اديم، حديد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مي‌كند بيع مصحف ـ كه مصحف عنوان مقوم و مقصود اصلي در بيع است ـ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حمل مطلق بر مقيد بين اين دو دسته روايت معني ندارد، بلكه</w:t>
      </w:r>
      <w:bookmarkStart w:id="841" w:name="pg2375_19989"/>
    </w:p>
    <w:p>
      <w:pPr>
        <w:pStyle w:val="BookText"/>
        <w:rPr/>
      </w:pPr>
      <w:bookmarkEnd w:id="841"/>
      <w:r>
        <w:rPr>
          <w:rFonts w:ascii="Amiri" w:hAnsi="Amiri" w:eastAsia="Amiri" w:cs="Amiri"/>
          <w:color w:val="111111"/>
          <w:sz w:val="28"/>
          <w:sz w:val="28"/>
          <w:szCs w:val="28"/>
          <w:rtl w:val="true"/>
          <w:lang w:bidi="ar-SA"/>
        </w:rPr>
        <w:t>همان‌طور كه بيان كرديم اين روايات با هم تعارض بدوي دارند و بايد حمل ظاهر بر نص يا أظهر كرد و نتيجه اين مي‌شود كه روايات مانعه حمل بر كراهت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كلام قائلين به عدم حرمت بيع مصحف مانند علامه‌ي بحرالعلوم، صاحب 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2903499_3804643083"/>
      <w:bookmarkStart w:id="843" w:name="_Toc320"/>
      <w:bookmarkEnd w:id="842"/>
      <w:r>
        <w:rPr>
          <w:rtl w:val="true"/>
        </w:rPr>
        <w:t>نقد كلام شيخ</w:t>
      </w:r>
      <w:r>
        <w:rPr>
          <w:rtl w:val="true"/>
        </w:rPr>
        <w:t xml:space="preserve">- </w:t>
      </w:r>
      <w:r>
        <w:rPr>
          <w:rtl w:val="true"/>
        </w:rPr>
        <w:t xml:space="preserve">قدس سره </w:t>
      </w:r>
      <w:r>
        <w:rPr>
          <w:rtl w:val="true"/>
        </w:rPr>
        <w:t xml:space="preserve">- </w:t>
      </w:r>
      <w:r>
        <w:rPr>
          <w:rtl w:val="true"/>
        </w:rPr>
        <w:t>در وجوه دلالت موثقه‌ي روح بن عبدالرحيم بر جواز بيع مصحف</w:t>
      </w:r>
      <w:bookmarkEnd w:id="843"/>
    </w:p>
    <w:p>
      <w:pPr>
        <w:pStyle w:val="BookText"/>
        <w:rPr/>
      </w:pPr>
      <w:r>
        <w:rPr>
          <w:rFonts w:ascii="IRNazanin" w:hAnsi="IRNazanin" w:eastAsia="IRNazanin"/>
          <w:color w:val="111111"/>
          <w:sz w:val="28"/>
          <w:sz w:val="28"/>
          <w:szCs w:val="28"/>
          <w:rtl w:val="true"/>
          <w:lang w:bidi="fa-IR"/>
        </w:rPr>
        <w:t xml:space="preserve">همان‌طور كه بيان كرديم مرحوم شيخ درباره‌ي دلالت موثقه‌ي روح بن عبدالرحيم بر جواز بيع مصحف سه وجه ذكر فرمود؛ يعني علاوه بر اين كلام حضرت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أَشْتَرِي أَحَبُّ إِلَيَّ مِنْ أَنْ أَبِيعَهُ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ما نيز دلالت آن را بر جواز قبول كرديم ـ دو وجه ديگر هم دالّ بر جواز بيع مصحف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اين بود كه از ذيل موثقه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اجرت بر كتابت قران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پس خطوط قرآن كريم ماليت دارد، بنابراين بيعش نيز بايد جايز باشد؛ چون احتمال فرق بين اجاره و بيع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اين كلام درست نيست؛ زيرا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فردي به خاطر غرضي، ديگري را اجير بر عملي كند كه حاصل آن عمل ماليت ندارد؛ به عنوان مثال كسي كه به خاطر غرض شخصي مي‌خواهد ببيند در كنار دريا وقتي آب</w:t>
      </w:r>
    </w:p>
    <w:p>
      <w:pPr>
        <w:pStyle w:val="BookText"/>
        <w:rPr/>
      </w:pPr>
      <w:r>
        <w:rPr>
          <w:rFonts w:ascii="IRNazanin" w:hAnsi="IRNazanin" w:eastAsia="IRNazanin"/>
          <w:color w:val="111111"/>
          <w:sz w:val="28"/>
          <w:sz w:val="28"/>
          <w:szCs w:val="28"/>
          <w:rtl w:val="true"/>
          <w:lang w:bidi="fa-IR"/>
        </w:rPr>
        <w:t>روي آب ريخته مي‌شود چه اتفاقي مي‌افتد، مي‌تواند ديگري را اجير كند تا اين عمل را انجام دهد و نمي‌توان گفت چنين اجاره‌اي صحيح نيست، در حالي كه حاصل اين عمل هيچ ماليتي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جواز پرداخت اجرت بر كتابت قرآن كريم نمي‌توان نتيجه گرفت خطوط قرآن شرعاً ماليت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فرض ماليّت براي خطوط قرآن، ملازمه‌اي بين جواز اجاره با جواز بيع نيست؛ چون ممكن است شارع نخواهد نقوش قرآن كريم به خاطر عظمتي كه دارد به عنوان مبيع در مقابل ثمن واقع شود، امّا پرداخت مزد در مقابل كتابت قرآن كه عمل يد است مانعي نداشته باشد؛ چون مزد مستقيماً در مقابل نقوش بما هي نقوش قرار نمي‌گيرد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دوم اين بود كه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اشْتَرَوْا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مي‌شود سيره و عمل مسلمين بر مبايعه‌ي مصحف بود و اين دالّ بر جواز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لحن روايت به گونه‌اي است كه استفاده مي‌شود حضرت في‌الجمله در مقام ابراز عدم رضايت از اين عمل مسلمين هستند، هرچند در حدّي نيست كه بتوان استفاده‌ي حرمت كرد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مسلمين همان‌طور كه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نهاية الاحكام فرمودند مورد انكار صحابه قرار گرفته است</w:t>
      </w:r>
      <w:r>
        <w:rPr>
          <w:rFonts w:eastAsia="IRNazanin" w:cs="IRNazanin"/>
          <w:color w:val="111111"/>
          <w:sz w:val="28"/>
          <w:szCs w:val="28"/>
          <w:rtl w:val="true"/>
          <w:lang w:bidi="fa-IR"/>
        </w:rPr>
        <w:t>.</w:t>
      </w:r>
      <w:bookmarkStart w:id="844" w:name="pg2375_19991"/>
    </w:p>
    <w:p>
      <w:pPr>
        <w:pStyle w:val="BookText"/>
        <w:rPr/>
      </w:pPr>
      <w:bookmarkEnd w:id="844"/>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روايات مانعه مي‌تواند به عنوان رادع عمل آن‌ها باشد</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2903501_3804643083"/>
      <w:bookmarkStart w:id="846" w:name="_Toc321"/>
      <w:bookmarkEnd w:id="845"/>
      <w:r>
        <w:rPr>
          <w:rtl w:val="true"/>
        </w:rPr>
        <w:t>وجه اعتباري شيخ</w:t>
      </w:r>
      <w:r>
        <w:rPr>
          <w:rtl w:val="true"/>
        </w:rPr>
        <w:t xml:space="preserve">- </w:t>
      </w:r>
      <w:r>
        <w:rPr>
          <w:rtl w:val="true"/>
        </w:rPr>
        <w:t xml:space="preserve">قدس سره </w:t>
      </w:r>
      <w:r>
        <w:rPr>
          <w:rtl w:val="true"/>
        </w:rPr>
        <w:t xml:space="preserve">- </w:t>
      </w:r>
      <w:r>
        <w:rPr>
          <w:rtl w:val="true"/>
        </w:rPr>
        <w:t>بر اثبات جواز بيع مصحف</w:t>
      </w:r>
      <w:bookmarkEnd w:id="846"/>
    </w:p>
    <w:p>
      <w:pPr>
        <w:pStyle w:val="Heading5"/>
        <w:numPr>
          <w:ilvl w:val="4"/>
          <w:numId w:val="1"/>
        </w:numPr>
        <w:rPr/>
      </w:pPr>
      <w:bookmarkStart w:id="847" w:name="__RefHeading___Toc2903503_3804643083"/>
      <w:bookmarkStart w:id="848" w:name="_Toc322"/>
      <w:bookmarkEnd w:id="847"/>
      <w:r>
        <w:rPr>
          <w:rtl w:val="true"/>
        </w:rPr>
        <w:t>اشاره</w:t>
      </w:r>
      <w:bookmarkEnd w:id="848"/>
    </w:p>
    <w:p>
      <w:pPr>
        <w:pStyle w:val="BookText"/>
        <w:rPr/>
      </w:pP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استفاده‌ي حرمت بيع مصحف از روايات و عدم قبول حمل روايات مانعه بر كراهت، با يك تحليل اعتباري به اين نتيجه مي‌رسند كه نمي‌توان ملتزم به حرمت بيع مصحف شد و بايد اخبار مانعه را حمل بر كراهت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كلام مرحوم شيخ</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بعد فرض أن الكاتب للمصحف في الأوراق المملوكة مالك للأوراق و ما فيها من النقوش فإن النقوش إن لم تعد من الأعيان المملوكة بل من الصفات التي تتفاوت قيمته بوجودها و عدمها فلا حاجة إلى النهي عن بيع الخط فلا يقع بإزائه جزء من الثمن حتى يقع في حيز البيع و إن عدت من الأعيان المملوكة فإن فرض بقاؤها على ملك البائع بعد بيع الورق و الجلد فيلزم شركته مع المشتري و هو خلاف الاتفاق و إن انتقلت إلى المشتري فإن كان بجزء من العوض فهو البيع المنهي عنه لأن بيع المصحف المركب من الخط و غيره ليس إلا جعل جزء من الثمن بإزاء الخط و إن انتقلت إليه قهرا تبعا لغيرها لا لجزء من العوض نظير بعض ما يدخل في المبيع فهو خلاف مقصود المتبايعين مع أن هذا كالتزام كون المبيع هو الورق المقيد بوجود هذه النقوش فيه لا الورق و النقوش فإن النقوش غير مملوكة بحكم الشارع مجرد تكليف صوري إذ لا أظن أن تعطل أحكام الملك فلا تجري على الخط المذكور إذا بنينا على أنه ملك عرفا قد نهي عن المعاوضة عليه بل الظاهر أنه إذا لم يقصد بالشراء إلا الجلد و الورق كان الخط باقيا على ملك البائع فيكون شريكا بالنسبة فالظاهر أنه لا مناص عن التزام التكليف الصوري أو يقال إن الخط لا يدخل في الملك شرعا و إن دخل فيه عرفا فتأمل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نقوش مكتوبه در مصاحف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قابليت تملّك دارد و ملك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مطلب را گرچه شيخ نفرموده، ولي مي‌توان اين‌طور بيان كرد كه چون قابليت وقف دارد پس معلوم مي‌شود ملك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لاوقف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كسي اتلاف كرد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فرض مملوك بودن نقوش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نقوش يا از اعيان مملوكه است و ملكيت مستقل دارد و يا از اعيان مملوكه نيست و ملكيت تبعي داشته و هيچ‌گونه استقلالي ندارد، بلكه از صفاتي است كه بالتبع منتقل مي‌شود و فقط مؤثر در كاهش يا افزايش قيمت 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نقوش قرآن ملكيت تبعي داشته و بالتبع منتقل شود، اصلاً تحت بيع واقع نمي‌شود؛ نظير رنگ گل و هيئت تركيبي برگ‌هاي آن كه مملوك تبعي است و مستقلاً مورد معامله قرار نمي‌گيرد بلكه به تبع گل و مواد آن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فرضي كه نقوش اصلاً مورد معامله قرار نمي‌گيرد و تحت بيع واقع نمي‌شود، احتياجي به نهي از آن نيست؛ زيرا در مقابل آن نقوش ثمني قرار نمي‌گيرد تا بتواند مورد نهي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نهي از آن در اين فرض معنا نخواهد داشت؛ زيرا نهي از چيزي شده كه اصلاً واقع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نقوش قرآني از اعيان مملوكه بوده و ملكيت مستقل داشته باشد،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 جلد، ورق، حديد و اديم اين</w:t>
      </w:r>
    </w:p>
    <w:p>
      <w:pPr>
        <w:pStyle w:val="BookText"/>
        <w:rPr/>
      </w:pPr>
      <w:r>
        <w:rPr>
          <w:rFonts w:ascii="Amiri" w:hAnsi="Amiri" w:eastAsia="Amiri" w:cs="Amiri"/>
          <w:color w:val="111111"/>
          <w:sz w:val="28"/>
          <w:sz w:val="28"/>
          <w:szCs w:val="28"/>
          <w:rtl w:val="true"/>
          <w:lang w:bidi="ar-SA"/>
        </w:rPr>
        <w:t>نقوش قرآني كه ملكيت مستقل دارد، يا منتقل به مشتري مي‌شود يا به ملك بايع باقي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به ملك بايع باقي باشد و به مشتري منتقل نشود، لازمه‌اش آن است كه بعد از بيع جلد، ورق، اديم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مشتري و بايع در مصحف شريك باشند، در حالي كه قطعاً چنين نيست و خلاف اتفاق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به ملك بايع باقي نبوده و به مشتري منتقل شود مي‌گوييم اين انتقال يا بالعوض است و بخشي از ثمن در مقابل آن قرار مي‌گيرد يا بالعوض نيست و قهراً و تبعاً منتقل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انتقال بالعوض باشد، اين همان بيعي است كه مورد نهي واقع شده و حرام است؛ چون فرض آن است كه بيع نقوش در مقابل عوض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انتقال بدون عوض بوده و قهراً و تبعاً منتقل شود، خلاف مقصود متبايعين مي‌شود؛ زيرا فرض آن است كه متبايعين فقط ورق، اديم، حديد و جلد را قصد كرده و مبادله‌ي نقوش را قصد نكرده‌اند و نقوش هم طبق فرض، عين مملوكه است پس چگونه به مشتري منتقل شده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التزام به اين موجب مي‌شود در واقع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از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صوري شود؛ چون حقيقت بيع نسبت به نقوش ـ با فرض اين‌كه عين مملوكه است و متبايعين آن را قصد نكرده‌اند ـ تحقق يافته و به مشتري منتقل شده و نقوش هم در ازدياد ثمن سهم داشته،</w:t>
      </w:r>
      <w:bookmarkStart w:id="849" w:name="pg2375_19994"/>
    </w:p>
    <w:p>
      <w:pPr>
        <w:pStyle w:val="BookText"/>
        <w:rPr/>
      </w:pPr>
      <w:bookmarkEnd w:id="849"/>
      <w:r>
        <w:rPr>
          <w:rFonts w:ascii="IRNazanin" w:hAnsi="IRNazanin" w:eastAsia="IRNazanin"/>
          <w:color w:val="111111"/>
          <w:sz w:val="28"/>
          <w:sz w:val="28"/>
          <w:szCs w:val="28"/>
          <w:rtl w:val="true"/>
          <w:lang w:bidi="fa-IR"/>
        </w:rPr>
        <w:t>فقط از به زبان جاري كردن آن در انشاء عقد نهي شده كه اين مجرد تكليف صوري است يا اين‌كه بايد بگوييم نقوش هرچند عرفاً ملك است، ولي شرعاً ملك نيست و معامله بر روي ورق مقيّد به وجود نقوش قرآني واقع شده، نه ورق و نقوش، كه آن هم تكليف صوري است؛ زيرا گمان نمي‌كنم حقيقتاً احكام ملك بر روي آن تعطيل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اين‌كه شرعاً ملك نيست ولي احكام ملك را دارد، كه اين هم يك تكليف صوري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يك از اين صور مبتلاي به محظور است و نمي‌توان ملتزم به آن شد، به همين جهت مرحوم شيخ با تسليم شدن در مقابل اين وجه اعتباري، دست از ظهور اخبار بر حرمت بيع مصحف برمي‌دارند؛ چون قرينه‌ي عقليه‌ي قطعيه بر خلاف آن قائم است ـ در چنين جاهايي فرق بين اصولي و اخباري ظاهر مي‌شود كه دلالت اخبار را با اين‌كه بر حرمت تمام مي‌داند ولي به خاطر يك قرينه‌ي عقلي از آن رفع يد مي‌كند ـ بنابراين بايد مانند علامه‌ي بحر العلوم و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كراهت بيع مصحف شد؛ نه حرمت</w:t>
      </w:r>
      <w:r>
        <w:rPr>
          <w:rFonts w:eastAsia="IRNazanin" w:cs="IRNazanin"/>
          <w:color w:val="111111"/>
          <w:sz w:val="28"/>
          <w:szCs w:val="28"/>
          <w:rtl w:val="true"/>
          <w:lang w:bidi="fa-IR"/>
        </w:rPr>
        <w:t>.</w:t>
      </w:r>
    </w:p>
    <w:p>
      <w:pPr>
        <w:pStyle w:val="Heading5"/>
        <w:numPr>
          <w:ilvl w:val="4"/>
          <w:numId w:val="1"/>
        </w:numPr>
        <w:rPr/>
      </w:pPr>
      <w:bookmarkStart w:id="850" w:name="__RefHeading___Toc2903505_3804643083"/>
      <w:bookmarkStart w:id="851" w:name="_Toc323"/>
      <w:bookmarkEnd w:id="850"/>
      <w:r>
        <w:rPr>
          <w:rtl w:val="true"/>
        </w:rPr>
        <w:t>نقد كلام شيخ</w:t>
      </w:r>
      <w:r>
        <w:rPr>
          <w:rtl w:val="true"/>
        </w:rPr>
        <w:t xml:space="preserve">- </w:t>
      </w:r>
      <w:r>
        <w:rPr>
          <w:rtl w:val="true"/>
        </w:rPr>
        <w:t xml:space="preserve">قدس سره </w:t>
      </w:r>
      <w:r>
        <w:rPr>
          <w:rtl w:val="true"/>
        </w:rPr>
        <w:t>-</w:t>
      </w:r>
      <w:bookmarkEnd w:id="8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محظوراتي كه مرحوم شيخ در قائل شدن به حرمت بيع مصحف بيان كردند، در قائل شدن به كراهت هم عود مي‌كند؛ زيرا اگر نقوش عين مملوكه نباشد و وصف بوده</w:t>
      </w:r>
    </w:p>
    <w:p>
      <w:pPr>
        <w:pStyle w:val="BookText"/>
        <w:rPr/>
      </w:pPr>
      <w:r>
        <w:rPr>
          <w:rFonts w:ascii="IRNazanin" w:hAnsi="IRNazanin" w:eastAsia="IRNazanin"/>
          <w:color w:val="111111"/>
          <w:sz w:val="28"/>
          <w:sz w:val="28"/>
          <w:szCs w:val="28"/>
          <w:rtl w:val="true"/>
          <w:lang w:bidi="fa-IR"/>
        </w:rPr>
        <w:t>بالتبع منتقل شود، كراهت بيع خطوط ديگر معنا ندارد؛ چون اصلاً مورد معامله نمي‌تواند واقع شود تا كراهت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عين مملوكه باشد يا به مشتري منتقل مي‌شود يا منتقل نمي‌شود، اگر منتقل نشود لازمه‌اش اشتراك بايع و مشتري است و اگر منتقل شود يا در مقابل جزئي از ثمن منتقل مي‌شود كه اين همان بيع مكروه است و اگر در مقابل جزئي از ثمن قرار نمي‌گيرد و قهراً و تبعاً منتقل شود، خلاف قصد متبايعين مي‌شود و لازم مي‌آيد نهي كراهي، مجرد تكليف كراهي صوري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فرمودند اگر نقوش قرآني از اوصاف و هيئات باشد، تبعاً منتقل مي‌شود و ديگر تحت بيع واقع نمي‌شود و در نتيجه احتياجي به نهي از بيع آن نيست، ولي ما در توضيح كلام شيخ مي‌گوييم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هيئات و اوصاف گاهي مقوّم است و به عنوان صورت نوعيه‌ي آن ماده قرار مي‌گيرد، در چنين مواردي مي‌تواند تحت بيع قرار گيرد؛ به عنوان مثال در حرمت بيع هياكل عبادت بيان كرديم هياكل عبادت مثل صليب با اين‌كه هيئت و وصف است و ماده‌ي آن مثلاً جز چوب يا سنگ نيست، امّا چون وصف مقوّم است و به منزله‌ي صورت نوعيه بوده و به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هياكل عبادت مثل 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مي‌شود؛ نهي هم به آن عنوان تعلق گرفته و حرام است، كما اين‌كه در مورد انگشتر</w:t>
      </w:r>
    </w:p>
    <w:p>
      <w:pPr>
        <w:pStyle w:val="BookText"/>
        <w:rPr/>
      </w:pPr>
      <w:r>
        <w:rPr>
          <w:rFonts w:ascii="Amiri" w:hAnsi="Amiri" w:eastAsia="Amiri" w:cs="Amiri"/>
          <w:color w:val="111111"/>
          <w:sz w:val="28"/>
          <w:sz w:val="28"/>
          <w:szCs w:val="28"/>
          <w:rtl w:val="true"/>
          <w:lang w:bidi="ar-SA"/>
        </w:rPr>
        <w:t>طلاي مخصوص مردان</w:t>
      </w:r>
      <w:r>
        <w:rPr>
          <w:rStyle w:val="FootnoteAnchor"/>
          <w:rtl w:val="true"/>
        </w:rPr>
        <w:footnoteReference w:id="497"/>
      </w:r>
      <w:r>
        <w:rPr>
          <w:rFonts w:ascii="IRNazanin" w:hAnsi="IRNazanin" w:eastAsia="IRNazanin"/>
          <w:color w:val="111111"/>
          <w:sz w:val="28"/>
          <w:sz w:val="28"/>
          <w:szCs w:val="28"/>
          <w:rtl w:val="true"/>
          <w:lang w:bidi="fa-IR"/>
        </w:rPr>
        <w:t>و آلات لهو ولعب هم اين گونه است و وصف، وصف مقوم است و نهي به آن عنوان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بيع آن وصف و هيئت، مواد هم بالتبع منتقل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بحث حرمت بيع هياكل عبادت گفتيم اگر هياكل عبادت نه به عنوان آن وصف بلكه به عنوان مواد آن مبايعه شود ـ مثلاً در هياكل عبادت به عنوان چوب و در انگشتر طلا به عنوان طلا و در آلات لهو و لعب به عنوان مواد آن خريد و فروش شود ـ معامله صحيح است و حرمتي ندارد، هرچند هيئت هم بالتبع منتقل مي‌شود و ملكيت مستقلي ندارد و بايع نمي‌تواند ادعاي مالكيت هيئت كرده و در نتيجه شريك در آن باشد؛ زيرا در چنين جايي هيئات در نزد عقلاء وجود منحازي در معامله ندارد كه احتياج به قصد و إنشاء داشته باشد و با انتقال مواد، بالتبع منتقل مي‌شود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فيه هم اين‌چنين است كه به خاطر عظمت قرآن، بيع قرآن به عنوان يك وصف مقوم مورد نهي واقع شده ولي همان‌طور كه بلاتشبيه در مورد هياكل عبادت، انگشتر طلا و آلات لهو و لعب بيان كرديم اگر به اعتبار مواد آن فروخته شود جايز است و هيئات نيز بالتبع منتقل مي‌شود، در مورد قرآن كريم</w:t>
      </w:r>
      <w:bookmarkStart w:id="852" w:name="pg2375_19997"/>
    </w:p>
    <w:p>
      <w:pPr>
        <w:pStyle w:val="BookText"/>
        <w:rPr/>
      </w:pPr>
      <w:bookmarkEnd w:id="852"/>
      <w:r>
        <w:rPr>
          <w:rFonts w:ascii="IRNazanin" w:hAnsi="IRNazanin" w:eastAsia="IRNazanin"/>
          <w:color w:val="111111"/>
          <w:sz w:val="28"/>
          <w:sz w:val="28"/>
          <w:szCs w:val="28"/>
          <w:rtl w:val="true"/>
          <w:lang w:bidi="fa-IR"/>
        </w:rPr>
        <w:t xml:space="preserve">هم اگر به اعتبار جلد، ورق، اديم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جايز است و آن هيئت و وصف قرآني هم بالتبع منتقل مي‌شود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بيع مهم است، إنشاء و قصد است و داعي در صحت يا عدم صحت بيع دخيل نيست؛ مثلاً اگر كسي به داعي اين‌كه مهمانان را ضيافت كند، گوشت خريداري كند و بعد از خريدن گوشت از مهماني دادن منصرف شود، آيا صحيح است بگوييم چون داعي‌اش تخلف كرده، مي‌تواند گوشت‌ها را پس بدهد؟</w:t>
      </w:r>
      <w:r>
        <w:rPr>
          <w:rFonts w:eastAsia="IRNazanin" w:cs="IRNazanin"/>
          <w:color w:val="111111"/>
          <w:sz w:val="28"/>
          <w:szCs w:val="28"/>
          <w:rtl w:val="true"/>
          <w:lang w:bidi="fa-IR"/>
        </w:rPr>
        <w:t>!</w:t>
      </w:r>
    </w:p>
    <w:p>
      <w:pPr>
        <w:pStyle w:val="Heading4"/>
        <w:numPr>
          <w:ilvl w:val="3"/>
          <w:numId w:val="1"/>
        </w:numPr>
        <w:rPr/>
      </w:pPr>
      <w:bookmarkStart w:id="853" w:name="__RefHeading___Toc2903507_3804643083"/>
      <w:bookmarkStart w:id="854" w:name="_Toc324"/>
      <w:bookmarkEnd w:id="853"/>
      <w:r>
        <w:rPr>
          <w:rtl w:val="true"/>
        </w:rPr>
        <w:t>خلاصه‌ي نظر مختار در بيع مصحف</w:t>
      </w:r>
      <w:bookmarkEnd w:id="854"/>
    </w:p>
    <w:p>
      <w:pPr>
        <w:pStyle w:val="BookText"/>
        <w:rPr/>
      </w:pPr>
      <w:r>
        <w:rPr>
          <w:rFonts w:ascii="IRNazanin" w:hAnsi="IRNazanin" w:eastAsia="IRNazanin"/>
          <w:color w:val="111111"/>
          <w:sz w:val="28"/>
          <w:sz w:val="28"/>
          <w:szCs w:val="28"/>
          <w:rtl w:val="true"/>
          <w:lang w:bidi="fa-IR"/>
        </w:rPr>
        <w:t>همان‌طور كه بيان كرديم آن‌چه حرام يا مكروه است، بيع عنوان قرآنيت است و عنوان قرآن گرچه وصف و هيئت است و مستقلاً در مقابل اثمان قرار نمي‌گيرد، ولي اگر عرفاً صورت مقوّمه باشد مي‌تواند متعلّق معامله قرار گيرد و ثمن در مقابل آن صورت نوعيه قرار مي‌گيرد ـ و حتّي متجزي بين ماده و هيئت نمي‌شود ـ كه آن مكروه يا حرام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بيع بر روي مواد واقع شود گرچه اوصاف و هيئات هم با آن منتقل خواهد شد، ولي در اين صورت مكروه يا حرام نخواهد بود؛ چون ثمن در مقابل مواد قرار مي‌گيرد، نه اوصاف و هيئات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مانعي هم ندارد به اعتبار اشتمال بر اين اوصاف و هيئات، ثمن زيادتري در مقابل آن مواد قرار بگيرد؛ زيرا به هر حال ثمن در مقابل ماده است و متجزي نمي‌شود كه بخشي نيز در مقابل هيئات</w:t>
      </w:r>
    </w:p>
    <w:p>
      <w:pPr>
        <w:pStyle w:val="BookText"/>
        <w:rPr/>
      </w:pPr>
      <w:r>
        <w:rPr>
          <w:rFonts w:ascii="IRNazanin" w:hAnsi="IRNazanin" w:eastAsia="IRNazanin"/>
          <w:color w:val="111111"/>
          <w:sz w:val="28"/>
          <w:sz w:val="28"/>
          <w:szCs w:val="28"/>
          <w:rtl w:val="true"/>
          <w:lang w:bidi="fa-IR"/>
        </w:rPr>
        <w:t xml:space="preserve">قرار گيرد؛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الهيئات و الاوصاف لاتقابل بالاثمان</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گرچه مي‌تواند حيثيت تعليله افزايش يا كاهش قيمت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هيئات و اوصاف مقابل اثمان قرار نمي‌گيرد و وقتي ماده را هرچند به اعتبار اشتمالش بر اوصاف به قيمت بالاتر فروخت و انشاء بر روي ماده بود، هيئت و وصف هم تبعاً و قهراً منتقل به مشتري مي‌شود و احتياجي به قصد ندارد و اين‌كه شيخ فرمود خلاف قصد متبايعين مي‌شود، در فرضي بود كه اوصاف و هيئات مستقل بوده و از اعيان مملوكه باشد، در حالي كه چنين فرضي در مورد هيئت قرآني غلط است و واقعيت ندارد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هيئات قرآني اصالت در بيع ندارد و بالتبع منتقل مي‌شود، پس اگر احياناً كيفيت خطوط يا چاپ آن پايين بود و نقصاني در حروف و خطوط داشت، از آن‌جا كه انشاء بر روي آن واقع نشده و جزء مبيع قرار نگرفته و ثمن در مقابل آن پرداخت نشده، مشتري نمي‌تواند آن را پس دهد و بايع نيز مي‌تواند از پس گرفتنش امتناع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بيع روي اوصاف واقع نمي‌شود، ولي اگر به نحو شرط در معامله ذكر شود ـ گرچه باز لايقسّط عليه الثمن ـ و آن شرط مفقود باشد، خيار تخلف شرط براي مشتري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شرطي در معامله ذكر نشود ولي شرط ارتكازي</w:t>
      </w:r>
      <w:r>
        <w:rPr>
          <w:rStyle w:val="FootnoteAnchor"/>
          <w:rtl w:val="true"/>
        </w:rPr>
        <w:footnoteReference w:id="500"/>
      </w:r>
      <w:r>
        <w:rPr>
          <w:rFonts w:ascii="IRNazanin" w:hAnsi="IRNazanin" w:eastAsia="IRNazanin"/>
          <w:color w:val="111111"/>
          <w:sz w:val="28"/>
          <w:sz w:val="28"/>
          <w:szCs w:val="28"/>
          <w:rtl w:val="true"/>
          <w:lang w:bidi="fa-IR"/>
        </w:rPr>
        <w:t>باشد، باز چنين خاصيتي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مثل بيع صليب و صنم از آن‌جا كه آن هيئت مبغوض شارع است، آن شرط ملغي است به خلاف بيع قرآن كريم كه چنين شرطي ملغي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مشكلي در چاپ يا خط قرآن وجود داشته باشد، گرچه بيع روي ورق، جلد، اديم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ولي از آن‌جا كه شرط ارتكازي وجود دارد كه مشكلي در چاپ و خطوط قرآن نباشد و اين شرط ارتكازي در قوه‌ي تصريح است، پس خيار تخلف شرط دارد، گرچه احتياط باز در ترك اين شرط و عدم اخذ به خيار تخلّف شرط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است به جهت تكريم قرآن كريم و رعايت احتياط و استحباب، قرآن به نحو هديه مبادله شود نه بيع و شراء ـ خصوصاً بيع؛ چرا كه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أَشْتَرِي أَحَبُّ إِلَيَّ مِنْ أَنْ أَبِيعَهُ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bookmarkStart w:id="855" w:name="pg2375_20000"/>
    </w:p>
    <w:p>
      <w:pPr>
        <w:pStyle w:val="BookText"/>
        <w:rPr/>
      </w:pPr>
      <w:bookmarkEnd w:id="855"/>
      <w:r>
        <w:rPr>
          <w:rFonts w:ascii="IRNazanin" w:hAnsi="IRNazanin" w:eastAsia="IRNazanin"/>
          <w:color w:val="111111"/>
          <w:sz w:val="28"/>
          <w:sz w:val="28"/>
          <w:szCs w:val="28"/>
          <w:rtl w:val="true"/>
          <w:lang w:bidi="fa-IR"/>
        </w:rPr>
        <w:t xml:space="preserve">در اشتراء، ثمن را فداي قرآن مي‌كند و قرآن را به دست مي‌آورد، ولي در بيع، قرآن را در مقابل ثمن مي‌دهد ـ هديه‌ي معوضه نيز اشكالي ندارد؛ چون هديه‌ي معوضه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عينٍ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تا مورد نهي قرار بگيرد بلكه پولي به صاحب قرآن هديه مي‌دهد به شرطي كه او نيز قرآنش را هديه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خطباء نيز در منابر اين موضوع را به جهت تكريم قرآن و رعايت احتياط و استحباب به مردم خاطرنشان كنند</w:t>
      </w:r>
      <w:r>
        <w:rPr>
          <w:rFonts w:eastAsia="IRNazanin" w:cs="IRNazanin"/>
          <w:color w:val="111111"/>
          <w:sz w:val="28"/>
          <w:szCs w:val="28"/>
          <w:rtl w:val="true"/>
          <w:lang w:bidi="fa-IR"/>
        </w:rPr>
        <w:t>.</w:t>
      </w:r>
    </w:p>
    <w:p>
      <w:pPr>
        <w:pStyle w:val="Heading4"/>
        <w:numPr>
          <w:ilvl w:val="3"/>
          <w:numId w:val="1"/>
        </w:numPr>
        <w:rPr/>
      </w:pPr>
      <w:bookmarkStart w:id="856" w:name="__RefHeading___Toc2903509_3804643083"/>
      <w:bookmarkStart w:id="857" w:name="_Toc325"/>
      <w:bookmarkEnd w:id="856"/>
      <w:r>
        <w:rPr>
          <w:rtl w:val="true"/>
        </w:rPr>
        <w:t>بنا بر حرمت بيع مصحف، آيا معامله باطل است؟</w:t>
      </w:r>
      <w:bookmarkEnd w:id="857"/>
    </w:p>
    <w:p>
      <w:pPr>
        <w:pStyle w:val="BookText"/>
        <w:rPr/>
      </w:pPr>
      <w:r>
        <w:rPr>
          <w:rFonts w:ascii="IRNazanin" w:hAnsi="IRNazanin" w:eastAsia="IRNazanin"/>
          <w:color w:val="111111"/>
          <w:sz w:val="28"/>
          <w:sz w:val="28"/>
          <w:szCs w:val="28"/>
          <w:rtl w:val="true"/>
          <w:lang w:bidi="fa-IR"/>
        </w:rPr>
        <w:t>اين مسأله طبق مبنايي كه انتخاب كرديم كه بيع قرآن كراهت دارد، جايگاهي ندارد ولي بنا بر مبناي حرمت بيع قرآن اين سؤال مطرح است كه آيا حرمت وضعي دارد يا خير؟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نهي در معاملات علي الاطلاق موجب فساد نيست و اكثر متأخرين ـ و نيز شايد اكثر متقدمين ـ نيز اين مطلب را پذيرفته‌اند كه نهي در معاملات به طور مطلق موجب فساد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نهي به حاق تبادل از حيث قرار دادن ثمن در مقابل مثمن تعلق بگيرد جاي تأمل است، هرچند باز عقلاً اين احتمال وجود دارد كه قرار دادن ثمن در مقابل مثمن تكليفاً حرام باشد، ولي وضعاً صحيح و مورد امضاء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اين‌جا هم بعضي قائلند نهي موجب فساد نيست و ابوحنيفه گفته نهي در معاملات حتّي مقتضي صحت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نهي در معامله‌اي نه به خاطر نفس تبادل بلكه به خاطر تطابق عنوان ديگري مانند بيع وقت النداء ـ كه در حقيقت نهي از تفويت صلات جمعه و عدم تشاغل به صلات است ـ باشد، موجب فساد نيست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در ما نحن فيه آيا نهي به نفس تبادل تعلق گرفته يا به عنوان ديگري، مي‌توانيم بگوييم نهي به نفس تبادل تعلق گرفته است؛ زيرا اين نهي در حقيقت براي آن است كه قرآن مورد اكرام باشد و آن را مانند كالا تلقي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وقتي از حضرت در مورد بيع مصحف سؤال مي‌كنند در جواب كتاب را به خداوند متعال مضاف مي‌كنند و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مي‌خواهند بيان كنند كه كتاب الله عظمت دارد و آن را به عنوان مثمن قرار نده، يا وقتي 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أَشْتَرِيهِ أَحَبُّ إِلَيَّ مِنْ أَنْ أَبِيعَهُ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قرآن بالاتر از آن است كه كسي آن را مبيع قرار داده و با آن كسب درآمد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بيع قرآن حرام باشد بدين معناست كه نفس تمليك قرآن كريم در مقابل عوض چون مصداق عدم تعظيم و يك نوع وهن به قرآن است، مبغوض مي‌باشد و نهي به حاق تبادل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همان‌طور كه بيان كرديم در چنين مواردي عقلاً اين احتمال وجود دارد كه فقط تكليفاً حرام و مبغوض باشد، امّا وضعاً مورد امضاي شارع بوده و نقل و انتقال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نيز بيان كرديم امكان دارد چيزي تكليفاً حرام باشد امّا وضعاً داراي</w:t>
      </w:r>
    </w:p>
    <w:p>
      <w:pPr>
        <w:pStyle w:val="BookText"/>
        <w:rPr/>
      </w:pPr>
      <w:r>
        <w:rPr>
          <w:rFonts w:ascii="Amiri" w:hAnsi="Amiri" w:eastAsia="Amiri" w:cs="Amiri"/>
          <w:color w:val="111111"/>
          <w:sz w:val="28"/>
          <w:sz w:val="28"/>
          <w:szCs w:val="28"/>
          <w:rtl w:val="true"/>
          <w:lang w:bidi="ar-SA"/>
        </w:rPr>
        <w:t xml:space="preserve">اثر باشد، و در شرع نيز نمونه دارد؛ مثلاً در آيه‌ي شريفه‌ي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&gt;</w:t>
      </w:r>
      <w:r>
        <w:rPr>
          <w:rStyle w:val="FootnoteAnchor"/>
          <w:rtl w:val="true"/>
        </w:rPr>
        <w:footnoteReference w:id="501"/>
      </w:r>
      <w:r>
        <w:rPr>
          <w:rFonts w:ascii="IRNazanin" w:hAnsi="IRNazanin" w:eastAsia="IRNazanin"/>
          <w:color w:val="111111"/>
          <w:sz w:val="28"/>
          <w:sz w:val="28"/>
          <w:szCs w:val="28"/>
          <w:rtl w:val="true"/>
          <w:lang w:bidi="fa-IR"/>
        </w:rPr>
        <w:t>نهي از سؤال كردن مي‌كند امّا در عين حال مي‌فرمايد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إِنْ تَسْئَلُوا عَنْها حينَ يُنَزَّلُ الْقُرْآنُ تُبْدَ لَكُمْ عَفَا اللَّهُ عَنْها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يعني اگر سؤال كنيد به شما پاسخ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ما نحن فيه نيز عقلاً امكان دارد كه بيع مصحف فقط تكليفاً حرام باشد، به اين معنا كه اگر كسي مرتكب اين حرام شد نقل و انتقال محقق مي‌شود، كما اين‌كه بعضي با تمسك به اطلاق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گفته‌اند وضعاً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كلام جاي تأمل دارد چون انصراف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از چنين مواردي بعيد نيست؛ زيرا پذيرفتن اين‌كه مولايي بگويد اين نقل و انتقال مبغوض من است ولي در عين حال اگر اين امر مبغوض را كسي مرتكب شد امضاء مي‌كنم، عرفاً ـ نه عقلاً ـ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انصافاً تصميم گرفتن در اين‌جا مشكل است گرچه مقتضاي صناعت، اخذ به اطلاق و قول به صحّت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 شك، استصحاب عدم انتقال جاري است، هرچند اين‌جا با احراز اطلاق</w:t>
      </w:r>
      <w:r>
        <w:rPr>
          <w:rStyle w:val="FootnoteAnchor"/>
          <w:rtl w:val="true"/>
        </w:rPr>
        <w:footnoteReference w:id="502"/>
      </w:r>
      <w:r>
        <w:rPr>
          <w:rFonts w:ascii="Amiri" w:hAnsi="Amiri" w:eastAsia="Amiri" w:cs="Amiri"/>
          <w:color w:val="111111"/>
          <w:sz w:val="28"/>
          <w:sz w:val="28"/>
          <w:szCs w:val="28"/>
          <w:rtl w:val="true"/>
          <w:lang w:bidi="ar-SA"/>
        </w:rPr>
        <w:t xml:space="preserve">آيه‌ي شريفه‌ي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w:t>
      </w:r>
      <w:bookmarkStart w:id="858" w:name="pg2375_20003"/>
    </w:p>
    <w:p>
      <w:pPr>
        <w:pStyle w:val="BookText"/>
        <w:rPr/>
      </w:pPr>
      <w:bookmarkEnd w:id="858"/>
      <w:r>
        <w:rPr>
          <w:rFonts w:ascii="Amiri" w:hAnsi="Amiri" w:eastAsia="Amiri" w:cs="Amiri"/>
          <w:color w:val="111111"/>
          <w:sz w:val="28"/>
          <w:sz w:val="28"/>
          <w:szCs w:val="28"/>
          <w:rtl w:val="true"/>
          <w:lang w:bidi="ar-SA"/>
        </w:rPr>
        <w:t>عدم احراز انصراف، نوبت به استصحاب نمي‌رسد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با احراز انصراف و جريان استصحاب معلوم مي‌شود معامله باطل بوده و نقل و انتقال محقق نشده است كه در اين صورت اگر بايع مشخص باشد، بايد به نحوي با او تصالح كند و اگر معلوم نيست و قيمت المثل قرآن به اندازه‌ي وجه پرداختي باشد، بعيد نيست بتواند تقاصاً قرآن را بردارد، ولي مشكل آن‌جاست كه بايع هم خودش از كس ديگري خريده باشد</w:t>
      </w:r>
      <w:r>
        <w:rPr>
          <w:rFonts w:eastAsia="IRNazanin" w:cs="IRNazanin"/>
          <w:color w:val="111111"/>
          <w:sz w:val="28"/>
          <w:szCs w:val="28"/>
          <w:rtl w:val="true"/>
          <w:lang w:bidi="fa-IR"/>
        </w:rPr>
        <w:t>!</w:t>
      </w:r>
    </w:p>
    <w:p>
      <w:pPr>
        <w:pStyle w:val="Heading3"/>
        <w:numPr>
          <w:ilvl w:val="2"/>
          <w:numId w:val="1"/>
        </w:numPr>
        <w:rPr/>
      </w:pPr>
      <w:bookmarkStart w:id="859" w:name="__RefHeading___Toc2903511_3804643083"/>
      <w:bookmarkStart w:id="860" w:name="_Toc326"/>
      <w:bookmarkEnd w:id="859"/>
      <w:r>
        <w:rPr>
          <w:rtl w:val="true"/>
        </w:rPr>
        <w:t>حكم بيع مصحف به كافر</w:t>
      </w:r>
      <w:bookmarkEnd w:id="860"/>
    </w:p>
    <w:p>
      <w:pPr>
        <w:pStyle w:val="Heading4"/>
        <w:numPr>
          <w:ilvl w:val="3"/>
          <w:numId w:val="1"/>
        </w:numPr>
        <w:rPr/>
      </w:pPr>
      <w:bookmarkStart w:id="861" w:name="__RefHeading___Toc2903513_3804643083"/>
      <w:bookmarkStart w:id="862" w:name="_Toc327"/>
      <w:bookmarkEnd w:id="861"/>
      <w:r>
        <w:rPr>
          <w:rtl w:val="true"/>
        </w:rPr>
        <w:t>اشاره</w:t>
      </w:r>
      <w:bookmarkEnd w:id="862"/>
    </w:p>
    <w:p>
      <w:pPr>
        <w:pStyle w:val="BookText"/>
        <w:rPr/>
      </w:pPr>
      <w:r>
        <w:rPr>
          <w:rFonts w:ascii="IRNazanin" w:hAnsi="IRNazanin" w:eastAsia="IRNazanin"/>
          <w:color w:val="111111"/>
          <w:sz w:val="28"/>
          <w:sz w:val="28"/>
          <w:szCs w:val="28"/>
          <w:rtl w:val="true"/>
          <w:lang w:bidi="fa-IR"/>
        </w:rPr>
        <w:t>مسأله‌ي ديگري كه مرحوم شيخ در اين‌جا تبعاً للعلامه</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يحرم بيع المصحف، بل يباع الجلد و الورق، و لو اشتراه الكافر فالأقرب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أخذ الأجرة على كتابة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تحقيق المذهب،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اشترى الكافر مصحفا، لم يصحّ البيع عندنا على أقوى القولين و به قال الشافعيّ و قال أصحاب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 يجبر 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عليه استدامة الملك فيحرم عليه ابتداؤه، كسائر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المسافرة بالقرآن إلى أرض العدوّ؛ مخافة أن تناله أيديهم فلا يجوز تمكينهم من السبب لنيل الأيدي إيّاه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مي‌فرمايد ـ و در كلمات قبل علامه هم به گونه‌اي به آن اشاره شده، ولي ظاهراً اولين كسي كه بالصراحه بيان فرموده</w:t>
      </w:r>
    </w:p>
    <w:p>
      <w:pPr>
        <w:pStyle w:val="BookText"/>
        <w:rPr/>
      </w:pPr>
      <w:r>
        <w:rPr>
          <w:rFonts w:ascii="IRNazanin" w:hAnsi="IRNazanin" w:eastAsia="IRNazanin"/>
          <w:color w:val="111111"/>
          <w:sz w:val="28"/>
          <w:sz w:val="28"/>
          <w:szCs w:val="28"/>
          <w:rtl w:val="true"/>
          <w:lang w:bidi="fa-IR"/>
        </w:rPr>
        <w:t>علامه است</w:t>
      </w:r>
      <w:r>
        <w:rPr>
          <w:rStyle w:val="FootnoteAnchor"/>
          <w:rtl w:val="true"/>
        </w:rPr>
        <w:footnoteReference w:id="504"/>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المشرك ممنوع من شراء المصاحف إعزازا للقرآن فإن اشترى لم يصح البيع و في الناس من قال يملكه و يلزم الفسخ و الأول أصح، و هكذا حكم الدفاتر التي فيها أحاديث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 السلف و أقاويلهم حكمها حكم المصاحف سواء، و أما كتب الشعر و الأدب و اللغة و نحو ذلك فشراؤها جائز لأنه لا حرمة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رهن مسلم عبدا مسلما عند كافر أو رهن عنده مصحفا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أحدهما يصح، و الثاني لا يصح و يوضع على يدي مسلم عدل، و هذا عندي أولى لأنه لا مانع منه و أحاديث رسول الله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المصحف سواء، و إنما قلنا بجوازه لأن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عند أبي شحمة اليهودي درعا فإذا كان الرهن عندهم صحيحا و ما لا يصح منهم مسه أو استخدامه جعل علي يدي عدل فيجب أن يكون 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اين است كه اگر به همان نحوي كه بيع مصحف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مسلم جايز است ـ به عنوان بيع قرآن يا بيع جلد، ورق و اديم ـ به كافر بفروشد، جايز نخواهد بود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المشهور بين العلّامة رحمه اللّه و من تأخّر عنه عدم جواز بيع المصحف من الكافر على الوجه</w:t>
      </w:r>
      <w:bookmarkStart w:id="863" w:name="pg2375_20005"/>
    </w:p>
    <w:p>
      <w:pPr>
        <w:pStyle w:val="BookText"/>
        <w:rPr/>
      </w:pPr>
      <w:bookmarkEnd w:id="863"/>
      <w:r>
        <w:rPr>
          <w:rFonts w:ascii="Amiri" w:hAnsi="Amiri" w:eastAsia="Amiri" w:cs="Amiri"/>
          <w:color w:val="111111"/>
          <w:sz w:val="28"/>
          <w:sz w:val="28"/>
          <w:szCs w:val="28"/>
          <w:rtl w:val="true"/>
          <w:lang w:bidi="ar-SA"/>
        </w:rPr>
        <w:t>الذي يجوز بيعه من المسلم</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ثمّ إنّ المشهور بين العلّامة رحمه اللّه و من تأخّر عنه عدم جواز بيع المصحف من الكافر على الوجه الذي يجوز بيعه من المسلم؛ و لعلّه لفحوى ما دلّ على عدم تملّك الكافر للمسلم، و أنّ الإسلام يعلو و لا يعلى عليه؛ فإنّ الشيخ رحمه اللّه قد استدلّ به على عدم تملّك الكافر للمسلم، و من المعلوم أنّ ملك الكافر للمسلم إن كان علوّاً على الإسلام فملكه للمصحف أشدّ علوّاً عليه؛ و لذا لم يوجد هنا قول بتملّكه و إجباره على البيع، كما قيل به في العبد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كفر المسلم انتقل مصحفه إلى وارثه و لو كان الوارث هو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مرحوم شيخ مي‌فرمايد به همان روش صحيح هم به كافر بفروشد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دليل بر اين مطلب اقامه مي‌كند</w:t>
      </w:r>
      <w:r>
        <w:rPr>
          <w:rFonts w:eastAsia="IRNazanin" w:cs="IRNazanin"/>
          <w:color w:val="111111"/>
          <w:sz w:val="28"/>
          <w:szCs w:val="28"/>
          <w:rtl w:val="true"/>
          <w:lang w:bidi="fa-IR"/>
        </w:rPr>
        <w:t>:</w:t>
      </w:r>
    </w:p>
    <w:p>
      <w:pPr>
        <w:pStyle w:val="Heading4"/>
        <w:numPr>
          <w:ilvl w:val="3"/>
          <w:numId w:val="1"/>
        </w:numPr>
        <w:rPr/>
      </w:pPr>
      <w:bookmarkStart w:id="864" w:name="__RefHeading___Toc2903515_3804643083"/>
      <w:bookmarkStart w:id="865" w:name="_Toc328"/>
      <w:bookmarkEnd w:id="864"/>
      <w:r>
        <w:rPr>
          <w:rtl w:val="true"/>
        </w:rPr>
        <w:t>ادله‌ي حرمت بيع مصحف به كافر</w:t>
      </w:r>
      <w:bookmarkEnd w:id="865"/>
    </w:p>
    <w:p>
      <w:pPr>
        <w:pStyle w:val="Heading5"/>
        <w:numPr>
          <w:ilvl w:val="4"/>
          <w:numId w:val="1"/>
        </w:numPr>
        <w:rPr/>
      </w:pPr>
      <w:bookmarkStart w:id="866" w:name="__RefHeading___Toc2903517_3804643083"/>
      <w:bookmarkStart w:id="867" w:name="_Toc329"/>
      <w:bookmarkEnd w:id="866"/>
      <w:r>
        <w:rPr/>
        <w:t>1</w:t>
      </w:r>
      <w:r>
        <w:rPr>
          <w:rtl w:val="true"/>
        </w:rPr>
        <w:t xml:space="preserve">. </w:t>
      </w:r>
      <w:r>
        <w:rPr>
          <w:rtl w:val="true"/>
        </w:rPr>
        <w:t>فحواي عدم جواز بيع عبد مسلم به كافر</w:t>
      </w:r>
      <w:r>
        <w:rPr>
          <w:rtl w:val="true"/>
        </w:rPr>
        <w:t>.</w:t>
      </w:r>
      <w:bookmarkEnd w:id="867"/>
    </w:p>
    <w:p>
      <w:pPr>
        <w:pStyle w:val="Heading5"/>
        <w:numPr>
          <w:ilvl w:val="4"/>
          <w:numId w:val="1"/>
        </w:numPr>
        <w:rPr/>
      </w:pPr>
      <w:bookmarkStart w:id="868" w:name="__RefHeading___Toc2903519_3804643083"/>
      <w:bookmarkStart w:id="869" w:name="_Toc330"/>
      <w:bookmarkEnd w:id="868"/>
      <w:r>
        <w:rPr/>
        <w:t>2</w:t>
      </w:r>
      <w:r>
        <w:rPr>
          <w:rtl w:val="true"/>
        </w:rPr>
        <w:t xml:space="preserve">. </w:t>
      </w:r>
      <w:r>
        <w:rPr>
          <w:rtl w:val="true"/>
        </w:rPr>
        <w:t xml:space="preserve">روايت معروف </w:t>
      </w:r>
      <w:r>
        <w:rPr>
          <w:rtl w:val="true"/>
        </w:rPr>
        <w:t>«</w:t>
      </w:r>
      <w:r>
        <w:rPr>
          <w:rtl w:val="true"/>
        </w:rPr>
        <w:t>الاسلام يعلو و لايعلي عليه</w:t>
      </w:r>
      <w:r>
        <w:rPr>
          <w:rtl w:val="true"/>
        </w:rPr>
        <w:t>».</w:t>
      </w:r>
      <w:bookmarkEnd w:id="869"/>
    </w:p>
    <w:p>
      <w:pPr>
        <w:pStyle w:val="BookText"/>
        <w:rPr/>
      </w:pP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بيع عبد مسلم به كافر را مفروغٌ عنه گرفته و دليلي بر آن اقامه نمي‌كنند، ولي سه دليل مي‌توان بر آن اقامه كرد</w:t>
      </w:r>
      <w:r>
        <w:rPr>
          <w:rFonts w:eastAsia="IRNazanin" w:cs="IRNazanin"/>
          <w:color w:val="111111"/>
          <w:sz w:val="28"/>
          <w:szCs w:val="28"/>
          <w:rtl w:val="true"/>
          <w:lang w:bidi="fa-IR"/>
        </w:rPr>
        <w:t>:</w:t>
      </w:r>
    </w:p>
    <w:p>
      <w:pPr>
        <w:pStyle w:val="Heading4"/>
        <w:numPr>
          <w:ilvl w:val="3"/>
          <w:numId w:val="1"/>
        </w:numPr>
        <w:rPr/>
      </w:pPr>
      <w:bookmarkStart w:id="870" w:name="__RefHeading___Toc2903521_3804643083"/>
      <w:bookmarkStart w:id="871" w:name="_Toc331"/>
      <w:bookmarkEnd w:id="870"/>
      <w:r>
        <w:rPr>
          <w:rtl w:val="true"/>
        </w:rPr>
        <w:t>ادلّه‌ي عدم جواز بيع عبد مسلم به كافر</w:t>
      </w:r>
      <w:bookmarkEnd w:id="871"/>
    </w:p>
    <w:p>
      <w:pPr>
        <w:pStyle w:val="Heading5"/>
        <w:numPr>
          <w:ilvl w:val="4"/>
          <w:numId w:val="1"/>
        </w:numPr>
        <w:rPr/>
      </w:pPr>
      <w:bookmarkStart w:id="872" w:name="__RefHeading___Toc2903523_3804643083"/>
      <w:bookmarkStart w:id="873" w:name="_Toc332"/>
      <w:bookmarkEnd w:id="872"/>
      <w:r>
        <w:rPr/>
        <w:t>1</w:t>
      </w:r>
      <w:r>
        <w:rPr>
          <w:rtl w:val="true"/>
        </w:rPr>
        <w:t xml:space="preserve">. </w:t>
      </w:r>
      <w:r>
        <w:rPr>
          <w:rtl w:val="true"/>
        </w:rPr>
        <w:t xml:space="preserve">آيه‌ي شريفه </w:t>
      </w:r>
      <w:r>
        <w:rPr>
          <w:rtl w:val="true"/>
        </w:rPr>
        <w:t>&lt;</w:t>
      </w:r>
      <w:r>
        <w:rPr>
          <w:rtl w:val="true"/>
        </w:rPr>
        <w:t xml:space="preserve">وَ لَنْ يَجْعَلَ اللَّهُ لِلْكَافِرِينَ عَلَى الْمُؤْمِنِينَ سَبِيلاً </w:t>
      </w:r>
      <w:r>
        <w:rPr>
          <w:rtl w:val="true"/>
        </w:rPr>
        <w:t>&gt;(</w:t>
      </w:r>
      <w:r>
        <w:rPr/>
        <w:t>2</w:t>
      </w:r>
      <w:r>
        <w:rPr>
          <w:rtl w:val="true"/>
        </w:rPr>
        <w:t>)</w:t>
      </w:r>
      <w:bookmarkEnd w:id="87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آيه‌ي شريفه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سبيلي براي كافر عليه مؤمن قرار نداده است و مي‌تواند دليلي بر عدم جواز بيع عبد مسلم به كافر باشد؛ زيرا چه سبيلي بالاتر از اين‌كه كافري مالك عبد مسلم شود به نحوي كه عبد مسلم در تحت سيطره‌ي كافر</w:t>
      </w:r>
    </w:p>
    <w:p>
      <w:pPr>
        <w:pStyle w:val="BookText"/>
        <w:rPr/>
      </w:pPr>
      <w:r>
        <w:rPr>
          <w:rFonts w:ascii="IRNazanin" w:hAnsi="IRNazanin" w:eastAsia="IRNazanin"/>
          <w:color w:val="111111"/>
          <w:sz w:val="28"/>
          <w:sz w:val="28"/>
          <w:szCs w:val="28"/>
          <w:rtl w:val="true"/>
          <w:lang w:bidi="fa-IR"/>
        </w:rPr>
        <w:t xml:space="preserve">باشد و هيچ اراده‌اي از خود نداشته باشد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ضَرَبَ اللَّهُ مَثَلاً عَبْداً مَمْلُوكاً لا يَقْدِرُ عَلى شَيْ‌ءٍ</w:t>
      </w:r>
      <w:r>
        <w:rPr>
          <w:rFonts w:eastAsia="IRNazanin" w:cs="IRNazanin"/>
          <w:color w:val="111111"/>
          <w:sz w:val="28"/>
          <w:szCs w:val="28"/>
          <w:rtl w:val="true"/>
          <w:lang w:bidi="fa-IR"/>
        </w:rPr>
        <w:t>&gt;</w:t>
      </w:r>
      <w:r>
        <w:rPr>
          <w:rStyle w:val="FootnoteAnchor"/>
          <w:rtl w:val="true"/>
        </w:rPr>
        <w:footnoteReference w:id="5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زمان شيخ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شايد قبل از آن به اين آيه‌ي شريفه براي عدم جواز بيع عبد مسلم به كافر تمسك شده</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إذا اشترى كافر عبدا مسلما، لا ينعقد الشراء، و لا يملكه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الشافعي في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الشراء و يملكه، و يجبر على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أبو حنيفة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عام في جميع الأحكام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وكل مسلم كافرا في شراء عبد مسلم لم يصح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للشافعي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عام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حتّي 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شريف نهج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ذهبت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الكافر لا يصح أن يشتري مسلما، و لا ينعقد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ذهبت الامامية الي انّه لايقتل المسلم بالذمي و قال ابوحنيفه يقتل و قد خالف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بعضي فتاواي ابوحنيفه</w:t>
      </w:r>
    </w:p>
    <w:p>
      <w:pPr>
        <w:pStyle w:val="BookText"/>
        <w:rPr/>
      </w:pPr>
      <w:r>
        <w:rPr>
          <w:rFonts w:ascii="IRNazanin" w:hAnsi="IRNazanin" w:eastAsia="IRNazanin"/>
          <w:color w:val="111111"/>
          <w:sz w:val="28"/>
          <w:sz w:val="28"/>
          <w:szCs w:val="28"/>
          <w:rtl w:val="true"/>
          <w:lang w:bidi="fa-IR"/>
        </w:rPr>
        <w:t>تشنيع كرده و فرموده مخالف اين آيه‌ي شريفه است، پس ابوحنيفه با اين فتاوي مخالفت با قرآن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دلالت آيه‌ي شريفه</w:t>
      </w:r>
    </w:p>
    <w:p>
      <w:pPr>
        <w:pStyle w:val="BookText"/>
        <w:rPr/>
      </w:pPr>
      <w:r>
        <w:rPr>
          <w:rFonts w:ascii="IRNazanin" w:hAnsi="IRNazanin" w:eastAsia="IRNazanin"/>
          <w:color w:val="111111"/>
          <w:sz w:val="28"/>
          <w:sz w:val="28"/>
          <w:szCs w:val="28"/>
          <w:rtl w:val="true"/>
          <w:lang w:bidi="fa-IR"/>
        </w:rPr>
        <w:t>قطعاً مقصود از سبيل، سبيل تكويني نيست؛ چون مي‌دانيم خداوند متعال راه را براي كفار حتّي نسبت به پيامبران و ائمه‌ي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باز گذاشته تا بتوانند بر آن‌ها مسلط شوند، مثلاً ابراهيم خليل را در آتش انداختند، حضرت يحيي علي نبينا و آله و عليه السلام را شهيد كردند،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 بنابراين مراد از سبيل همان‌طور كه در روايت</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حَدَّثَنَا تَمِيمُ بْنُ عَبْدِ اللَّهِ بْنِ تَمِيمٍ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عَلِيٍّ الْأَنْصَارِيِّ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فِي سَوَادِ الْكُوفَةِ قَوْماً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فِيهِمْ قَوْماً يَزْعُمُونَ أَنَّ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وَ أَنَّهُ أُلْقِيَ شِبْهُهُ عَلَى حَنْظَلَةَ بْنِ أَسْعَدَ الشَّامِيِّ وَ أَنَّهُ رُفِعَ إِلَى السَّمَاءِ كَمَا رُفِعَ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يَحْتَجُّونَ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عَلَيْهِمْ غَضَبُ اللَّهِ وَ لَعْنَتُهُ وَ كَفَرُوا بِتَكْذِيبِهِمْ لِنَبِيِّ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إِخْبَارِهِ بِأَنَّ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وَ اللَّهِ لَقَدْ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كَانَ خَيْراً مِنَ الْحُسَيْنِ أَمِيرُ الْمُؤْمِنِينَ وَ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 إِلَّا مَقْتُولٌ وَ إِنِّي وَ اللَّهِ لَمَقْتُولٌ بِالسَّمِّ بِاغْتِيَالِ مَنْ يَغْتَالُنِي أَعْرِفُ ذَلِكَ بِعَهْدٍ مَعْهُودٍ إِلَيَّ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بِهِ جَبْرَئِيلُ عَنْ رَبِّ الْعَالَمِينَ عَزَّ وَ جَلَ‌وَ أَمَّا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يَجْعَلَ اللَّهُ لِكَافِرٍ عَلَى مُؤْمِنٍ حُجَّةً وَ لَقَدْ أَخْبَرَ اللَّهُ عَزَّ وَ جَلَّ عَنْ كُفَّارٍ قَتَلُوا النَّبِيِّينَ بِغَيْرِ الْحَقِّ وَ مَعَ قَتْلِهِمْ إِيَّاهُمْ لَنْ يَجْعَلَ اللَّهُ لَهُمْ عَلَى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مِنْ طَرِيقِ الْحُجَّةِ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p>
    <w:p>
      <w:pPr>
        <w:pStyle w:val="BookText"/>
        <w:rPr/>
      </w:pPr>
      <w:r>
        <w:rPr>
          <w:rFonts w:ascii="IRNazanin" w:hAnsi="IRNazanin" w:eastAsia="IRNazanin"/>
          <w:color w:val="111111"/>
          <w:sz w:val="28"/>
          <w:sz w:val="28"/>
          <w:szCs w:val="28"/>
          <w:rtl w:val="true"/>
          <w:lang w:bidi="fa-IR"/>
        </w:rPr>
        <w:t>سبيل تكويني نيست پس بايد سبيل تشريعي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التزام به عموم سبيل تشريعي هم مشكل است؛ زيرا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كه فرموده بيع عبد مسلم به كافر جايز نيست چون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لَنْ يَجْعَلَ اللّهُ لِلْكافِرِينَ عَلَى الْمُؤْمِنِينَ سَبِيلًا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چهار مسأله‌ي بعد در مورد اجير شدن مسلماني براي كافر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استأجر كافر مسلما العمل في الذمة، صح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استأجره مدة من الزمان شهرا أو سنة ليعمل له عملا، صح أيضا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أصحاب الشافعي، ففيهم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 كالشراء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جواز ذلك و المنع يحتاج إلى دليل</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در حالي كه اجير شدن مسلمان براي كافر يك نوع سبيل است</w:t>
      </w:r>
      <w:r>
        <w:rPr>
          <w:rFonts w:eastAsia="Amiri" w:cs="Amiri" w:ascii="Amiri" w:hAnsi="Amiri"/>
          <w:color w:val="111111"/>
          <w:sz w:val="28"/>
          <w:szCs w:val="28"/>
          <w:rtl w:val="true"/>
          <w:lang w:bidi="ar-SA"/>
        </w:rPr>
        <w:t>.</w:t>
      </w:r>
      <w:r>
        <w:rPr>
          <w:rStyle w:val="FootnoteAnchor"/>
          <w:rtl w:val="true"/>
        </w:rPr>
        <w:footnoteReference w:id="51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وجه آن اين باشد كه اجير در مقابل دريافت اجرت، كار مباحي را براي كافر انجام مي‌دهد و اين به معناي سبيل كافر بر مسلمان نيست، و اگر بگوييم مطلقاً جايز نيست مسلمان اجير كافر شود، خلاف منّت بر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عملي كه بر آن اجير مي‌شود به گونه‌اي باشد كه باعث تحقير مسلمان و برتري كافر باشد، استناداً به آيه‌ي شريفه جايز نيست كه آن كلام ديگري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لازمه‌ي اطلاق داشتن آيه‌ي شريفه و اين‌كه هيچ كافري هيچ وقت نمي‌تواند سبيلي بر مسلمان داشته باشد، آن است كه بگوييم هيچ كافري نتواند در محكمه عليه مسلمان اقامه‌ي دعوا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 به اين اطلاق ملتزم شد و بايد ببينيم آيه‌ي شريفه در كنار آيات ديگر چه سياقي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آيه‌ي شريفه در سوره‌ي مباركه‌ي نساء قرار دارد، در آيه‌ي شريفه‌ي قبل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r>
        <w:rPr>
          <w:rFonts w:eastAsia="Amiri" w:cs="Amiri" w:ascii="Amiri" w:hAnsi="Amiri"/>
          <w:color w:val="111111"/>
          <w:sz w:val="28"/>
          <w:szCs w:val="28"/>
          <w:rtl w:val="true"/>
          <w:lang w:bidi="ar-SA"/>
        </w:rPr>
        <w:t>&gt;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حكم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بر شما نازل كرده</w:t>
      </w:r>
      <w:r>
        <w:rPr>
          <w:rStyle w:val="FootnoteAnchor"/>
          <w:rtl w:val="true"/>
        </w:rPr>
        <w:footnoteReference w:id="511"/>
      </w:r>
      <w:r>
        <w:rPr>
          <w:rFonts w:ascii="IRNazanin" w:hAnsi="IRNazanin" w:eastAsia="IRNazanin"/>
          <w:color w:val="111111"/>
          <w:sz w:val="28"/>
          <w:sz w:val="28"/>
          <w:szCs w:val="28"/>
          <w:rtl w:val="true"/>
          <w:lang w:bidi="fa-IR"/>
        </w:rPr>
        <w:t>كه هرگاه شنيديد آيات خدا مورد انكار و استهزاء قرار مي‌گيرد، با آن‌ها ننشينيد تا به سخن ديگري بپردازند وگرنه شما نيز همانند آنان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منافقين و كافرين را همگي در دوزخ جمع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w:t>
      </w:r>
      <w:r>
        <w:rPr>
          <w:rFonts w:eastAsia="Amiri" w:cs="Amiri" w:ascii="Amiri" w:hAnsi="Amiri"/>
          <w:color w:val="111111"/>
          <w:sz w:val="28"/>
          <w:szCs w:val="28"/>
          <w:rtl w:val="true"/>
          <w:lang w:bidi="ar-SA"/>
        </w:rPr>
        <w:t>&gt;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هستند كه پيوسته مراقب هستند، پس اگر فتح و پيروزي نصيب شما گردد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با شما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بهره‌اي نصيب كافران گردد مي‌گويند آيا ما بر شما چيره نبوديم و مؤمنين را از شما منع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روز قيامت ميان شما حكم مي‌كند و هرگز براي كافران عليه مؤمنان راه قرار نداده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ملاحظه فرموديد سياق آيه‌ي شريفه مربوط به روز قيامت است؛ زيرا مي‌فرمايد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فَاللَّهُ يَحْكُمُ بَيْنَكُمْ يَوْمَ الْقِيَامَةِ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بنابراين ادامه‌ي آيه‌ي شريفه هم كه مي‌فرمايد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لَنْ يَجْعَلَ اللّهُ لِلْكافِرِينَ عَلَى الْمُؤْمِنِينَ سَبِيلًا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بيشتر با اين سازگار است كه مربوط به روز قيامت باشد؛ يعني اگر منافقان كافر در دنيا مي‌توانستند با نفاق فريب دهند ـ به اين صورت كه اگر مؤمنان پيروز مي‌شدند مي‌گفتند مگر ما با شما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كافران نصيب، بهره و سبيلي بر مؤمنان پيدا مي‌كردند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w:t>
      </w:r>
    </w:p>
    <w:p>
      <w:pPr>
        <w:pStyle w:val="BookText"/>
        <w:rPr/>
      </w:pPr>
      <w:r>
        <w:rPr>
          <w:rFonts w:ascii="IRNazanin" w:hAnsi="IRNazanin" w:eastAsia="IRNazanin"/>
          <w:color w:val="111111"/>
          <w:sz w:val="28"/>
          <w:sz w:val="28"/>
          <w:szCs w:val="28"/>
          <w:rtl w:val="true"/>
          <w:lang w:bidi="fa-IR"/>
        </w:rPr>
        <w:t>شما را كمك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روز قيامت ديگر خداوند حكم مي‌كند و راه را بر منافقان كافر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روايتي</w:t>
      </w:r>
      <w:r>
        <w:rPr>
          <w:rStyle w:val="FootnoteAnchor"/>
          <w:rtl w:val="true"/>
        </w:rPr>
        <w:footnoteReference w:id="513"/>
      </w:r>
      <w:r>
        <w:rPr>
          <w:rFonts w:ascii="IRNazanin" w:hAnsi="IRNazanin" w:eastAsia="IRNazanin"/>
          <w:color w:val="111111"/>
          <w:sz w:val="28"/>
          <w:sz w:val="28"/>
          <w:szCs w:val="28"/>
          <w:rtl w:val="true"/>
          <w:lang w:bidi="fa-IR"/>
        </w:rPr>
        <w:t>هم كه در ذيل آيه‌ي شريفه وارد شده، سبيل را به حجّت معني كرده است ـ هرچند از لحاظ سند ناتمام بوده و متن آن هم داراي اشكال است ـ يعني خداوند متعال براي كافران عليه مؤمنان حجّتي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توضيحاتي كه بيان كرديم نمي‌توانيم به اطلاق آيه‌ي شريفه تمسك كرده و بگوييم در عالم تشريع، كافر هيچ نوع سبيلي بر مؤمن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مربوط به موارد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روايتي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يَزِيدُ وَ لَا يَنْقُصُ</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الْأَسْوَدِ الدُّؤَلِيِ أَنَّ مُعَاذَ بْنَ جَبَلٍ كَانَ بِالْيَمَنِ فَاجْتَمَعُوا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مَاتَ وَ تَرَكَ أَخاً مُسْلِماً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يَزِيدُ وَ لَا يَنْقُصُ فَوَرَّثَ الْمُسْلِمَ مِنْ أَخِيهِ الْيَهُودِيِّ</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نمي‌توان ملتزم شد هر مسلماني هر حقي دارد و هيچ نقصاني ندارد، بلكه تطبيق شده بر مسأله‌ي ارث كه اگر كافري مسلمان شد، در مورد ارث چيزي از او كم نمي‌شود بلكه اضافه مي‌شود؛ يعني اگر كافري از دنيا رفت و ورّاث كافر و مسلمان داشت، فقط به مسلمان مي‌رسد؛ نه اين‌كه ديگر همه چيز به مسلمان برسد؛ مثلاً</w:t>
      </w:r>
      <w:bookmarkStart w:id="874" w:name="pg2375_20012"/>
    </w:p>
    <w:p>
      <w:pPr>
        <w:pStyle w:val="BookText"/>
        <w:rPr/>
      </w:pPr>
      <w:bookmarkEnd w:id="874"/>
      <w:r>
        <w:rPr>
          <w:rFonts w:ascii="IRNazanin" w:hAnsi="IRNazanin" w:eastAsia="IRNazanin"/>
          <w:color w:val="111111"/>
          <w:sz w:val="28"/>
          <w:sz w:val="28"/>
          <w:szCs w:val="28"/>
          <w:rtl w:val="true"/>
          <w:lang w:bidi="fa-IR"/>
        </w:rPr>
        <w:t>اگر كافري به كافر ديگري هبه كرد، آن هم به مسلمان برسد</w:t>
      </w:r>
      <w:r>
        <w:rPr>
          <w:rFonts w:eastAsia="IRNazanin" w:cs="IRNazanin"/>
          <w:color w:val="111111"/>
          <w:sz w:val="28"/>
          <w:szCs w:val="28"/>
          <w:rtl w:val="true"/>
          <w:lang w:bidi="fa-IR"/>
        </w:rPr>
        <w:t>!</w:t>
      </w:r>
    </w:p>
    <w:p>
      <w:pPr>
        <w:pStyle w:val="Heading5"/>
        <w:numPr>
          <w:ilvl w:val="4"/>
          <w:numId w:val="1"/>
        </w:numPr>
        <w:rPr/>
      </w:pPr>
      <w:bookmarkStart w:id="875" w:name="__RefHeading___Toc2903525_3804643083"/>
      <w:bookmarkStart w:id="876" w:name="_Toc333"/>
      <w:bookmarkEnd w:id="875"/>
      <w:r>
        <w:rPr/>
        <w:t>2</w:t>
      </w:r>
      <w:r>
        <w:rPr>
          <w:rtl w:val="true"/>
        </w:rPr>
        <w:t xml:space="preserve">. </w:t>
      </w:r>
      <w:r>
        <w:rPr>
          <w:rtl w:val="true"/>
        </w:rPr>
        <w:t>روايت حماد بن عيسي</w:t>
      </w:r>
      <w:r>
        <w:rPr>
          <w:rtl w:val="true"/>
        </w:rPr>
        <w:t>:</w:t>
      </w:r>
      <w:bookmarkEnd w:id="876"/>
    </w:p>
    <w:p>
      <w:pPr>
        <w:pStyle w:val="BookText"/>
        <w:rPr/>
      </w:pPr>
      <w:r>
        <w:rPr>
          <w:rFonts w:ascii="Amiri" w:hAnsi="Amiri" w:eastAsia="Amiri" w:cs="Amiri"/>
          <w:color w:val="111111"/>
          <w:sz w:val="28"/>
          <w:sz w:val="28"/>
          <w:szCs w:val="28"/>
          <w:rtl w:val="true"/>
          <w:lang w:bidi="ar-SA"/>
        </w:rPr>
        <w:t>مُحَمَّدُ بْنُ الْحَسَنِ بِإِسْنَادِهِ عَنْ مُحَمَّدِ بْنِ يَحْيَى رَفَعَهُ عَنْ حَمَّادِ بْنِ عِيسَى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بِعَبْدٍ لِذِمِّيٍّ قَدْ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فَبِيعُوهُ مِنَ الْمُسْلِمِينَ وَ ادْفَعُوا ثَمَنَهُ إِلَى صَاحِبِهِ وَ لَا تُقِرُّوهُ عِنْدَهُ</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دومين دليلي كه بر عدم جواز بيع عبد مسلم به كافر اقامه شده، روايت حماد بن عيسي است كه حضرت درباره‌ي عبد متعلق به كافري كه مسلمان شده بود، دستور دادند به مسلمانان فروخته شود و ثمن آن به كافر پرداخت شود و آن عبد مسلمان را نزد كافر نگه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سند روايت حماد بن عيسي</w:t>
      </w:r>
    </w:p>
    <w:p>
      <w:pPr>
        <w:pStyle w:val="BookText"/>
        <w:rPr/>
      </w:pPr>
      <w:r>
        <w:rPr>
          <w:rFonts w:ascii="Amiri" w:hAnsi="Amiri" w:eastAsia="Amiri" w:cs="Amiri"/>
          <w:color w:val="111111"/>
          <w:sz w:val="28"/>
          <w:sz w:val="28"/>
          <w:szCs w:val="28"/>
          <w:rtl w:val="true"/>
          <w:lang w:bidi="ar-SA"/>
        </w:rPr>
        <w:t>اين روايت از لحاظ سند مرفوعه است؛ زيرا هم در كافي</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مُحَمَّدُ بْنُ يَحْيَى رَفَعَهُ عَنْ حَمَّادِ بْنِ عِيسَى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هم در تهذيب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رَفَعَهُ 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در سند شيخ، حماد بن عيسي واقع</w:t>
      </w:r>
    </w:p>
    <w:p>
      <w:pPr>
        <w:pStyle w:val="BookText"/>
        <w:rPr/>
      </w:pPr>
      <w:r>
        <w:rPr>
          <w:rFonts w:ascii="IRNazanin" w:hAnsi="IRNazanin" w:eastAsia="IRNazanin"/>
          <w:color w:val="111111"/>
          <w:sz w:val="28"/>
          <w:sz w:val="28"/>
          <w:szCs w:val="28"/>
          <w:rtl w:val="true"/>
          <w:lang w:bidi="fa-IR"/>
        </w:rPr>
        <w:t>شده، پس از طريق تعويض اسانيد يا به تعبير ديگر ضمّ اسانيد مي‌توان تصحيح سند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 نمي‌توان از طريق ضمّ اسانيد تصحيح سند كرد؛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شيخ به كسي ابتداء سند مي‌كند، از كتاب يا اصل او نقل مي‌كند؛ زيرا در مشيخه‌ي تهذيب به اين مطلب تصريح كرده 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اقتصرنا من ايراد الخبر على الابتداء بذكر المصنف الذى اخذنا الخبر من كتابه او صاحب الاصل الذي اخذنا الحديث من اصله</w:t>
      </w:r>
      <w:r>
        <w:rPr>
          <w:rFonts w:eastAsia="Amiri" w:cs="Amiri" w:ascii="Amiri" w:hAnsi="Amiri"/>
          <w:color w:val="111111"/>
          <w:sz w:val="28"/>
          <w:szCs w:val="28"/>
          <w:rtl w:val="true"/>
          <w:lang w:bidi="ar-SA"/>
        </w:rPr>
        <w:t>».</w:t>
      </w:r>
      <w:r>
        <w:rPr>
          <w:rStyle w:val="FootnoteAnchor"/>
          <w:rtl w:val="true"/>
        </w:rPr>
        <w:footnoteReference w:id="517"/>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صورتي مي‌توان از طريق ضم اسانيد مذكور در مشيخه تصحيح سند كرد كه احراز كنيم حماد بن عيسي نيز اين روايت را در كتاب يا اصلش آورده است، پس اگر در كتاب يا اصلش اين روايت موجود نباشد بلكه از رواياتي باشد كه هرچند حماد بن عيسي نقل كرده ولي در كتاب يا اصلش ذكر نكرده، نمي‌توان از طريق سند مذكور در مشيخه تصحيح كرد؛ زيرا آن سند مربوط به كتاب يا اصل محمد بن عيسي است، نه جميع آن‌چه از حماد بن عيسي ـ حتي در غير كتاب و اصل او ـ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الفهرست بگويد به جميع كتب و روايات حماد بن عيسي سند صحيح دارم، مي‌توان از آن طريق تصحيح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شيخ در مشيخه اصلاً سندي به حماد بن عيسي ارائه نكرده و در الفهرست</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حماد بن عيسى الجهني غريق الجحفة ثقة، له كتاب النوادر و له كتاب الزكاة، و كتاب الصلاة، أخبرنا بها عدة من أصحابنا عن أبي المفضل عن ابن بطة عن أحمد بن أبي عبد الله عن أبيه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بطة عن أحمد بن محمد بن عيسى عن عبد الرحمن بن أبي نجران، و علي بن حديد عن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بها ابن أبي جيد عن ابن الوليد عن الصفار عن محمد بن أبي الصهبان عن أبي القاسم الكوفي عن إسماعيل بن سهل عن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فقط سه كتاب از ايشان نام برده و سند به اين سه كتاب را نقل مي‌كند؛ نه به جميع آن‌چه از حماد بن عيسي نقل شده، و به تعبير ديگر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بجميع كتبه و رواياته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اين روايت در اين سه كتاب حماد بن عيسي نباشد و جزء رواياتي باشد كه حماد بن عيسي نقل كرده امّا در كتبش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سند شيخ به كتب حماد بن عيسي در الفهرست نيز ناتمام است؛ چون دو طريق ارائه مي‌كند كه در طريق اول ابن بَطّه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جعفر بن أحمد بن بطة المؤدب، أبو جعفر القمي، كان كبير المنزلة بقم، كثير الأدب و الفضل 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يتساهل في الحديث، و يعلق الأسانيد بالإجازات، و في فهرست ما رواه غلط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الوليد كان محمد بن جعفر بن بَطّة ضعيفا مخلطا فيما يسنده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طريق دوم</w:t>
      </w:r>
    </w:p>
    <w:p>
      <w:pPr>
        <w:pStyle w:val="BookText"/>
        <w:rPr/>
      </w:pPr>
      <w:r>
        <w:rPr>
          <w:rFonts w:ascii="Amiri" w:hAnsi="Amiri" w:eastAsia="Amiri" w:cs="Amiri"/>
          <w:color w:val="111111"/>
          <w:sz w:val="28"/>
          <w:sz w:val="28"/>
          <w:szCs w:val="28"/>
          <w:rtl w:val="true"/>
          <w:lang w:bidi="ar-SA"/>
        </w:rPr>
        <w:t>ابن ابي جيد و ابي القاسم الكوفي</w:t>
      </w:r>
      <w:r>
        <w:rPr>
          <w:rStyle w:val="FootnoteAnchor"/>
          <w:rtl w:val="true"/>
        </w:rPr>
        <w:footnoteReference w:id="519"/>
      </w:r>
      <w:r>
        <w:rPr>
          <w:rFonts w:ascii="Amiri" w:hAnsi="Amiri" w:eastAsia="Amiri" w:cs="Amiri"/>
          <w:color w:val="111111"/>
          <w:sz w:val="28"/>
          <w:sz w:val="28"/>
          <w:szCs w:val="28"/>
          <w:rtl w:val="true"/>
          <w:lang w:bidi="ar-SA"/>
        </w:rPr>
        <w:t>و اسماعيل بن سهل</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إسماعيل بن سهل الدهقان ضعفه أصحابنا له كتاب،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دارند كه هيچ كدام توثيق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دلالت روايت حماد بن عيسي</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علاوه بر ضعف سند، دلالتي بر اين‌كه كافر نمي‌تواند مالك عبد مسلم شود ندارد، بلكه فقط مي‌فرمايد قهراً عليه فروخته مي‌شود و اين بدين معناست كه في‌الجمله مالك مي‌شود؛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لابيع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اقرار بر آن ملكيت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اصلاً نتواند مالك شود از اين روايت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لحاظ حرمت تكليفي مي‌توان استفاده كرد جايز نيست؛ زيرا روايت بيان مي‌فرمايد عبد كافري اگر مسلمان شد، نبايد در تملّك كافر باقي بماند بلكه بايد به مسلمانان فروخته شود، پس به طريق اولي دلالت مي‌كند عبدي كه مسلمان است نبايد ملك كافر شود؛ چون نمي‌توان ملتزم شد شارع اجازه داده عبد مسلمان به كافر فروخته شود، آن‌گاه اگر فروخته شد بايد آن عبد را از كافر گرفته و قهراً عليه به مسلمانان فروخت، ولي از لحاظ حرمت وضعي منوط به آن است كه بگوييم نهي در معاملات موجب فساد است</w:t>
      </w:r>
      <w:r>
        <w:rPr>
          <w:rFonts w:eastAsia="IRNazanin" w:cs="IRNazanin"/>
          <w:color w:val="111111"/>
          <w:sz w:val="28"/>
          <w:szCs w:val="28"/>
          <w:rtl w:val="true"/>
          <w:lang w:bidi="fa-IR"/>
        </w:rPr>
        <w:t>.</w:t>
      </w:r>
      <w:bookmarkStart w:id="877" w:name="pg2375_20016"/>
    </w:p>
    <w:p>
      <w:pPr>
        <w:pStyle w:val="Heading5"/>
        <w:numPr>
          <w:ilvl w:val="4"/>
          <w:numId w:val="1"/>
        </w:numPr>
        <w:rPr/>
      </w:pPr>
      <w:bookmarkStart w:id="878" w:name="__RefHeading___Toc2903527_3804643083"/>
      <w:bookmarkStart w:id="879" w:name="_Toc334"/>
      <w:bookmarkEnd w:id="877"/>
      <w:bookmarkEnd w:id="878"/>
      <w:r>
        <w:rPr/>
        <w:t>3</w:t>
      </w:r>
      <w:r>
        <w:rPr>
          <w:rtl w:val="true"/>
        </w:rPr>
        <w:t xml:space="preserve">. </w:t>
      </w:r>
      <w:r>
        <w:rPr>
          <w:rtl w:val="true"/>
        </w:rPr>
        <w:t xml:space="preserve">روايت معروف </w:t>
      </w:r>
      <w:r>
        <w:rPr>
          <w:rtl w:val="true"/>
        </w:rPr>
        <w:t>«</w:t>
      </w:r>
      <w:r>
        <w:rPr>
          <w:rtl w:val="true"/>
        </w:rPr>
        <w:t>الاسلام يعلو و لا يعلي عليه</w:t>
      </w:r>
      <w:r>
        <w:rPr>
          <w:rtl w:val="true"/>
        </w:rPr>
        <w:t>»:</w:t>
      </w:r>
      <w:bookmarkEnd w:id="879"/>
    </w:p>
    <w:p>
      <w:pPr>
        <w:pStyle w:val="BookText"/>
        <w:rPr/>
      </w:pPr>
      <w:r>
        <w:rPr>
          <w:rFonts w:ascii="Amiri" w:hAnsi="Amiri" w:eastAsia="Amiri" w:cs="Amiri"/>
          <w:color w:val="111111"/>
          <w:sz w:val="28"/>
          <w:sz w:val="28"/>
          <w:szCs w:val="28"/>
          <w:rtl w:val="true"/>
          <w:lang w:bidi="ar-SA"/>
        </w:rPr>
        <w:t>اين روايت علاوه بر آن‌كه براي عدم جواز بيع مصحف به كافر استدلال شده، مي‌تواند دليل بر عدم جواز بيع عبد مسلم به كافر نيز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روايت داراي ابهاماتي است كه استدلال به صرف اين روايت را مشكل مي‌كند، از جمله اين‌كه آيا برتري اسلام به نحو مطلق است؟ آيا برتري اسلام به معناي برتري علي الاطلاق مسلمانان نيز هست كه نتيجه بگيريم پس كافر نمي‌تواند مالك عبد مسلمان شود؟ يا در مورد بيع مصحف به كافر، آيا به صرف ملكيت و سيطره‌ي كافر بر يك فرد از قرآن كريم، صدق مي‌كند كه كفر بر اسلام علوّ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دلالت اين روايت في‌نفسها بر مدعا مشكل است ولي قرائني وجود دارد كه از آن استفاده مي‌شود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يعلو و لايعلي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علي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علوّ تشريعي نه تكويني؛ چون مي‌دانيم در بعضي موارد اسلام از كفّار و مشركين ضربه خورده ـ علوّ تكويني ان شاء الله در زمان 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يافته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سوره‌ي فتح، آيه‌ي</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وَ كَفى بِاللَّهِ شَهيداً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منصه‌ي ظهور</w:t>
      </w:r>
      <w:bookmarkStart w:id="880" w:name="pg2375_20017"/>
    </w:p>
    <w:p>
      <w:pPr>
        <w:pStyle w:val="BookText"/>
        <w:rPr/>
      </w:pPr>
      <w:bookmarkEnd w:id="880"/>
      <w:r>
        <w:rPr>
          <w:rFonts w:ascii="IRNazanin" w:hAnsi="IRNazanin" w:eastAsia="IRNazanin"/>
          <w:color w:val="111111"/>
          <w:sz w:val="28"/>
          <w:sz w:val="28"/>
          <w:szCs w:val="28"/>
          <w:rtl w:val="true"/>
          <w:lang w:bidi="fa-IR"/>
        </w:rPr>
        <w:t>خواهد رسيد ـ بنابراين با وجود قرائن مي‌توانيم بگوييم همين مقدار كه اسلام در ضمن يك مسلمان مجسم شده، بر كفري كه در ضمن يك كافر مجسم شده برتري دارد، پس هر مسلماني بر هر كافري علي الاطلاق علوّ و برتري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قرائن عبارتند از</w:t>
      </w:r>
      <w:r>
        <w:rPr>
          <w:rFonts w:eastAsia="IRNazanin" w:cs="IRNazanin"/>
          <w:color w:val="111111"/>
          <w:sz w:val="28"/>
          <w:szCs w:val="28"/>
          <w:rtl w:val="true"/>
          <w:lang w:bidi="fa-IR"/>
        </w:rPr>
        <w:t>:</w:t>
      </w:r>
    </w:p>
    <w:p>
      <w:pPr>
        <w:pStyle w:val="Heading4"/>
        <w:numPr>
          <w:ilvl w:val="3"/>
          <w:numId w:val="1"/>
        </w:numPr>
        <w:rPr/>
      </w:pPr>
      <w:bookmarkStart w:id="881" w:name="__RefHeading___Toc2903529_3804643083"/>
      <w:bookmarkStart w:id="882" w:name="_Toc335"/>
      <w:bookmarkEnd w:id="881"/>
      <w:r>
        <w:rPr>
          <w:rtl w:val="true"/>
        </w:rPr>
        <w:t xml:space="preserve">قرائني بر اراده‌ي اطلاق در </w:t>
      </w:r>
      <w:r>
        <w:rPr>
          <w:rtl w:val="true"/>
        </w:rPr>
        <w:t>«</w:t>
      </w:r>
      <w:r>
        <w:rPr>
          <w:rtl w:val="true"/>
        </w:rPr>
        <w:t>الاسلام يعلو و لا يعلي عليه</w:t>
      </w:r>
      <w:r>
        <w:rPr>
          <w:rtl w:val="true"/>
        </w:rPr>
        <w:t>»</w:t>
      </w:r>
      <w:bookmarkEnd w:id="882"/>
    </w:p>
    <w:p>
      <w:pPr>
        <w:pStyle w:val="Heading5"/>
        <w:numPr>
          <w:ilvl w:val="4"/>
          <w:numId w:val="1"/>
        </w:numPr>
        <w:rPr/>
      </w:pPr>
      <w:bookmarkStart w:id="883" w:name="__RefHeading___Toc2903531_3804643083"/>
      <w:bookmarkStart w:id="884" w:name="_Toc336"/>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در مورد بلند شدن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جنازه‌ي يهودي تا بالاي سر حضرت قرار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روايات را صاحب 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بابي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عَدَمِ اسْتِحْبَابِ الْقِيَامِ لِمَنْ مَرَّتْ بِهِ جَنَازَةٌ إِلَّا أَنْ تَكُونَ جَنَازَةَ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زرارة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مُحَمَّدِ بْنِ يَحْيَى عَنْ أَحْمَدَ بْنِ مُحَمَّدٍ عَنِ الْحُسَيْنِ بْنِ سَعِيدٍ عَنِ النَّضْرِ بْنِ سُوَيْدٍ عَنْ يَحْيَى بْنِ عِمْرَانَ الْحَلَبِيِّ عَنْ عَبْدِ اللَّهِ 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رَجُلٌ مِنَ الْأَنْصَارِ فَمَرَّتْ بِهِ جَنَازَةٌ فَقَامَ الْأَنْصَارِيُّ وَ لَمْ يَقُمْ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مَعَهُ وَ لَمْ يَزَلِ الْأَنْصَارِيُّ قَائِماً حَتَّى مَضَوْا بِهَا ثُمَّ جَلَسَ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قَامَ لَهَا أَحَدٌ مِنَّا أَهْلَ الْبَيْتِ قَطُّ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شَكَّكْتَنِي أَصْلَحَكَ اللَّهُ قَدْ كُنْتُ أَظُنُّ أَنِّي رَأَيْتُ</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زراره مي‌گويد در محضر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مردي از انصار هم نزد حضرت بود تا اين‌كه جنازه‌اي از آن‌جا تشييع كردند و آن مرد انصاري قيام كرد، ولي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نفرمودند، من هم همراه حضرت نشستم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انصاري هم‌چنان ايستاده بود تا آن‌كه آنان رد شدند و رفتند، سپس او 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بلند شدي؟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اين كار به ايشان اقتدا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نكردند و هيچ يك از ما اهل بيت هرگز براي جنازه قيام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مرا به شك انداختيد گمان مي‌كردم كه اين‌طور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گرچه دلالت بر مدعا ندارد، ولي زمينه‌اي براي فهميدن درست روايت بعدي ايجاد مي‌كند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ـ روايت مثني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ابْنِ أَبِي نَجْرَانَ عَنْ مُثَنًّى الْحَنَّاطِ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فَمَرَّتْ عَلَيْهِ جَنَازَةٌ فَقَامَ النَّاسُ حِينَ طَلَعَتِ الْجَنَازَةُ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جَنَازَةُ يَهُودِيٍّ وَ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طَرِيقِهَا فَكَرِهَ أَنْ تَعْلُوَ رَأْسَهُ جَنَازَةُ يَهُودِيٍّ فَقَامَ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سَهْلِ بْنِ زِيَادٍ وَ تَرَكَ قَوْلَهُ فَقَامَ لِذَلِكَ</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مثني الحناط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نشسته بودند كه جنازه‌اي از آن‌جا تشييع كردند، مردم تا جنازه را ديدند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شنيده‌ايد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جنازه بلند شدند،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جنازه‌ي يهوديي مي‌گذشت 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بودند و مكروه داشتند كه جنازه‌ي يهودي بالاتر از سر حضرت باشد به همين خاطر بلند شدند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كلام به آن مردماني كه در مقابل جنازه ايستادند، اعتراض كردند و فرمودند آن‌چيزي كه درباره‌ي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شنيده‌ايد كه در مقابل جنازه بلند شدند، مربوط به</w:t>
      </w:r>
    </w:p>
    <w:p>
      <w:pPr>
        <w:pStyle w:val="BookText"/>
        <w:rPr/>
      </w:pPr>
      <w:r>
        <w:rPr>
          <w:rFonts w:ascii="Amiri" w:hAnsi="Amiri" w:eastAsia="Amiri" w:cs="Amiri"/>
          <w:color w:val="111111"/>
          <w:sz w:val="28"/>
          <w:sz w:val="28"/>
          <w:szCs w:val="28"/>
          <w:rtl w:val="true"/>
          <w:lang w:bidi="ar-SA"/>
        </w:rPr>
        <w:t>جنازه‌ي يهودي بوده كه نمي‌خواستند بالاتر از سر حضرت باشد و همين مقدار علوّ جنازه‌ي يهودي را مكروه مي‌دانستند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الحسين بن علوان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جَعْفَرٍ فِي قُرْبِ الْإِسْنَادِ عَنِ الْحَسَنِ بْنِ ظَرِيفٍ عَنِ الْحُسَيْنِ بْنِ عُلْوَانَ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وَ مَعَهُ أَصْحَابٌ لَهُ فَمَرَّ بِجَنَازَةٍ فَقَامَ بَعْضُ الْقَوْمِ وَ لَمْ يَقُمِ الْحَسَنُ فَلَمَّا مَضَوْا بِهَا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قُمْتَ عَافَاكَ اللَّهُ فَقَدْ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لِلْجَنَازَةِ إِذَا مَرُّوا بِهَا عَلَيْهِ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 ذَلِكَ أَنَّهُ مُرَّ بِجَنَازَةِ يَهُودِيٍّ وَ كَانَ الْمَكَانُ ضَيِّقاً فَقَامَ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أَنْ تَعْلُوَ رَأْسَهُ</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علوان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پدرشان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اصحاب در جايي نشسته بودند كه جنازه‌اي را تشييع كردند، بعضي با ديدن جنازه قيام كردند ولي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جنازه رد شد بعضي به حضرت عرض كردند چرا قيام نكرديد در حالي كه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جنازه وقتي عبور مي‌كرد</w:t>
      </w:r>
    </w:p>
    <w:p>
      <w:pPr>
        <w:pStyle w:val="BookText"/>
        <w:rPr/>
      </w:pPr>
      <w:r>
        <w:rPr>
          <w:rFonts w:ascii="IRNazanin" w:hAnsi="IRNazanin" w:eastAsia="IRNazanin"/>
          <w:color w:val="111111"/>
          <w:sz w:val="28"/>
          <w:sz w:val="28"/>
          <w:szCs w:val="28"/>
          <w:rtl w:val="true"/>
          <w:lang w:bidi="fa-IR"/>
        </w:rPr>
        <w:t>قيام مي‌فرمودند؟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بار قيام فرمودند آن هم وقتي كه جنازه‌ي يهودي مي‌گذشت و جا تنگ بود، پس حضرت قيام فرمودند و دوست نداشتند جنازه‌ي يهودي بالاتر از سرشان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به خاطر الحسين بن علوان جاي كلام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دو روايت مؤيد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يعلو و لا يعلي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دارد و حتّي جنازه‌ي يهودي نبايد علوّ بر مسلمان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كه سفارش به عدم مساوات در مجلس با كفار حتّي در محكمه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رواياتي كه دستور به عدم مساوات در مجلس با كفار مي‌دهد، مي‌تواند قرينه باشد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يعلو و لا يعلي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اين روايات است روايتي كه بيان مي‌كند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براي اقامه‌ي دعوا عليه كافري به محكمه تشريف بردند، در كنار قاضي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خصم من مسلمان بود در كنار او مي‌نشستم، ولي او نصراني است و بايد جايش پست‌تر باشد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معروفي است كه عامه</w:t>
      </w:r>
      <w:r>
        <w:rPr>
          <w:rStyle w:val="FootnoteAnchor"/>
          <w:rtl w:val="true"/>
        </w:rPr>
        <w:footnoteReference w:id="526"/>
      </w:r>
      <w:r>
        <w:rPr>
          <w:rFonts w:ascii="Amiri" w:hAnsi="Amiri" w:eastAsia="Amiri" w:cs="Amiri"/>
          <w:color w:val="111111"/>
          <w:sz w:val="28"/>
          <w:sz w:val="28"/>
          <w:szCs w:val="28"/>
          <w:rtl w:val="true"/>
          <w:lang w:bidi="ar-SA"/>
        </w:rPr>
        <w:t>نقل كرده‌اند و در كتاب</w:t>
      </w:r>
    </w:p>
    <w:p>
      <w:pPr>
        <w:pStyle w:val="BookText"/>
        <w:rPr/>
      </w:pPr>
      <w:r>
        <w:rPr>
          <w:rFonts w:ascii="Amiri" w:hAnsi="Amiri" w:eastAsia="Amiri" w:cs="Amiri"/>
          <w:color w:val="111111"/>
          <w:sz w:val="28"/>
          <w:sz w:val="28"/>
          <w:szCs w:val="28"/>
          <w:rtl w:val="true"/>
          <w:lang w:bidi="ar-SA"/>
        </w:rPr>
        <w:t>الغارات ابراهيم بن محمد الثقفي</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إبراهيم بن محمد بن سعيد بن هلال بن عاصم بن سعد بن مسعود الثقفي أصله كوفي، و سعد بن مسعود أخو أبي عبيد بن مسعود عم المختار و ولاه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 و هو الذي لجأ إليه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ساباط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انتقل أبو إسحاق هذا إلى أصفهان و أقام بها، و كان زيديا أولا ثم انتقل إلينا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القميين كأحمد بن محمد بن خالد وفدوا إليه و سألوه الانتقال إلى قم، فأبى، و كان سبب خروجه من الكوفة أنه عمل كتاب المعرفة، و فيه المناقب المشهورة و المثالب، فاستعظمه الكوفيون و أشاروا عليه بأن يتركه و لا يخرجه،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أبعد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 فحلف لا أروي هذا الكتاب إلا بها فانتقل إليها و رواه بها ثقة منه بصحة ما رواه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مصنفات كثيرة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نيز ذكر شده و علامه‌ي مجلسي هم در بحار الانوار از الغارات نقل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الْغَارَاتِ لِإِبْرَاهِيمَ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أَبَانٍ عَنْ عَمْرِو بْنِ شِمْرٍ عَنْ سَالِمٍ الْجُعْفِيِّ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 لَهُ عِنْدَ نَصْرَانِيٍّ</w:t>
      </w:r>
      <w:r>
        <w:rPr>
          <w:rStyle w:val="FootnoteAnchor"/>
          <w:rtl w:val="true"/>
        </w:rPr>
        <w:footnoteReference w:id="528"/>
      </w:r>
      <w:r>
        <w:rPr>
          <w:rFonts w:ascii="Amiri" w:hAnsi="Amiri" w:eastAsia="Amiri" w:cs="Amiri"/>
          <w:color w:val="111111"/>
          <w:sz w:val="28"/>
          <w:sz w:val="28"/>
          <w:szCs w:val="28"/>
          <w:rtl w:val="true"/>
          <w:lang w:bidi="ar-SA"/>
        </w:rPr>
        <w:t>فَجَاءَ بِهِ إِلَى شُرَيْحٍ</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حكومت رسيدند خواستند شريح را بر كنار كنند و به نقل كشف الغمة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عزب ذهنك و علت سنك و ارتشي ابنك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فهم و عقل تو ديگر رفته و سنّت بالا رفته و پسرت هم رشوه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صلاحيت براي قضات را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مردم در مقابل اين تصميم حضرت مقاومت كردند و گفتند شريح منصوب عمر بوده و در زمان عثمان هم قاضي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جايي كه حضرت مجبور شدند و مصلحت را بر ابقاء او ديدند، امّا به شريح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حكمي را تنفيذ نكن، مگر اين‌كه به من عرضه كني و فقط در اين حدّ توانستند شريح را كنترل كنند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يُخَاصِمُهُ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p>
    <w:p>
      <w:pPr>
        <w:pStyle w:val="BookText"/>
        <w:rPr/>
      </w:pPr>
      <w:r>
        <w:rPr>
          <w:rFonts w:ascii="Amiri" w:hAnsi="Amiri" w:eastAsia="Amiri" w:cs="Amiri"/>
          <w:color w:val="111111"/>
          <w:sz w:val="28"/>
          <w:sz w:val="28"/>
          <w:szCs w:val="28"/>
          <w:rtl w:val="true"/>
          <w:lang w:bidi="ar-SA"/>
        </w:rPr>
        <w:t>يَتَنَحَّى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إِلَى جَنْبِهِ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أَمَا لَوْ كَانَ خَصْمِي مُسْلِماً مَا جَلَسْتُ إِلَّا مَعَهُ، وَ لَكِنَّهُ نَصْرَانِيٌّ، 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كُنْتُمْ وَ إِيَّاهُمْ فِي طَرِيقٍ فَأَلْجِئُوهُمْ إِلَى مُضَائَقَةٍ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صَغِّرُوا بِهِمْ كَمَا صَغَّرَ اللَّهُ بِهِمْ فِي غَيْرِ أَنْ تَظْلِمُوا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دِرْعِي لَمْ أَبِعْ وَ لَمْ 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الدِّرْعُ إِلَّا دِرْعِي، وَ مَا أَمِيرُ الْمُؤْمِنِينَ عِنْدِي بِكَاذِبٍ</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معنا واضح است، ولي بعيد است كه مرد نصراني جرأت كرده بگويد اميرالمومنين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دروغ مي‌گويد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يعني اين زره، زره من است هرچند كه نمي‌گويم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كاذب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شُرَيْحٌ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مِنْ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فَأَخَذَهَا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هُنَيْئَةً ثُمَّ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w:t>
      </w:r>
    </w:p>
    <w:p>
      <w:pPr>
        <w:pStyle w:val="BookText"/>
        <w:rPr/>
      </w:pPr>
      <w:r>
        <w:rPr>
          <w:rFonts w:ascii="Amiri" w:hAnsi="Amiri" w:eastAsia="Amiri" w:cs="Amiri"/>
          <w:color w:val="111111"/>
          <w:sz w:val="28"/>
          <w:sz w:val="28"/>
          <w:szCs w:val="28"/>
          <w:rtl w:val="true"/>
          <w:lang w:bidi="ar-SA"/>
        </w:rPr>
        <w:t xml:space="preserve">فَأَشْهَدُ أَنَّ هَذِهِ أَحْكَامُ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إِلَى قَاضِيهِ وَ قَاضِيهِ يَقْضِي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أَنَّ مُحَمَّداً عَبْدُهُ وَ رَسُولُهُ، الدِّرْعُ وَ اللَّهِ دِرْعُكَ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أَسْلَمْتَ فَهِيَ لَكَ وَ حَمَلَهُ عَلَى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 وَ أَخْبَرَنِي مَنْ رَآهُ يُقَاتِلُ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فِي النَّهْرَوَانِ</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شعبي مي‌گويد حضرت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زره‌شان را نزد يك مرد نصراني يافتند و به همين خاطر براي اقامه‌ي دعوا او را نزد قاضي شريح بردند تا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وقتي حضرت را ديد، كنار رفت، ولي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خودت باش و در كنار شريح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 دعواي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 بود، كنار او مي‌نشستم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متخاصمين بايد مساوي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او نصراني است 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طريق بوديد، آن‌ها را به جاي تنگ هدايت كنيد و آن‌ها را كوچك كنيد، همان‌طور كه خداوند آن‌ها را كوچك كرده، بدون آن‌كه ظلم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ديگر در حقي كه خداوند براي آن‌ها قرار داده ظلم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دست نصراني</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من است؛ نه آن را فروخته‌ام و نه هبه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نصراني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زره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دروغ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رو به امير المؤمنين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آيا بينه‌اي داريد؟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ندارم</w:t>
      </w:r>
      <w:r>
        <w:rPr>
          <w:rStyle w:val="FootnoteAnchor"/>
          <w:rtl w:val="true"/>
        </w:rPr>
        <w:footnoteReference w:id="532"/>
      </w:r>
      <w:r>
        <w:rPr>
          <w:rFonts w:ascii="IRNazanin" w:hAnsi="IRNazanin" w:eastAsia="IRNazanin"/>
          <w:color w:val="111111"/>
          <w:sz w:val="28"/>
          <w:sz w:val="28"/>
          <w:szCs w:val="28"/>
          <w:rtl w:val="true"/>
          <w:lang w:bidi="fa-IR"/>
        </w:rPr>
        <w:t>، پس شريح حكم كرد كه زره براي نصراني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نصراني زره را گرفت و اندكي رفت، سپس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مي‌دهم اين احكام پيامبران است، اميرالمؤمنين پيش قاضي خود مي‌آيد و قاضي عليه اميرالمؤمنين قضاوت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شهادت به وحدانيت خدا و به رسالت محمد رسول الله مي‌دهم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اين زره شماست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مسلمان شدي زره مال خودت باشد</w:t>
      </w:r>
      <w:r>
        <w:rPr>
          <w:rStyle w:val="FootnoteAnchor"/>
          <w:rtl w:val="true"/>
        </w:rPr>
        <w:footnoteReference w:id="533"/>
      </w:r>
      <w:r>
        <w:rPr>
          <w:rFonts w:ascii="IRNazanin" w:hAnsi="IRNazanin" w:eastAsia="IRNazanin"/>
          <w:color w:val="111111"/>
          <w:sz w:val="28"/>
          <w:sz w:val="28"/>
          <w:szCs w:val="28"/>
          <w:rtl w:val="true"/>
          <w:lang w:bidi="fa-IR"/>
        </w:rPr>
        <w:t>و او را بر اسبي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آن مرد نصراني را ديده بود به من خبر داد كه در جنگ نهروان ديدم همراه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خوارج مي‌جنگيد</w:t>
      </w:r>
      <w:r>
        <w:rPr>
          <w:rFonts w:eastAsia="IRNazanin" w:cs="IRNazanin"/>
          <w:color w:val="111111"/>
          <w:sz w:val="28"/>
          <w:szCs w:val="28"/>
          <w:rtl w:val="true"/>
          <w:lang w:bidi="fa-IR"/>
        </w:rPr>
        <w:t>.</w:t>
      </w:r>
      <w:r>
        <w:rPr>
          <w:rStyle w:val="FootnoteAnchor"/>
          <w:rtl w:val="true"/>
        </w:rPr>
        <w:footnoteReference w:id="534"/>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روايت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فرمودند كه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كُنْتُمْ وَ إِيَّاهُمْ فِي طَرِيقٍ فَأَلْجِئُوهُمْ إِلَى مُضَائَقَةٍ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صَغِّرُوا بِهِمْ كَمَا صَغَّرَ اللَّهُ بِهِمْ فِي غَيْرِ أَنْ</w:t>
      </w:r>
    </w:p>
    <w:p>
      <w:pPr>
        <w:pStyle w:val="BookText"/>
        <w:rPr/>
      </w:pPr>
      <w:r>
        <w:rPr>
          <w:rFonts w:ascii="IRNazanin" w:hAnsi="IRNazanin" w:eastAsia="IRNazanin"/>
          <w:color w:val="111111"/>
          <w:sz w:val="28"/>
          <w:sz w:val="28"/>
          <w:szCs w:val="28"/>
          <w:rtl w:val="true"/>
          <w:lang w:bidi="fa-IR"/>
        </w:rPr>
        <w:t>تَظْلِمُوا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عامه آمده ـ كما اين‌كه در كتب شيعه هم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قطب 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الدعوات و ابن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السرائر به طور جداگانه؛ نه در ضمن روايت نصراني نقل كرده‌اند ـ كه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اهل ذمه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تبدءوهم بالسلام و اضطروهم إلى أضيق الطرق و لا تساووهم في المجالس</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روى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تبدءوهم بالسلام، و اضطروهم إلى أضيق الطرق و لا تساووهم في المجالس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تبدؤهم بالسلام و اضطروهم إلى أضيق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للراوندي،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تُسَاوُوهُمْ فِي الْمَجَالِسِ وَ لَا تَعُودُوا مَرِيضَهُمْ وَ لَا تُشَيِّعُوا جَنَائِزَهُمْ وَ اضْطَرُّوهُمْ إِلَى أَضِيقِ الطَّرِيقِ فَإِنْ سَبُّوكُمْ فَاضْرِبُوهُمْ وَ إِنْ ضَرَبُوكُمْ فَاقْتُلُوهُم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و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كردند حتّي در مجلس قضاء هم نبايد كافر با مسلمان استواء در مجلس داشته باشد با اين‌كه اگر هر دو مسلمان بودند يا هر دو كافر بودند، بر قاضي لازم بود علاوه بر عدالت در حكم، حدّاقل استحباباً بين آن‌ها حتّي در نظرة و لحظة مساوات قرار دهد؛ يعني در نگاه و مقدار نگاه و ملاحظه كردن، هم‌چنين در ابتداء به سلام و هر آن چيزي كه احترام حساب مي‌شود هم بايد مساوات قرار دهد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روايات اين زمينه را به ما مي‌دهد و قرينه مي‌شود بر</w:t>
      </w:r>
    </w:p>
    <w:p>
      <w:pPr>
        <w:pStyle w:val="BookText"/>
        <w:rPr/>
      </w:pPr>
      <w:r>
        <w:rPr>
          <w:rFonts w:ascii="Amiri" w:hAnsi="Amiri" w:eastAsia="Amiri" w:cs="Amiri"/>
          <w:color w:val="111111"/>
          <w:sz w:val="28"/>
          <w:sz w:val="28"/>
          <w:szCs w:val="28"/>
          <w:rtl w:val="true"/>
          <w:lang w:bidi="ar-SA"/>
        </w:rPr>
        <w:t xml:space="preserve">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يعلو و لا يعلي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دارد و همه جا بايد اسلام و مسلمانان بر كفر و كافران علوّ و برتري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فقهاء در طول تاريخ مبني بر عموم و اطلاق 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فقهاء در طول تاريخ فقه بر اين‌كه اسلام و مسلمين بايد علي الاطلاق علو و برتري نسبت به كفر و كافران داشته باشند هم مي‌تواند قرينه و زمينه ساز استفاده‌ي عموم از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يعلو و لا يعلي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يرث الكافر المسلم بلا خلاف و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 يرث الكافر قريبا كان أو بعيدا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 أخبارهم و أيضا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دبر الكافر عبده، فأسلم العبد، فان رجع في تدبيره بيع عليه بلا خلاف، و ان لم يرجع في تدبيره بيع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 أخبارهم على أن العبد إذا أسلم في يد الكافر أعطي ثمنه، و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اشترى عبدا مطلقا فخرج كافرا أو مسلما لم يكن له الخيار لأنه لم يشرط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شرط أن يكون كافرا فخرج مسلما كان له الخيار عند قوم، و الأولى أن لا يكون له الخيار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اشترى جارية و لم يشترط انها بكرا و ثيب فخرجت ثيبا أو بكرا لم يكن له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شرط كافرا فخرج مسلما لم يكن له خيار، و قال بعض الناس له الخيار لأنه بخلاف 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ذكرناه أصح لقول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الفقه،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الذمي عرصة و أراد ان يبنى فيها دارا، هل يجوز له رفع بنائه على بناء المسلمين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رفع بنائه ذلك على بناء المسلمين، و ان ساوى بينه و بين بناء المسلمين كان عليه ان ينقصهم عن ذلك، لقول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 إلى علمي الأصول و الفروع،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يخرج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شراء الكافر عبدا مسلما، بدليل ما قدمناه من الإجماع و نفي الدليل الشرعي، و أيضا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عام في جميع الأحكام، و يحتج على المخالف بما رووه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مي‌فرمايند در عقد ذمه بايد شرط شود كه كفار خانه‌هايشان مسلط بر خانه‌هاي مسلمانان نباشد، و بعضي شرط مي‌كردند در بازار اگر مسلماني دوره‌گرد و دست فروش باشد، هيچ كافري حق ندارد دكّه و حجره داشته باشد و اگر دكّه دا‌شته باشد حق ندارد در مكان بالايي قرار بگيرد تا مسلماني كه از او خريد مي‌كند در محل پايين‌تري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حتّي تا اين اواخر در برخي مناطق اين‌چنين بود كه وقتي اهل ذمه سوار بر مركبي مي‌شدند بايد هر دو پايشان را يك طرف مركب قرار مي‌دادند ـ نه اين‌كه دو طرف مركب قرار دهند ـ به خاطر اين‌كه تا مسلماني را ديدند پياده حركت مي‌كند سريعاً به پايين بپرند تا مبادا عُلوي بر مسلمانان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مركب‌ها، سوار شدن بر اسب را منع مي‌كردند؛ چون اسب به هر حال يك نوع مركب فاخري بود و حتّي نقل مي‌كنند يكي از ميسيونرها</w:t>
      </w:r>
      <w:r>
        <w:rPr>
          <w:rStyle w:val="FootnoteAnchor"/>
          <w:rtl w:val="true"/>
        </w:rPr>
        <w:footnoteReference w:id="537"/>
      </w:r>
      <w:r>
        <w:rPr>
          <w:rFonts w:ascii="IRNazanin" w:hAnsi="IRNazanin" w:eastAsia="IRNazanin"/>
          <w:color w:val="111111"/>
          <w:sz w:val="28"/>
          <w:sz w:val="28"/>
          <w:szCs w:val="28"/>
          <w:rtl w:val="true"/>
          <w:lang w:bidi="fa-IR"/>
        </w:rPr>
        <w:t>يا ديگر وابستگان كنسولگري انگليس كه سوار بر اسب وارد مدرسه‌ي علميه شده بود ـ و قاعدتاً تعمد داشته است ـ مردم او را گرفته و كتك مفصلي به او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خود نيز شاهد بوده‌ام و تا اين اواخر بوده كه پيرمردهاي يهودي بعضي رسوماتي را كه براي اهل ذمه وضع شده بود رعايت مي‌كردند مثلاً در شهر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پيش‌بند مي‌بستند ـ مانند بچه‌ها كه در هنگام غذا خوردن مي‌بندند و شايد خودشان هم نكته‌اش را نمي‌دانستند ـ دليلش اين بود كه آن زمان‌ها كه عقد ذمه با آن‌ها مي‌بستند شرط مي‌كردند كه بايد لباسشان متمايز از مسلمانان باشد و حتّي زنان زرتشتي كه لازم بود حجاب داشته باشند، حجابشان در مناطق ما كاملاً متفاوت با حجاب زنان مسلمان بود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اين‌ها شواهدي بود بر اين‌كه بتوانيم استفاده‌ي اطلاق از روايت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يعلو و لا يعلي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آيا اين قرائن براي استفاده‌ي اطلاق از اين روايت كافي است يا خير، بايد هر يك را بررسي كنيم</w:t>
      </w:r>
      <w:r>
        <w:rPr>
          <w:rFonts w:eastAsia="Amiri" w:cs="Amiri" w:ascii="Amiri" w:hAnsi="Amiri"/>
          <w:color w:val="111111"/>
          <w:sz w:val="28"/>
          <w:szCs w:val="28"/>
          <w:rtl w:val="true"/>
          <w:lang w:bidi="ar-SA"/>
        </w:rPr>
        <w:t>.</w:t>
      </w:r>
      <w:bookmarkStart w:id="885" w:name="pg2375_20030"/>
    </w:p>
    <w:p>
      <w:pPr>
        <w:pStyle w:val="Heading5"/>
        <w:numPr>
          <w:ilvl w:val="4"/>
          <w:numId w:val="1"/>
        </w:numPr>
        <w:rPr/>
      </w:pPr>
      <w:bookmarkStart w:id="886" w:name="__RefHeading___Toc2903533_3804643083"/>
      <w:bookmarkStart w:id="887" w:name="_Toc337"/>
      <w:bookmarkEnd w:id="885"/>
      <w:bookmarkEnd w:id="886"/>
      <w:r>
        <w:rPr>
          <w:rtl w:val="true"/>
        </w:rPr>
        <w:t xml:space="preserve">بررسي قرائن مذكور بر اطلاق روايت </w:t>
      </w:r>
      <w:r>
        <w:rPr>
          <w:rtl w:val="true"/>
        </w:rPr>
        <w:t>«</w:t>
      </w:r>
      <w:r>
        <w:rPr>
          <w:rtl w:val="true"/>
        </w:rPr>
        <w:t>الاسلام يعلو و لا يعلي عليه</w:t>
      </w:r>
      <w:r>
        <w:rPr>
          <w:rtl w:val="true"/>
        </w:rPr>
        <w:t>»</w:t>
      </w:r>
      <w:bookmarkEnd w:id="887"/>
    </w:p>
    <w:p>
      <w:pPr>
        <w:pStyle w:val="BookText"/>
        <w:rPr/>
      </w:pPr>
      <w:r>
        <w:rPr>
          <w:rFonts w:ascii="IRNazanin" w:hAnsi="IRNazanin" w:eastAsia="IRNazanin"/>
          <w:color w:val="111111"/>
          <w:sz w:val="28"/>
          <w:sz w:val="28"/>
          <w:szCs w:val="28"/>
          <w:rtl w:val="true"/>
          <w:lang w:bidi="fa-IR"/>
        </w:rPr>
        <w:t>امّا در مورد روايتي كه بيان مي‌كرد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هم حاضر نبودند كه جنازه‌ي يهودي علوّ و برتري بر سر مبارك حضرت داشته باشد مي‌گوييم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مورد خاصي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نمي‌دانيم علي وجه الوجوب بوده يا علي وجه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مقدار را مي‌پذيريم كه مرجوح است مسلمان در شرايطي قرار گيرد كه كافري علوّ بر او داشته باشد، امّا اين‌كه به عنوان حكم الزامي در همه جا باشد، نمي‌توانيم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تبدءوهم بالسلام و اضطروهم إلى أضيق الطرق و لا تساووهم في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حدّ خودش اگر از لحاظ سند تمام باشد ملتزم مي‌شويم، ولي چون سند ندارد گرچه باز از باب تسامح در ادلّه‌ي سنن نيز اگر معارض به جهات ديگر نباشد مشكلي ندارد، ولي اين‌كه بتواند شاهد باشد بر اين‌كه هر نوع استعلائي از هر چيزي كه صبغه‌ي اسلام دارد بر هر چيزي كه صبغه‌ي غير اسلام دارد واجب باشد، نمي‌توانيم به صرف اين دو روايت ملتزم شويم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عمل فقهاء مي‌گوييم استنادشان به اين روايت به عنوان يك حكم شرعي ثابت نيست؛ زيرا شايد به خاطر عقد ذمه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مربوط به عقد ذمه كه در كتاب الجهاد</w:t>
      </w:r>
    </w:p>
    <w:p>
      <w:pPr>
        <w:pStyle w:val="BookText"/>
        <w:rPr/>
      </w:pPr>
      <w:r>
        <w:rPr>
          <w:rFonts w:ascii="IRNazanin" w:hAnsi="IRNazanin" w:eastAsia="IRNazanin"/>
          <w:color w:val="111111"/>
          <w:sz w:val="28"/>
          <w:sz w:val="28"/>
          <w:szCs w:val="28"/>
          <w:rtl w:val="true"/>
          <w:lang w:bidi="fa-IR"/>
        </w:rPr>
        <w:t>مطرح شده، شرائط آن را در دو بخش تعيين كرده‌اند، بخشي مربوط به قوام عقد ذمه است كه نمي‌توان از آن غمض عين كرد، بخشي هم مربوط به مصالح و شرايط زماني و مكاني است كه حاكم و وليّ امر مسلمين مي‌تواند در زماني عليه كفار قرار دهد و در زماني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فقهاء عملاً چنين مي‌كردند شايد به اعتبار عقد ذمه بوده كه حاكم به خاطر شرائط زماني و مكاني چنين مصلحت مي‌ديد؛ نه به حسب اصل 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ممكن است از آيه‌ي شريفه‌ي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حَتَّى يُعْطُوا الْجِزْيَةَ عَنْ يَدٍ وَ هُمْ صاغِرُونَ</w:t>
      </w:r>
      <w:r>
        <w:rPr>
          <w:rFonts w:eastAsia="Amiri" w:cs="Amiri" w:ascii="Amiri" w:hAnsi="Amiri"/>
          <w:color w:val="111111"/>
          <w:sz w:val="28"/>
          <w:szCs w:val="28"/>
          <w:rtl w:val="true"/>
          <w:lang w:bidi="ar-SA"/>
        </w:rPr>
        <w:t>&gt;</w:t>
      </w:r>
      <w:r>
        <w:rPr>
          <w:rStyle w:val="FootnoteAnchor"/>
          <w:rtl w:val="true"/>
        </w:rPr>
        <w:footnoteReference w:id="538"/>
      </w:r>
      <w:r>
        <w:rPr>
          <w:rFonts w:ascii="IRNazanin" w:hAnsi="IRNazanin" w:eastAsia="IRNazanin"/>
          <w:color w:val="111111"/>
          <w:sz w:val="28"/>
          <w:sz w:val="28"/>
          <w:szCs w:val="28"/>
          <w:rtl w:val="true"/>
          <w:lang w:bidi="fa-IR"/>
        </w:rPr>
        <w:t xml:space="preserve">و هم‌چنين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يعلو و لا يعلي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استيناس كرده‌اند، البته نه در حدّ استدلال؛ زيرا معناي آيه‌ي شريفه اين نيست كه از هر نظر بايد تحقير شوند بلكه به اين معناست كه قهراً عليهم بايد جزيه پرداخت كنند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عَنْ قَهْرٍ يُصِيبُهُمْ وَ ذُلٍّ و قِيلَ يُعْطُونَهَا بِأَيْدِيهِمْ وَ لَا يَتَوَلَّى غَيْرُهُمْ دَفْعَهَا فَإِنَّ ذَلِكَ أَبْلَغُ فِى إِذْلَالِهِمْ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اين‌كه بر مسلماني كه خسارت زده و بايد از عهده برآيد هم 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يَحْيَى عَنْ مُحَمَّدِ بْنِ الْحُسَيْنِ عَنْ مُحَمَّدِ بْنِ سُلَيْمَانَ عَنْ رَجُلٍ مِنْ أَهْلِ الْجَزِيرَةِ يُكَنَّى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أَنَا أَسْمَعُ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النَّظِرَةِ الَّتِي ذَكَرَهَا اللَّهُ عَزَّ وَ جَلَّ فِي كِتَابِهِ لَهَا حَدٌّ يُعْرَفُ إِذَا صَارَ هَذَا الْمُعْسِرُ إِلَيْهِ لَا بُدَّ لَهُ مِنْ أَنْ يُنْتَظَرَ وَ قَدْ أَخَذَ مَالَ هَذَا الرَّجُلِ وَ أَنْفَقَهُ عَلَى عِيَالِهِ وَ لَيْسَ لَهُ غَلَّةٌ يُنْتَظَرُ إِدْرَاكُهَا وَ لَا دَيْنٌ يُنْتَظَرُ مَحِلُّهُ وَ لَا مَالٌ غَائِبٌ يُنْتَظَرُ قُدُومُهُ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يُنْتَظَرُ بِقَدْرِ مَا يَنْتَهِي خَبَرُهُ إِلَى الْإِمَامِ فَيَقْضِي عَنْهُ مَا عَلَيْهِ مِنْ سَهْمِ الْغَارِمِينَ إِذَا كَانَ أَنْفَقَهُ فِي طَاعَةِ اللَّهِ عَزَّ وَ جَلَّ فَإِنْ كَانَ قَدْ أَنْفَقَهُ فِي مَعْصِيَةِ اللَّهِ فَلَا شَيْ‌ءَ لَهُ عَلَى الْإِمَامِ قُلْتُ فَمَا لِهَذَا الرَّجُلِ الَّذِي ائْتَمَنَهُ وَ هُوَ لَا يَعْلَمُ فِيمَا أَنْفَقَهُ فِي طَاعَةِ اللَّهِ أَمْ فِي مَعْصِيَتِهِ؟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لَهُ فِي مَالِهِ فَيَرُدُّهُ عَلَيْهِ وَ هُوَ صَاغِرٌ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إِسْمَاعِيلَ بْنِ مَرَّارٍ عَنْ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اشْتَرَكُوا فِي أَمَةٍ فَائْتَمَنُوا بَعْضَهُمْ عَلَى أَنْ تَكُونَ الْأَمَةُ عِنْدَهُ فَوَطِئَهَا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 عَنْهُ مِنَ الْحَدِّ بِقَدْرِ مَا لَهُ فِيهَا مِنَ النَّقْدِ وَ يُضْرَبُ بِقَدْرِ مَا لَيْسَ لَهُ فِيهَا وَ تُقَوَّمُ الْأَمَةُ عَلَيْهِ بِقِيمَةٍ وَ يُلْزَمُهَا وَ إِنْ كَانَتِ الْقِيمَةُ أَقَلَّ مِنَ الثَّمَنِ الَّذِي اشْتُرِيَتْ بِهِ الْجَارِيَةُ أُلْزِمَ ثَمَنَهَا الْأَوَّلَ وَ إِنْ كَانَ قِيمَتُهَا فِي ذَلِكَ الْيَوْمِ الَّذِي قُوِّمَتْ فِيهِ أَكْثَرَ مِنْ ثَمَنِهَا أُلْزِمَ ذَلِكَ الثَّمَنَ وَ هُوَ صَاغِرٌ لِأَنَّهُ اسْتَفْرَشَهَا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بَعْضُ الشُّرَكَاءِ شِرَاءَهَا دُونَ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وَ لَيْسَ لَهُ أَنْ يَشْتَرِيَهَا حَتَّى يَسْتَبْرِئَهَا وَ لَيْسَ عَلَى غَيْرِهِ أَنْ يَشْتَرِيَهَا إِلَّا بِالْقِيمَةِ</w:t>
      </w:r>
      <w:r>
        <w:rPr>
          <w:rFonts w:eastAsia="Amiri" w:cs="Amiri" w:ascii="Amiri" w:hAnsi="Amiri"/>
          <w:color w:val="111111"/>
          <w:sz w:val="28"/>
          <w:szCs w:val="28"/>
          <w:rtl w:val="true"/>
          <w:lang w:bidi="ar-SA"/>
        </w:rPr>
        <w:t>.</w:t>
      </w:r>
      <w:bookmarkStart w:id="888" w:name="pg2375_20032"/>
    </w:p>
    <w:p>
      <w:pPr>
        <w:pStyle w:val="Heading5"/>
        <w:numPr>
          <w:ilvl w:val="4"/>
          <w:numId w:val="1"/>
        </w:numPr>
        <w:rPr/>
      </w:pPr>
      <w:bookmarkStart w:id="889" w:name="__RefHeading___Toc2903535_3804643083"/>
      <w:bookmarkStart w:id="890" w:name="_Toc338"/>
      <w:bookmarkEnd w:id="888"/>
      <w:bookmarkEnd w:id="889"/>
      <w:r>
        <w:rPr>
          <w:rtl w:val="true"/>
        </w:rPr>
        <w:t>افراط و تفريط در مسأله</w:t>
      </w:r>
      <w:bookmarkEnd w:id="89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در معناي آيه‌ي شريفه‌ي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حَتَّى يُعْطُوا الْجِزْيَةَ عَنْ يَدٍ وَ هُمْ صاغِرُونَ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دچار افراط شده و از عامّه برخي گفته‌اند موقع جزيه گرفتن از كافر ذمي، بايد ريش او را گرفت و يك سيلي هم به گوشش زد تا به اين صورت تحقير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هم دچار تفريط شده و در مورد روايتي كه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اقامه‌ي دعوا عليه مرد نصراني كه كنار قاضي نشستند و مساوات در نشستن را رعايت نكردند و از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تساووهم في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اين روايت از آن جايي كه خلاف عدل اسلامي است، مورد قبول واقع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ناشي از بعضي تأثرات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مي‌پرسيم آيا عدل اسلامي را جز خداوند متعال و رسولش و ائمه‌ي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موارد جزء مستقلات عقليه است تا عقل خودمان را ملاك سنجش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جايي اگر اجراي احكام دچار محظور بود، آن را مدتي تعطيل مي‌كنيم، همان‌طور كه خود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شدند شريح را بر قضاوت ابقاء كنند يا چون خواستند نماز بدعت تراويح را كه به صورت جماعت خوانده مي‌شد تعطيل كنند و سبط اكبر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فرستادند تا مردم را از اين عمل باز دارد، وقتي ديدند مردم جار و جنجال به راه انداخته و فرياد وا عمراه</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عَلِيُّ بْنُ الْحَسَنِ بْنِ فَضَّالٍ عَنْ أَحْمَدَ بْنِ الْحَسَنِ عَنْ عَمْرِو بْنِ سَعِيدٍ الْمَدَائِنِيِّ عَنْ مُصَدِّقِ بْنِ صَدَقَةَ عَنْ عَمَّارٍ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رَمَضَانَ فِي الْمَسَاجِدِ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أَمَرَ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فِي النَّاسِ لَا صَلَاةَ فِي شَهْرِ رَمَضَانَ فِي الْمَسَاجِدِ جَمَاعَةً فَنَادَى فِي النَّاسِ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أَمَرَهُ بِهِ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النَّاسُ مَقَالَةَ الْحَسَنِ بْنِ عَلِيٍّ صَاحُوا وَا عُمَرَاهْ وَا عُمَرَاهْ فَلَمَّا رَجَعَ الْحَسَنُ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النَّاسُ يَصِيحُونَ وَا عُمَرَاهْ وَا عُمَرَاهْ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دادند يا بعضي در مورد مسأله‌اي ديگر گفتند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 مَعَ رَأْيِ عُمَرَ أَحَبُّ إِلَيْنَا مِنْ رَأْيِكَ وَحْدَك</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حَكَى عَنْ عَبِيْدَةَ السَّلْمَانِيِّ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أُمَّهَاتِ الْأَوْلَادِ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رَأْيِي وَ رَأْيُ عُمَرَ أَنْ لَا يُبَعْنَ وَ أَنَا الْآنَ أَرَى أَنْ يُبَعْنَ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مَعَ رَأْيِ عُمَرَ أَحَبُّ إِلَيْنَا مِنْ رَأْيِكَ وَحْدَك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في معرفة الأئمة،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ممنوعا في أيام خلافته عن كثير من إرادته الدينية حتى إنه أراد عزل شريح و قال عزب ذهنك و علت سنك و ارتشى ابنك فلم يمكن من عزله و الاستبدال به و كم مثلها مما 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يجريه على الحق الذي لا لبس فيه حتى قيل له رأيك مع رأي عمر أحب إلينا من رأيك على انفرادك و الخطب جليل و بالله المستعان و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مع رأي عمر أحب إلينا قال لعبيدة السلماني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اقضوا كما كنتم تقضون فإني أكره الخلاف و كان عبيدة هذا قاضيا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آن‌ها را به حال خودشان واگذار كردند با اين‌كه طبق فرمايش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وقتي بعضي براي شكايت از اميرالمؤمنين نزد حضرت آمده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لَأَخْشَنُ فِي ذَاتِ اللَّهِ مِنْ أَنْ يُشْكَى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يَحْيَى بْنُ عَبْدِ اللَّهِ بْنِ عَبْدِ الرَّحْمَنِ بْنِ أَبِي عَمْرَةَ عَنْ يَزِيدَ بْنِ طَلْحَةَ بْنِ يَزِيدَ بْنِ رُكَانَةَ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عَلِيٌّ رَضِيَ اللَّهُ عَنْهُ مِنْ الْيَمَنِ لِيَلْقَى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تَعَجَّلَ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عَلَى جُنْدِهِ الَّذِينَ مَعَهُ رَجُلًا مِنْ أَصْحَابِهِ فَعَمِدَ ذَلِكَ الرَّجُلُ فَكَسَا كُلَّ رَجُلٍ مِنْ الْقَوْمِ حُلَّةً مِنْ الْبَزِّ الَّذِي كَانَ مَعَ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جَيْشُهُ خَرَجَ لِيَلْقَاهُمْ فَإِذَا عَلَيْهِمْ الْحُلَلُ،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 الْقَوْمَ لِيَتَجَمَّلُوا بِهِ إذَا قَدِمُوا فِي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قَبْلَ أَنْ تَنْتَهِيَ بِهِ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الْحُلَلَ مِنْ النَّاسِ، فَرَدَّهَا فِي الْبَزِّ،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الْجَيْشَ شَكْوَاهُ لِمَا صُنِعَ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اللَّهِ بْنُ عَبْدِ الرَّحْمَنِ بْنِ مَعْمَرِ بْنِ حَزْمٍ، عَنْ سُلَيْمَانَ ابْن مُحَمَّدِ بْنِ كَعْبِ بْنِ عُجْرَةَ عَنْ عَمَّتِهِ زَيْنَبَ بِنْتِ كَعْبٍ وَ كَانَتْ عِنْدَ أَبِي سَعِيدٍ الْخُدْرِيِّ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النَّاسُ عَلِيًّا رِضْوَانُ اللَّهِ عَلَيْهِ، فَقَامَ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خَطِيبًا،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تَشكوا عليّا، فو الله إنَّهُ لَأَخْشَنُ فِي ذَاتِ اللَّهِ، أَوْ فِي سَبِيلِ اللَّهِ، مِنْ أَنْ يُشْكَى</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حضرت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اجراي احكام الهي محكم</w:t>
      </w:r>
    </w:p>
    <w:p>
      <w:pPr>
        <w:pStyle w:val="BookText"/>
        <w:rPr/>
      </w:pPr>
      <w:r>
        <w:rPr>
          <w:rFonts w:ascii="IRNazanin" w:hAnsi="IRNazanin" w:eastAsia="IRNazanin"/>
          <w:color w:val="111111"/>
          <w:sz w:val="28"/>
          <w:sz w:val="28"/>
          <w:szCs w:val="28"/>
          <w:rtl w:val="true"/>
          <w:lang w:bidi="fa-IR"/>
        </w:rPr>
        <w:t>است و بالاتر از آن است كه مورد شكايت قرار گيرد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يك جايي اجراي حكم الهي دچار محظور بود، اشكالي ندارد تا آن محظور رفع نشده، اجراي آن حكم تعطيل شود و حتّي در جايي هم بازگو نشود، ولي اين ديگر درست نيست كه بگوييم آن حكم خلاف اسلام است و چنين حكمي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بعضي كه متأسفانه تا فضا عوض مي‌شود احكام را تغيير داده و بخشي از اسلام را مي‌تراشند كه بسيار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هم با اين‌كه عمامه بر سر دارند آن‌قدر مقهور و خود باخته مي‌شوند كه مي‌نويسند اعلاميه‌ي جهاني حقوق بشر عصاره‌ي تعاليم انبياست، در حالي كه چقدر احكام ضد اسلام در آن وجود دارد</w:t>
      </w:r>
      <w:r>
        <w:rPr>
          <w:rFonts w:eastAsia="IRNazanin" w:cs="IRNazanin"/>
          <w:color w:val="111111"/>
          <w:sz w:val="28"/>
          <w:szCs w:val="28"/>
          <w:rtl w:val="true"/>
          <w:lang w:bidi="fa-IR"/>
        </w:rPr>
        <w:t>!</w:t>
      </w:r>
      <w:bookmarkStart w:id="891" w:name="pg2375_20036"/>
    </w:p>
    <w:p>
      <w:pPr>
        <w:pStyle w:val="Heading4"/>
        <w:numPr>
          <w:ilvl w:val="3"/>
          <w:numId w:val="1"/>
        </w:numPr>
        <w:rPr/>
      </w:pPr>
      <w:bookmarkStart w:id="892" w:name="__RefHeading___Toc2903537_3804643083"/>
      <w:bookmarkStart w:id="893" w:name="_Toc339"/>
      <w:bookmarkEnd w:id="891"/>
      <w:bookmarkEnd w:id="892"/>
      <w:r>
        <w:rPr>
          <w:rtl w:val="true"/>
        </w:rPr>
        <w:t xml:space="preserve">نظر نهايي در مورد سعه‌ي روايت </w:t>
      </w:r>
      <w:r>
        <w:rPr>
          <w:rtl w:val="true"/>
        </w:rPr>
        <w:t>«</w:t>
      </w:r>
      <w:r>
        <w:rPr>
          <w:rtl w:val="true"/>
        </w:rPr>
        <w:t>الاسلام يعلو و لايعلي عليه</w:t>
      </w:r>
      <w:r>
        <w:rPr>
          <w:rtl w:val="true"/>
        </w:rPr>
        <w:t>»</w:t>
      </w:r>
      <w:bookmarkEnd w:id="893"/>
    </w:p>
    <w:p>
      <w:pPr>
        <w:pStyle w:val="Heading5"/>
        <w:numPr>
          <w:ilvl w:val="4"/>
          <w:numId w:val="1"/>
        </w:numPr>
        <w:rPr/>
      </w:pPr>
      <w:bookmarkStart w:id="894" w:name="__RefHeading___Toc2903539_3804643083"/>
      <w:bookmarkStart w:id="895" w:name="_Toc340"/>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 xml:space="preserve">خلاصه اين‌كه در مورد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يعلو و لا يعلي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نمي‌توانيم آن سعه و اطلاق را بپذيريم و شايد معناي روايت اين باشد كه اسلام از حيث حجج، براهين و قوّت استدلال بر همه‌ي اديان و مكاتب برتري دارد و يا به اين معني است كه اسلام به حسب تعاليم و اعتقاداتي كه ارائه مي‌دهد بر همه چيز برتري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 به اين‌كه از لحاظ سند هم ناتمام است و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 لايحضره الفقيه</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لَا ضَرَرَ وَ لَا إِضْرَارَ فِي الْإِسْلَامِ فَالْإِسْلَامُ يَزِيدُ الْمُسْلِمَ خَيْراً وَ لَا يَزِيدُهُ شَرّاً وَ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مرسلاً نقل كرده و اصل آن هم ظاهراً به نقل از اهل سنت است؛ هرچند مضمون روايت كه في‌الجمله اسلام علوّ دارد و غير اسلام بر اسلام علوّ ندارد مسلّم است، امّا اين‌كه در كجا چنين است و چه معنايي دارد با اين سند نمي‌توانيم اطلاق آن را اثبات كنيم؟ پس بايد به قدر متيقن اخذ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يعلو و لا يعلي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مي‌تواند مستند عدم جواز بيع مصحف به كافر باشد و نه مستند عدم جواز بيع عبد مسلم به كافر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مورد عدم جواز بيع عبد مسلم به كافر ممكن است كسي ادعا كند في‌الجمله اجماعي است و بعيد نيست چنين</w:t>
      </w:r>
      <w:bookmarkStart w:id="896" w:name="pg2375_20037"/>
    </w:p>
    <w:p>
      <w:pPr>
        <w:pStyle w:val="BookText"/>
        <w:rPr/>
      </w:pPr>
      <w:bookmarkEnd w:id="896"/>
      <w:r>
        <w:rPr>
          <w:rFonts w:ascii="IRNazanin" w:hAnsi="IRNazanin" w:eastAsia="IRNazanin"/>
          <w:color w:val="111111"/>
          <w:sz w:val="28"/>
          <w:sz w:val="28"/>
          <w:szCs w:val="28"/>
          <w:rtl w:val="true"/>
          <w:lang w:bidi="fa-IR"/>
        </w:rPr>
        <w:t>اجماعي وجود داشته باشد، هرچند احتياج به تتبع بيشتري دارد و اگر اجماع ثابت شد و به حدي بود كه اطمينان بخش باشد ـ هرچند با ضميمه‌ي اين وجوه مذكور ـ تسليم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علي فرض اين‌كه در مسأله‌ي بيع عبد مسلم به كافر ادلّه‌ي عدم جواز تمام باشد آيا بالفحوي و بالاولويت مي‌توانيم بگوييم بيع مصحف به كافر جايز نيست؟</w:t>
      </w:r>
    </w:p>
    <w:p>
      <w:pPr>
        <w:pStyle w:val="Heading5"/>
        <w:numPr>
          <w:ilvl w:val="4"/>
          <w:numId w:val="1"/>
        </w:numPr>
        <w:rPr/>
      </w:pPr>
      <w:bookmarkStart w:id="897" w:name="__RefHeading___Toc2903541_3804643083"/>
      <w:bookmarkStart w:id="898" w:name="_Toc341"/>
      <w:bookmarkEnd w:id="897"/>
      <w:r>
        <w:rPr>
          <w:rtl w:val="true"/>
        </w:rPr>
        <w:t>بررسي اولويت عدم جواز بيع مصحف به كافر نسبت به بيع عبد مسلم به كافر</w:t>
      </w:r>
      <w:bookmarkEnd w:id="898"/>
    </w:p>
    <w:p>
      <w:pPr>
        <w:pStyle w:val="BookText"/>
        <w:rPr/>
      </w:pPr>
      <w:r>
        <w:rPr>
          <w:rFonts w:ascii="IRNazanin" w:hAnsi="IRNazanin" w:eastAsia="IRNazanin"/>
          <w:color w:val="111111"/>
          <w:sz w:val="28"/>
          <w:sz w:val="28"/>
          <w:szCs w:val="28"/>
          <w:rtl w:val="true"/>
          <w:lang w:bidi="fa-IR"/>
        </w:rPr>
        <w:t>عدم جواز بيع مصحف به كافر نسبت به بيع عبد مسلم به كافر اولويتي ندارد؛ زيرا عبد اسير مالكش بوده و مسلماني كه تحت تملّك كافر قرار مي‌گيرد تمام مقدراتش به دست كافر مي‌افتد، امّا در مورد قرآن كريم اين‌گونه نيست؛ زيرا قرآن كه فقط يك نسخه نيست تا مقدرات آن به دست كافر بيفتد؛ مثلاً مانع تعليم و قرائت قرآن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اجماع هم كه در اين‌جا وجود ندارد؛ چون كثيري آن را مطرح نكرده‌اند و بلكه از عبارات شيخ طوسي در المبسوط</w:t>
      </w:r>
      <w:r>
        <w:rPr>
          <w:rStyle w:val="FootnoteAnchor"/>
          <w:rtl w:val="true"/>
        </w:rPr>
        <w:footnoteReference w:id="543"/>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وجد في المغنم كتب نظر فيها فإن كانت مباحة يجوز إقرار اليد عليها مثل كتب الطب و الشعر و اللغة و المكاتبات فجميع ذلك غنيمة، و كذلك المصاحف و علوم الشريعة كالفقه و الحديث و نحوه لأن هذا مال يباع و يشترى كالثياب، و إن كانت كتبا لا تحل إمساكها كالكفر و الزندقة و ما أشبه ذلك كل ذلك لا يجوز بيعه، و ينظر فيه فإن كان مما لا ينتفع بأوعيته إذا غسل كالجلود و نحوها فإنها غنيمة، و إن كان مما لا ينتفع بأوعيته كالكاغذ فإنه يمزق و لا يحرق لأنه ما من كاغذ إلا و له قيمة و كلم التورية و الإنجيل هكذا كالكاغذ فإنه يمزق لأنه كتاب مغير 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مصاحف</w:t>
      </w:r>
      <w:r>
        <w:rPr>
          <w:rStyle w:val="FootnoteAnchor"/>
          <w:rtl w:val="true"/>
        </w:rPr>
        <w:footnoteReference w:id="544"/>
      </w:r>
      <w:r>
        <w:rPr>
          <w:rFonts w:ascii="IRNazanin" w:hAnsi="IRNazanin" w:eastAsia="IRNazanin"/>
          <w:color w:val="111111"/>
          <w:sz w:val="28"/>
          <w:sz w:val="28"/>
          <w:szCs w:val="28"/>
          <w:rtl w:val="true"/>
          <w:lang w:bidi="fa-IR"/>
        </w:rPr>
        <w:t>را هم جزء غنائم در جنگ با كفار نام مي‌برد استفاده مي‌شود كه كافر مي‌تواند مالك مصحف شود؛ چون اگر ملك كافر نمي‌شد، پس به ملك مسلمان باقي مانده و در نتيجه نمي‌تواند به عنوان غنيمت باشد، بلكه نهايت به عنوان مجهول المالك مي‌شود و بايد طبق احكام مجهول المالك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دليل اولويت عدم جواز بيع عبد مسلم به كافر نمي‌توان براي اثبات عدم جواز بيع مصحف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هم كه در مذهب ما باطل است، پس دليلي بر عدم جواز بيع مصحف به كافر وجود ندارد، مگر اين‌كه تحت عناويني مانند اهانت، وهن به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 كه جايز نخواهد بود و الا اگر مصداق اهانت به قرآن نباشد مثلاً كافري به قرآن احترام گذاشته و اهل مطالعه و تأمل در قرآن باشد، نمي‌توان گفت دادن قرآن به او حرام است بلكه اگر موجب هدايت او شود رجحان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قرآن بدون وضوء براي مسلمان جايز نيست</w:t>
      </w:r>
      <w:r>
        <w:rPr>
          <w:rStyle w:val="FootnoteAnchor"/>
          <w:rtl w:val="true"/>
        </w:rPr>
        <w:footnoteReference w:id="545"/>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كتاب الطهارة، ابواب الوضوء، باب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الحكام،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حَرِيزٍ عَمَّنْ أَخْبَرَهُ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بْنُ أَبِي عَبْدِ اللَّهِ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اقْرَأِ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عَلَى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الْكِتَابَةَ وَ مَسَّ الْوَرَقَ فَاقْرَأْهُ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غير مسلمان مي‌دانيم وضوء نمي‌گيرد و اگر هم بگيرد وضويش درست نيست؛ چون ايمان شرط صحت عبادات است، بنابراين دادن قرآن به كافري كه مي‌دانيم مس قرآن خواهد كرد مصداق إعانت بر اثم بوده 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إعانت بر اثم بيان كرديم اگر منع كردن تأثيري در عدم تحقق منكر نداشته باشد ـ مثلاً هزاران قرآن در دسترس دارد به طوري كه اگر منع كند از جاي ديگر تهيه مي‌كند و ندادن او هيچ تأثيري در عدم تحقق منكر نمي‌كند ـ آن‌جا إعانت بر اثم حرام نيست، مگر اين‌كه وجه اهمي داشته باشد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 به آن‌كه كفار گرچه مكلّف به فروع هستند، ولي نهي از منكر نسبت به آنان در همه جا لازم نيست؛ مثلاً مي‌دانيم گوشت خنزير و گوشت بدون ذبح شرعي مي‌خورند يا مي‌دانيم در غير ملأ عام رعايت حجاب اسلامي نمي‌كنند، در چنين مواردي امر به معروف و نهي از منكر آنان واجب نيست و حتّي حكومت اسلامي اجازه‌ي ارتكاب چنين عملي را به آنان</w:t>
      </w:r>
    </w:p>
    <w:p>
      <w:pPr>
        <w:pStyle w:val="BookText"/>
        <w:rPr/>
      </w:pPr>
      <w:r>
        <w:rPr>
          <w:rFonts w:ascii="IRNazanin" w:hAnsi="IRNazanin" w:eastAsia="IRNazanin"/>
          <w:color w:val="111111"/>
          <w:sz w:val="28"/>
          <w:sz w:val="28"/>
          <w:szCs w:val="28"/>
          <w:rtl w:val="true"/>
          <w:lang w:bidi="fa-IR"/>
        </w:rPr>
        <w:t>مي‌دهد، مگر در موارد خاصي كه موجب هتك اسلام يا زير پا گذاشتن شعائر اسلامي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آن‌كه ما مي‌دانيم از صدر اسلام سكه‌هايي را ضرب مي‌كردند كه مشتمل بر اسم جلاله و آيات قرآن مثل سوره‌ي توحيد بوده و اين سكه‌ها در مبادله به دست كفّار مي‌رسيد و اين مي‌تواند مؤيد آن باشد كه دادن مصحف به كفار و بيع آن حتّي با علم به اين‌كه مس كتابت قرآن مي‌كنند مانعي ندارد؛ مگر اين‌كه عنوان اهانت به قرآن بر آن منطبق شود كه جايز نخواهد بود؛ مثلاً بيع قرآن به كسي كه اشتهار به قرآن سوزي و اهانت به قرآن دارد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بعد از قول به عدم جواز بيع مصحف به كافر، فروعاتي را مطرح مي‌كند</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الظاهر أن أبعاض المصحف في حكم الكل إذا كانت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المتفرقة في تضاعيف غير التفاسير من الكتب للاستشهاد بلفظه أو معناه فلا يبعد عدم اللحوق لعدم تحقق الإهانة و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الأدعية المشتملة على أسماء الله تعالى كالجوشن الكبير مطلقا أو مع كونه الكافر ملحدا بها دون المقر بالله المحترم لأسمائه لعدم الإهانة و العلو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الأحاديث النبوية بالقرآن وجهان حكي الجزم به عن الكركي و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التردد بينهما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اللحوق فيلحق اسم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 لأنه أعظم من كلامه و حينئذ فيشكل أن يملك الكفار الدراهم و الدنانير المضروبة في زماننا المكتوب عليها اسم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إن المكتوب عليها غير مملوك عرفا و لا يجعل بإزاء الاسم الشريف المبارك من حيث إنه اسمه جزء من الثمن فهو كاسمه المبارك المكتوب على سيف أو على باب دار أو جدار إلا أن يقال إن مناط الحرمة التسليط لا المعاوضة بل و لا التمليك و يشكل أيضا من جهة مناولتها الكافر مع العلم العادي بمسه إياه خصوصا مع الرطوبة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اين‌كه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ابعاض قرآن هم جايز نيست، ولي اگر در يك كتابي بعض آيات قرآن مثلاً به عنوان شاهد ذكر شده باشد، فروش آن به كفار اشكالي ندارد؛ چون نه مصداق اهانت است و نه علوّ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اسماء الله، احاديث و روايات پيامبر اكرم و اسم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كفار و الحاق آن به قرآن در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ولي بنا بر مختار ما به طريق اولي جايز است ـ و در نهايت 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عدم جواز، دراهم و دنانيري كه در زمان ما ضرب مي‌شود تملّك كفار بر آن مشكل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 بسي تعجب است كه چرا شيخ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و الدنانير المضروبة في زماننا</w:t>
      </w:r>
      <w:r>
        <w:rPr>
          <w:rFonts w:eastAsia="IRNazanin" w:cs="IRNazanin"/>
          <w:color w:val="111111"/>
          <w:sz w:val="28"/>
          <w:szCs w:val="28"/>
          <w:rtl w:val="true"/>
          <w:lang w:bidi="fa-IR"/>
        </w:rPr>
        <w:t>»</w:t>
      </w:r>
      <w:r>
        <w:rPr>
          <w:rStyle w:val="FootnoteAnchor"/>
          <w:rtl w:val="true"/>
        </w:rPr>
        <w:footnoteReference w:id="547"/>
      </w:r>
      <w:r>
        <w:rPr>
          <w:rFonts w:ascii="Amiri" w:hAnsi="Amiri" w:eastAsia="Amiri" w:cs="Amiri"/>
          <w:color w:val="111111"/>
          <w:sz w:val="28"/>
          <w:sz w:val="28"/>
          <w:szCs w:val="28"/>
          <w:rtl w:val="true"/>
          <w:lang w:bidi="ar-SA"/>
        </w:rPr>
        <w:t>كه قرن سيزدهم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 كه از زمان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جلاله، نام مبارك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آيات قرآن بر روي سكه‌ها ضرب مي‌شد و حتّي نقل شده كه تا زمان عبدالملك مروان اموي لعنة الله عليهم، سكه‌اي در اسلام ضرب نشده</w:t>
      </w:r>
      <w:r>
        <w:rPr>
          <w:rStyle w:val="FootnoteAnchor"/>
          <w:rtl w:val="true"/>
        </w:rPr>
        <w:footnoteReference w:id="548"/>
      </w:r>
      <w:r>
        <w:rPr>
          <w:rFonts w:ascii="Amiri" w:hAnsi="Amiri" w:eastAsia="Amiri" w:cs="Amiri"/>
          <w:color w:val="111111"/>
          <w:sz w:val="28"/>
          <w:sz w:val="28"/>
          <w:szCs w:val="28"/>
          <w:rtl w:val="true"/>
          <w:lang w:bidi="ar-SA"/>
        </w:rPr>
        <w:t>بود و سكه‌هاي رايج، سكه‌هاي ايران و روم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w:t>
      </w:r>
    </w:p>
    <w:p>
      <w:pPr>
        <w:pStyle w:val="BookText"/>
        <w:rPr/>
      </w:pPr>
      <w:r>
        <w:rPr>
          <w:rFonts w:ascii="IRNazanin" w:hAnsi="IRNazanin" w:eastAsia="IRNazanin"/>
          <w:color w:val="111111"/>
          <w:sz w:val="28"/>
          <w:sz w:val="28"/>
          <w:szCs w:val="28"/>
          <w:rtl w:val="true"/>
          <w:lang w:bidi="fa-IR"/>
        </w:rPr>
        <w:t>اين‌كه پادشاه روم عبدالملك را تهديد كرد كه بر روي سكه‌ها مطالبي عليه اسلام ضرب خواهد كرد، عبدالملك نيز با راهنمايي امام باقر</w:t>
      </w:r>
      <w:r>
        <w:rPr>
          <w:rStyle w:val="FootnoteAnchor"/>
          <w:rtl w:val="true"/>
        </w:rPr>
        <w:footnoteReference w:id="54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خلدون،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السكة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الملك كتب في صدر كتابه إلى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النبيّ مع التاريخ، فنكر ذلك ملك الروم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 و إلّا ذكرنا نبيكم في دنانيرنا بما تكرهونه فعظم ذلك عليه و استشار الناس فأشار عليه خالد بن يزيد بضرب السكة و ترك دنانيرهم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نقش الحجّاج فيها قل هو الله أحد فكره الناس ذلك لأنه قد يمسّها غير الطاهر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فكر افتاد سكه ضرب كند و با پيشنهاد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روي سكه سوره‌ي توحيد و بر روي ديگر ذكر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مدار سكه نام شهر و تاريخي كه در آن ضرب سكه مي‌شد، ضرب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ذَكَرَ الدِّمْيَرِيُّ الشَّافِعِيُّ فِي حَيَاةِ الْحَيَوَانِ فِي تَرْجَمَةِ عَبْدِ الْمَلِكِ بْنِ مَرْوَانَ قِصَّةً جَرَتْ بَيْنَهُ وَ بَيْنَ مَلِكِ الرُّومِ وَ فِيهِ أَنَّ الْمَلِكَ هَدَّدَهُ فِي كِتَابِهِ إِلَيْهِ وَ كَانَ فِيهِ وَ لآَمُرَنَّ بِنَقْشِ الدَّنَانِيرِ وَ الدَّرَاهِمِ فَإِنَّكَ تَعْلَمُ أَنَّهُ لَا يُنْقَشُ شَيْ‌ءٌ مِنْهَا إِلَّا مَا يُنْقَشُ فِي بِلَادِي وَ لَمْ تَكُنِ الدَّرَاهِمُ وَ الدَّنَانِيرُ نُقِشَتْ فِي الْإِسْلَامِ فَيُنْقَشُ عَلَيْهَا شَتْمُ نَبِيِّكَ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عَبْدُ المَلِكِ الْكِتَابَ صَعُبَ عَلَيْهِ الْأَمْرُ وَ غَلُظَ وَ ضَاقَتْ بِهِ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أَحْسَبُنِي أَشْأَمَ مَوْلُودٍ وُلِدَ فِي الْإِسْلَامِ لِأَنِّي جَنَيْتُ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شَتْمِ هَذَا الْكَافِرِ مَا يَبْقَى مِنْ غَابِرِ الدَّهْرِ وَ لَا يُمْكِنُ مَحْوُهُ مِنْ جَمِيعِ مَمْلَكَةِ الْعَرَبِ إِذَا كَانَتِ الْمُعَامَلَاتُ تَدُورُ بَيْنَ النَّاسِ بِدَنَانِيرِ الرُّومِ وَ دَرَاهِمِهِمْ فَجَمَعَ أَهْلَ الْإِسْلَامِ وَ اسْتَشَارَهُمْ فَلَمْ يَجِدْ عِنْدَ أَحَدٍ مِنْهُمْ رَأْياً يُعْمَلُ بِهِ فَقَالَ لَهُ رَوْحُ بْنُ زِنْبَاعٍ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الْمُخْرِجَ مِنْ هَذَا الْأَمْرِ وَ لَكِنَّكَ تَتَعَمَّدُ تَرْكَهُ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فَقَالَ عَلَيْكَ بِالْبَاقِرِ مِنْ أَهْلِ بَيْتِ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لَكِنَّهُ ارْتَجَّ عَلَيَّ الرَّأْيُ فِيهِ فَكَتَبَ إِلَى عَامِلِهِ بِالْمَدِينَةِ أَنْ أَشْخِصْ إِلَيَّ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مُكَرَّماً وَ مَتِّعْهُ بِمِائَةِ أَلْفِ دِرْهَمٍ لِجَهَازِهِ وَ بِثَلَاثِمِائَةِ أَلْفِ دِرْهَمٍ لِنَفَقَتِهِ وَ أَرِحْ عَلَيْهِ فِي جَهَازِهِ وَ جَهَازِ مَنْ يَخْرُجُ مَعَهُ مِنْ أَصْحَابِهِ وَ حَبَسَ الرَّسُولَ قِبَلَهُ إِلَى مُوَافَاةِ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وَافَاهُ أَخْبَرَهُ الْخَبَرَ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يَعْظُمُ هَذَا عَلَيْكَ فَإِنَّهُ لَيْسَ بِشَيْ‌ءٍ مِنْ جِهَتَيْنِ إِحْدَاهُمَا أَنَّ اللَّهَ عَزَّ وَ جَلَّ لَمْ يَكُنْ لِيُطْلِقَ مَا يُهَدِّدُ بِهِ صَاحِبُ الرُّومِ فِي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 وُجُودُ الْحِيلَةِ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هَذِهِ السَّاعَةَ بِصُنَّاعٍ فَيَضْرِبُونَ بَيْنَ يَدَيْكَ سِكَكاً لِلدَّرَاهِمِ وَ الدَّنَانِيرِ وَ تَجْعَلُ النَّقْشَ عَلَيْهَا سُورَةَ التَّوْحِيدِ وَ ذِكْرَ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وَجْهِ الدِّرْهَمِ وَ الدِّينَارِ وَ الْآخَرَ فِي الْوَجْهِ الثَّانِي وَ تَجْعَلُ فِي مَدَارِ الدِّرْهَمِ وَ الدِّينَارِ ذِكْرَ الْبَلَدِ الَّذِي يُضْرَبُ فِيهِ وَ السَّنَةِ الَّتِي يُضْرَبُ فِيهَا تِلْكَ الدَّرَاهِمُ وَ الدَّنَانِيرُ وَ تَعْمِدُ إِلَى وَزْنِ ثَلَاثِينَ دِرْهَماً عَدَداً مِنَ الْأَصْنَافِ الثَّلَاثَةِ الَّتِي الْعَشَرَةُ مِنْهَا وَزْنُ عَشَرَةِ مَثَاقِيلَ وَ عَشَرَةٌ مِنْهَا وَزْنُ سِتَّةِ مَثَاقِيلَ وَ عَشَرَةٌ مِنْهَا وَزْنُ خَمْسَةِ مَثَاقِيلَ فَتَكُونُ أَوْزَانُهَا جَمِيعاً وَاحِداً وَ عِشْرِينَ مِثْقَالًا فَتُجَزِّئُهَا مِنَ الثَّلَاثِينَ فَتَصِيرُ الْعِدَّةُ مِنَ الْجَمِيعِ وَزْنَ سَبْعَةِ مَثَاقِيلَ وَ تَصُبُّ صَنَجَاتٍ مِنْ قَوَارِيرَ لَا يَسْتَحِيلُ إِلَى زِيَادَةٍ وَ لَا نُقْصَانٍ فَتُضْرَبُ الدَّرَاهِمُ عَلَى وَزْنِ عَشَرَةٍ وَ الدَّنَانِيرُ عَلَى وَزْنِ سَبْعَةِ مَثَاقِيلَ وَ كَانَتِ الدَّرَاهِمُ فِي ذَلِكَ الْوَقْتِ إِنَّمَا هِيَ الْكَسْرَوِيَّةُ الَّتِي يُقَالُ لَهَا الْيَوْمَ بَغْلِيَّةٌ لِأَنَّ رَأْسَ الْبَغْلِ ضَرَبَهَا لِعُمَرَ بِسِكَّةٍ كَسْرَوِيَّةٍ فِي الْإِسْلَامِ مَكْتُوبٍ عَلَيْهَا صُورَةُ الْمَلِكِ وَ تَحْتَ الْكُرْسِيِّ مَكْتُوبٌ بِالْفَارِسِيَّةِ نُوشْ خُورْ أَيْ كُلْ هَنِيئاً وَ كَانَ وَزْنُ الدِّرْهَمِ مِنْهَا قَبْلَ الْإِسْلَامِ مِثْقَالًا وَ الدَّرَاهِمُ الَّتِي كَانَ وَزْنُ الْعَشَرَةِ مِنْهَا سِتَّةَ مَثَاقِيلَ هِيَ السُّمْرِيَّةُ الْخِفَافُ وَ نَقْشُهَا نَقْشُ فَارِسَ وَ أَمَرَهُ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السِّكَكَ فِي جَمِيعِ بُلْدَانِ الْإِسْلَامِ وَ أَنْ يَتَقَدَّمَ إِلَى النَّاسِ فِي التَّعَامُلِ بِهَا وَ أَنْ يَتَهَدَّدَ بِقَتْلِ مَنْ يَتَعَامَلُ بِغَيْرِ هَذِهِ السِّكَّةِ مِنَ الدَّرَاهِمِ وَ الدَّنَانِيرِ وَ غَيْرِهَا وَ أَنْ تُبْطَلَ وَ تُرَدَّ إِلَى مَوَاضِعِ الْعَمَلِ حَتَّى تُعَادَ إِلَى السِّكَكِ الْإِسْلَامِيَّةِ فَفَعَلَ عَبْدُ الْمَلِكِ ذَلِكَ إِلَى آخِرِ مَا قَال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الحمدلله اولاً و آخراً و ظاهراً و باطناً</w:t>
      </w:r>
      <w:r>
        <w:rPr>
          <w:rFonts w:eastAsia="Amiri" w:cs="Amiri" w:ascii="Amiri" w:hAnsi="Amiri"/>
          <w:color w:val="111111"/>
          <w:sz w:val="28"/>
          <w:szCs w:val="28"/>
          <w:rtl w:val="true"/>
          <w:lang w:bidi="ar-SA"/>
        </w:rPr>
        <w:t>.</w:t>
      </w:r>
      <w:bookmarkStart w:id="899" w:name="pg2375_2004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0" w:name="__RefHeading___Toc2903543_3804643083"/>
      <w:bookmarkStart w:id="901" w:name="_Toc342"/>
      <w:bookmarkEnd w:id="899"/>
      <w:bookmarkEnd w:id="900"/>
      <w:r>
        <w:rPr>
          <w:rtl w:val="true"/>
        </w:rPr>
        <w:t>كتاب‌نامه</w:t>
      </w:r>
      <w:bookmarkEnd w:id="9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على أهل اللجاج، طبرسى، احمد بن على،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مرتضى،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مشهد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المتاجر المحرمة، كاشف الغطاء، مهدى نجفي،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كاشف الغطاء،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نجف اشرف ـ عراق</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مختارة من موضوعات الجورقاني و ابن الجوزي، الذهبي، شمس الدين أبو عبد الله محمد بن أحمد بن عثمان،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الجبار الفريوائي،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الدار،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المدينة المنورة ـ عربستان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و حكايات، السلفي، صدر الدين أبو طاهر، يك جلد، انتشارات اسلامية، چاپ اوّل،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فيما اختلف من الأخبار، شيخ طوسي،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الموسوى خرسان،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البلاغة، الزمخشري، أبو القاسم محمود بن عمرو بن أحمد،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باسل عيون السود،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الاستذكار الجامع لمذاهب فقهاء الأمصار، القرطبي، أبو عمر يوسف بن عبد الله بن عبد البر النمري،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محمد عطا و محمد علي معوض،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 في معرفة الصحابة، ابن اثير، أبو الحسن محمد بن محمد بن عبد الكريم بن عبد الواحد،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معوض و عادل أحمد عبد الموجود،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إلى أحكام الإيمان، علامه‌ي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 شيخ مفيد، محمد بن</w:t>
      </w:r>
    </w:p>
    <w:p>
      <w:pPr>
        <w:pStyle w:val="BookText"/>
        <w:rPr/>
      </w:pPr>
      <w:r>
        <w:rPr>
          <w:rFonts w:ascii="IRNazanin" w:hAnsi="IRNazanin" w:eastAsia="IRNazanin"/>
          <w:color w:val="111111"/>
          <w:sz w:val="28"/>
          <w:sz w:val="28"/>
          <w:szCs w:val="28"/>
          <w:rtl w:val="true"/>
          <w:lang w:bidi="fa-IR"/>
        </w:rPr>
        <w:t>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كنگره‌ي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السالك الي أشرف المسالك، ابن عسكر،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إبراهيم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شركة مكتبة و مطبعة مصطفى البابي، چاپ دوم، قاهرة ـ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الاغاني، أبي الفرج الأصفهاني،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جابر،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چاپ دوم،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الإقناع في فقه أحمد بن حنبل، الحجاوي، شرف الدين موسى بن أحمد بن موسى أبو النجا،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محمد موسى السبكي،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الامالي، شيخ صدوق، محمّد بن علي ابن بابويه قمي، ناشر كتابچي،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 شيخ طوسي،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تحقيقات اسلامي مؤسسه‌ي بعثت،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الشافعي، أبو عبد الله محمد بن إدريس بن العباس،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في انفرادات الإمامية، شريف مرتضى، على بن حسين موسوى،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 ـ كتاب البيع، كاشف الغطاء، حسن بن جعفر بن خضر نجفى،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كاشف الغطاء،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نجف اشرف ـ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في معرفة الراجح من الخلاف، المرداوي الدمشقي، علاء الدين أبو الحسن علي بن سليمان،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الفقي،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أوزان المقادير، علامه مجلسى، محمد باقر بن محمد تقى اصفهانى،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كتابفروشى بصيرتى، چاپ اوّل، قم ـ ايران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الفوائد في شرح مشكلات القواعد، فخر المحققين، محمد بن حسن بن يوسف حلّي،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اسماعيليان،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الجامعة لدرر اخبار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مجلسي، محمّد باقر بن محمّد تقي اصفهاني،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محقّقان،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 النشر،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الرائق شرح كنز الدقائق، ابن نجيم المصري، زين الدين بن إبراهيم بن محمد،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الإسلامي، چاپ دوم،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 فى التفسير، اندلسى، ابو حيان محمد بن يوسف،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محمد جميل،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الصنائع في ترتيب الشرائع، الكاساني، علاء الدين،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الدمشقي، أبو الفداء إسماعيل بن عمر بن كثير القرشي،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المعاني، آل غازي، عبد القادر بن ملّا حويش،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الترقي،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 ق، دمشق ـ سورية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حسيني زبيدي، سيّد محمّد مرتضي،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المبتدأ والخبر في تاريخ العرب و البربر و من عاصرهم من ذوي الشأن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عبد الرحمن بن محمد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شحادة،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 الملوك، الطبري، محمد بن جرير،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الخلفاء، السيوطي، عبد الرحمن بن أبي بكر،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 الدين عبد الحميد،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قاهرة ـ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 ابن عساكر، أبو القاسم علي بن الحسن،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غرامة العمروي،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و ذكر فضلها و تسمية من حلها من الأماثل، الشافعي، أبي القاسم علي بن الحسن إبن هبة الله،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سعيد عمر بن غرامة العمري،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الأحكام الشرعية على مذهب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علامه‌ي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البهادري،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الأحكام الشرعية على مذهب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علامه‌ي حلّى، حسن بن يوسف بن مطهر اسدى،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مشهد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ابن شعبه حرّاني، حسن بن علي،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غفاري،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و التنوير، ابن عاشور، الشيخ محمد الطاهر،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سحنون للنشر و التوزيع،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 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علامه‌ي حلّى، حسن بن يوسف بن مطهر اسدى،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 البلاغة، فيض الاسلام، سيد علي نقي،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موسسه‌ي چاپ و نشر تاليفات فيض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الأمالي الخميسية، الشجري الجرجاني، يحيى بن الحسين بن إسماعيل بن زيد الحسني،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محمد حسن إسماعيل،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 عياشى، محمد بن مسعود،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رسولى محلاتى،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علمية،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 علي بن ابراهيم قمي،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طيب موسوي جزائري،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الحديث، السجستاني، أبو يعقوب محمد عزة،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قاهرة ـ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القرآن العظيم، الدمشقي، عماد الدين أبو الفداء إسماعيل بن كثير،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السيد محمد؛ محمد السيد رشاد؛ محمد فضل العجماوي و علي أحمد عبد الباقي،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و مكتبة أولاد الشيخ للتراث،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الجيزة ـ مصر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الرازي الشافعي، فخر الدين</w:t>
      </w:r>
    </w:p>
    <w:p>
      <w:pPr>
        <w:pStyle w:val="BookText"/>
        <w:rPr/>
      </w:pPr>
      <w:r>
        <w:rPr>
          <w:rFonts w:ascii="IRNazanin" w:hAnsi="IRNazanin" w:eastAsia="IRNazanin"/>
          <w:color w:val="111111"/>
          <w:sz w:val="28"/>
          <w:sz w:val="28"/>
          <w:szCs w:val="28"/>
          <w:rtl w:val="true"/>
          <w:lang w:bidi="fa-IR"/>
        </w:rPr>
        <w:t xml:space="preserve">محمد بن عمر التميمي،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دار الكتب العلمية،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 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النيسابوري، نظام الدين الحسن بن محمد بن حسين،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زكريا عميرات،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الواضح، الحجازي، محمد محمود،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الجديد، چاپ دهم،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 المفسرون، الذهبي، محمد السيد حسين،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وهبة، القاهرة ـ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التنقيح الرائع لمختصر الشرائع، حلّى، مقداد بن عبد اللّه سيورى،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اللطيف حسينى كوه‌كمرى،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كتابخانه‌ي آيت الله مرعشى نجفى،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الموسوى خرسان،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 القواعد، ابن التركه، صائن الدين على بن محمد،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آشتيانى،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وزارت فرهنگ و آموزش عالى،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 شيخ صدوق، محمد بن على ابن بابويه،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الشريف الرضي للنشر،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أحاديث الشيعة، بروجردى، آقا حسين،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سبز،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للشرائع، حلّى، يحيى بن سعيد،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سيد الشهداء العلمية،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في شرح القواعد، محقّق ثانى، على بن حسين عاملى كركى،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الأحاديث، السيوطي، جلال الدين عبد الرحمن بن أبي بكر،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قاهرة ـ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الأمهات، ابن الحاجب، جمال الدين أبو عمرو عثمان بن عمر الكردي المالكي، يك 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الصغير و شرحه النافع الكبير، الشيباني، أبو عبد الله محمد بن الحسن،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اشعث، محمد بن محمد،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النينوى الحديثة، چاپ اوّل،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من أنساب الأشراف، البلاذري، أحمد بن يحيى بن جابر بن داود،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و رياض الزركلي،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في الفقه ـ العقائد الجعفرية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براج، قاضى عبد العزيز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بهادرى،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 صاحب الجواهر، نجفي، محمّد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قوچاني و علي آخوندي،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چاپ هفتم،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المكاسب، ايرواني، علي بن عبد الحسين نجفي،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المكاسب، شيرازى، ميرزا محمد تقى،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يزدى،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الثانية على المكاسب، خوانسارى، محمد امامى، يك</w:t>
      </w:r>
    </w:p>
    <w:p>
      <w:pPr>
        <w:pStyle w:val="BookText"/>
        <w:rPr/>
      </w:pPr>
      <w:r>
        <w:rPr>
          <w:rFonts w:ascii="IRNazanin" w:hAnsi="IRNazanin" w:eastAsia="IRNazanin"/>
          <w:color w:val="111111"/>
          <w:sz w:val="28"/>
          <w:sz w:val="28"/>
          <w:szCs w:val="28"/>
          <w:rtl w:val="true"/>
          <w:lang w:bidi="fa-IR"/>
        </w:rPr>
        <w:t>جلد، چاپ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همراه با الحاشية الاولي علي المكاسب در يك جلد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الدميري، كمال الدين محمد بن موسى بن عيسى،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حسن بسج،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الحاوي الكبير في فقه مذهب الإمام الشافعي، الماوردي، أبو الحسن علي بن محمد بن محمد بن حبيب البصري البغدادي،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محمد معوض و الشيخ عادل أحمد عبد الموجود،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الحاوي في فقه الشافعي، الماوردي، أبو الحسن علي بن محمد بن محمد بن حبيب البصري البغدادي،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في بيان المحجة وشرح عقيدة أهل السنة، التيمي الأصبهاني، إسماعيل بن محمد بن الفضل بن علي القرشي،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ربيع بن هادي عمير المدخلي،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الراية، چاپ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رياض ـ عربستان</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في أحكام العترة الطاهرة، آل عصفور بحرانى، يوسف بن احمد بن ابراهيم،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w:t>
      </w:r>
    </w:p>
    <w:p>
      <w:pPr>
        <w:pStyle w:val="BookText"/>
        <w:rPr/>
      </w:pPr>
      <w:r>
        <w:rPr>
          <w:rFonts w:ascii="IRNazanin" w:hAnsi="IRNazanin" w:eastAsia="IRNazanin"/>
          <w:color w:val="111111"/>
          <w:sz w:val="28"/>
          <w:sz w:val="28"/>
          <w:szCs w:val="28"/>
          <w:rtl w:val="true"/>
          <w:lang w:bidi="fa-IR"/>
        </w:rPr>
        <w:t xml:space="preserve">ايروانى و سيد عبد الرزاق مقرم،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المستدرك، محدّث نوري، ميرزا حسين،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شيخ صدوق، محمّد بن علي ابن بابوبه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غفاري،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خراسانى؛ سيد جواد شهرستانى؛ مهدى طه نجف و مجتبى عراقى،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الشرعية في فقه الإمامية، شهيد اوّل، محمد بن مكّى عاملى،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الحكام شرح غرر الأحكام، ملا خسرو، محمد بن فراموز،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 قاهرة ـ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و ذكر الحلال و الحرام و القضايا و الأحكام، ابن حيون، نعمان بن محمد مغربى،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فيضي،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قطب الدين راوندى، سعيد بن هبة الله،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مدرسه‌ي امام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في أحكام الشريعة، شهيد اوّل، محمد بن مكى عاملى،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 القرافي، شهاب الدين أحمد بن إدريس،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حجي،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 حلّى، حسن بن على بن داود،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غضائرى، احمد بن ابى عبد الله،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رضا حسينى جلالى، يك جلد،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قيومى اصفهانى،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في معرفة أحوال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حلّي، حسن بن يوسف بن مطهر اسدي،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نجف اشرف ـ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الكشي، كشّى، ابو عمرو محمد بن عمر بن عبد العزيز،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حسن مصطفوى،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نشر دانشگاه مشهد،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مشهد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تعليقات المير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كشّى، ابو عمرو محمد بن عمر بن عبد العزيز،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ميرداماد استرآبادى، محمّد باقر حسيني،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مهدي رجايي،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نجاشي، ابو الحسن احمد بن علي،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موسي شبيري زنجاني،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به جامعه‌ي مدرّسين حوزه‌ي علميه‌ي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ـ ايران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الشريف المرتضى، شريف مرتضى، على بن حسين موسوى،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المتقين في شرح من لا يحضره الفقيه، مجلسى اوّل، محمد تقى اصفهانى،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موسوى كرمانى و على پناه اشتهاردى،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فرهنگى اسلامى كوشانبور،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حائرى، سيد على بن محمد طباطبايى،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المسائل في تحقيق الأحكام بالدلائل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حائرى، سيد على بن محمد طباطبايى،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بهره‌مند؛ محسن قديرى؛ كريم انصارى و على مرواريد،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كوفى اهوازى، حسين بن سعيد،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عرفانيان يزدى، يك جلد، ناشر المطبعة العلمية،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الحاوي لتحرير الفتاوى، ابن ادريس حلّى، محمد بن منصور بن احمد،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و جواب، كاشف الغطاء، محمد حسين بن على بن</w:t>
      </w:r>
    </w:p>
    <w:p>
      <w:pPr>
        <w:pStyle w:val="BookText"/>
        <w:rPr/>
      </w:pPr>
      <w:r>
        <w:rPr>
          <w:rFonts w:ascii="Amiri" w:hAnsi="Amiri" w:eastAsia="Amiri" w:cs="Amiri"/>
          <w:color w:val="111111"/>
          <w:sz w:val="28"/>
          <w:sz w:val="28"/>
          <w:szCs w:val="28"/>
          <w:rtl w:val="true"/>
          <w:lang w:bidi="ar-SA"/>
        </w:rPr>
        <w:t>محمد رضا نجفى،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مؤسسه‌ي كاشف الغطاء، نجف اشرف ـ 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ابن هشام، عبد الملك بن هشام بن أيوب،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 الرءوف سعد،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 الحرام، محقّق حلّى، نجم الدين جعفر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محمد على بقال،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اسماعيليان،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الشيخ جعفر على قواعد العلامة ابن المطهر، نجفى، كاشف الغطاء، جعفر بن خضر مالكى، يك جلد، ناشر مؤسسه‌ي كاشف الغطاء،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نجف اشرف ـ عراق</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الصغير في شرح 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حائرى، سيد على بن محمد طباطبايى،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رجايى،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كتابخانه‌ي آيت الله مرعشى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آقا جمال الدين خوانسارى بر غرر الحكم، خوانساري، آقا جمال الدين،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مختصر خليل، الخرشي، محمد بن عبد 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العلوم، حميرى، نشوان بن سعيد،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عبد الله العمرى، مطهر بن على الاريانى و يوسف محمد عبد الله،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المعاصر،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جوهري، اسماعيل بن حماد،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للملابين،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القشيري النيشابوري، أبو الحسين مسلم بن الحجاج بن مسلم،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 بيروت و دار الأفاق،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 ابن حجر الهيتمي، أبي العباس أحمد بن محمد بن محمد بن علي،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عبدالله التركي و كامل محمد الخراط،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چاپ اوّل،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بيروت ـ لبنان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الشرايع، شيخ صدوق، محمّد بن علي بن بابويه قمي،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كتاب‌فروشي داوري،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المتناهية في الأحاديث الواهية، ابن جوزي، عبدالرحمن بن علي،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الميس،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فراهيدي، خليل بن احمد،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مخزومي و ابراهيم سامرّايي،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هجرت،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صدوق، محمّد بن علي ابن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لاجوردي،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جهان،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ثقفي، ابراهيم بن محمد بن سعيد بن هلال،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لزهراء حسيني،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الإسلامي،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الحكم و درر الكلم، تميمي آمدي، عبد الواحد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مهدي رجايي،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الاسلامي،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الحديث، الجوزي، جمال الدين أبو الفرج عبد الرحمن بن علي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عبد المعطي أمين القلعجي،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غنية النزوع إلى علمي الأصول و الفروع، حلبى، ابن زهره، حمزة بن على حسينى،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الأيام في مسائل الحلال و الحرام، ميرزاى قمّى، ابوالقاسم بن محمد حسن گيلانى،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تبليغات اسلامى حوزه‌ي علميه‌ي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الغيبة للحجة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طوسى، ابو جعفر محمد بن الحسن،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تهرانى و على احمد ناصح،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الإسلامية،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الفائق في غريب الحديث، زمخشرى، ابو القاسم محمود بن عمر،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شمس الدين،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العزيز بشرح الوجيز، عبد الكريم بن محمد الرافعي القزويني،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الجامع بين فني الرواية والدراية من علم التفسير، الشوكاني، محمد بن علي بن محمد،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 ـ لبنان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 شيخ مفيد، محمد بن محمد النعمان، محقق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مير شريفى،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كنگره‌ي شيخ مفيد،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إلى الإمام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به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مشهد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على المذاهب الأربعة و مذهب أهل البيت وفقاً لمذهب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جزيرى، عبد الرحمن و غروى، سيد محمد و ياسر مازح،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الثقلين،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الفواكه الدواني على رسالة ابن أبي زيد القيرواني، أحمد بن غانم بن سالم ابن مهنا و شهاب الدين النفراوي الأزهري المالكي،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ناشر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شيخ طوسي، ابو جعفر محمّد بن الحسن،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صادق آل بحر العلوم،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الرضوية، چاپ اوّل، نجف اشرف ـ عراق</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ابن النديم، محمد بن إسحاق،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رمضان،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المحيط، الفيروزآبادى، مجد الدين أبو طاهر محمد بن يعقوب،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تحقيق التراث في مؤسسة الرسالة،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نعيم العرقسُوسي،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للطباعة و النشر و التوزيع، چاپ هشتم،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حميرى، عبد الله بن جعفر، يك جلد،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 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الأحكام في معرفة الحلال و الحرام، علامه حلّى، حسن بن يوسف بن مطهر اسدى،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كليني، ابو جعفر محمّد بن يعقوب،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غفاري و محمد آخوندي،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كلينى، ابو جعفر محمد بن يعقوب،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الفقه، حلبى، ابو الصلاح، تقى الدين بن نجم الدين،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استادى، يك جلد، ناشر كتابخانه‌ي</w:t>
      </w:r>
    </w:p>
    <w:p>
      <w:pPr>
        <w:pStyle w:val="BookText"/>
        <w:rPr/>
      </w:pPr>
      <w:r>
        <w:rPr>
          <w:rFonts w:ascii="IRNazanin" w:hAnsi="IRNazanin" w:eastAsia="IRNazanin"/>
          <w:color w:val="111111"/>
          <w:sz w:val="28"/>
          <w:sz w:val="28"/>
          <w:szCs w:val="28"/>
          <w:rtl w:val="true"/>
          <w:lang w:bidi="fa-IR"/>
        </w:rPr>
        <w:t>عمومى امام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اصفهان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في فقه أحمد الحنبل، ابن قدامه، عبد الله بن أحمد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التاريخ، ابن اثير، أبو الحسن محمد بن محمد بن عبد الكريم بن عبد الواحد الشيباني،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الرموز في شرح مختصر النافع، فاضل آبى، حسن بن ابى طالب يوسفى،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اربلى، على بن عيسى،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رسولى محلاتى،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بنى هاشمى،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تبريز ـ ايران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و الإبهام عن قواعد الأحكام، فاضل هندى، محمد بن حسن اصفهانى،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به جامعه‌ي مدرسين حوزه‌ي علميه‌ي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الأحكام، محقّق سبزوارى، محمد باقر بن محمد مؤمن،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و تمام النعمة، شيخ صدوق، محمد بن على بن بابويه،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 في حل مشكلات القواعد، عميدى، سيد عميد الدين بن محمد اعرج حسينى،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محى الدين واعظى؛ حاج كمال كاتب و جلال اسدى،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 في سنن الأقوال و الأفعال، المتقي الهندي، علاء الدين علي بن حسام الدين،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بكري حياني و صفوة السقا،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الرسالة، چاپ پنجم،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اللباب في شرح الكتاب، الغنيمي الدمشقي، عبد الغني بن طالب بن حمادة بن إبراهيم،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 ابو الفضل جمال الدين محمّد بن مكرم،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فارس صاحب الجوائب،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ـ دار صادر،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الميزان، ابن حجر العسقلاني، أبو الفضل أحمد بن علي بن محمد بن أحمد،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المعرف النظامية الهند،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الدمشقية في فقه الإمامية، شهيد اوّل، محمد بن مكى عاملى،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ـ الدار الإسلامية،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في فقه الإمامية،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تقى كشفى،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لإحياء الآثار الجعفرية،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المبدع شرح المقنع، ابن مفلح، إبراهيم بن محمد بن عبد الله بن محمد،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عالم الكتب،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رياض ـ عربستان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 البرهان في شرح إرشاد الأذهان، مقدّس</w:t>
      </w:r>
    </w:p>
    <w:p>
      <w:pPr>
        <w:pStyle w:val="BookText"/>
        <w:rPr/>
      </w:pPr>
      <w:r>
        <w:rPr>
          <w:rFonts w:ascii="IRNazanin" w:hAnsi="IRNazanin" w:eastAsia="IRNazanin"/>
          <w:color w:val="111111"/>
          <w:sz w:val="28"/>
          <w:sz w:val="28"/>
          <w:szCs w:val="28"/>
          <w:rtl w:val="true"/>
          <w:lang w:bidi="fa-IR"/>
        </w:rPr>
        <w:t>اردبيلى، احمد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مجتبى عراقى؛ على‌پناه اشتهاردى و آقا حسين يزدى اصفهانى،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طريحي، فخر الدين،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مرتضوي،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الأنهر في شرح ملتقى الأبحر، شيخي زاده، عبد الرحمن بن محمد بن سليمان الكليبولي،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عمران المنصور،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ناشر دار الكتب العلمية،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شرح المهذب، النووي، أبو زكريا محيي الدين يحيى بن شرف،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برقي، ابو جعفر احمد بن محمّد بن خالد،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محدث،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المحيط في اللغة، صاحب بن عباد، كافى الكفاة، اسماعيل بن عباد،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ياسين،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الكتاب،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الشيعة في أحكام الشريعة، علامه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دفتر انتشارات اسلامى،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في فقه الإمامية، محقّق حلّى، نجم الدين جعفر بن 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مطبوعات الدينية، چاپ ششم،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في شرح اخبار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مجلسي، محمّد باقر بن محمّد تقي،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المراسم العلوية و الأحكام النبوية، ديلمى، سلاّر، حمزة بن عبد العزيز،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بستانى،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الحرمين،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المسعودي الهُذَلي، علي بن الحسين بن علي، 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الورّاق، </w:t>
      </w:r>
      <w:r>
        <w:rPr>
          <w:rFonts w:eastAsia="Times New Roman" w:cs="Times New Roman" w:ascii="Times New Roman" w:hAnsi="Times New Roman"/>
          <w:color w:val="111111"/>
          <w:sz w:val="28"/>
          <w:szCs w:val="28"/>
          <w:lang w:val="en-US" w:bidi="en-US"/>
        </w:rPr>
        <w:t>http://www.alwarraq.com</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الأفهام إلى تنقيح شرائع الإسلام، شهيد ثانى، زين الدين بن على عاملى،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w:t>
      </w:r>
    </w:p>
    <w:p>
      <w:pPr>
        <w:pStyle w:val="BookText"/>
        <w:rPr/>
      </w:pPr>
      <w:r>
        <w:rPr>
          <w:rFonts w:ascii="IRNazanin" w:hAnsi="IRNazanin" w:eastAsia="IRNazanin"/>
          <w:color w:val="111111"/>
          <w:sz w:val="28"/>
          <w:sz w:val="28"/>
          <w:szCs w:val="28"/>
          <w:rtl w:val="true"/>
          <w:lang w:bidi="fa-IR"/>
        </w:rPr>
        <w:t xml:space="preserve">مؤسسه‌ي معارف اسلامي،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معارف اسلامي،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 الشيعة في مختصر تواريخ الشريعة، شيخ مفيد، محمّد بن محمد بن نعمان عكبرى،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نجف،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جهانى هزاره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عليّ بن جعفر و مستدركاتها، عريضى، على بن جعفر،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أحمد بن حنبل، الشيباني، أبو عبد الله أحمد بن محمد بن حنبل،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الشاويش،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الإسلامي،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 المسائل، محدّث نوري، ميرزا حسين،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الفؤاد عند فقد الأحبّة و الأولاد، شهيد ثانى، زين الدين بن على،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بصيرتى، چاپ اوّل، قم ـ ايران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الشيباني، أبو عبد الله أحمد بن محمد بن حنبل بن هلال بن أسد،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عادل</w:t>
      </w:r>
    </w:p>
    <w:p>
      <w:pPr>
        <w:pStyle w:val="BookText"/>
        <w:rPr/>
      </w:pPr>
      <w:r>
        <w:rPr>
          <w:rFonts w:ascii="IRNazanin" w:hAnsi="IRNazanin" w:eastAsia="IRNazanin"/>
          <w:color w:val="111111"/>
          <w:sz w:val="28"/>
          <w:sz w:val="28"/>
          <w:szCs w:val="28"/>
          <w:rtl w:val="true"/>
          <w:lang w:bidi="fa-IR"/>
        </w:rPr>
        <w:t xml:space="preserve">مرشد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الرسالة،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قاهره ـ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الأنوار في غرر الأخبار، طبرسى، على بن حسن،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نجف اشرف ـ 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 في المعاملات، خويي، سيّد ابو القاسم موسوي، 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توحيدي،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انصاريان،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مفتاح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فناري، محمد بن حمزه،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مولى،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في غريب الشرح الكبير، فيومى، أحمد بن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دار الهجرة،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 شيخ صدوق، محمّد بن علي بن بابويه قمي،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به جامعه‌ي مدرّسين حوزه‌ي علميه‌ي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ـ ايران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و تفصيل طبقات الرجال، خويي، سيّد</w:t>
      </w:r>
    </w:p>
    <w:p>
      <w:pPr>
        <w:pStyle w:val="BookText"/>
        <w:rPr/>
      </w:pPr>
      <w:r>
        <w:rPr>
          <w:rFonts w:ascii="Amiri" w:hAnsi="Amiri" w:eastAsia="Amiri" w:cs="Amiri"/>
          <w:color w:val="111111"/>
          <w:sz w:val="28"/>
          <w:sz w:val="28"/>
          <w:szCs w:val="28"/>
          <w:rtl w:val="true"/>
          <w:lang w:bidi="ar-SA"/>
        </w:rPr>
        <w:t xml:space="preserve">ابوالقاسم موسوي،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الثقافة الاسلامية، </w:t>
      </w:r>
      <w:r>
        <w:rPr>
          <w:rFonts w:ascii="Amiri" w:hAnsi="Amiri" w:eastAsia="Amiri" w:cs="Amiri"/>
          <w:color w:val="111111"/>
          <w:sz w:val="28"/>
          <w:sz w:val="28"/>
          <w:szCs w:val="28"/>
          <w:lang w:bidi="ar-SA"/>
        </w:rPr>
        <w:t>١٣٧٢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مقائيس اللغة، ابو الحسين، احمد بن فارس بن زكريا،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تبليغات اسلامى حوزه‌ي علميه‌ي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ابن قدامة، أبو محمد عبد الله بن أحمد بن محمد،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قاهره ـ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مغني المحتاج إلى معرفة معاني ألفاظ المنهاج، الشربيني الشافعي، محمد بن أحمد الخطيب،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الشرائع، فيض كاشانى، محمد محسن ابن شاه مرتضى،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كتابخانه‌ي آيت الله مرعشى نجفى، چاپ اوّل، قم ـ ايران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الكرامة في شرح قواعد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عاملى، سيد جواد بن محمد حسينى،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خالصى،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فخر الرازي، فخر الدين محمد بن عمر التميمي،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القرآن، اصفهاني، حسين بن محمّد راغب،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داودي،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ـ الدار الشامية،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لبنان و سوريه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فقهي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گسترده‌ي فقهي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مدرّسي يزدي، سيد محمدرضا،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موسسه‌ي پرتو ثقلين، چاپ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شيخ صدوق، محمّد بن على بن بابويه قمّى،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 شيخ مفيد، محمّد بن محمد بن نعمان عكبرى بغدادى،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جهانى هزاره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المكاسب المحرمة، امام خميني، سيّد روح الله موسوي،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مؤسسه‌ي تنظيم و نشر آثار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تنظيم و نشر آثار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المكاسب المحرمة و البيع و الخيارات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انصاري، مرتضي بن محمد امين انصاري دزفولي،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در كنگره‌ي شيخ انصاري،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كنگره‌ي جهاني بزرگداشت شيخ اعظم انصاري،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المكاسب المحرمة و البيع و الخيارات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انصارى، مرتضى بن محمد امين،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رحمتى و سيد احمد حسينى،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الذخائر،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الأخيار في فهم تهذيب الأخبار، علامه‌ي مجلسى، محمد باقر بن محمد تقى،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رجائى،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كتابخانه‌ي آيت الله مرعشي نجفي،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 في تحقيق المذهب، علامه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فقه در جامعه‌ي پژوهش‌هاى اسلامى،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مشهد ـ ايران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شيخ صدوق، محمّد بن علي 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البارع في شرح المختصر النافع، جمال الدين حلّى، احمد بن محمد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عراقى،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ابن براج، قاضى عبد العزيز طرابلسى،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الخويي، خويى، سيد ابوالقاسم موسوى،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إحياء آثار إمام الخويي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الجليل في شرح مختصر خليل، الطرابلسي المغربي، شمس الدين أبو عبدالله محمد بن محمد بن عبدالرحمن،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چاپ سوم،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منتقي الجمان في الاحاديث الصحاح و الحسان، حسن بن زين الدين،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جامعه‌ي مدرسين حوزه‌ي علميه‌ي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قريش، الزبيري، مصعب بن عبد الله بن مصعب بن ثابت بن عبد الله بن الزبير،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ليفي بروفنسال،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چاپ دوم، قاهرة ـ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 النهاية، محقق حلّى، نجم الدين جعفر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دفتر انتشارات اسلامى،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اشعرى قمى، احمد بن محمد بن عيسى،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مدرسه‌ي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الإحكام في معرفة الأحكام، علامه  ي حلّى، حسن بن يوسف بن مطهر اسدى،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رضي، محمّد بن حسين موسوي،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نقي فيض الاسلام،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غريب الحديث و الاثر، ابن اثير جزري، مبارك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طناحى، محمود محمد،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مطبوعاتي اسماعيليان،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مجرد الفقه و الفتاوى، شيخ طوسى، ابو جعفر محمد بن حسن،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چاپ دوم،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 كشف الصدق، علامه‌ي حلّى، حسن بن يوسف بن مطهر،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اللبناني، چاپ اوّل،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فيض كاشانى، ملا محمد محسن بن شاه مرتضى،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كتابخانه‌ي امام أمير 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اصفهان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وجيزة الأحكام، كاشف الغطاء، محمد حسين بن على بن محمد رضا نجفى،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مؤسسه‌ي كاشف الغطاء،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نجف اشرف ـ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حرّ عاملي،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الوسيلة إلى نيل الفضيلة، طوسى، محمد بن على بن حمزه،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كتابخانه‌ي آيت الله مرعشى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 لذوي القربى، القندوزي الحنفي، سليمان بن ابراهيم،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جمال اشرف الحسيني،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للطباعة و النشر،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زودي تعريف قمار خواهد آمد إن شاء الله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انصاري، محمد امين، المكاسب المحرمة و البيع و 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كنگره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معيّن نمي‌كند مراد از جماعت چه كساني هستند؛ جماعت لغويين يا جماعت فقهاء، ولي به نظر مي‌آيد به قرينه‌ي بعد كه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صرّح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جماعت فقهاء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مناسب است در كلمات فقهاء، علي الخصوص قدما تتبع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حاشيه‌ي مكاسب چاپ كنگره ذكر شده كه ما جايي پيدا نكرديم كسي چنين قائل باشد؛ يعني در بين لغويين كسي چنين حرفي نزده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ثانى، على بن حسين عاملى كركى، جامع المقاصد في شرح القواعد،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اساس البلاغة زمخشري و مصباح المنير فيومي هم كه مغالبة ذكر شده، ضربه‌اي به كلام ما نمي‌زند، چراكه در اساس البلاغة معناي مجازي است و در مصباح المنير هم به معناي مغالبة در خصوص قمار است؛ نه مطلق مغالبة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اعتبار و صحّت انتساب اين كتاب به خليل بن احمد، علامه شيخ آقا بزرگ تهرانى سخنى جامع بيان داشته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فراهيدي، خليل بن احمد، 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ابوالفضل جمال الدين محمد بن مكرم،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تلفظ صحيح اسم ايشان، ابن سَيّده است و ظاهراً ابن سِيده غلط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بيع صبيّ را هم جايز بدانيم، اين جواز در صورتي است كه شرايط صحت وجود داشته باشد، والا بيعش نافذ نيست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مراد از عدّه‌ي مرحوم 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كساني هستند، افرادي از جمله 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خلاصة الاقوال، شيخ بهايي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مشرق الشمسين و اكسير السعادتين، 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رجالش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مطالبي را بيان كرده‌اند كه ما به نقل عبارت علامه بسنده مي‌كنيم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ابتداي سند سهل بن زياد وجود دارد كه ما او را ثقه نمي‌دانيم، ولي در اين طبقه احمد بن محمد هم وجود دارد كه ثقه است، پس وجود سهل ضربه‌اي به سند نمي‌زند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سؤال كه چرا حضرت تخم‌مرغ‌ها را خوردند و چگونه با علم امامت سازگار است، و هم‌چنين وقتي كه خوردند چرا قي كردند در حالي كه تخم‌مرغ‌ها تلف شده بود و ديگر قيمتي نداشت، بعداً مرحوم شيخ متعرض آن‌ها مي‌شود و به آن‌ها جواب مي‌دهد، در هر صورت اين روايت سند ندارد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كعاب يعني شيئ چهار گوشه و مكعبي كه با آن قمار مي‌كردند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 ظاهراً معرّب گَوز در فارسي است كه همان گردو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تلفظ صحيح اين كلمه بعد از تعريب، شِطرنج است؛ زيرا در عربي وزن شَطرنج نداريم، هرچند بعضي شَطرنج و عده‌اي هم شُطرنج گفته‌اند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استاد دام ظله بعداً در توضيح اين روايت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چيزي كه بر روي آن قمار شود، آن قمار ميسر است؛ يعني ميسر بر آلت قمار اطلاق نشده، بلكه بر خود قمار اطلاق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الحسين بن محمد كه در ابتداي سند مرحوم كليني مي‌آيد، حسين بن محمد بن عامر است كه اشعري قمي و ثقه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نسخه‌ي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النوادر للاشعري،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ما دُرست را طبق توثيقات عام كامل الزيارات ثقه مي‌دانست و مي‌گفت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درست است، ولي طبق معيار توثيق خاصّ درست نيست؛ يعني توثيق ندارد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 آيه‌ي</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شمس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نشوان بن سعيد حميري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زمخشري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 الاثر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فيومي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 آبادي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خليل بن احمد عروضي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المحيط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بن عباد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هم‌چنين معناي دومي كه لسان العرب و قاموس المحيط ذكر مي‌كنند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فارس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النهايه في غريب الحديث، و 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معناي سومي كه براي ميسر ذكر مي‌كند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القمار بالميسر لسهولة أقتناء مال الغير به من غير تعب الكسب و العمل؛ قمار را ميسر گفته‌اند به خاطر سهولت تصاحب مال ديگران بدون رنج كسب و عمل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خلاصه‌اي از مطالب كتب لغوي پيرامون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ذيل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خطبه‌ي</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 أيْ قصد؛ يعني شتر را نحر مي‌كردند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نسخ 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ظاهراً غلط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و كتب ديگر مثل من لايحضره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تتمة كتاب الصيد و الذبائح، أبواب الذبائح،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تصريح اكثر مفسرين و بعض لغويين درباره‌ي واژه‌ي الميسر، اين قمار به دو طريق انجام مي‌شده كه در يك روش ـ روشي كه ابوعبيده نقل كرده ـ جزور را ده بخش مي‌كردند و همه از آن سهمي مي‌بردند، و در طريق ديگر ـ روشي كه اصمعي نقل كرده ـ بيست و هشت سهم مي‌كردند و هفت نفر از آن سهم مي‌بردند و سه نفر سهمي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مطلب زمخشري در الكشاف، فخر رازي در مفاتيح الغيب، ابوحيان اندلسي در البحر المحيط، ابن عاشور در التحرير و التنوير، فيروزآبادي در قاموس المحيط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كرده‌اند كه ما به نقل عبارت ابن عاشور بسنده مي‌كنيم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اكثر مورخين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كرده‌اند كه برخي گفته‌اند به اسم باني اين شهر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همذان بن فلوج بن سام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شده 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همدان بي نقطه، تصحيفي از آن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أو خاصٌّ بالناقه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اين‌كه به تير، سهم گفته مي‌شود از اين باب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 آيه‌ي</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عرف هم به آن گردو يا تخم‌مرغي كه قمار مي‌كنند آلت قمار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نمي‌شود، در حالي كه در روايت مي‌فرمايد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تُقُومِرَ بِهِ حَتَّى الْكِعَابُ وَ الْجَوْزُ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مي‌شود آن بازي، ميسر است، نه آن ذات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الاشربة، باب النرد و الشطرنج،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بگوييم ميسر نام آلت قمار است، بر آلت قمار اصلي عرب كه أقداح و أزلام است تطبيق داده نمي‌شود؛ زيرا هيچ كسي بر نفس آن أقداح و أزلام كه آلت قمار است، ميسر اطلاق نكرده است، بلكه يا بر جزور اطلاق كرده‌اند كه رهن قمار است يا بر خود آن بازي اطلاق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في التفسير،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تفعلوا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الاخبار،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قدر، آيه‌ي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الامالي،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روايتي آمده كه شخصي به حضرت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براي سلامتي بدنم مي‌دَوَم، آيا اشكالي دارد؟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اشكالي ندارد ولي كار لهوي است؛ يعني تو اگر مي‌خواهي بدنت سالم باشد و در عين حال گرفتار لهو نباشي، بهتر است از طريق يك فعاليت مفيد مانند كشاورزي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كني ـ البته در زمان ما كارهايي كه فعاليت بدني دارد كم شده، امّا در سابق كارهايي مانند كشاورزي، حمل و نقل بدني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ديگر مناسب نبوده كسي براي سلامتي بدنش بدود، بلكه با كار مفيد‌تري مي‌توانست اين غرض را هم تأمين كند ـ بنابراين اين روايت دلالت مي‌كند كه حلال با لهو قابل جمع است و هر لهوي حرام نيست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جايي كه امراء و خلفاء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شطرنج بازي مي‌كردند، حضرت به خاطر تقيه تصريح به حرمت نكرده‌اند، و به اين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الْمُؤْمِنَ لَمَشْغُولٌ عَنِ 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اكتفاء كرده‌اند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عيون‌أخبارالرضا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غلط است و صحيحش بايد قامر باشد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 للشافعي،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الفقه علي مذاهب الاربعه، به اقوال مذاهب اربعه در باره‌ي لعب به شطرنج بدون رهن اشاره شده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جستجويي كه در بين كتب شافعيه انجام شد، ظاهراً همه‌ي آن‌ها قائل به عدم حرمت لعب به شطرنج شده‌اند و ما كسي را پيدا نكرديم كه فتواي به حرمت داده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بعضي از كتب ساير مذاهب، به شافعيه نسبت داده‌اند كه بعضي از آن‌ها قائل به عدم حرمت شطرنج بدون رهن شده‌اند، مانند كتاب جامع الامهات كه چنين گفته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ناظر بودن سؤالات به فتواي اهل سنّت، لازم نيست تمام معاريف آن‌ها يك نظريه داشته باشند، بلكه همين كه يكي از ائمه‌ي اربعه‌ي آن‌ها كه پيروان زيادي دارد چنين فتوايي بدهد، از آن جايي كه اين فتوا مشهور مي‌شود، مي‌تواند سؤالات ناظر به آن باشد كما اين‌كه اگر عده‌ي كمي از اهل سنّت هم قائل به جواز باشند، ولي آن‌ها در تعامل با شيعيان باشند هم مي‌توان گفت سؤالات ناظر به آن‌ها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حد شرب الخمر و ما جاء في الغناء و الملاهي،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حد شرب الخمر و ما جاء في الغناء و الملاهي،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صدوق بعد از نقل اين عبارت، صحّت آن روايت را به خاطر تعارض با روايات ديگر ردّ مي‌كند و ظاهراً آن روايت، مطلقاً شطرنج را حلال كرده است نه خصوص لعب بدون رهن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محمّد بن محمد بن نعمان عكبرى، المقنعة، 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ابو جعفر محمد بن حسن، المبسوط في فقه الإمامية،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به اعتبار اين‌كه دو شاه در بازي شطرنج وجود دارد، به آن شاهَين گفته‌اند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لحاظ سند تمام است؛ زيرا هارون بن مسلم و مسعدة بن زياد توثيق دارند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اشاره‌اي به اين مطلب هم دارد كه شطرنج از ايران به ميان عرب‌ها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اصلش از هند بوده و از هند به ايران آمده و از ايران به ميان عرب‌ها رفته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به ترتيب عبارتند از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دلالت روايت بر اصل حرمت هم مورد تأمّل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حضرت دست زدن به شطرنج را به دست زدن به لحم خنزير تشبيه مي‌كنند، با اين‌كه دست زدن به لحم خنزير حرام نيست، بلكه فقط براي عرف متشرعه قذارتي دارد كه از آن اجتناب مي‌كنند، حضرت با اين تشبيه مي‌خواهند همان حالت و همان قذارت هم از دست زدن شطرنج براي متشرعه حاصل شود، بدون اين‌كه حكم به حرمت كرده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استظهار كراهت مي‌شود؛ نه 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اگر منظور حضرت حرمت بود، اين شك و بهانه را براي مخاطب ايجاد نمي‌كردند كه بالاخره دست زدن به لحم خنزير كه حرام نيست تا دست زدن به شطرنج هم حرام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الحاوي لتحرير الفتاوي،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استبعادي ندارد كه هر يك به ديگري اجازه‌ي نقل روايت از طريق اساتيد خود با در اختيار گذاشتن كتاب‌هايي كه در كتاب‌خانه داشتند بدهند و مثلاً اشخاص ثقه‌اي را هم بگمارند تا نسخه‌هاي هر دو را با هم تطبيق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 براي اساتيد هم بيان كرديم كه بعضي توجه داشته و قبول داشتند، امّا بعضي هم نپذيرفتند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علامه‌ي 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اجازه كه به اجازة الكبير مشهور است، به خود ابن 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الحسن علي بن أبي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المحاسن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چهار تن از اقارب سادات 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اجازه‌ي نقل روايات و كتب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مي‌دهد، پس تعداد بني زهره مشخص است و طبق تصريح علامه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نفر هستند و نمي‌توان گفت آن‌ها افراد زيادي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منتقي الجمان،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 المشيخة،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كفعمي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مستقيماً از جامع بزنطي نقل مي‌كند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معناي اختيار كردن است، كه در اين‌جا مي‌تواند اختيار كردن اعتباري را هم شامل شود؛ يعني حتّي اگر كسي سنگي را به عنوان يكي از مهره‌هاي شطرنج اعتبار كند، آن را هم شامل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العرب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عمله و قوله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اتخذوا العجل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همان گناه را براي او هم مي‌نويسند؛ نظير روايتي كه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الرَّاضِي بِفِعْلِ قَوْمٍ كَالدَّاخِلِ مَعَهُمْ فِيه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السبق و الرماية،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السبق و الرماية،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الشهادات،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 وَ الْمَيْسِرُ وَ الْأَنْصابُ وَ الْأَزْلامُ رِجْسٌ مِنْ عَمَلِ الشَّيْطانِ فَاجْتَنِبُوهُ لَعَلَّكُمْ تُفْلِحُون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نجفي، محمد بن حسن، 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صورتي مي‌تواند مصداق آيه‌ي شريفه‌ي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تَأْكُلُوا أَمْوالَكُمْ بَيْنَكُمْ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 كه عند الشرع يا عند العقلاء باطل باشد، ولي از آن جايي كه صاحب 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مغالبه‌ي مع الرهن به غير آلات قمار را مصداق قمار نمي‌دانند، پس شرعاً نمي‌توانيم بگوييم باطل است، همين‌طور از آن جايي كه چنين مغالبه‌اي مع الرهن عند العقلاء مرسوم است و عقلاء نظر منفي براي رهن گذاشتن براي مثل كُشتي، زورآزمايي و بعضي از هنرهاي ديگر ندارند، نمي‌توان گفت عند العقلاء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وجهي براي بطلان آن نيست و استدلال به آيه‌ي شريفه براي اثبات حرمت وضعي ناتمام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أبواب احكام العشرة، باب</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الشهادات،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بْنِ عَقِيلٍ عَنْ مُحَمَّدِ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جاهاي متعددي تكرار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همان كساني هستند كه آن روايت مربوط به ربا را ـ كه دلالت دارد در قرض، حتّي اگر شرط عاريه‌ي متاع يا ركوب دابه هم كند، ربا است ـ نقل كرده‌اند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الجعالة،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باب إفعال باشد به معناي إطعام است، ولي اگر از باب مفاعله باشد به معناي إطعام طرفين است؛ يعني هر يك ديگري را إطعام كند كه در اين صورت معني روايت مشكل مي‌شود با توجه به اين‌كه در صدر روايت هم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أَكَلَ وَ أَصْحَابٌ لَهُ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دالّ بر اين است كه هم او و هم اصحاب او از شاة خورده‌اند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اين‌كه در نقل تهذيب تصريح مي‌كند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أَكَلَ هُوَ وَ أَصْحَابٌ لَهُ شَاة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تمام كتبي كه اين روايت نقل شده؛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ملاذ الأخيار في فهم تهذيب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العقول،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اين روايت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غَرَامَتَهُ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و فقط در وسائل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شايد اشتباه ناسخ باشد؛ زيرا مرحوم صاحب وسائل اين روايت را از كافي نقل مي‌كند و در كافي هم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شرط به نحو شرط فعل باشد مانند اين‌كه در ضمن بيع شرط كنند من اين كتاب را به شرطي به تو مي‌فروشم كه فلان كتاب خودت را به من تمليك كني، در اين‌جا اگر بيع محقق شد،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تكليفاً لازم است كه مشتري كتاب خودش را به بايع تمليك كند، امّا اگر عصيان كرد و تمليك نكرد بايع مالك كتاب مشتري نمي‌شود و تصرف مشتري در آن كتاب غصب نيست و بايع فقط حق فسخ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به نحو شرط نتيجه شرط كنند؛ مثلاً بايع بگويد اين كتاب را مي‌فروشم به شرطي كه فلان كتاب مشتري ملك من باشد، با تحقق بيع، خود به خود كتاب مشتري به بايع منتقل مي‌شود و احتياج به تمليك مشتري ندارد و مشتري حق تصرف در آن كتاب را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السبق و الرماية،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قرينه است به اين‌كه بگوييم لعب به شطرنج بدون رهان هم معمول بوده است؛ زيرا بعيد است كسي كه جزء اصحاب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با رهان بازي كند، ولي اين گمان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الظَّنَّ لا يُغْنِي مِنَ الْحَقِّ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اين‌كه بدتر از اين را هم ما شاهد بوده‌ايم افرادي كه جزء ياران خاص أئمه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مانند إبن أبي حمزه‌ي بطائني كه اصل امامت را منكر شده‌اند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ارتكاب حرامي مثل لعب به شطرنج، ضربه به وثاقت وي نمي‌زند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سكون باء باشد، بيشتر ظهور در حرمت تكليفي دارد تا حرمت وضعي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بعد از ثبوت حرمت تكليفي مي‌توانيم بگوييم مشمول آيه‌ي شريفه‌ي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تَأْكُلُوا أَمْوالَكُمْ بَيْنَكُمْ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مي‌گيرد و وضعاً هم باطل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سيره‌ي علماء بر اين بوده كه در حجره‌ها كشتي مي‌گرفتند يا در حفظ قرآن كريم و اشعار مسابقه مي‌داده‌اند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لحاظ سند به خاطر علي بن الحسين السعدآبادي كه توثيقي ندارد، ناتمام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الامالي،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كه در حاشيه‌ي كتاب مكاسب آمده، استدلال مذكور در المهذب البارع ذكر شده و مراد صاحب رياض و شيخ 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المهذب البارع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مغالبه بر بيشتر نگه داشتن سر زير آب به هدف تمرين غواصي در جنگ يا كشف مرواريد از دريا و </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السبق و الرماية،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لحاظ سند به خاطر معلي بن محمد ناتمام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السبق و الرماية،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 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السبق و الرماية،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اوقيّه برابر با چهل درهم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اللغة و صحاح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السبق و الرماية،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رهان ظاهراً در اين‌جا همان‌طور كه مرحوم شيخ فرمودند، رهان الفرس است و در لغت بر رهان الفرس، رهان به نحو المطلق هم اطلاق شده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السبق و الرماية،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صدوق اين روايت را در جاي ديگري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روايتي از علاء بن سيابه نقل كرده و فرموده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السبق و الرماية،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النِّضَالَ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كلام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نيست؛ زيرا حضرت از اوّل مي‌توانستند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بفرمايند و احتياج نداشت اوّل نصل بفرمايند، بعداً خودشان تفسير كنند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السبق و الرماية،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اين بيان مي‌توانيم بگوييم اگر در مسابقه‌اي كه غرض عقلايي بر آن مترتب است، رهان از طرف متسابقين هم باشد، مصداق اكل مال به باطل نيست و براي اثبات حرمت وضعي نمي‌توان به آيه‌ي شريفه تمسك كرد و فقط بايد به صحيحه‌ي حفص بن البختري تمسك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القيادة حرام، و هي السعي بين الشخصين لجمعهما على الوطء المحرّم، و هي من الكبائر، و قد تقدم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الواصلة و المستوصلة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في مسألة تدليس الماشطة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صحيحة 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يضرب ثلاثة أرباع حدّ الزاني، خمسة و سبعين سوطاً، و يُنفى من المصر الذي هو فيه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كتاب الحدود و التعزيرات، أبواب حد السحق و القيادة،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مرتضى، علي بن حسين الموسوي، الانتصار في انفرادات الإمامية،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الصلاح حلبى، الكافي في الفقه،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در همان بار اوّل بعد از حلق رأس و تشهير در بلد، فرموده‌اند نفي بلد هم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الأَمر بالمعروف و النهي عن المنكر، أبواب الامر و النهي و ما يناسبهما،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البلاغة،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النهاية فتوا به نفي از بلد داده، امّا بعد از حلق رأس و تشهير در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المهذب ابن براج هم اين‌چنين است، ولي همين كه اوّل فرموده‌اند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يحلق رأسه، و يشهر في البلد الذي يفعل ذلك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نفي بلد را ذكر كرده‌اند، در حالي كه در روايت عبدالله بن سنان نيست، معلوم مي‌شود مستندشان اين روايت نبوده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اصل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بودن از باب تعزير باشد و اين‌كه اگر تعزير است پس چرا معين كرده‌اند و عدد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ذكر كرده‌اند، مي‌گوييم به خاطر احتياط و عدم مخالفت با روايت عبدالله بن سنان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القضايا و الاحكام، باب من يجب رد شهادته،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مَا يَقُولُونَ شَيْئاً إِلَّا كَانَ قَرِيباً مِمَّا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اين است كه في‌الجمله و خيلي كم قولشان قريب به واقع است و يا مراد اين است كه اكثراً قولشان قريب به واقع است، علي ايّ حالٍ اين تأييدي بر آن است كه قول قائف في‌الجمله قريب به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هم تأييد ديگري ذكر مي‌كنند كه قيافه سرريزي از نبوت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منافاتي ندارد كه قيافه سرريزي از نبوت باشد و به اصطلاح از شئون نبوت باشد، امّا اين كار نسبت به غير انبياء حرام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اين‌كه كهانت هم همين‌طور بوده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علامه‌ي مجلسي اين روايت را از سرائر ابن ادريس،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 آيه‌ي</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أَخْبَرَنَا مُحَمَّدٌ حَدَّثَنِي مُوسَى قَالَ حَدَّثَنَا أَبِي عَنْ أَبِيهِ عَنْ جَدِّهِ جَعْفَرِ بْنِ مُحَمَّدٍ عَنْ أَبِيهِ عَنْ جَدِّهِ عَلِيِّ بْنِ الْحُسَيْنِ عَنْ أَبِيهِ عَنْ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كتاب التجارت، إبواب ما يكتسب به،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الجعفريات،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اوّل، محمد بن مكي عاملي، الدروس الشرعية في فقه الإمامية،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فقيهي از قدما فرموده است موضوعش شك نيست و يك تعبّد است، ولي اين درست نيست؛ زيرا كسي كه قطع به ولد الزنا بودن شخصي داشته باشد، نمي‌تواند بر خلاف قطع، او را ملحق به فراش كند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تتمة كتاب النكاح، أبواب نكاح العبيد و الإماء،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اسراء، آيه‌ي</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تَقْفُ ما لَيْسَ لَكَ بِهِ عِلْمٌ إِنَّ السَّمْعَ وَ الْبَصَرَ وَ الْفُؤادَ كُلُّ أُولئِكَ كانَ عَنْهُ مَسْؤُلاً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القضاء، أبواب كيفيت الحكم،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اسارير جمع اسرار و اسرار هم جمع سِر، سَر، سُر، سِرار، به معناي خطوط جبهه، كف دست و كف پاها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حارثة بن شراحيل الكلبيّ، أبو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أسر في بعض الغزوات في جملة أسارى فجاء قومه يستفكّون أسراهم من جملتهم أبو حارثة فطلب أبوه من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افتكاكه بثمن، و كان قد وقع في سهم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إليه فإن أرادك فهو لك بغير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أتاه أبى متابعته، و كره مفارقة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فعظم ذلك على أبيه فتبرأ منه، فقال عند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معاشر قريش و العرب، إنّي قد تبرّءت من زيد فليس هو 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فخبّر به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معاشر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ابني و أنا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فكان يدعى زيد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احزاب، آيه‌ي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ادْعُوهُمْ لِآبائِهِمْ هُوَ أَقْسَطُ عِنْدَ اللَّهِ فَإِنْ لَمْ تَعْلَمُوا آباءَهُمْ فَإِخْوانُكُمْ فِي الدِّينِ وَ مَواليكُمْ وَ لَيْسَ عَلَيْكُمْ جُناحٌ فيما أَخْطَأْتُمْ بِهِ وَ لكِنْ ما تَعَمَّدَتْ قُلُوبُكُمْ وَ كانَ اللَّهُ غَفُوراً رَحيماً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آمده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قائفي بوده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اسم طائفه‌اي است كه قائف‌ها از آن بوده‌اند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 باب الاشارة و النص علي ابي جعفر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عدم رضايت حضرت به خاطر جسارت و اهانتي است كه به حضرت روا داشتند؛ يعني شايسته نبود كلام حضرت را كنار گذاشته و به قول قائف عمل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اللغة و صحاح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 لمختصر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حاشيه‌ي طبع جديد مكاسب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اين مطلب به سرائر كه در اكثر نسخ مكاسب ذكر شده، درست نيست؛ چون در سرائر تعريف كهانت و نسبت اين تعريف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بلكه همان‌طور كه در يك نسخه‌ي ديگر مكاسب هم ذكر شده، در تحرير الأحكام اين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شده و ما هم با جستجويي كه كرديم، در سرائر نيافتيم، ولي در تحرير و منتهي المطلب وجود دارد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وقتي چند نفر با هم صحبت مي‌كنند و تصميم مي‌گيرند كه فلان جا دزدي كنند يا كسي را به قتل برسانند، شيطان در آن‌جا حضور يافته و مطلع مي‌شود و زودتر به كاهن خبر مي‌دهد و كاهن هم به مردم مي‌گويد، يا گاهي حوادثي كه اتفاق افتاده و مردم نمي‌توانند به طريق عادي از آن خبردار شوند را به كاهن بازگو مي‌كنند؛ مثلاً در مورد مالِ دزديده شده يا گم شده، شياطين مي‌توانند از آن مطلع شده و به كاهن خبر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مطلب كه كاهن در مورد حوادث اتفاق افتاده هم اخبار مي‌كند مي‌توان از اطلاق كلام حضرت كه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مَا يَحْدُثُ فِي الْأَرْضِ مِنَ الْحَوَادِثِ الظَّاهِرَةِ فَذَلِكَ يَعْلَمُ الشَّيْطَانُ وَ يُؤَدِّيهِ إِلَى الْكَاهِنِ وَ يُخْبِرُهُ بِمَا يَحْدُثُ فِي الْمَنَازِلِ وَ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كرد، و در ادامه هم به آن تصريح مي‌كنند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سَارِقٍ سَرَقَ وَ مِنْ قَاتِلٍ قَتَلَ وَ مِنْ غَائِبٍ غَابَ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اين مورد داستان‌هايي كه واقعاً مزخرف بوده و هيچ انسان عاقلي نمي‌تواند باور كند، زياد نوشته‌اند؛ مثلاً در مورد ابو العلاء معرّي كه از نعمت بينايي محروم بود گفته‌اند وقتي جاريه‌اي دست او را گرفت و براي قضاي حاجت و تطهير برد، موقع برگشتن وقتي دوباره دست او را گرفت، ابو العلاء فرياد زد اين جاريه بكر بود، ثيّب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كجا فهميدي؟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تفاوت حسي كه از لمس دست جاريه قبل و بعد از تطهير برايم حاصل شد، فهميدم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أبواب احكام العشرة،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الامالي،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مي آيد دلالت اين روايت بر حرمت كهانت حتّي اگر يك بار هم باشد، تمام است؛ چون اين چهار موردي كه در روايت ذكر شده كه داخل بهشت نمي‌شوند، به خاطر استمرارشان بر فعل حرام خاصي است، پس معلوم مي‌شود آن عمل حتّي يك بار هم انجام گيرد حرام است كه استمرارش باعث مي‌شود فاعل آن هيچ وقت داخل بهشت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نسخه‌ي وسائل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حضرت استاد دام ظله در مبحث حرمت قيافه فرمودند ظاهراً نسخه‌ي وسائل اشتباه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ابراهيم مشترك بين چند نفر است، البته تمام اين افراد مجهول هستند و توثيقي برايشان ذكر نشده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تتمة كتاب النكاح، أبواب النفقات،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خطبه‌ي</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كتاب الحج، أبواب آداب السفر إلي الحج،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الاخبار،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حاقّه، آيات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لَقَوْلُ رَسُولٍ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هُوَ بِقَوْلِ شاعِرٍ قَليلاً ما تُؤْمِنُونَ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بِقَوْلِ كاهِنٍ قَليلاً ما تَذَكَّرُونَ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طور، آيه‌ي</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الحاوي لتحرير الفتاوي،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كسي كه پيش ساحر، كاهن و يا كذّاب رفته و سخنش را تصديق مي‌كند در واقع ايمان ندارد كه همه چيز دست خداوند متعال است، در حالي كه قرآن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الْأَمْرَ كُلَّهُ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يَمْحُوا اللَّهُ ما يَشاءُ وَ يُثْبِتُ وَ عِنْدَهُ أُمُّ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آن‌كه بر سخني كه علم آور نيست تكيه مي‌كند، در حالي كه قرآن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تَقْفُ ما لَيْسَ لَكَ بِهِ عِلْمٌ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مرحوم شيخ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حضرت در تعليل انقطاع استراق سمع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لِئَلَّا يَقَعَ فِي الْأَرْضِ سَبَبٌ تُشَاكِلُ الْوَحْيَ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مي‌شود مطلق خبر از غيب ـ خصوصاً اگر علي سبيل الجزم باشد ـ چون شباهت به وحي دارد، مبغوض شارع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فنارى، محمد بن حمزه، مصباح الأنس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مفتاح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التركه، على بن محمد، تمهيد القواعد،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العشرون كه مربوط به حرمت لهو است، به نحو مستوفي در مبحث حرمت غناء مورد بررسي واقع شد، بنابراين احتياجي به ذكر دوباره‌ي آن نيست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علامه‌ي حلّى، حسن بن يوسف بن مطهر اسدى،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هود، آيه‌ي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تَرْكَنُوا إِلَى الَّذينَ ظَلَمُوا فَتَمَسَّكُمُ النَّارُ وَ ما لَكُمْ مِنْ دُونِ اللَّهِ مِنْ أَوْلِياءَ ثُمَّ لا تُنْصَرُونَ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الاسلام، سيد علي نقي، نهج البلاغه،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حكمت</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فِي عِقَابِ الْأَعْمَالِ عَنْ مُحَمَّدِ بْنِ مُوسَى بْنِ الْمُتَوَكِّلِ عَنْ مُحَمَّدِ بْنِ جَعْفَرٍ عَنْ مُوسَى بْنِ عِمْرَانَ عَنْ عَمِّهِ الْحُسَيْنِ بْنِ زَيْدٍ عَنْ حَمَّادِ بْنِ عَمْرٍو النَّصِيبِيِّ عَنْ أَبِي الْحَسَنِ الْخُرَاسَانِيِّ عَنْ مَيْسَرَةَ عَنْ أَبِي عَائِشَةَ عَنْ يَزِيدَ بْنِ عُمَرَ عَنْ عَبْدِ الْعَزِيزِ عَنْ أَبِي سَلَمَةَ بْنِ عَبْدِ الرَّحْمَنِ عَنْ أَبِي هُرَيْرَةَ وَ عَبْدِ اللَّهِ بْنِ عَبَّاسٍ فِي خُطْبَةٍ طَوِيلَةٍ لِرَسُولِ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فِيهَا </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 الاعمال،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 لايحضره الفقيه و أمالي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نقل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جا استفاده مي‌شود كه مدح سلطان جائر طمعاً فيه، مصداق ركون به ظالم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اين روايت علاوه بر شعيب بن واقد كه مجهول است و در كتب رجالي ذكر نشده، عبدالعزيز بن محمد هم مجهول است و حمزة بن محمد هم توثيقي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 و ساير منابع روايي، اين روايت از پيامبر گرامي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در كتاب شريف غرر الحكم و درر الكلم وجود ندارد و فقط در نسخه‌اي كه با تحقيق و تصحيح سيد مهدي رجايي چاپ شده، اين روايت از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با توجه به اين‌كه مصحح محترم اشاره‌اي به اختلاف نسخ نكرده، احتمال مي‌رود خلطي از ايشان رخ داده باشد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آيه‌ي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تَحْسَبَنَّ الَّذينَ يَفْرَحُونَ بِما أَتَوْا وَ يُحِبُّونَ أَنْ يُحْمَدُوا بِما لَمْ يَفْعَلُوا فَلا تَحْسَبَنَّهُمْ بِمَفازَةٍ مِنَ الْعَذابِ وَ لَهُمْ عَذابٌ أَليمٌ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تتمة كتاب الجهاد، بقية أبواب جهاد النفس،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شعراء، آيه‌ي</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الأَمر بالمعروف و النهي عن المنكر، أبواب فعل المعروف،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خطبه‌ي</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نامه‌ي</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يوسف، آيه‌ي</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القاموس المحيط فيروز آبادي و نهايه‌ي ابن اثير و هم‌چنين در لسان العرب از قول ابن شميل و تاج العروس از قول ابو الخطاب هم اين‌چنين معني كرده‌اند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قيد در القاموس المحيط فيروز آبادي و تاج العروس آمده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آداب التجارة،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كنگره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آداب التجارة،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الخبار،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را مصدر گرفته‌اند و برخي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را 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را اسم مصدر گرفته‌اند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تفصيلي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مقالات فقهي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رسيده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خوانسارى، محمد امامى، الحاشية الثانية على المكاسب،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الشيخ جعفر على قواعد العلامة ابن المطهر،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رعد، آيه‌ي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فقهي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النفس و ما يناسبه،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أبواب احكام العشرة،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به قرينه‌ي قبل يعني كساني كه در چشم ديگران بي‌عيب هستند با نميمه آن‌ها را معيوب نشان مي‌دهند و الا معيوب جلوه دادن كسي كه واقعاً عيبي ندارد، سخن چيني نيست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در اين‌جا مي‌تواند مشترك بين چند نفر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يحيي بن عمران الاشعري صاحب دبة الشبيب، محمد بن أحمد بن أبي قتادة و محمد بن أحمد بن 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بين اين سه نفر محمد بن احمد بن خاقان توثيق ندارد، ولي احتمال اين‌كه در اين جا مراد ايشان باشد بسيار ضعيف است؛ زيرا ايشان به حمران معروف بوده و روايتي كه محمد بن يحيي از ايشان نقل كرده باشد سراغ نداريم، فقط در ترجمه‌ي محمد بن أحمد بن خاقان گفته شده كه كتاب ايشان را محمد بن يحيي نقل كرده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أبواب احكام العشره،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أبواب احكام العشره،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أبواب احكام العشرة،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الاعمال،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قلم، آيه‌ي</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اكثر اهل سنت از مذاهب اربعه، نوح را حرام مي‌دانند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بعضي تعبير به كراهت كرده‌اند، امّا مراد كراهت اصطلاحي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آن ادعاي اجماع مي‌كنند، البته از عبارات الذخيره و الانصاف و المغني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نوعي استفاده مي‌شود كه عده‌اي في‌الجمله قائل به كراهت آن بوده‌اند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ميرزاى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 القاسم بن محمد حسن، غنائم الأيام في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كفرها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أَحْبَطَهَا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مشكاة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فَجَعَها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اين‌كه به اين مضمون در آيه‌ي شريفه‌ي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مباركه‌ي بقره اشاره شده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تتمة كتاب الطهارة، أبواب الدفن و ما يناسبه،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مسكن الفؤاد،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تتمة كتاب التجارة، أبواب الربا،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ما يكتسب به، كتاب التجارة،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 علي بن جعفر،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الشيعه و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عيسي آمده است، ولي در تهذيب الاحكام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ملاذ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ظاهراً اشتباه بوده و همان طور كه مرحوم خويي اشاره كرده‌اند، به قرينه‌ي سماعة و الحسين بن سعيد الاهوازي نتيجه مي‌گريم كه عثمان بن عيسي صحيح است؛ زيرا عثمان بن سعيد هيچ روايتي را از سماعة نقل نكرده و هم‌چنين الحسين بن سعيد الاهوازي هم هيچ روايتي را از عثمان بن سعيد نقل نكرده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احزاب، آيه‌ي</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نِساءَ النَّبِيِّ لَسْتُنَّ كَأَحَدٍ مِنَ النِّساءِ إِنِ اتَّقَيْتُنَّ فَلا تَخْضَعْنَ بِالْقَوْلِ فَيَطْمَعَ الَّذي في قَلْبِهِ مَرَضٌ وَ قُلْنَ قَوْلاً مَعْرُوفاً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ما يكتسب به، كتاب التجارة،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چرا اين مسأله را حاضر نشد سؤال كند، شايد به اين خاطر بوده كه در جامعه‌ي سني آن زمان، حرمت نوحه‌گري مفروغٌ عنه بوده و كأنّ مي‌خواست بگويد اين چيزِ واضحي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از بزرگان به آقايان مي‌فرمودند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منبر رفتن شرط نكنيد كه فلان مقدار مي‌گيرم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خود مردم دادند قبول كنيد، مردم هم نوعاً وظيفه شناس هستند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 كساني كه دعوت كرده‌اند لازم است اجرت المثل را پرداخت كنند و اگر ندادند، حق دارد مطالبه كند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نوادب جمع نادبه به معناي زن ندبه كننده يا همان نائحه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وصيت حضرت واقعاً مهم است، تحليل اين وقف از لحاظ تاريخي و سياسي واقعاً پيچيده و داراي ارزش بالاست كه چه هدفي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اين اهداف مي‌تواند اين باشد كه مي‌خواستند مظلوميت خود و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همه‌ي نقاط اسلامي برسانند و بلكه براي برخي اساساً اهل البيت را معرّفي كنند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ما يكتسب به، كتاب التجارة،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نسب قريش،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الوليد بن الوليد بن الوليد مي‌گويد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ما يكتسب به، كتاب التجارة،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في شرح قواعد العلامة،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محمّد بن محمد بن نعمان عكبرى، مسار الشيعة في مختصر تواريخ الشريعة،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خصاص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مسعودي در مروج الذهب،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سعد بن عباده از اصحاب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حضرت او را به استانداري مصر منصوب كردند و خطاب به مردم مصر نوشتند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تتمة كتاب الطهارة، أبواب الاحتضار،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به اين مضمون متعدد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 بن عبيد بن يقطين بن موسى، مولى أسد بن خزيمة،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في أصحابنا، ثقة، عين، كثير الرواية، حسن التصانيف، روى عن أبي جعفر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مكاتبة و مشافهة، ذكر أبو جعفر بن بابويه، عن ابن الوليد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تفرد به محمد بن عيسى من كتب يونس و حديثه لا تعتمد عليه، و رأيت أصحابنا يذكرون هذا القول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أبي جعفر محمد بن عيسى، سكن بغداد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أبواب احكام العشره،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 الاعمال،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به اين مضمون هم متعدد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سجده، آيه‌ي</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الأَمر بالمعروف و النهي عن المنكر، أبواب الامر و النهي،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مقلات فقهي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گسترده‌ي فقهي غيبت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تتمة كتاب الجهاد، بقية أبواب جهاد النفس،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لحاظ سند به خاطر علي بن العباس كه تضعيف شده و الحسن بن عبدالرحمن كه مجهول است، ناتمام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كتاب الحدود و التعزيرات، أبواب حدّ القذف،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تتمة كتاب النكاح، أبواب نكاح العبيد و الاماء، باب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بذاء را به معني عدم مبالات در حرف زشت زدن گرفته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تتمة كتاب الجهاد، بقية أبواب جهاد النفس، 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تتمة كتاب الجهاد، بقية أبواب جهاد النفس، 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تتمة كتاب الجهاد، بقية أبواب جهاد النفس، باب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گفته شود اين روايت مرسله است؛ چون حماد بن عيسي از اصحاب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ولي حسين بن سعيد از اصحاب امام رضا، امام جواد و امام 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بنابراين نمي‌تواند حماد بن عيسي را درك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وقتي به ترجمه‌ي حماد بن عيسي نگاه مي‌كنيم نجاشي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روى 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حديثا، و أبي الحسن و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مات في حياة أبي جعفر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نجاشي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يحفظ عنه رواية عن الرضا و لا عن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هم در رجالش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عيسى الجهني البصري، أصله كوفي بقي إلى زمان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برقي هم او را از اصحاب امام صادق، امام كاظم و 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برده است و در سال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يافته است؛ يعني تا زمان امام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بوده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تتمة كتاب الجهاد، بقية أبواب جهاد النفس، باب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الزهد،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 در اين‌جا يعني كسي كه استغناء عن الناس دارد و از مردم سؤال نمي‌كند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لحاظ سند به خاطر محمد بن سنان ناتمام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تتمة كتاب الجهاد، بقية أبواب جهاد النفس،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الزهد،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 الكفر، باب البذاء،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تتمة كتاب الجهاد، بقية أبواب جهاد النفس،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 الكفر، باب من يتقي شرّه،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بيت به معناي اتاق است؛ نه به معناي دار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كتاب الحدود و التعزيرات، أبواب حدّ القذف،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الصلاة، ابواب صلاة الجماعة، باب عدم جواز الاقتداء بالفاسق،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أبواب احكام العشرة، باب</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نيز شاهد بر آن است كه موضوع در اين روايات، تعيير و اهانت مؤمن نه به خاطر ايمانش است، بلكه هر نوع تعيير و اهانتي حتّي نسبت به گناهي كه مرتكب شده، مصداق اين روايات بوده و حرام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 النهي عن المنكر، أبواب الامر و النهي،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 الكفر، باب في اصول الكفر و اركانه،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الزكاة، أبواب الصدقة،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أبواب احكام العشرة،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جمعه، آيه‌ي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الَّذينَ حُمِّلُوا التَّوْراةَ ثُمَّ لَمْ يَحْمِلُوها كَمَثَلِ الْحِمارِ يَحْمِلُ أَسْفاراً بِئْسَ مَثَلُ الْقَوْمِ الَّذينَ كَذَّبُوا بِآياتِ اللَّهِ وَ اللَّهُ لا يَهْدِي الْقَوْمَ الظَّالِمينَ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 آيه‌ي</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مسأله را در خاتمه‌ي مكاسب محرمه مطرح كرده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 في معرفة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عبدالله بن محمد در اين‌جا عبدالله بن محمد بن عيسي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برادر احمد بن محمد بن عيسي الاشعري القمي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خانواده‌ي ايشان اهل علم بودند، پدرش محمد بن عيسي، وجه الاشاعره، شيخ القميين و متقدم عند السلطان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برادرش احمد بن محمد بن عيسي نيز شيخ قم، وجه و فقيه قم و الرئيس الذي يلقي السلطان بها بود؛ يعني وقتي سلطان به قم مي‌آمد با احمد بن محمد بن عيسي كه بزرگ و رئيس قم بود ديدار مي‌كرد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وافي و مرآة العقول به جاي عبدالرحمان بن سيابه، عبدالرحمان بن سليمان ذكر شده كه توثيقي در رجال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بن سيابه هم توثيق ندارد و استفاده وثاقت ايشان از بعضي اخبار نيز مشكل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حاشيه‌ي كافي ـ طبع دار الحديث ـ نيز اين چنين آمده كه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التهذيب به محمد بن احمد بن يحيي چهار طريق ارائه مي‌دهد كه طريق اوّل ايشان به خاطر محمد بن الحسين بن سفيان ناتمام است، طريق دوم ايشان به خاطر ابن ابي جيد ناتمام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سوم به خاطر احمد بن محمد بن يحيي ناتمام است، امّا طريق چهارم ايشان تمام است و الحسن بن الحمزه توثيق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سند شيخ به محمد بن احمد بن يحيي تمام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بن عبدالرحيم رفيق معلّي بن خنيس كارگزار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توثيق دارد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اين روايت به خاطر محمد بن علي ابوسمينة كه تضعيف شده و نيز به خاطر سابق السندي و عنبسة الوراق كه مجهول است، ناتمام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قامت، ديوار مسجد است و به اين خاطر قامت گفته مي‌شود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حائط مسجد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به عنوان شاخصي بود براي تعيين وقت نماز، وقت فضيلت و اوقات نوافل؛ يعني اين‌كه گفته مي‌شود مثلاً وقت فضيلت نماز ظهر ياعصر چند قدم است، با آن شاخص شنجيده مي‌شود كه به اندازه‌ي قامت افراد متوسط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تتمة كتاب الطهارة، ابواب اغسال المسونة،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به أظهر به خاطر آن است كه ممكن است كسي در مورد عبارت حضرت كه فرمودند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أَشْتَرِي أَحَبُّ إِلَيَّ مِنْ أَنْ أَبِيعَهُ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احتمال را بدهد كه مراد حضرت اين است كه شراء در مقايسه با بيع فقط محبوبتر است و منافاتي با حرام بودن آن ندارد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و مستدركاتها،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بالاحمر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دينار مساوي با يك مثقال شرعي و سه چهارم مثقال صيرفي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مثقال شرعي هجده نخود و هر مثقال صيرفي بيست و چهار نخود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پنجاه دينار به اندازه‌ي نهصد نخود طلا مي‌شود كه امروزه نيز قيمت بالايي دارد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مورد انگشتر طلاي مخصوص مردان گفتيم حرمت تكليفي انشاء بيع جاي كلام دارد، ولي از لحاظ وضعي باطل است؛ چون هيئت مقوم است و فائده‌اي جز فائده‌ي حرام ندارد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بيع هياكل عبادت و انگشتر طلا به اعتبار موادش، هيئت مورد اعراض است، برخلاف ما نحن فيه كه هدف اصلي آن هيئت قرآني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قاعده، قاعده‌ي عقلائيه است كه در ضمن مورد تأييد روايات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اگر كسي اشتباهاً پارچه‌ي ديگري را بدوزد و پيراهن درست كند، شريك در آن نمي‌شود ـ به خلاف آن‌كه مقداري گندمش با گندم ديگري اشتباهاً قاطي شود كه شريك مي‌شود ـ و آن پيراهن مال صاحب پارچه است، بله اگر نخ‌هاي دوخته شده مال ديگري باشد و تالف محسوب نشود، مي‌تواند نخ‌هايش را بكشد، البته در صورتي كه ضرر به صاحب پارچه نرسد و اگر ضرر برسد باز مسأله‌ي ديگري است، در حالي كه اگر اوصاف مقابل اثمان قرار مي‌گرفت شريك مي‌شد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عمده دليل خيار غبن هم اين است كه خلاف شرط ارتكازي تناسب ثمن و مثمن است؛ يعني اين شرط ارتكازي در معامله وجود دارد كه بايد ثمن و مثمن در حدود هم و متناسب باشد و اگر در معامله‌اي رعايت اين شرط ارتكازي نشده باشد، خيار غبن ثابت مي‌شود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تَسْئَلُوا عَنْ أَشْياءَ إِنْ تُبْدَ لَكُمْ تَسُؤْكُمْ وَ إِنْ تَسْئَلُوا عَنْها حينَ يُنَزَّلُ الْقُرْآنُ تُبْدَ لَكُمْ عَفَا اللَّهُ عَنْها وَ اللَّهُ غَفُورٌ حَليمٌ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استاد دام ظله در جاي ديگر بيان فرموده‌اند آيه‌ي شريفه اطلاق ندارد؛ چون در مقام بيان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المبسوط به آن تصريح مي‌كند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نحل، آيه‌ي</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اللَّهُ مَثَلاً عَبْداً مَمْلُوكاً لا يَقْدِرُ عَلى شَيْ‌ءٍ وَ مَنْ رَزَقْناهُ مِنَّا رِزْقاً حَسَناً فَهُوَ يُنْفِقُ مِنْهُ سِرًّا وَ جَهْراً هَلْ يَسْتَوُونَ الْحَمْدُ لِلَّهِ بَلْ أَكْثَرُهُمْ لا يَعْلَمُونَ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اين‌كه 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مسأله‌ي عدم جواز بيع عبد مسلم به كافر و حتّي وكيل گرفتن مسلم كافر را براي خريد عبد مسلم، به آيه‌ي شريفه‌ي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يَجْعَلَ اللّهُ لِلْكافِرِينَ عَلَى الْمُؤْمِنِينَ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 مي‌كند و در هر دو جا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عام في جميع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قاعدتاً مرادشان در اين مسأله بايد اين باشد كه اجير شدن مسلمان براي كافر را مصداق سبيل نمي‌دانند؛ نه اين‌كه آيه‌ي شريفه عموميت ندارد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آيه‌ي</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مباركه‌ي انعام است كه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رَأَيْتَ الَّذينَ يَخُوضُونَ في آياتِنا فَأَعْرِضْ عَنْهُمْ حَتَّى يَخُوضُوا في حَديثٍ غَيْرِهِ وَ إِمَّا يُنْسِيَنَّكَ الشَّيْطانُ فَلا تَقْعُدْ بَعْدَ الذِّكْرى مَعَ الْقَوْمِ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آيات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روايت عيون الاخبار كه در قبل گذشت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كتاب الفرائض و المواريث، ابواب موانع الارث،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العتق، باب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هيچ يك از امهات رجالي ترجمه‌اي از ابي القاسم الكوفي ذكر نشده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سوره‌ي صف، آيه‌ي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أَرْسَلَ رَسُولَهُ بِالْهُدى وَ دينِ الْحَقِّ لِيُظْهِرَهُ عَلَى الدِّينِ كُلِّهِ وَ لَوْ كَرِهَ الْمُشْرِكُونَ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تتمة كتاب الطهارة، ابواب الدفن و مايناسبه،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امام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باشد كه در روايت قبل ذكر شد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اصفهاني، الاغاني،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الدمشقي، ابن كثير، البداية و 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السيوطي، تاريخ الخلفاء،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العسقلاني، لسان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ابن اثير الجزري، 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الهيتمي، ابن حجر، الصواعق المحرقه،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سليمان القندوزي البلخي، ينابيع المودة،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نقل‌ها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الاغاني،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شريح بن الحارث الكندي منصوب از طرف عمر براي قضاوت در كوفه بود كه تا زمان عبدالملك بن مروان و حجاج به مدت شصت سال قضاوت كرد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اميرالمومنين عندي بكاذب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در هيچ يك از نسخ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فقط علامه مجلسي در بحار كه در دو جا اين روايت را آورده، در يكي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عامه دارد كه حضرت، قنبر و امام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شاهد آوردند كه شريح شهادت امام مجتبي را به خاطر فرزند حضرت بودن به عنوان شاهد نپذيرفت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نقل‌ها آمده حضرت علاوه بر زره، اسبي را هم به او هديه كردند و مقداري پول نيز به او دادند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نقل‌ها آمده كه در جنگ صفين به شهادت 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الاغاني،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موارد تمسك به روايت در كلمات قدما اين چنين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عضو يك هيئت مذهبي اعزامي به ويژه كسي كه براي تبليغ مسيحيت به كشورهاي ديگر مي‌رود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ميسيونر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Missionnaire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مي‌شود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مصاحف خصوص قرآن است و شامل مثل انجيل و تورات نمي‌شود؛ زيرا مصحف بر غير قرآن اطلاق نمي‌شود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اين‌كه بر صحف ابراهيم و موسي، صحف اطلاق شده، صحف جمع صحيفه است نه مصحف و اگر هم اعم مراد باشد، بالاخره قرآن را جزء غنائم نام برده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نه با تمسك به آيه‌ي شريفه‌ي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يَمَسُّهُ إِلاَّ الْمُطَهَّرُونَ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با تمسك به روايتي از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فرزند حضرت سؤال مي‌كند بدون وضوء قرآن بخوانم؟ حضرت فرمودند بخوان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تَمَسَ الْكِتَابَةَ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مربوط به زمان محمد شاه قاجار مي‌شود كه روي سكه ضرب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شهنشاه انبياء، 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عتيقه شناسي ادعا مي‌كرد كه سكه‌اي را سراغ دارد كه در زمان حكومت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چهل قمري ضرب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اگر سكه‌اي هم ضرب مي‌شد، سكه‌ي رايج نبود و اگر سكه‌ي رايج بود، طوري نبود كه سكه‌هاي ايراني و رومي را از رواج بيندازد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مقدمه‌ي ابن خلدون كه گرايش ضد شيعي دارد، اين پيشنهاد به كس ديگري نسبت داده شده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استناد به اكثر كتاب‌هاي مورد استفاده، از متون موجود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نرم افزارهاي مؤسسه‌ي تحقيقات كامپيوتري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فقهي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آيت الله گلپايگاني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نرم‌افزارهاي مشهور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احتمال اشتباه جزئي در نقل مطالب وجود 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image" Target="media/image2.jpeg"/><Relationship Id="rId525" Type="http://schemas.openxmlformats.org/officeDocument/2006/relationships/image" Target="media/image2.jpeg"/><Relationship Id="rId526" Type="http://schemas.openxmlformats.org/officeDocument/2006/relationships/footer" Target="footer519.xml"/><Relationship Id="rId527" Type="http://schemas.openxmlformats.org/officeDocument/2006/relationships/footnotes" Target="footnotes.xml"/><Relationship Id="rId528" Type="http://schemas.openxmlformats.org/officeDocument/2006/relationships/numbering" Target="numbering.xml"/><Relationship Id="rId529" Type="http://schemas.openxmlformats.org/officeDocument/2006/relationships/fontTable" Target="fontTable.xml"/><Relationship Id="rId530" Type="http://schemas.openxmlformats.org/officeDocument/2006/relationships/settings" Target="settings.xml"/><Relationship Id="rId5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68653</Words>
  <Characters>263498</Characters>
  <CharactersWithSpaces>329993</CharactersWithSpaces>
  <Paragraphs>2159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2026-08-17T07:24:09Z</dcterms:created>
  <dc:creator>ghaemiyeh.com</dc:creator>
  <dc:description/>
  <dc:language>en-US</dc:language>
  <cp:lastModifiedBy/>
  <dcterms:modified xsi:type="dcterms:W3CDTF">2026-08-17T10:54:22Z</dcterms:modified>
  <cp:revision>1</cp:revision>
  <dc:subject/>
  <dc:title>بررسی گسترده ی فقهی قمار قیادت قیافه کهانت و</dc:title>
</cp:coreProperties>
</file>

<file path=docProps/custom.xml><?xml version="1.0" encoding="utf-8"?>
<Properties xmlns="http://schemas.openxmlformats.org/officeDocument/2006/custom-properties" xmlns:vt="http://schemas.openxmlformats.org/officeDocument/2006/docPropsVTypes"/>
</file>