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92.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6.xml" ContentType="application/vnd.openxmlformats-officedocument.wordprocessingml.footer+xml"/>
  <Override PartName="/word/footer459.xml" ContentType="application/vnd.openxmlformats-officedocument.wordprocessingml.footer+xml"/>
  <Override PartName="/word/footer29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بررسی گسترده ی فقهی غیبت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770181_3804643083">
            <w:r>
              <w:rPr>
                <w:webHidden/>
                <w:rStyle w:val="IndexLink"/>
                <w:rtl w:val="true"/>
              </w:rPr>
              <w:t>مشخصات كتاب</w:t>
            </w:r>
            <w:r>
              <w:rPr>
                <w:rStyle w:val="IndexLink"/>
                <w:rtl w:val="true"/>
              </w:rPr>
              <w:tab/>
            </w:r>
            <w:r>
              <w:rPr>
                <w:rStyle w:val="IndexLink"/>
              </w:rPr>
              <w:t>10</w:t>
            </w:r>
          </w:hyperlink>
        </w:p>
        <w:p>
          <w:pPr>
            <w:pStyle w:val="Contents2"/>
            <w:tabs>
              <w:tab w:val="clear" w:pos="8743"/>
              <w:tab w:val="right" w:pos="9026" w:leader="dot"/>
            </w:tabs>
            <w:rPr/>
          </w:pPr>
          <w:hyperlink w:anchor="__RefHeading___Toc2770183_380464308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2770185_3804643083">
            <w:r>
              <w:rPr>
                <w:webHidden/>
                <w:rStyle w:val="IndexLink"/>
                <w:rtl w:val="true"/>
              </w:rPr>
              <w:t>پيش‌گفتار</w:t>
            </w:r>
            <w:r>
              <w:rPr>
                <w:rStyle w:val="IndexLink"/>
                <w:rtl w:val="true"/>
              </w:rPr>
              <w:tab/>
            </w:r>
            <w:r>
              <w:rPr>
                <w:rStyle w:val="IndexLink"/>
              </w:rPr>
              <w:t>11</w:t>
            </w:r>
          </w:hyperlink>
        </w:p>
        <w:p>
          <w:pPr>
            <w:pStyle w:val="Contents2"/>
            <w:tabs>
              <w:tab w:val="clear" w:pos="8743"/>
              <w:tab w:val="right" w:pos="9026" w:leader="dot"/>
            </w:tabs>
            <w:rPr/>
          </w:pPr>
          <w:hyperlink w:anchor="__RefHeading___Toc2770187_3804643083">
            <w:r>
              <w:rPr>
                <w:webHidden/>
                <w:rStyle w:val="IndexLink"/>
                <w:rtl w:val="true"/>
              </w:rPr>
              <w:t>معناي غيبت</w:t>
            </w:r>
            <w:r>
              <w:rPr>
                <w:rStyle w:val="IndexLink"/>
                <w:rtl w:val="true"/>
              </w:rPr>
              <w:tab/>
            </w:r>
            <w:r>
              <w:rPr>
                <w:rStyle w:val="IndexLink"/>
              </w:rPr>
              <w:t>15</w:t>
            </w:r>
          </w:hyperlink>
        </w:p>
        <w:p>
          <w:pPr>
            <w:pStyle w:val="Contents3"/>
            <w:tabs>
              <w:tab w:val="clear" w:pos="8459"/>
              <w:tab w:val="right" w:pos="9026" w:leader="dot"/>
            </w:tabs>
            <w:rPr/>
          </w:pPr>
          <w:hyperlink w:anchor="__RefHeading___Toc2770189_3804643083">
            <w:r>
              <w:rPr>
                <w:webHidden/>
                <w:rStyle w:val="IndexLink"/>
                <w:rtl w:val="true"/>
              </w:rPr>
              <w:t>اشاره</w:t>
            </w:r>
            <w:r>
              <w:rPr>
                <w:rStyle w:val="IndexLink"/>
                <w:rtl w:val="true"/>
              </w:rPr>
              <w:tab/>
            </w:r>
            <w:r>
              <w:rPr>
                <w:rStyle w:val="IndexLink"/>
              </w:rPr>
              <w:t>15</w:t>
            </w:r>
          </w:hyperlink>
        </w:p>
        <w:p>
          <w:pPr>
            <w:pStyle w:val="Contents3"/>
            <w:tabs>
              <w:tab w:val="clear" w:pos="8459"/>
              <w:tab w:val="right" w:pos="9026" w:leader="dot"/>
            </w:tabs>
            <w:rPr/>
          </w:pPr>
          <w:hyperlink w:anchor="__RefHeading___Toc2770191_3804643083">
            <w:r>
              <w:rPr>
                <w:webHidden/>
                <w:rStyle w:val="IndexLink"/>
                <w:rtl w:val="true"/>
              </w:rPr>
              <w:t>ريشه‌ي لغت غيبت و اشاره‌اي به ملاك تشخيص آن</w:t>
            </w:r>
            <w:r>
              <w:rPr>
                <w:rStyle w:val="IndexLink"/>
                <w:rtl w:val="true"/>
              </w:rPr>
              <w:tab/>
            </w:r>
            <w:r>
              <w:rPr>
                <w:rStyle w:val="IndexLink"/>
              </w:rPr>
              <w:t>16</w:t>
            </w:r>
          </w:hyperlink>
        </w:p>
        <w:p>
          <w:pPr>
            <w:pStyle w:val="Contents3"/>
            <w:tabs>
              <w:tab w:val="clear" w:pos="8459"/>
              <w:tab w:val="right" w:pos="9026" w:leader="dot"/>
            </w:tabs>
            <w:rPr/>
          </w:pPr>
          <w:hyperlink w:anchor="__RefHeading___Toc2770193_3804643083">
            <w:r>
              <w:rPr>
                <w:webHidden/>
                <w:rStyle w:val="IndexLink"/>
                <w:rtl w:val="true"/>
              </w:rPr>
              <w:t>بررسي ادلّه‌ي حرمت غيبت</w:t>
            </w:r>
            <w:r>
              <w:rPr>
                <w:rStyle w:val="IndexLink"/>
                <w:rtl w:val="true"/>
              </w:rPr>
              <w:tab/>
            </w:r>
            <w:r>
              <w:rPr>
                <w:rStyle w:val="IndexLink"/>
              </w:rPr>
              <w:t>18</w:t>
            </w:r>
          </w:hyperlink>
        </w:p>
        <w:p>
          <w:pPr>
            <w:pStyle w:val="Contents4"/>
            <w:tabs>
              <w:tab w:val="clear" w:pos="8176"/>
              <w:tab w:val="right" w:pos="9026" w:leader="dot"/>
            </w:tabs>
            <w:rPr/>
          </w:pPr>
          <w:hyperlink w:anchor="__RefHeading___Toc2770195_3804643083">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2770197_3804643083">
            <w:r>
              <w:rPr>
                <w:webHidden/>
                <w:rStyle w:val="IndexLink"/>
                <w:rtl w:val="true"/>
              </w:rPr>
              <w:t>آيات دالّ بر حرمت غيبت</w:t>
            </w:r>
            <w:r>
              <w:rPr>
                <w:rStyle w:val="IndexLink"/>
                <w:rtl w:val="true"/>
              </w:rPr>
              <w:tab/>
            </w:r>
            <w:r>
              <w:rPr>
                <w:rStyle w:val="IndexLink"/>
              </w:rPr>
              <w:t>19</w:t>
            </w:r>
          </w:hyperlink>
        </w:p>
        <w:p>
          <w:pPr>
            <w:pStyle w:val="Contents5"/>
            <w:tabs>
              <w:tab w:val="clear" w:pos="7892"/>
              <w:tab w:val="right" w:pos="9026" w:leader="dot"/>
            </w:tabs>
            <w:rPr/>
          </w:pPr>
          <w:hyperlink w:anchor="__RefHeading___Toc2770199_3804643083">
            <w:r>
              <w:rPr>
                <w:webHidden/>
                <w:rStyle w:val="IndexLink"/>
                <w:rtl w:val="true"/>
              </w:rPr>
              <w:t>اشاره</w:t>
            </w:r>
            <w:r>
              <w:rPr>
                <w:rStyle w:val="IndexLink"/>
                <w:rtl w:val="true"/>
              </w:rPr>
              <w:tab/>
            </w:r>
            <w:r>
              <w:rPr>
                <w:rStyle w:val="IndexLink"/>
              </w:rPr>
              <w:t>19</w:t>
            </w:r>
          </w:hyperlink>
        </w:p>
        <w:p>
          <w:pPr>
            <w:pStyle w:val="Contents5"/>
            <w:tabs>
              <w:tab w:val="clear" w:pos="7892"/>
              <w:tab w:val="right" w:pos="9026" w:leader="dot"/>
            </w:tabs>
            <w:rPr/>
          </w:pPr>
          <w:hyperlink w:anchor="__RefHeading___Toc2770201_3804643083">
            <w:r>
              <w:rPr>
                <w:webHidden/>
                <w:rStyle w:val="IndexLink"/>
              </w:rPr>
              <w:t>1</w:t>
            </w:r>
            <w:r>
              <w:rPr>
                <w:rStyle w:val="IndexLink"/>
                <w:rtl w:val="true"/>
              </w:rPr>
              <w:t xml:space="preserve">. </w:t>
            </w:r>
            <w:r>
              <w:rPr>
                <w:rStyle w:val="IndexLink"/>
                <w:rtl w:val="true"/>
              </w:rPr>
              <w:t>آيه‌ي نهي از غيبت</w:t>
            </w:r>
            <w:r>
              <w:rPr>
                <w:rStyle w:val="IndexLink"/>
                <w:rtl w:val="true"/>
              </w:rPr>
              <w:tab/>
            </w:r>
            <w:r>
              <w:rPr>
                <w:rStyle w:val="IndexLink"/>
              </w:rPr>
              <w:t>19</w:t>
            </w:r>
          </w:hyperlink>
        </w:p>
        <w:p>
          <w:pPr>
            <w:pStyle w:val="Contents5"/>
            <w:tabs>
              <w:tab w:val="clear" w:pos="7892"/>
              <w:tab w:val="right" w:pos="9026" w:leader="dot"/>
            </w:tabs>
            <w:rPr/>
          </w:pPr>
          <w:hyperlink w:anchor="__RefHeading___Toc2770203_3804643083">
            <w:r>
              <w:rPr>
                <w:webHidden/>
                <w:rStyle w:val="IndexLink"/>
              </w:rPr>
              <w:t>2</w:t>
            </w:r>
            <w:r>
              <w:rPr>
                <w:rStyle w:val="IndexLink"/>
                <w:rtl w:val="true"/>
              </w:rPr>
              <w:t xml:space="preserve">. </w:t>
            </w:r>
            <w:r>
              <w:rPr>
                <w:rStyle w:val="IndexLink"/>
                <w:rtl w:val="true"/>
              </w:rPr>
              <w:t>آيه‌ي توبيخ لُمَزَه</w:t>
            </w:r>
            <w:r>
              <w:rPr>
                <w:rStyle w:val="IndexLink"/>
                <w:rtl w:val="true"/>
              </w:rPr>
              <w:tab/>
            </w:r>
            <w:r>
              <w:rPr>
                <w:rStyle w:val="IndexLink"/>
              </w:rPr>
              <w:t>22</w:t>
            </w:r>
          </w:hyperlink>
        </w:p>
        <w:p>
          <w:pPr>
            <w:pStyle w:val="Contents5"/>
            <w:tabs>
              <w:tab w:val="clear" w:pos="7892"/>
              <w:tab w:val="right" w:pos="9026" w:leader="dot"/>
            </w:tabs>
            <w:rPr/>
          </w:pPr>
          <w:hyperlink w:anchor="__RefHeading___Toc2770205_3804643083">
            <w:r>
              <w:rPr>
                <w:webHidden/>
                <w:rStyle w:val="IndexLink"/>
              </w:rPr>
              <w:t>3</w:t>
            </w:r>
            <w:r>
              <w:rPr>
                <w:rStyle w:val="IndexLink"/>
                <w:rtl w:val="true"/>
              </w:rPr>
              <w:t xml:space="preserve">. </w:t>
            </w:r>
            <w:r>
              <w:rPr>
                <w:rStyle w:val="IndexLink"/>
                <w:rtl w:val="true"/>
              </w:rPr>
              <w:t>آيه‌ي نهي از جهر به قول سوء</w:t>
            </w:r>
            <w:r>
              <w:rPr>
                <w:rStyle w:val="IndexLink"/>
                <w:rtl w:val="true"/>
              </w:rPr>
              <w:tab/>
            </w:r>
            <w:r>
              <w:rPr>
                <w:rStyle w:val="IndexLink"/>
              </w:rPr>
              <w:t>29</w:t>
            </w:r>
          </w:hyperlink>
        </w:p>
        <w:p>
          <w:pPr>
            <w:pStyle w:val="Contents6"/>
            <w:tabs>
              <w:tab w:val="clear" w:pos="7609"/>
              <w:tab w:val="right" w:pos="9026" w:leader="dot"/>
            </w:tabs>
            <w:rPr/>
          </w:pPr>
          <w:hyperlink w:anchor="__RefHeading___Toc2770207_3804643083">
            <w:r>
              <w:rPr>
                <w:webHidden/>
                <w:rStyle w:val="IndexLink"/>
                <w:rtl w:val="true"/>
              </w:rPr>
              <w:t>اشاره</w:t>
            </w:r>
            <w:r>
              <w:rPr>
                <w:rStyle w:val="IndexLink"/>
                <w:rtl w:val="true"/>
              </w:rPr>
              <w:tab/>
            </w:r>
            <w:r>
              <w:rPr>
                <w:rStyle w:val="IndexLink"/>
              </w:rPr>
              <w:t>29</w:t>
            </w:r>
          </w:hyperlink>
        </w:p>
        <w:p>
          <w:pPr>
            <w:pStyle w:val="Contents6"/>
            <w:tabs>
              <w:tab w:val="clear" w:pos="7609"/>
              <w:tab w:val="right" w:pos="9026" w:leader="dot"/>
            </w:tabs>
            <w:rPr/>
          </w:pPr>
          <w:hyperlink w:anchor="__RefHeading___Toc2770209_3804643083">
            <w:r>
              <w:rPr>
                <w:webHidden/>
                <w:rStyle w:val="IndexLink"/>
                <w:rtl w:val="true"/>
              </w:rPr>
              <w:t>مناقشه در استدلال شيخ</w:t>
            </w:r>
            <w:r>
              <w:rPr>
                <w:rStyle w:val="IndexLink"/>
                <w:rtl w:val="true"/>
              </w:rPr>
              <w:t xml:space="preserve">- </w:t>
            </w:r>
            <w:r>
              <w:rPr>
                <w:rStyle w:val="IndexLink"/>
                <w:rtl w:val="true"/>
              </w:rPr>
              <w:t xml:space="preserve">قدس سره </w:t>
            </w:r>
            <w:r>
              <w:rPr>
                <w:rStyle w:val="IndexLink"/>
                <w:rtl w:val="true"/>
              </w:rPr>
              <w:t>-</w:t>
              <w:tab/>
            </w:r>
            <w:r>
              <w:rPr>
                <w:rStyle w:val="IndexLink"/>
              </w:rPr>
              <w:t>29</w:t>
            </w:r>
          </w:hyperlink>
        </w:p>
        <w:p>
          <w:pPr>
            <w:pStyle w:val="Contents6"/>
            <w:tabs>
              <w:tab w:val="clear" w:pos="7609"/>
              <w:tab w:val="right" w:pos="9026" w:leader="dot"/>
            </w:tabs>
            <w:rPr/>
          </w:pPr>
          <w:hyperlink w:anchor="__RefHeading___Toc2770211_3804643083">
            <w:r>
              <w:rPr>
                <w:webHidden/>
                <w:rStyle w:val="IndexLink"/>
                <w:rtl w:val="true"/>
              </w:rPr>
              <w:t>مصداق جالبي براي آيه‌ي شريفه در روايات</w:t>
            </w:r>
            <w:r>
              <w:rPr>
                <w:rStyle w:val="IndexLink"/>
                <w:rtl w:val="true"/>
              </w:rPr>
              <w:tab/>
            </w:r>
            <w:r>
              <w:rPr>
                <w:rStyle w:val="IndexLink"/>
              </w:rPr>
              <w:t>30</w:t>
            </w:r>
          </w:hyperlink>
        </w:p>
        <w:p>
          <w:pPr>
            <w:pStyle w:val="Contents5"/>
            <w:tabs>
              <w:tab w:val="clear" w:pos="7892"/>
              <w:tab w:val="right" w:pos="9026" w:leader="dot"/>
            </w:tabs>
            <w:rPr/>
          </w:pPr>
          <w:hyperlink w:anchor="__RefHeading___Toc2770213_3804643083">
            <w:r>
              <w:rPr>
                <w:webHidden/>
                <w:rStyle w:val="IndexLink"/>
              </w:rPr>
              <w:t>4</w:t>
            </w:r>
            <w:r>
              <w:rPr>
                <w:rStyle w:val="IndexLink"/>
                <w:rtl w:val="true"/>
              </w:rPr>
              <w:t xml:space="preserve">. </w:t>
            </w:r>
            <w:r>
              <w:rPr>
                <w:rStyle w:val="IndexLink"/>
                <w:rtl w:val="true"/>
              </w:rPr>
              <w:t>آيه‌ي مذمّت حبّ إشاعه‌ي فحشا</w:t>
            </w:r>
            <w:r>
              <w:rPr>
                <w:rStyle w:val="IndexLink"/>
                <w:rtl w:val="true"/>
              </w:rPr>
              <w:tab/>
            </w:r>
            <w:r>
              <w:rPr>
                <w:rStyle w:val="IndexLink"/>
              </w:rPr>
              <w:t>31</w:t>
            </w:r>
          </w:hyperlink>
        </w:p>
        <w:p>
          <w:pPr>
            <w:pStyle w:val="Contents6"/>
            <w:tabs>
              <w:tab w:val="clear" w:pos="7609"/>
              <w:tab w:val="right" w:pos="9026" w:leader="dot"/>
            </w:tabs>
            <w:rPr/>
          </w:pPr>
          <w:hyperlink w:anchor="__RefHeading___Toc2770215_3804643083">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770217_3804643083">
            <w:r>
              <w:rPr>
                <w:webHidden/>
                <w:rStyle w:val="IndexLink"/>
                <w:rtl w:val="true"/>
              </w:rPr>
              <w:t>مناقشه در استدلال</w:t>
            </w:r>
            <w:r>
              <w:rPr>
                <w:rStyle w:val="IndexLink"/>
                <w:rtl w:val="true"/>
              </w:rPr>
              <w:tab/>
            </w:r>
            <w:r>
              <w:rPr>
                <w:rStyle w:val="IndexLink"/>
              </w:rPr>
              <w:t>32</w:t>
            </w:r>
          </w:hyperlink>
        </w:p>
        <w:p>
          <w:pPr>
            <w:pStyle w:val="Contents6"/>
            <w:tabs>
              <w:tab w:val="clear" w:pos="7609"/>
              <w:tab w:val="right" w:pos="9026" w:leader="dot"/>
            </w:tabs>
            <w:rPr/>
          </w:pPr>
          <w:hyperlink w:anchor="__RefHeading___Toc2770219_3804643083">
            <w:r>
              <w:rPr>
                <w:webHidden/>
                <w:rStyle w:val="IndexLink"/>
                <w:rtl w:val="true"/>
              </w:rPr>
              <w:t>تفسير روايي آيه‌ي شريفه</w:t>
            </w:r>
            <w:r>
              <w:rPr>
                <w:rStyle w:val="IndexLink"/>
                <w:rtl w:val="true"/>
              </w:rPr>
              <w:tab/>
            </w:r>
            <w:r>
              <w:rPr>
                <w:rStyle w:val="IndexLink"/>
              </w:rPr>
              <w:t>34</w:t>
            </w:r>
          </w:hyperlink>
        </w:p>
        <w:p>
          <w:pPr>
            <w:pStyle w:val="Contents4"/>
            <w:tabs>
              <w:tab w:val="clear" w:pos="8176"/>
              <w:tab w:val="right" w:pos="9026" w:leader="dot"/>
            </w:tabs>
            <w:rPr/>
          </w:pPr>
          <w:hyperlink w:anchor="__RefHeading___Toc2770221_3804643083">
            <w:r>
              <w:rPr>
                <w:webHidden/>
                <w:rStyle w:val="IndexLink"/>
                <w:rtl w:val="true"/>
              </w:rPr>
              <w:t>روايات دالّ بر حرمت غيبت</w:t>
            </w:r>
            <w:r>
              <w:rPr>
                <w:rStyle w:val="IndexLink"/>
                <w:rtl w:val="true"/>
              </w:rPr>
              <w:tab/>
            </w:r>
            <w:r>
              <w:rPr>
                <w:rStyle w:val="IndexLink"/>
              </w:rPr>
              <w:t>38</w:t>
            </w:r>
          </w:hyperlink>
        </w:p>
        <w:p>
          <w:pPr>
            <w:pStyle w:val="Contents5"/>
            <w:tabs>
              <w:tab w:val="clear" w:pos="7892"/>
              <w:tab w:val="right" w:pos="9026" w:leader="dot"/>
            </w:tabs>
            <w:rPr/>
          </w:pPr>
          <w:hyperlink w:anchor="__RefHeading___Toc2770223_3804643083">
            <w:r>
              <w:rPr>
                <w:webHidden/>
                <w:rStyle w:val="IndexLink"/>
                <w:rtl w:val="true"/>
              </w:rPr>
              <w:t>اشاره</w:t>
            </w:r>
            <w:r>
              <w:rPr>
                <w:rStyle w:val="IndexLink"/>
                <w:rtl w:val="true"/>
              </w:rPr>
              <w:tab/>
            </w:r>
            <w:r>
              <w:rPr>
                <w:rStyle w:val="IndexLink"/>
              </w:rPr>
              <w:t>38</w:t>
            </w:r>
          </w:hyperlink>
        </w:p>
        <w:p>
          <w:pPr>
            <w:pStyle w:val="Contents5"/>
            <w:tabs>
              <w:tab w:val="clear" w:pos="7892"/>
              <w:tab w:val="right" w:pos="9026" w:leader="dot"/>
            </w:tabs>
            <w:rPr/>
          </w:pPr>
          <w:hyperlink w:anchor="__RefHeading___Toc2770225_3804643083">
            <w:r>
              <w:rPr>
                <w:webHidden/>
                <w:rStyle w:val="IndexLink"/>
                <w:rtl w:val="true"/>
              </w:rPr>
              <w:t>ـ روايت جامع الاخبار</w:t>
            </w:r>
            <w:r>
              <w:rPr>
                <w:rStyle w:val="IndexLink"/>
                <w:rtl w:val="true"/>
              </w:rPr>
              <w:tab/>
            </w:r>
            <w:r>
              <w:rPr>
                <w:rStyle w:val="IndexLink"/>
              </w:rPr>
              <w:t>42</w:t>
            </w:r>
          </w:hyperlink>
        </w:p>
        <w:p>
          <w:pPr>
            <w:pStyle w:val="Contents5"/>
            <w:tabs>
              <w:tab w:val="clear" w:pos="7892"/>
              <w:tab w:val="right" w:pos="9026" w:leader="dot"/>
            </w:tabs>
            <w:rPr/>
          </w:pPr>
          <w:hyperlink w:anchor="__RefHeading___Toc2770227_3804643083">
            <w:r>
              <w:rPr>
                <w:webHidden/>
                <w:rStyle w:val="IndexLink"/>
                <w:rtl w:val="true"/>
              </w:rPr>
              <w:t>ـ روايت اجتناب غيبت</w:t>
            </w:r>
            <w:r>
              <w:rPr>
                <w:rStyle w:val="IndexLink"/>
                <w:rtl w:val="true"/>
              </w:rPr>
              <w:tab/>
            </w:r>
            <w:r>
              <w:rPr>
                <w:rStyle w:val="IndexLink"/>
              </w:rPr>
              <w:t>42</w:t>
            </w:r>
          </w:hyperlink>
        </w:p>
        <w:p>
          <w:pPr>
            <w:pStyle w:val="Contents5"/>
            <w:tabs>
              <w:tab w:val="clear" w:pos="7892"/>
              <w:tab w:val="right" w:pos="9026" w:leader="dot"/>
            </w:tabs>
            <w:rPr/>
          </w:pPr>
          <w:hyperlink w:anchor="__RefHeading___Toc2770229_3804643083">
            <w:r>
              <w:rPr>
                <w:webHidden/>
                <w:rStyle w:val="IndexLink"/>
                <w:rtl w:val="true"/>
              </w:rPr>
              <w:t>ـ روايت مشي در عيب ديگران</w:t>
            </w:r>
            <w:r>
              <w:rPr>
                <w:rStyle w:val="IndexLink"/>
                <w:rtl w:val="true"/>
              </w:rPr>
              <w:tab/>
            </w:r>
            <w:r>
              <w:rPr>
                <w:rStyle w:val="IndexLink"/>
              </w:rPr>
              <w:t>43</w:t>
            </w:r>
          </w:hyperlink>
        </w:p>
        <w:p>
          <w:pPr>
            <w:pStyle w:val="Contents5"/>
            <w:tabs>
              <w:tab w:val="clear" w:pos="7892"/>
              <w:tab w:val="right" w:pos="9026" w:leader="dot"/>
            </w:tabs>
            <w:rPr/>
          </w:pPr>
          <w:hyperlink w:anchor="__RefHeading___Toc2770231_3804643083">
            <w:r>
              <w:rPr>
                <w:webHidden/>
                <w:rStyle w:val="IndexLink"/>
                <w:rtl w:val="true"/>
              </w:rPr>
              <w:t>ـ روايت غيبت كننده‌ي تائب</w:t>
            </w:r>
            <w:r>
              <w:rPr>
                <w:rStyle w:val="IndexLink"/>
                <w:rtl w:val="true"/>
              </w:rPr>
              <w:tab/>
            </w:r>
            <w:r>
              <w:rPr>
                <w:rStyle w:val="IndexLink"/>
              </w:rPr>
              <w:t>44</w:t>
            </w:r>
          </w:hyperlink>
        </w:p>
        <w:p>
          <w:pPr>
            <w:pStyle w:val="Contents5"/>
            <w:tabs>
              <w:tab w:val="clear" w:pos="7892"/>
              <w:tab w:val="right" w:pos="9026" w:leader="dot"/>
            </w:tabs>
            <w:rPr/>
          </w:pPr>
          <w:hyperlink w:anchor="__RefHeading___Toc2770233_3804643083">
            <w:r>
              <w:rPr>
                <w:webHidden/>
                <w:rStyle w:val="IndexLink"/>
                <w:rtl w:val="true"/>
              </w:rPr>
              <w:t>ـ روايت أكل حسنات</w:t>
            </w:r>
            <w:r>
              <w:rPr>
                <w:rStyle w:val="IndexLink"/>
                <w:rtl w:val="true"/>
              </w:rPr>
              <w:tab/>
            </w:r>
            <w:r>
              <w:rPr>
                <w:rStyle w:val="IndexLink"/>
              </w:rPr>
              <w:t>45</w:t>
            </w:r>
          </w:hyperlink>
        </w:p>
        <w:p>
          <w:pPr>
            <w:pStyle w:val="Contents3"/>
            <w:tabs>
              <w:tab w:val="clear" w:pos="8459"/>
              <w:tab w:val="right" w:pos="9026" w:leader="dot"/>
            </w:tabs>
            <w:rPr/>
          </w:pPr>
          <w:hyperlink w:anchor="__RefHeading___Toc2770235_3804643083">
            <w:r>
              <w:rPr>
                <w:webHidden/>
                <w:rStyle w:val="IndexLink"/>
                <w:rtl w:val="true"/>
              </w:rPr>
              <w:t>آيا غيبت از كبائر است؟</w:t>
            </w:r>
            <w:r>
              <w:rPr>
                <w:rStyle w:val="IndexLink"/>
                <w:rtl w:val="true"/>
              </w:rPr>
              <w:tab/>
            </w:r>
            <w:r>
              <w:rPr>
                <w:rStyle w:val="IndexLink"/>
              </w:rPr>
              <w:t>49</w:t>
            </w:r>
          </w:hyperlink>
        </w:p>
        <w:p>
          <w:pPr>
            <w:pStyle w:val="Contents4"/>
            <w:tabs>
              <w:tab w:val="clear" w:pos="8176"/>
              <w:tab w:val="right" w:pos="9026" w:leader="dot"/>
            </w:tabs>
            <w:rPr/>
          </w:pPr>
          <w:hyperlink w:anchor="__RefHeading___Toc2770237_3804643083">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2770239_3804643083">
            <w:r>
              <w:rPr>
                <w:webHidden/>
                <w:rStyle w:val="IndexLink"/>
                <w:rtl w:val="true"/>
              </w:rPr>
              <w:t>وجه مخالفت برخي با كبيره بودن غيبت</w:t>
            </w:r>
            <w:r>
              <w:rPr>
                <w:rStyle w:val="IndexLink"/>
                <w:rtl w:val="true"/>
              </w:rPr>
              <w:tab/>
            </w:r>
            <w:r>
              <w:rPr>
                <w:rStyle w:val="IndexLink"/>
              </w:rPr>
              <w:t>50</w:t>
            </w:r>
          </w:hyperlink>
        </w:p>
        <w:p>
          <w:pPr>
            <w:pStyle w:val="Contents4"/>
            <w:tabs>
              <w:tab w:val="clear" w:pos="8176"/>
              <w:tab w:val="right" w:pos="9026" w:leader="dot"/>
            </w:tabs>
            <w:rPr/>
          </w:pPr>
          <w:hyperlink w:anchor="__RefHeading___Toc2770241_3804643083">
            <w:r>
              <w:rPr>
                <w:webHidden/>
                <w:rStyle w:val="IndexLink"/>
                <w:rtl w:val="true"/>
              </w:rPr>
              <w:t>تحقيقي در معناي گناهان كبيره</w:t>
            </w:r>
            <w:r>
              <w:rPr>
                <w:rStyle w:val="IndexLink"/>
                <w:rtl w:val="true"/>
              </w:rPr>
              <w:tab/>
            </w:r>
            <w:r>
              <w:rPr>
                <w:rStyle w:val="IndexLink"/>
              </w:rPr>
              <w:t>50</w:t>
            </w:r>
          </w:hyperlink>
        </w:p>
        <w:p>
          <w:pPr>
            <w:pStyle w:val="Contents4"/>
            <w:tabs>
              <w:tab w:val="clear" w:pos="8176"/>
              <w:tab w:val="right" w:pos="9026" w:leader="dot"/>
            </w:tabs>
            <w:rPr/>
          </w:pPr>
          <w:hyperlink w:anchor="__RefHeading___Toc2770243_3804643083">
            <w:r>
              <w:rPr>
                <w:webHidden/>
                <w:rStyle w:val="IndexLink"/>
                <w:rtl w:val="true"/>
              </w:rPr>
              <w:t>اقوال مختلف در معناي كبيره</w:t>
            </w:r>
            <w:r>
              <w:rPr>
                <w:rStyle w:val="IndexLink"/>
                <w:rtl w:val="true"/>
              </w:rPr>
              <w:tab/>
            </w:r>
            <w:r>
              <w:rPr>
                <w:rStyle w:val="IndexLink"/>
              </w:rPr>
              <w:t>52</w:t>
            </w:r>
          </w:hyperlink>
        </w:p>
        <w:p>
          <w:pPr>
            <w:pStyle w:val="Contents4"/>
            <w:tabs>
              <w:tab w:val="clear" w:pos="8176"/>
              <w:tab w:val="right" w:pos="9026" w:leader="dot"/>
            </w:tabs>
            <w:rPr/>
          </w:pPr>
          <w:hyperlink w:anchor="__RefHeading___Toc2770245_3804643083">
            <w:r>
              <w:rPr>
                <w:webHidden/>
                <w:rStyle w:val="IndexLink"/>
                <w:rtl w:val="true"/>
              </w:rPr>
              <w:t>اطلاقات كبيره در روايات</w:t>
            </w:r>
            <w:r>
              <w:rPr>
                <w:rStyle w:val="IndexLink"/>
                <w:rtl w:val="true"/>
              </w:rPr>
              <w:tab/>
            </w:r>
            <w:r>
              <w:rPr>
                <w:rStyle w:val="IndexLink"/>
              </w:rPr>
              <w:t>54</w:t>
            </w:r>
          </w:hyperlink>
        </w:p>
        <w:p>
          <w:pPr>
            <w:pStyle w:val="Contents4"/>
            <w:tabs>
              <w:tab w:val="clear" w:pos="8176"/>
              <w:tab w:val="right" w:pos="9026" w:leader="dot"/>
            </w:tabs>
            <w:rPr/>
          </w:pPr>
          <w:hyperlink w:anchor="__RefHeading___Toc2770247_3804643083">
            <w:r>
              <w:rPr>
                <w:webHidden/>
                <w:rStyle w:val="IndexLink"/>
                <w:rtl w:val="true"/>
              </w:rPr>
              <w:t>ادلّه‌ي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كبيره بودن غيبت</w:t>
            </w:r>
            <w:r>
              <w:rPr>
                <w:rStyle w:val="IndexLink"/>
                <w:rtl w:val="true"/>
              </w:rPr>
              <w:tab/>
            </w:r>
            <w:r>
              <w:rPr>
                <w:rStyle w:val="IndexLink"/>
              </w:rPr>
              <w:t>66</w:t>
            </w:r>
          </w:hyperlink>
        </w:p>
        <w:p>
          <w:pPr>
            <w:pStyle w:val="Contents4"/>
            <w:tabs>
              <w:tab w:val="clear" w:pos="8176"/>
              <w:tab w:val="right" w:pos="9026" w:leader="dot"/>
            </w:tabs>
            <w:rPr/>
          </w:pPr>
          <w:hyperlink w:anchor="__RefHeading___Toc2770249_3804643083">
            <w:r>
              <w:rPr>
                <w:webHidden/>
                <w:rStyle w:val="IndexLink"/>
                <w:rtl w:val="true"/>
              </w:rPr>
              <w:t>ادلّه‌ي ديگري بر كبيره بودن غيبت</w:t>
            </w:r>
            <w:r>
              <w:rPr>
                <w:rStyle w:val="IndexLink"/>
                <w:rtl w:val="true"/>
              </w:rPr>
              <w:tab/>
            </w:r>
            <w:r>
              <w:rPr>
                <w:rStyle w:val="IndexLink"/>
              </w:rPr>
              <w:t>72</w:t>
            </w:r>
          </w:hyperlink>
        </w:p>
        <w:p>
          <w:pPr>
            <w:pStyle w:val="Contents5"/>
            <w:tabs>
              <w:tab w:val="clear" w:pos="7892"/>
              <w:tab w:val="right" w:pos="9026" w:leader="dot"/>
            </w:tabs>
            <w:rPr/>
          </w:pPr>
          <w:hyperlink w:anchor="__RefHeading___Toc2770251_3804643083">
            <w:r>
              <w:rPr>
                <w:webHidden/>
                <w:rStyle w:val="IndexLink"/>
                <w:rtl w:val="true"/>
              </w:rPr>
              <w:t>استدلال به روايت أنس</w:t>
            </w:r>
            <w:r>
              <w:rPr>
                <w:rStyle w:val="IndexLink"/>
                <w:rtl w:val="true"/>
              </w:rPr>
              <w:tab/>
            </w:r>
            <w:r>
              <w:rPr>
                <w:rStyle w:val="IndexLink"/>
              </w:rPr>
              <w:t>72</w:t>
            </w:r>
          </w:hyperlink>
        </w:p>
        <w:p>
          <w:pPr>
            <w:pStyle w:val="Contents5"/>
            <w:tabs>
              <w:tab w:val="clear" w:pos="7892"/>
              <w:tab w:val="right" w:pos="9026" w:leader="dot"/>
            </w:tabs>
            <w:rPr/>
          </w:pPr>
          <w:hyperlink w:anchor="__RefHeading___Toc2770253_3804643083">
            <w:r>
              <w:rPr>
                <w:webHidden/>
                <w:rStyle w:val="IndexLink"/>
                <w:rtl w:val="true"/>
              </w:rPr>
              <w:t>استدلال به آيه‌ي مذمّت از حُبّ إشاعه‌ي فحشا</w:t>
            </w:r>
            <w:r>
              <w:rPr>
                <w:rStyle w:val="IndexLink"/>
                <w:rtl w:val="true"/>
              </w:rPr>
              <w:tab/>
            </w:r>
            <w:r>
              <w:rPr>
                <w:rStyle w:val="IndexLink"/>
              </w:rPr>
              <w:t>75</w:t>
            </w:r>
          </w:hyperlink>
        </w:p>
        <w:p>
          <w:pPr>
            <w:pStyle w:val="Contents4"/>
            <w:tabs>
              <w:tab w:val="clear" w:pos="8176"/>
              <w:tab w:val="right" w:pos="9026" w:leader="dot"/>
            </w:tabs>
            <w:rPr/>
          </w:pPr>
          <w:hyperlink w:anchor="__RefHeading___Toc2770255_3804643083">
            <w:r>
              <w:rPr>
                <w:webHidden/>
                <w:rStyle w:val="IndexLink"/>
                <w:rtl w:val="true"/>
              </w:rPr>
              <w:t>نتيجه‌ي بحث كبيره بودن غيبت</w:t>
            </w:r>
            <w:r>
              <w:rPr>
                <w:rStyle w:val="IndexLink"/>
                <w:rtl w:val="true"/>
              </w:rPr>
              <w:tab/>
            </w:r>
            <w:r>
              <w:rPr>
                <w:rStyle w:val="IndexLink"/>
              </w:rPr>
              <w:t>77</w:t>
            </w:r>
          </w:hyperlink>
        </w:p>
        <w:p>
          <w:pPr>
            <w:pStyle w:val="Contents3"/>
            <w:tabs>
              <w:tab w:val="clear" w:pos="8459"/>
              <w:tab w:val="right" w:pos="9026" w:leader="dot"/>
            </w:tabs>
            <w:rPr/>
          </w:pPr>
          <w:hyperlink w:anchor="__RefHeading___Toc2770257_3804643083">
            <w:r>
              <w:rPr>
                <w:webHidden/>
                <w:rStyle w:val="IndexLink"/>
                <w:rtl w:val="true"/>
              </w:rPr>
              <w:t xml:space="preserve">آيا منحصراً غيبت </w:t>
            </w:r>
            <w:r>
              <w:rPr>
                <w:rStyle w:val="IndexLink"/>
                <w:rtl w:val="true"/>
              </w:rPr>
              <w:t>«</w:t>
            </w:r>
            <w:r>
              <w:rPr>
                <w:rStyle w:val="IndexLink"/>
                <w:rtl w:val="true"/>
              </w:rPr>
              <w:t>مؤمن</w:t>
            </w:r>
            <w:r>
              <w:rPr>
                <w:rStyle w:val="IndexLink"/>
                <w:rtl w:val="true"/>
              </w:rPr>
              <w:t xml:space="preserve">» </w:t>
            </w:r>
            <w:r>
              <w:rPr>
                <w:rStyle w:val="IndexLink"/>
                <w:rtl w:val="true"/>
              </w:rPr>
              <w:t>حرام است؟</w:t>
            </w:r>
            <w:r>
              <w:rPr>
                <w:rStyle w:val="IndexLink"/>
                <w:rtl w:val="true"/>
              </w:rPr>
              <w:tab/>
            </w:r>
            <w:r>
              <w:rPr>
                <w:rStyle w:val="IndexLink"/>
              </w:rPr>
              <w:t>78</w:t>
            </w:r>
          </w:hyperlink>
        </w:p>
        <w:p>
          <w:pPr>
            <w:pStyle w:val="Contents3"/>
            <w:tabs>
              <w:tab w:val="clear" w:pos="8459"/>
              <w:tab w:val="right" w:pos="9026" w:leader="dot"/>
            </w:tabs>
            <w:rPr/>
          </w:pPr>
          <w:hyperlink w:anchor="__RefHeading___Toc2770259_3804643083">
            <w:r>
              <w:rPr>
                <w:webHidden/>
                <w:rStyle w:val="IndexLink"/>
                <w:rtl w:val="true"/>
              </w:rPr>
              <w:t>حكم غيبت صبيّ مميّز</w:t>
            </w:r>
            <w:r>
              <w:rPr>
                <w:rStyle w:val="IndexLink"/>
                <w:rtl w:val="true"/>
              </w:rPr>
              <w:tab/>
            </w:r>
            <w:r>
              <w:rPr>
                <w:rStyle w:val="IndexLink"/>
              </w:rPr>
              <w:t>81</w:t>
            </w:r>
          </w:hyperlink>
        </w:p>
        <w:p>
          <w:pPr>
            <w:pStyle w:val="Contents3"/>
            <w:tabs>
              <w:tab w:val="clear" w:pos="8459"/>
              <w:tab w:val="right" w:pos="9026" w:leader="dot"/>
            </w:tabs>
            <w:rPr/>
          </w:pPr>
          <w:hyperlink w:anchor="__RefHeading___Toc2770261_3804643083">
            <w:r>
              <w:rPr>
                <w:webHidden/>
                <w:rStyle w:val="IndexLink"/>
                <w:rtl w:val="true"/>
              </w:rPr>
              <w:t>حكم غيبت صبيّ غير مميّز و مجنون</w:t>
            </w:r>
            <w:r>
              <w:rPr>
                <w:rStyle w:val="IndexLink"/>
                <w:rtl w:val="true"/>
              </w:rPr>
              <w:tab/>
            </w:r>
            <w:r>
              <w:rPr>
                <w:rStyle w:val="IndexLink"/>
              </w:rPr>
              <w:t>82</w:t>
            </w:r>
          </w:hyperlink>
        </w:p>
        <w:p>
          <w:pPr>
            <w:pStyle w:val="Contents2"/>
            <w:tabs>
              <w:tab w:val="clear" w:pos="8743"/>
              <w:tab w:val="right" w:pos="9026" w:leader="dot"/>
            </w:tabs>
            <w:rPr/>
          </w:pPr>
          <w:hyperlink w:anchor="__RefHeading___Toc2770263_3804643083">
            <w:r>
              <w:rPr>
                <w:webHidden/>
                <w:rStyle w:val="IndexLink"/>
                <w:rtl w:val="true"/>
              </w:rPr>
              <w:t>حقيقت غيبت چيست؟</w:t>
            </w:r>
            <w:r>
              <w:rPr>
                <w:rStyle w:val="IndexLink"/>
                <w:rtl w:val="true"/>
              </w:rPr>
              <w:tab/>
            </w:r>
            <w:r>
              <w:rPr>
                <w:rStyle w:val="IndexLink"/>
              </w:rPr>
              <w:t>85</w:t>
            </w:r>
          </w:hyperlink>
        </w:p>
        <w:p>
          <w:pPr>
            <w:pStyle w:val="Contents3"/>
            <w:tabs>
              <w:tab w:val="clear" w:pos="8459"/>
              <w:tab w:val="right" w:pos="9026" w:leader="dot"/>
            </w:tabs>
            <w:rPr/>
          </w:pPr>
          <w:hyperlink w:anchor="__RefHeading___Toc2770265_3804643083">
            <w:r>
              <w:rPr>
                <w:webHidden/>
                <w:rStyle w:val="IndexLink"/>
                <w:rtl w:val="true"/>
              </w:rPr>
              <w:t>اشاره</w:t>
            </w:r>
            <w:r>
              <w:rPr>
                <w:rStyle w:val="IndexLink"/>
                <w:rtl w:val="true"/>
              </w:rPr>
              <w:tab/>
            </w:r>
            <w:r>
              <w:rPr>
                <w:rStyle w:val="IndexLink"/>
              </w:rPr>
              <w:t>85</w:t>
            </w:r>
          </w:hyperlink>
        </w:p>
        <w:p>
          <w:pPr>
            <w:pStyle w:val="Contents3"/>
            <w:tabs>
              <w:tab w:val="clear" w:pos="8459"/>
              <w:tab w:val="right" w:pos="9026" w:leader="dot"/>
            </w:tabs>
            <w:rPr/>
          </w:pPr>
          <w:hyperlink w:anchor="__RefHeading___Toc2770267_3804643083">
            <w:r>
              <w:rPr>
                <w:webHidden/>
                <w:rStyle w:val="IndexLink"/>
                <w:rtl w:val="true"/>
              </w:rPr>
              <w:t>قيود مورد بحث در تعريف غيبت</w:t>
            </w:r>
            <w:r>
              <w:rPr>
                <w:rStyle w:val="IndexLink"/>
                <w:rtl w:val="true"/>
              </w:rPr>
              <w:tab/>
            </w:r>
            <w:r>
              <w:rPr>
                <w:rStyle w:val="IndexLink"/>
              </w:rPr>
              <w:t>86</w:t>
            </w:r>
          </w:hyperlink>
        </w:p>
        <w:p>
          <w:pPr>
            <w:pStyle w:val="Contents4"/>
            <w:tabs>
              <w:tab w:val="clear" w:pos="8176"/>
              <w:tab w:val="right" w:pos="9026" w:leader="dot"/>
            </w:tabs>
            <w:rPr/>
          </w:pPr>
          <w:hyperlink w:anchor="__RefHeading___Toc2770269_3804643083">
            <w:r>
              <w:rPr>
                <w:webHidden/>
                <w:rStyle w:val="IndexLink"/>
                <w:rtl w:val="true"/>
              </w:rPr>
              <w:t>وجود عيب در غيبت شونده</w:t>
            </w:r>
            <w:r>
              <w:rPr>
                <w:rStyle w:val="IndexLink"/>
                <w:rtl w:val="true"/>
              </w:rPr>
              <w:tab/>
            </w:r>
            <w:r>
              <w:rPr>
                <w:rStyle w:val="IndexLink"/>
              </w:rPr>
              <w:t>86</w:t>
            </w:r>
          </w:hyperlink>
        </w:p>
        <w:p>
          <w:pPr>
            <w:pStyle w:val="Contents4"/>
            <w:tabs>
              <w:tab w:val="clear" w:pos="8176"/>
              <w:tab w:val="right" w:pos="9026" w:leader="dot"/>
            </w:tabs>
            <w:rPr/>
          </w:pPr>
          <w:hyperlink w:anchor="__RefHeading___Toc2770271_3804643083">
            <w:r>
              <w:rPr>
                <w:webHidden/>
                <w:rStyle w:val="IndexLink"/>
                <w:rtl w:val="true"/>
              </w:rPr>
              <w:t>مستوريت عيب</w:t>
            </w:r>
            <w:r>
              <w:rPr>
                <w:rStyle w:val="IndexLink"/>
                <w:rtl w:val="true"/>
              </w:rPr>
              <w:tab/>
            </w:r>
            <w:r>
              <w:rPr>
                <w:rStyle w:val="IndexLink"/>
              </w:rPr>
              <w:t>87</w:t>
            </w:r>
          </w:hyperlink>
        </w:p>
        <w:p>
          <w:pPr>
            <w:pStyle w:val="Contents4"/>
            <w:tabs>
              <w:tab w:val="clear" w:pos="8176"/>
              <w:tab w:val="right" w:pos="9026" w:leader="dot"/>
            </w:tabs>
            <w:rPr/>
          </w:pPr>
          <w:hyperlink w:anchor="__RefHeading___Toc2770273_3804643083">
            <w:r>
              <w:rPr>
                <w:webHidden/>
                <w:rStyle w:val="IndexLink"/>
                <w:rtl w:val="true"/>
              </w:rPr>
              <w:t>عدم رضايت غيبت شونده</w:t>
            </w:r>
            <w:r>
              <w:rPr>
                <w:rStyle w:val="IndexLink"/>
                <w:rtl w:val="true"/>
              </w:rPr>
              <w:tab/>
            </w:r>
            <w:r>
              <w:rPr>
                <w:rStyle w:val="IndexLink"/>
              </w:rPr>
              <w:t>87</w:t>
            </w:r>
          </w:hyperlink>
        </w:p>
        <w:p>
          <w:pPr>
            <w:pStyle w:val="Contents5"/>
            <w:tabs>
              <w:tab w:val="clear" w:pos="7892"/>
              <w:tab w:val="right" w:pos="9026" w:leader="dot"/>
            </w:tabs>
            <w:rPr/>
          </w:pPr>
          <w:hyperlink w:anchor="__RefHeading___Toc2770275_3804643083">
            <w:r>
              <w:rPr>
                <w:webHidden/>
                <w:rStyle w:val="IndexLink"/>
                <w:rtl w:val="true"/>
              </w:rPr>
              <w:t>اشاره</w:t>
            </w:r>
            <w:r>
              <w:rPr>
                <w:rStyle w:val="IndexLink"/>
                <w:rtl w:val="true"/>
              </w:rPr>
              <w:tab/>
            </w:r>
            <w:r>
              <w:rPr>
                <w:rStyle w:val="IndexLink"/>
              </w:rPr>
              <w:t>87</w:t>
            </w:r>
          </w:hyperlink>
        </w:p>
        <w:p>
          <w:pPr>
            <w:pStyle w:val="Contents5"/>
            <w:tabs>
              <w:tab w:val="clear" w:pos="7892"/>
              <w:tab w:val="right" w:pos="9026" w:leader="dot"/>
            </w:tabs>
            <w:rPr/>
          </w:pPr>
          <w:hyperlink w:anchor="__RefHeading___Toc2770277_3804643083">
            <w:r>
              <w:rPr>
                <w:webHidden/>
                <w:rStyle w:val="IndexLink"/>
                <w:rtl w:val="true"/>
              </w:rPr>
              <w:t>ديدگاه حضرت امام</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عدم لزوم وجود عيب، براي تحقّق غيبت</w:t>
            </w:r>
            <w:r>
              <w:rPr>
                <w:rStyle w:val="IndexLink"/>
                <w:rtl w:val="true"/>
              </w:rPr>
              <w:tab/>
            </w:r>
            <w:r>
              <w:rPr>
                <w:rStyle w:val="IndexLink"/>
              </w:rPr>
              <w:t>87</w:t>
            </w:r>
          </w:hyperlink>
        </w:p>
        <w:p>
          <w:pPr>
            <w:pStyle w:val="Contents5"/>
            <w:tabs>
              <w:tab w:val="clear" w:pos="7892"/>
              <w:tab w:val="right" w:pos="9026" w:leader="dot"/>
            </w:tabs>
            <w:rPr/>
          </w:pPr>
          <w:hyperlink w:anchor="__RefHeading___Toc2770279_3804643083">
            <w:r>
              <w:rPr>
                <w:webHidden/>
                <w:rStyle w:val="IndexLink"/>
                <w:rtl w:val="true"/>
              </w:rPr>
              <w:t>آيا مستور بودن عيب، شرط تحقّق غيبت است؟</w:t>
            </w:r>
            <w:r>
              <w:rPr>
                <w:rStyle w:val="IndexLink"/>
                <w:rtl w:val="true"/>
              </w:rPr>
              <w:tab/>
            </w:r>
            <w:r>
              <w:rPr>
                <w:rStyle w:val="IndexLink"/>
              </w:rPr>
              <w:t>89</w:t>
            </w:r>
          </w:hyperlink>
        </w:p>
        <w:p>
          <w:pPr>
            <w:pStyle w:val="Contents5"/>
            <w:tabs>
              <w:tab w:val="clear" w:pos="7892"/>
              <w:tab w:val="right" w:pos="9026" w:leader="dot"/>
            </w:tabs>
            <w:rPr/>
          </w:pPr>
          <w:hyperlink w:anchor="__RefHeading___Toc2770281_3804643083">
            <w:r>
              <w:rPr>
                <w:webHidden/>
                <w:rStyle w:val="IndexLink"/>
                <w:rtl w:val="true"/>
              </w:rPr>
              <w:t>نقد و بررسي ديدگاه حضرت امام</w:t>
            </w:r>
            <w:r>
              <w:rPr>
                <w:rStyle w:val="IndexLink"/>
                <w:rtl w:val="true"/>
              </w:rPr>
              <w:t xml:space="preserve">- </w:t>
            </w:r>
            <w:r>
              <w:rPr>
                <w:rStyle w:val="IndexLink"/>
                <w:rtl w:val="true"/>
              </w:rPr>
              <w:t xml:space="preserve">قدس سره </w:t>
            </w:r>
            <w:r>
              <w:rPr>
                <w:rStyle w:val="IndexLink"/>
                <w:rtl w:val="true"/>
              </w:rPr>
              <w:t>-</w:t>
              <w:tab/>
            </w:r>
            <w:r>
              <w:rPr>
                <w:rStyle w:val="IndexLink"/>
              </w:rPr>
              <w:t>90</w:t>
            </w:r>
          </w:hyperlink>
        </w:p>
        <w:p>
          <w:pPr>
            <w:pStyle w:val="Contents4"/>
            <w:tabs>
              <w:tab w:val="clear" w:pos="8176"/>
              <w:tab w:val="right" w:pos="9026" w:leader="dot"/>
            </w:tabs>
            <w:rPr/>
          </w:pPr>
          <w:hyperlink w:anchor="__RefHeading___Toc2770283_3804643083">
            <w:r>
              <w:rPr>
                <w:webHidden/>
                <w:rStyle w:val="IndexLink"/>
                <w:rtl w:val="true"/>
              </w:rPr>
              <w:t>بررسي اقوال لغويين در تبيين حقيقت غيبت</w:t>
            </w:r>
            <w:r>
              <w:rPr>
                <w:rStyle w:val="IndexLink"/>
                <w:rtl w:val="true"/>
              </w:rPr>
              <w:tab/>
            </w:r>
            <w:r>
              <w:rPr>
                <w:rStyle w:val="IndexLink"/>
              </w:rPr>
              <w:t>92</w:t>
            </w:r>
          </w:hyperlink>
        </w:p>
        <w:p>
          <w:pPr>
            <w:pStyle w:val="Contents5"/>
            <w:tabs>
              <w:tab w:val="clear" w:pos="7892"/>
              <w:tab w:val="right" w:pos="9026" w:leader="dot"/>
            </w:tabs>
            <w:rPr/>
          </w:pPr>
          <w:hyperlink w:anchor="__RefHeading___Toc2770285_3804643083">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2770287_3804643083">
            <w:r>
              <w:rPr>
                <w:webHidden/>
                <w:rStyle w:val="IndexLink"/>
                <w:rtl w:val="true"/>
              </w:rPr>
              <w:t>نتيجه‌ي بررسي اقوال</w:t>
            </w:r>
            <w:r>
              <w:rPr>
                <w:rStyle w:val="IndexLink"/>
                <w:rtl w:val="true"/>
              </w:rPr>
              <w:tab/>
            </w:r>
            <w:r>
              <w:rPr>
                <w:rStyle w:val="IndexLink"/>
              </w:rPr>
              <w:t>99</w:t>
            </w:r>
          </w:hyperlink>
        </w:p>
        <w:p>
          <w:pPr>
            <w:pStyle w:val="Contents4"/>
            <w:tabs>
              <w:tab w:val="clear" w:pos="8176"/>
              <w:tab w:val="right" w:pos="9026" w:leader="dot"/>
            </w:tabs>
            <w:rPr/>
          </w:pPr>
          <w:hyperlink w:anchor="__RefHeading___Toc2770289_3804643083">
            <w:r>
              <w:rPr>
                <w:webHidden/>
                <w:rStyle w:val="IndexLink"/>
                <w:rtl w:val="true"/>
              </w:rPr>
              <w:t>مناقشه در تعاريف لغويين</w:t>
            </w:r>
            <w:r>
              <w:rPr>
                <w:rStyle w:val="IndexLink"/>
                <w:rtl w:val="true"/>
              </w:rPr>
              <w:tab/>
            </w:r>
            <w:r>
              <w:rPr>
                <w:rStyle w:val="IndexLink"/>
              </w:rPr>
              <w:t>101</w:t>
            </w:r>
          </w:hyperlink>
        </w:p>
        <w:p>
          <w:pPr>
            <w:pStyle w:val="Contents3"/>
            <w:tabs>
              <w:tab w:val="clear" w:pos="8459"/>
              <w:tab w:val="right" w:pos="9026" w:leader="dot"/>
            </w:tabs>
            <w:rPr/>
          </w:pPr>
          <w:hyperlink w:anchor="__RefHeading___Toc2770291_3804643083">
            <w:r>
              <w:rPr>
                <w:webHidden/>
                <w:rStyle w:val="IndexLink"/>
                <w:rtl w:val="true"/>
              </w:rPr>
              <w:t>اشاره به معناي غيبت در روايات و تعريف فقها از غيبت</w:t>
            </w:r>
            <w:r>
              <w:rPr>
                <w:rStyle w:val="IndexLink"/>
                <w:rtl w:val="true"/>
              </w:rPr>
              <w:tab/>
            </w:r>
            <w:r>
              <w:rPr>
                <w:rStyle w:val="IndexLink"/>
              </w:rPr>
              <w:t>103</w:t>
            </w:r>
          </w:hyperlink>
        </w:p>
        <w:p>
          <w:pPr>
            <w:pStyle w:val="Contents4"/>
            <w:tabs>
              <w:tab w:val="clear" w:pos="8176"/>
              <w:tab w:val="right" w:pos="9026" w:leader="dot"/>
            </w:tabs>
            <w:rPr/>
          </w:pPr>
          <w:hyperlink w:anchor="__RefHeading___Toc2770293_3804643083">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2770295_3804643083">
            <w:r>
              <w:rPr>
                <w:webHidden/>
                <w:rStyle w:val="IndexLink"/>
                <w:rtl w:val="true"/>
              </w:rPr>
              <w:t>نقل دو تعريف از غيبت توسط شهيد ثاني</w:t>
            </w:r>
            <w:r>
              <w:rPr>
                <w:rStyle w:val="IndexLink"/>
                <w:rtl w:val="true"/>
              </w:rPr>
              <w:t xml:space="preserve">- </w:t>
            </w:r>
            <w:r>
              <w:rPr>
                <w:rStyle w:val="IndexLink"/>
                <w:rtl w:val="true"/>
              </w:rPr>
              <w:t xml:space="preserve">قدس سره </w:t>
            </w:r>
            <w:r>
              <w:rPr>
                <w:rStyle w:val="IndexLink"/>
                <w:rtl w:val="true"/>
              </w:rPr>
              <w:t>-</w:t>
              <w:tab/>
            </w:r>
            <w:r>
              <w:rPr>
                <w:rStyle w:val="IndexLink"/>
              </w:rPr>
              <w:t>105</w:t>
            </w:r>
          </w:hyperlink>
        </w:p>
        <w:p>
          <w:pPr>
            <w:pStyle w:val="Contents4"/>
            <w:tabs>
              <w:tab w:val="clear" w:pos="8176"/>
              <w:tab w:val="right" w:pos="9026" w:leader="dot"/>
            </w:tabs>
            <w:rPr/>
          </w:pPr>
          <w:hyperlink w:anchor="__RefHeading___Toc2770297_3804643083">
            <w:r>
              <w:rPr>
                <w:webHidden/>
                <w:rStyle w:val="IndexLink"/>
                <w:rtl w:val="true"/>
              </w:rPr>
              <w:t>تعريف محقّق كَرَكي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غيبت</w:t>
            </w:r>
            <w:r>
              <w:rPr>
                <w:rStyle w:val="IndexLink"/>
                <w:rtl w:val="true"/>
              </w:rPr>
              <w:tab/>
            </w:r>
            <w:r>
              <w:rPr>
                <w:rStyle w:val="IndexLink"/>
              </w:rPr>
              <w:t>109</w:t>
            </w:r>
          </w:hyperlink>
        </w:p>
        <w:p>
          <w:pPr>
            <w:pStyle w:val="Contents4"/>
            <w:tabs>
              <w:tab w:val="clear" w:pos="8176"/>
              <w:tab w:val="right" w:pos="9026" w:leader="dot"/>
            </w:tabs>
            <w:rPr/>
          </w:pPr>
          <w:hyperlink w:anchor="__RefHeading___Toc2770299_3804643083">
            <w:r>
              <w:rPr>
                <w:webHidden/>
                <w:rStyle w:val="IndexLink"/>
                <w:rtl w:val="true"/>
              </w:rPr>
              <w:t xml:space="preserve">تعريف نراقي اوّل </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غيبت</w:t>
            </w:r>
            <w:r>
              <w:rPr>
                <w:rStyle w:val="IndexLink"/>
                <w:rtl w:val="true"/>
              </w:rPr>
              <w:tab/>
            </w:r>
            <w:r>
              <w:rPr>
                <w:rStyle w:val="IndexLink"/>
              </w:rPr>
              <w:t>110</w:t>
            </w:r>
          </w:hyperlink>
        </w:p>
        <w:p>
          <w:pPr>
            <w:pStyle w:val="Contents4"/>
            <w:tabs>
              <w:tab w:val="clear" w:pos="8176"/>
              <w:tab w:val="right" w:pos="9026" w:leader="dot"/>
            </w:tabs>
            <w:rPr/>
          </w:pPr>
          <w:hyperlink w:anchor="__RefHeading___Toc2770301_3804643083">
            <w:r>
              <w:rPr>
                <w:webHidden/>
                <w:rStyle w:val="IndexLink"/>
                <w:rtl w:val="true"/>
              </w:rPr>
              <w:t>تعريف شيخ بهايي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غيبت</w:t>
            </w:r>
            <w:r>
              <w:rPr>
                <w:rStyle w:val="IndexLink"/>
                <w:rtl w:val="true"/>
              </w:rPr>
              <w:tab/>
            </w:r>
            <w:r>
              <w:rPr>
                <w:rStyle w:val="IndexLink"/>
              </w:rPr>
              <w:t>111</w:t>
            </w:r>
          </w:hyperlink>
        </w:p>
        <w:p>
          <w:pPr>
            <w:pStyle w:val="Contents4"/>
            <w:tabs>
              <w:tab w:val="clear" w:pos="8176"/>
              <w:tab w:val="right" w:pos="9026" w:leader="dot"/>
            </w:tabs>
            <w:rPr/>
          </w:pPr>
          <w:hyperlink w:anchor="__RefHeading___Toc2770303_3804643083">
            <w:r>
              <w:rPr>
                <w:webHidden/>
                <w:rStyle w:val="IndexLink"/>
                <w:rtl w:val="true"/>
              </w:rPr>
              <w:t>تعريف نراقي ثاني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از غيبت</w:t>
            </w:r>
            <w:r>
              <w:rPr>
                <w:rStyle w:val="IndexLink"/>
                <w:rtl w:val="true"/>
              </w:rPr>
              <w:tab/>
            </w:r>
            <w:r>
              <w:rPr>
                <w:rStyle w:val="IndexLink"/>
              </w:rPr>
              <w:t>111</w:t>
            </w:r>
          </w:hyperlink>
        </w:p>
        <w:p>
          <w:pPr>
            <w:pStyle w:val="Contents4"/>
            <w:tabs>
              <w:tab w:val="clear" w:pos="8176"/>
              <w:tab w:val="right" w:pos="9026" w:leader="dot"/>
            </w:tabs>
            <w:rPr/>
          </w:pPr>
          <w:hyperlink w:anchor="__RefHeading___Toc2770305_3804643083">
            <w:r>
              <w:rPr>
                <w:webHidden/>
                <w:rStyle w:val="IndexLink"/>
                <w:rtl w:val="true"/>
              </w:rPr>
              <w:t>تفسير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از عبارت </w:t>
            </w:r>
            <w:r>
              <w:rPr>
                <w:rStyle w:val="IndexLink"/>
                <w:rtl w:val="true"/>
              </w:rPr>
              <w:t>«</w:t>
            </w:r>
            <w:r>
              <w:rPr>
                <w:rStyle w:val="IndexLink"/>
                <w:rtl w:val="true"/>
              </w:rPr>
              <w:t>ذكرك أخاك بما يكرهه</w:t>
            </w:r>
            <w:r>
              <w:rPr>
                <w:rStyle w:val="IndexLink"/>
                <w:rtl w:val="true"/>
              </w:rPr>
              <w:t>»</w:t>
              <w:tab/>
            </w:r>
            <w:r>
              <w:rPr>
                <w:rStyle w:val="IndexLink"/>
              </w:rPr>
              <w:t>112</w:t>
            </w:r>
          </w:hyperlink>
        </w:p>
        <w:p>
          <w:pPr>
            <w:pStyle w:val="Contents5"/>
            <w:tabs>
              <w:tab w:val="clear" w:pos="7892"/>
              <w:tab w:val="right" w:pos="9026" w:leader="dot"/>
            </w:tabs>
            <w:rPr/>
          </w:pPr>
          <w:hyperlink w:anchor="__RefHeading___Toc2770307_3804643083">
            <w:r>
              <w:rPr>
                <w:webHidden/>
                <w:rStyle w:val="IndexLink"/>
                <w:rtl w:val="true"/>
              </w:rPr>
              <w:t>اشاره</w:t>
            </w:r>
            <w:r>
              <w:rPr>
                <w:rStyle w:val="IndexLink"/>
                <w:rtl w:val="true"/>
              </w:rPr>
              <w:tab/>
            </w:r>
            <w:r>
              <w:rPr>
                <w:rStyle w:val="IndexLink"/>
              </w:rPr>
              <w:t>112</w:t>
            </w:r>
          </w:hyperlink>
        </w:p>
        <w:p>
          <w:pPr>
            <w:pStyle w:val="Contents5"/>
            <w:tabs>
              <w:tab w:val="clear" w:pos="7892"/>
              <w:tab w:val="right" w:pos="9026" w:leader="dot"/>
            </w:tabs>
            <w:rPr/>
          </w:pPr>
          <w:hyperlink w:anchor="__RefHeading___Toc2770309_3804643083">
            <w:r>
              <w:rPr>
                <w:webHidden/>
                <w:rStyle w:val="IndexLink"/>
                <w:rtl w:val="true"/>
              </w:rPr>
              <w:t>تفصيل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تعريف غيبت</w:t>
            </w:r>
            <w:r>
              <w:rPr>
                <w:rStyle w:val="IndexLink"/>
                <w:rtl w:val="true"/>
              </w:rPr>
              <w:tab/>
            </w:r>
            <w:r>
              <w:rPr>
                <w:rStyle w:val="IndexLink"/>
              </w:rPr>
              <w:t>116</w:t>
            </w:r>
          </w:hyperlink>
        </w:p>
        <w:p>
          <w:pPr>
            <w:pStyle w:val="Contents3"/>
            <w:tabs>
              <w:tab w:val="clear" w:pos="8459"/>
              <w:tab w:val="right" w:pos="9026" w:leader="dot"/>
            </w:tabs>
            <w:rPr/>
          </w:pPr>
          <w:hyperlink w:anchor="__RefHeading___Toc2770311_3804643083">
            <w:r>
              <w:rPr>
                <w:webHidden/>
                <w:rStyle w:val="IndexLink"/>
                <w:rtl w:val="true"/>
              </w:rPr>
              <w:t>نقد و بررسي</w:t>
            </w:r>
            <w:r>
              <w:rPr>
                <w:rStyle w:val="IndexLink"/>
                <w:rtl w:val="true"/>
              </w:rPr>
              <w:tab/>
            </w:r>
            <w:r>
              <w:rPr>
                <w:rStyle w:val="IndexLink"/>
              </w:rPr>
              <w:t>118</w:t>
            </w:r>
          </w:hyperlink>
        </w:p>
        <w:p>
          <w:pPr>
            <w:pStyle w:val="Contents3"/>
            <w:tabs>
              <w:tab w:val="clear" w:pos="8459"/>
              <w:tab w:val="right" w:pos="9026" w:leader="dot"/>
            </w:tabs>
            <w:rPr/>
          </w:pPr>
          <w:hyperlink w:anchor="__RefHeading___Toc2770313_3804643083">
            <w:r>
              <w:rPr>
                <w:webHidden/>
                <w:rStyle w:val="IndexLink"/>
                <w:rtl w:val="true"/>
              </w:rPr>
              <w:t>قول مختار در تعريف غيبت</w:t>
            </w:r>
            <w:r>
              <w:rPr>
                <w:rStyle w:val="IndexLink"/>
                <w:rtl w:val="true"/>
              </w:rPr>
              <w:tab/>
            </w:r>
            <w:r>
              <w:rPr>
                <w:rStyle w:val="IndexLink"/>
              </w:rPr>
              <w:t>124</w:t>
            </w:r>
          </w:hyperlink>
        </w:p>
        <w:p>
          <w:pPr>
            <w:pStyle w:val="Contents2"/>
            <w:tabs>
              <w:tab w:val="clear" w:pos="8743"/>
              <w:tab w:val="right" w:pos="9026" w:leader="dot"/>
            </w:tabs>
            <w:rPr/>
          </w:pPr>
          <w:hyperlink w:anchor="__RefHeading___Toc2770315_3804643083">
            <w:r>
              <w:rPr>
                <w:webHidden/>
                <w:rStyle w:val="IndexLink"/>
                <w:rtl w:val="true"/>
              </w:rPr>
              <w:t xml:space="preserve">تنبيهات مرحوم شيخ </w:t>
            </w:r>
            <w:r>
              <w:rPr>
                <w:rStyle w:val="IndexLink"/>
                <w:rtl w:val="true"/>
              </w:rPr>
              <w:t>(</w:t>
            </w:r>
            <w:r>
              <w:rPr>
                <w:rStyle w:val="IndexLink"/>
                <w:rtl w:val="true"/>
              </w:rPr>
              <w:t>قدس سره</w:t>
            </w:r>
            <w:r>
              <w:rPr>
                <w:rStyle w:val="IndexLink"/>
                <w:rtl w:val="true"/>
              </w:rPr>
              <w:t>)</w:t>
              <w:tab/>
            </w:r>
            <w:r>
              <w:rPr>
                <w:rStyle w:val="IndexLink"/>
              </w:rPr>
              <w:t>125</w:t>
            </w:r>
          </w:hyperlink>
        </w:p>
        <w:p>
          <w:pPr>
            <w:pStyle w:val="Contents3"/>
            <w:tabs>
              <w:tab w:val="clear" w:pos="8459"/>
              <w:tab w:val="right" w:pos="9026" w:leader="dot"/>
            </w:tabs>
            <w:rPr/>
          </w:pPr>
          <w:hyperlink w:anchor="__RefHeading___Toc2770317_3804643083">
            <w:r>
              <w:rPr>
                <w:webHidden/>
                <w:rStyle w:val="IndexLink"/>
                <w:rtl w:val="true"/>
              </w:rPr>
              <w:t>اشاره</w:t>
            </w:r>
            <w:r>
              <w:rPr>
                <w:rStyle w:val="IndexLink"/>
                <w:rtl w:val="true"/>
              </w:rPr>
              <w:tab/>
            </w:r>
            <w:r>
              <w:rPr>
                <w:rStyle w:val="IndexLink"/>
              </w:rPr>
              <w:t>125</w:t>
            </w:r>
          </w:hyperlink>
        </w:p>
        <w:p>
          <w:pPr>
            <w:pStyle w:val="Contents3"/>
            <w:tabs>
              <w:tab w:val="clear" w:pos="8459"/>
              <w:tab w:val="right" w:pos="9026" w:leader="dot"/>
            </w:tabs>
            <w:rPr/>
          </w:pPr>
          <w:hyperlink w:anchor="__RefHeading___Toc2770319_3804643083">
            <w:r>
              <w:rPr>
                <w:webHidden/>
                <w:rStyle w:val="IndexLink"/>
                <w:rtl w:val="true"/>
              </w:rPr>
              <w:t>امر اوّل</w:t>
            </w:r>
            <w:r>
              <w:rPr>
                <w:rStyle w:val="IndexLink"/>
                <w:rtl w:val="true"/>
              </w:rPr>
              <w:t xml:space="preserve">: </w:t>
            </w:r>
            <w:r>
              <w:rPr>
                <w:rStyle w:val="IndexLink"/>
                <w:rtl w:val="true"/>
              </w:rPr>
              <w:t>نقش قصد انتقاص در تحقّق غيبت در ديدگاه شهيد ثاني</w:t>
            </w:r>
            <w:r>
              <w:rPr>
                <w:rStyle w:val="IndexLink"/>
                <w:rtl w:val="true"/>
              </w:rPr>
              <w:t xml:space="preserve">- </w:t>
            </w:r>
            <w:r>
              <w:rPr>
                <w:rStyle w:val="IndexLink"/>
                <w:rtl w:val="true"/>
              </w:rPr>
              <w:t xml:space="preserve">قدس سره </w:t>
            </w:r>
            <w:r>
              <w:rPr>
                <w:rStyle w:val="IndexLink"/>
                <w:rtl w:val="true"/>
              </w:rPr>
              <w:t>-</w:t>
              <w:tab/>
            </w:r>
            <w:r>
              <w:rPr>
                <w:rStyle w:val="IndexLink"/>
              </w:rPr>
              <w:t>126</w:t>
            </w:r>
          </w:hyperlink>
        </w:p>
        <w:p>
          <w:pPr>
            <w:pStyle w:val="Contents4"/>
            <w:tabs>
              <w:tab w:val="clear" w:pos="8176"/>
              <w:tab w:val="right" w:pos="9026" w:leader="dot"/>
            </w:tabs>
            <w:rPr/>
          </w:pPr>
          <w:hyperlink w:anchor="__RefHeading___Toc2770321_3804643083">
            <w:r>
              <w:rPr>
                <w:webHidden/>
                <w:rStyle w:val="IndexLink"/>
                <w:rtl w:val="true"/>
              </w:rPr>
              <w:t>اشاره</w:t>
            </w:r>
            <w:r>
              <w:rPr>
                <w:rStyle w:val="IndexLink"/>
                <w:rtl w:val="true"/>
              </w:rPr>
              <w:tab/>
            </w:r>
            <w:r>
              <w:rPr>
                <w:rStyle w:val="IndexLink"/>
              </w:rPr>
              <w:t>126</w:t>
            </w:r>
          </w:hyperlink>
        </w:p>
        <w:p>
          <w:pPr>
            <w:pStyle w:val="Contents4"/>
            <w:tabs>
              <w:tab w:val="clear" w:pos="8176"/>
              <w:tab w:val="right" w:pos="9026" w:leader="dot"/>
            </w:tabs>
            <w:rPr/>
          </w:pPr>
          <w:hyperlink w:anchor="__RefHeading___Toc2770323_3804643083">
            <w:r>
              <w:rPr>
                <w:webHidden/>
                <w:rStyle w:val="IndexLink"/>
                <w:rtl w:val="true"/>
              </w:rPr>
              <w:t>مناقشه در كلام شهيد ثاني</w:t>
            </w:r>
            <w:r>
              <w:rPr>
                <w:rStyle w:val="IndexLink"/>
                <w:rtl w:val="true"/>
              </w:rPr>
              <w:t xml:space="preserve">- </w:t>
            </w:r>
            <w:r>
              <w:rPr>
                <w:rStyle w:val="IndexLink"/>
                <w:rtl w:val="true"/>
              </w:rPr>
              <w:t xml:space="preserve">قدس سره </w:t>
            </w:r>
            <w:r>
              <w:rPr>
                <w:rStyle w:val="IndexLink"/>
                <w:rtl w:val="true"/>
              </w:rPr>
              <w:t>-</w:t>
              <w:tab/>
            </w:r>
            <w:r>
              <w:rPr>
                <w:rStyle w:val="IndexLink"/>
              </w:rPr>
              <w:t>127</w:t>
            </w:r>
          </w:hyperlink>
        </w:p>
        <w:p>
          <w:pPr>
            <w:pStyle w:val="Contents5"/>
            <w:tabs>
              <w:tab w:val="clear" w:pos="7892"/>
              <w:tab w:val="right" w:pos="9026" w:leader="dot"/>
            </w:tabs>
            <w:rPr/>
          </w:pPr>
          <w:hyperlink w:anchor="__RefHeading___Toc2770325_3804643083">
            <w:r>
              <w:rPr>
                <w:webHidden/>
                <w:rStyle w:val="IndexLink"/>
                <w:rtl w:val="true"/>
              </w:rPr>
              <w:t>اشاره</w:t>
            </w:r>
            <w:r>
              <w:rPr>
                <w:rStyle w:val="IndexLink"/>
                <w:rtl w:val="true"/>
              </w:rPr>
              <w:tab/>
            </w:r>
            <w:r>
              <w:rPr>
                <w:rStyle w:val="IndexLink"/>
              </w:rPr>
              <w:t>127</w:t>
            </w:r>
          </w:hyperlink>
        </w:p>
        <w:p>
          <w:pPr>
            <w:pStyle w:val="Contents5"/>
            <w:tabs>
              <w:tab w:val="clear" w:pos="7892"/>
              <w:tab w:val="right" w:pos="9026" w:leader="dot"/>
            </w:tabs>
            <w:rPr/>
          </w:pPr>
          <w:hyperlink w:anchor="__RefHeading___Toc2770327_3804643083">
            <w:r>
              <w:rPr>
                <w:webHidden/>
                <w:rStyle w:val="IndexLink"/>
                <w:rtl w:val="true"/>
              </w:rPr>
              <w:t>آيا گفتن بيماري ديگران نزد پزشك، غيبت است؟</w:t>
            </w:r>
            <w:r>
              <w:rPr>
                <w:rStyle w:val="IndexLink"/>
                <w:rtl w:val="true"/>
              </w:rPr>
              <w:tab/>
            </w:r>
            <w:r>
              <w:rPr>
                <w:rStyle w:val="IndexLink"/>
              </w:rPr>
              <w:t>128</w:t>
            </w:r>
          </w:hyperlink>
        </w:p>
        <w:p>
          <w:pPr>
            <w:pStyle w:val="Contents3"/>
            <w:tabs>
              <w:tab w:val="clear" w:pos="8459"/>
              <w:tab w:val="right" w:pos="9026" w:leader="dot"/>
            </w:tabs>
            <w:rPr/>
          </w:pPr>
          <w:hyperlink w:anchor="__RefHeading___Toc2770329_3804643083">
            <w:r>
              <w:rPr>
                <w:webHidden/>
                <w:rStyle w:val="IndexLink"/>
                <w:rtl w:val="true"/>
              </w:rPr>
              <w:t>امر دوم</w:t>
            </w:r>
            <w:r>
              <w:rPr>
                <w:rStyle w:val="IndexLink"/>
                <w:rtl w:val="true"/>
              </w:rPr>
              <w:t xml:space="preserve">: </w:t>
            </w:r>
            <w:r>
              <w:rPr>
                <w:rStyle w:val="IndexLink"/>
                <w:rtl w:val="true"/>
              </w:rPr>
              <w:t>آيا حديث نفس هم غيبت است؟</w:t>
            </w:r>
            <w:r>
              <w:rPr>
                <w:rStyle w:val="IndexLink"/>
                <w:rtl w:val="true"/>
              </w:rPr>
              <w:tab/>
            </w:r>
            <w:r>
              <w:rPr>
                <w:rStyle w:val="IndexLink"/>
              </w:rPr>
              <w:t>129</w:t>
            </w:r>
          </w:hyperlink>
        </w:p>
        <w:p>
          <w:pPr>
            <w:pStyle w:val="Contents3"/>
            <w:tabs>
              <w:tab w:val="clear" w:pos="8459"/>
              <w:tab w:val="right" w:pos="9026" w:leader="dot"/>
            </w:tabs>
            <w:rPr/>
          </w:pPr>
          <w:hyperlink w:anchor="__RefHeading___Toc2770331_3804643083">
            <w:r>
              <w:rPr>
                <w:webHidden/>
                <w:rStyle w:val="IndexLink"/>
                <w:rtl w:val="true"/>
              </w:rPr>
              <w:t>امر سوم</w:t>
            </w:r>
            <w:r>
              <w:rPr>
                <w:rStyle w:val="IndexLink"/>
                <w:rtl w:val="true"/>
              </w:rPr>
              <w:t xml:space="preserve">: </w:t>
            </w:r>
            <w:r>
              <w:rPr>
                <w:rStyle w:val="IndexLink"/>
                <w:rtl w:val="true"/>
              </w:rPr>
              <w:t>حكم غيبت مؤمن ميّت</w:t>
            </w:r>
            <w:r>
              <w:rPr>
                <w:rStyle w:val="IndexLink"/>
                <w:rtl w:val="true"/>
              </w:rPr>
              <w:tab/>
            </w:r>
            <w:r>
              <w:rPr>
                <w:rStyle w:val="IndexLink"/>
              </w:rPr>
              <w:t>131</w:t>
            </w:r>
          </w:hyperlink>
        </w:p>
        <w:p>
          <w:pPr>
            <w:pStyle w:val="Contents3"/>
            <w:tabs>
              <w:tab w:val="clear" w:pos="8459"/>
              <w:tab w:val="right" w:pos="9026" w:leader="dot"/>
            </w:tabs>
            <w:rPr/>
          </w:pPr>
          <w:hyperlink w:anchor="__RefHeading___Toc2770333_3804643083">
            <w:r>
              <w:rPr>
                <w:webHidden/>
                <w:rStyle w:val="IndexLink"/>
                <w:rtl w:val="true"/>
              </w:rPr>
              <w:t>امر چهارم</w:t>
            </w:r>
            <w:r>
              <w:rPr>
                <w:rStyle w:val="IndexLink"/>
                <w:rtl w:val="true"/>
              </w:rPr>
              <w:t xml:space="preserve">: </w:t>
            </w:r>
            <w:r>
              <w:rPr>
                <w:rStyle w:val="IndexLink"/>
                <w:rtl w:val="true"/>
              </w:rPr>
              <w:t>حكم غيبت به كنايه</w:t>
            </w:r>
            <w:r>
              <w:rPr>
                <w:rStyle w:val="IndexLink"/>
                <w:rtl w:val="true"/>
              </w:rPr>
              <w:tab/>
            </w:r>
            <w:r>
              <w:rPr>
                <w:rStyle w:val="IndexLink"/>
              </w:rPr>
              <w:t>133</w:t>
            </w:r>
          </w:hyperlink>
        </w:p>
        <w:p>
          <w:pPr>
            <w:pStyle w:val="Contents3"/>
            <w:tabs>
              <w:tab w:val="clear" w:pos="8459"/>
              <w:tab w:val="right" w:pos="9026" w:leader="dot"/>
            </w:tabs>
            <w:rPr/>
          </w:pPr>
          <w:hyperlink w:anchor="__RefHeading___Toc2770335_3804643083">
            <w:r>
              <w:rPr>
                <w:webHidden/>
                <w:rStyle w:val="IndexLink"/>
                <w:rtl w:val="true"/>
              </w:rPr>
              <w:t>امر پنجم</w:t>
            </w:r>
            <w:r>
              <w:rPr>
                <w:rStyle w:val="IndexLink"/>
                <w:rtl w:val="true"/>
              </w:rPr>
              <w:t xml:space="preserve">: </w:t>
            </w:r>
            <w:r>
              <w:rPr>
                <w:rStyle w:val="IndexLink"/>
                <w:rtl w:val="true"/>
              </w:rPr>
              <w:t>حرمت غيبت، اعم از ذكر عيوب ديني و دنيايي است</w:t>
            </w:r>
            <w:r>
              <w:rPr>
                <w:rStyle w:val="IndexLink"/>
                <w:rtl w:val="true"/>
              </w:rPr>
              <w:tab/>
            </w:r>
            <w:r>
              <w:rPr>
                <w:rStyle w:val="IndexLink"/>
              </w:rPr>
              <w:t>134</w:t>
            </w:r>
          </w:hyperlink>
        </w:p>
        <w:p>
          <w:pPr>
            <w:pStyle w:val="Contents4"/>
            <w:tabs>
              <w:tab w:val="clear" w:pos="8176"/>
              <w:tab w:val="right" w:pos="9026" w:leader="dot"/>
            </w:tabs>
            <w:rPr/>
          </w:pPr>
          <w:hyperlink w:anchor="__RefHeading___Toc2770337_3804643083">
            <w:r>
              <w:rPr>
                <w:webHidden/>
                <w:rStyle w:val="IndexLink"/>
                <w:rtl w:val="true"/>
              </w:rPr>
              <w:t>اشاره</w:t>
            </w:r>
            <w:r>
              <w:rPr>
                <w:rStyle w:val="IndexLink"/>
                <w:rtl w:val="true"/>
              </w:rPr>
              <w:tab/>
            </w:r>
            <w:r>
              <w:rPr>
                <w:rStyle w:val="IndexLink"/>
              </w:rPr>
              <w:t>134</w:t>
            </w:r>
          </w:hyperlink>
        </w:p>
        <w:p>
          <w:pPr>
            <w:pStyle w:val="Contents4"/>
            <w:tabs>
              <w:tab w:val="clear" w:pos="8176"/>
              <w:tab w:val="right" w:pos="9026" w:leader="dot"/>
            </w:tabs>
            <w:rPr/>
          </w:pPr>
          <w:hyperlink w:anchor="__RefHeading___Toc2770339_3804643083">
            <w:r>
              <w:rPr>
                <w:webHidden/>
                <w:rStyle w:val="IndexLink"/>
                <w:rtl w:val="true"/>
              </w:rPr>
              <w:t>نحوه‌ي عمل در مثبتَين</w:t>
            </w:r>
            <w:r>
              <w:rPr>
                <w:rStyle w:val="IndexLink"/>
                <w:rtl w:val="true"/>
              </w:rPr>
              <w:tab/>
            </w:r>
            <w:r>
              <w:rPr>
                <w:rStyle w:val="IndexLink"/>
              </w:rPr>
              <w:t>135</w:t>
            </w:r>
          </w:hyperlink>
        </w:p>
        <w:p>
          <w:pPr>
            <w:pStyle w:val="Contents3"/>
            <w:tabs>
              <w:tab w:val="clear" w:pos="8459"/>
              <w:tab w:val="right" w:pos="9026" w:leader="dot"/>
            </w:tabs>
            <w:rPr/>
          </w:pPr>
          <w:hyperlink w:anchor="__RefHeading___Toc2770341_3804643083">
            <w:r>
              <w:rPr>
                <w:webHidden/>
                <w:rStyle w:val="IndexLink"/>
                <w:rtl w:val="true"/>
              </w:rPr>
              <w:t>امر ششم</w:t>
            </w:r>
            <w:r>
              <w:rPr>
                <w:rStyle w:val="IndexLink"/>
                <w:rtl w:val="true"/>
              </w:rPr>
              <w:t xml:space="preserve">: </w:t>
            </w:r>
            <w:r>
              <w:rPr>
                <w:rStyle w:val="IndexLink"/>
                <w:rtl w:val="true"/>
              </w:rPr>
              <w:t>آيا كشف عيب مخفي شخص نامعيّن، غيبت است؟</w:t>
            </w:r>
            <w:r>
              <w:rPr>
                <w:rStyle w:val="IndexLink"/>
                <w:rtl w:val="true"/>
              </w:rPr>
              <w:tab/>
            </w:r>
            <w:r>
              <w:rPr>
                <w:rStyle w:val="IndexLink"/>
              </w:rPr>
              <w:t>137</w:t>
            </w:r>
          </w:hyperlink>
        </w:p>
        <w:p>
          <w:pPr>
            <w:pStyle w:val="Contents4"/>
            <w:tabs>
              <w:tab w:val="clear" w:pos="8176"/>
              <w:tab w:val="right" w:pos="9026" w:leader="dot"/>
            </w:tabs>
            <w:rPr/>
          </w:pPr>
          <w:hyperlink w:anchor="__RefHeading___Toc2770343_3804643083">
            <w:r>
              <w:rPr>
                <w:webHidden/>
                <w:rStyle w:val="IndexLink"/>
                <w:rtl w:val="true"/>
              </w:rPr>
              <w:t>اشاره</w:t>
            </w:r>
            <w:r>
              <w:rPr>
                <w:rStyle w:val="IndexLink"/>
                <w:rtl w:val="true"/>
              </w:rPr>
              <w:tab/>
            </w:r>
            <w:r>
              <w:rPr>
                <w:rStyle w:val="IndexLink"/>
              </w:rPr>
              <w:t>137</w:t>
            </w:r>
          </w:hyperlink>
        </w:p>
        <w:p>
          <w:pPr>
            <w:pStyle w:val="Contents4"/>
            <w:tabs>
              <w:tab w:val="clear" w:pos="8176"/>
              <w:tab w:val="right" w:pos="9026" w:leader="dot"/>
            </w:tabs>
            <w:rPr/>
          </w:pPr>
          <w:hyperlink w:anchor="__RefHeading___Toc2770345_3804643083">
            <w:r>
              <w:rPr>
                <w:webHidden/>
                <w:rStyle w:val="IndexLink"/>
                <w:rtl w:val="true"/>
              </w:rPr>
              <w:t>اگر تعليل عيب موجب تعميم به ديگران شود، باعث تعدّد حرمت هم مي‌شود؟</w:t>
            </w:r>
            <w:r>
              <w:rPr>
                <w:rStyle w:val="IndexLink"/>
                <w:rtl w:val="true"/>
              </w:rPr>
              <w:tab/>
            </w:r>
            <w:r>
              <w:rPr>
                <w:rStyle w:val="IndexLink"/>
              </w:rPr>
              <w:t>137</w:t>
            </w:r>
          </w:hyperlink>
        </w:p>
        <w:p>
          <w:pPr>
            <w:pStyle w:val="Contents4"/>
            <w:tabs>
              <w:tab w:val="clear" w:pos="8176"/>
              <w:tab w:val="right" w:pos="9026" w:leader="dot"/>
            </w:tabs>
            <w:rPr/>
          </w:pPr>
          <w:hyperlink w:anchor="__RefHeading___Toc2770347_3804643083">
            <w:r>
              <w:rPr>
                <w:webHidden/>
                <w:rStyle w:val="IndexLink"/>
                <w:rtl w:val="true"/>
              </w:rPr>
              <w:t>حكم ذكر عيب مستور شخص نامعيّن، اگر موجب حطّ شأن جمعي شود</w:t>
            </w:r>
            <w:r>
              <w:rPr>
                <w:rStyle w:val="IndexLink"/>
                <w:rtl w:val="true"/>
              </w:rPr>
              <w:tab/>
            </w:r>
            <w:r>
              <w:rPr>
                <w:rStyle w:val="IndexLink"/>
              </w:rPr>
              <w:t>138</w:t>
            </w:r>
          </w:hyperlink>
        </w:p>
        <w:p>
          <w:pPr>
            <w:pStyle w:val="Contents3"/>
            <w:tabs>
              <w:tab w:val="clear" w:pos="8459"/>
              <w:tab w:val="right" w:pos="9026" w:leader="dot"/>
            </w:tabs>
            <w:rPr/>
          </w:pPr>
          <w:hyperlink w:anchor="__RefHeading___Toc2770349_3804643083">
            <w:r>
              <w:rPr>
                <w:webHidden/>
                <w:rStyle w:val="IndexLink"/>
                <w:rtl w:val="true"/>
              </w:rPr>
              <w:t>امر هفتم</w:t>
            </w:r>
            <w:r>
              <w:rPr>
                <w:rStyle w:val="IndexLink"/>
                <w:rtl w:val="true"/>
              </w:rPr>
              <w:t xml:space="preserve">: </w:t>
            </w:r>
            <w:r>
              <w:rPr>
                <w:rStyle w:val="IndexLink"/>
                <w:rtl w:val="true"/>
              </w:rPr>
              <w:t>آيا ذكر عيب مستور كسي در حضور او غيبت است؟</w:t>
            </w:r>
            <w:r>
              <w:rPr>
                <w:rStyle w:val="IndexLink"/>
                <w:rtl w:val="true"/>
              </w:rPr>
              <w:tab/>
            </w:r>
            <w:r>
              <w:rPr>
                <w:rStyle w:val="IndexLink"/>
              </w:rPr>
              <w:t>140</w:t>
            </w:r>
          </w:hyperlink>
        </w:p>
        <w:p>
          <w:pPr>
            <w:pStyle w:val="Contents3"/>
            <w:tabs>
              <w:tab w:val="clear" w:pos="8459"/>
              <w:tab w:val="right" w:pos="9026" w:leader="dot"/>
            </w:tabs>
            <w:rPr/>
          </w:pPr>
          <w:hyperlink w:anchor="__RefHeading___Toc2770351_3804643083">
            <w:r>
              <w:rPr>
                <w:webHidden/>
                <w:rStyle w:val="IndexLink"/>
                <w:rtl w:val="true"/>
              </w:rPr>
              <w:t>امر هشتم</w:t>
            </w:r>
            <w:r>
              <w:rPr>
                <w:rStyle w:val="IndexLink"/>
                <w:rtl w:val="true"/>
              </w:rPr>
              <w:t xml:space="preserve">: </w:t>
            </w:r>
            <w:r>
              <w:rPr>
                <w:rStyle w:val="IndexLink"/>
                <w:rtl w:val="true"/>
              </w:rPr>
              <w:t>دواعي غيبت</w:t>
            </w:r>
            <w:r>
              <w:rPr>
                <w:rStyle w:val="IndexLink"/>
                <w:rtl w:val="true"/>
              </w:rPr>
              <w:tab/>
            </w:r>
            <w:r>
              <w:rPr>
                <w:rStyle w:val="IndexLink"/>
              </w:rPr>
              <w:t>142</w:t>
            </w:r>
          </w:hyperlink>
        </w:p>
        <w:p>
          <w:pPr>
            <w:pStyle w:val="Contents4"/>
            <w:tabs>
              <w:tab w:val="clear" w:pos="8176"/>
              <w:tab w:val="right" w:pos="9026" w:leader="dot"/>
            </w:tabs>
            <w:rPr/>
          </w:pPr>
          <w:hyperlink w:anchor="__RefHeading___Toc2770353_3804643083">
            <w:r>
              <w:rPr>
                <w:webHidden/>
                <w:rStyle w:val="IndexLink"/>
                <w:rtl w:val="true"/>
              </w:rPr>
              <w:t>اشاره</w:t>
            </w:r>
            <w:r>
              <w:rPr>
                <w:rStyle w:val="IndexLink"/>
                <w:rtl w:val="true"/>
              </w:rPr>
              <w:tab/>
            </w:r>
            <w:r>
              <w:rPr>
                <w:rStyle w:val="IndexLink"/>
              </w:rPr>
              <w:t>142</w:t>
            </w:r>
          </w:hyperlink>
        </w:p>
        <w:p>
          <w:pPr>
            <w:pStyle w:val="Contents4"/>
            <w:tabs>
              <w:tab w:val="clear" w:pos="8176"/>
              <w:tab w:val="right" w:pos="9026" w:leader="dot"/>
            </w:tabs>
            <w:rPr/>
          </w:pPr>
          <w:hyperlink w:anchor="__RefHeading___Toc2770355_3804643083">
            <w:r>
              <w:rPr>
                <w:webHidden/>
                <w:rStyle w:val="IndexLink"/>
                <w:rtl w:val="true"/>
              </w:rPr>
              <w:t>دواعي غيبت در مصباح الشريعة</w:t>
            </w:r>
            <w:r>
              <w:rPr>
                <w:rStyle w:val="IndexLink"/>
                <w:rtl w:val="true"/>
              </w:rPr>
              <w:tab/>
            </w:r>
            <w:r>
              <w:rPr>
                <w:rStyle w:val="IndexLink"/>
              </w:rPr>
              <w:t>142</w:t>
            </w:r>
          </w:hyperlink>
        </w:p>
        <w:p>
          <w:pPr>
            <w:pStyle w:val="Contents4"/>
            <w:tabs>
              <w:tab w:val="clear" w:pos="8176"/>
              <w:tab w:val="right" w:pos="9026" w:leader="dot"/>
            </w:tabs>
            <w:rPr/>
          </w:pPr>
          <w:hyperlink w:anchor="__RefHeading___Toc2770357_3804643083">
            <w:r>
              <w:rPr>
                <w:webHidden/>
                <w:rStyle w:val="IndexLink"/>
                <w:rtl w:val="true"/>
              </w:rPr>
              <w:t>بررسي اعتبار كتاب مصباح الشريعة</w:t>
            </w:r>
            <w:r>
              <w:rPr>
                <w:rStyle w:val="IndexLink"/>
                <w:rtl w:val="true"/>
              </w:rPr>
              <w:tab/>
            </w:r>
            <w:r>
              <w:rPr>
                <w:rStyle w:val="IndexLink"/>
              </w:rPr>
              <w:t>143</w:t>
            </w:r>
          </w:hyperlink>
        </w:p>
        <w:p>
          <w:pPr>
            <w:pStyle w:val="Contents4"/>
            <w:tabs>
              <w:tab w:val="clear" w:pos="8176"/>
              <w:tab w:val="right" w:pos="9026" w:leader="dot"/>
            </w:tabs>
            <w:rPr/>
          </w:pPr>
          <w:hyperlink w:anchor="__RefHeading___Toc2770359_3804643083">
            <w:r>
              <w:rPr>
                <w:webHidden/>
                <w:rStyle w:val="IndexLink"/>
                <w:rtl w:val="true"/>
              </w:rPr>
              <w:t>توضيحات شهيد ثاني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درباره‌ي دواعي غيبت</w:t>
            </w:r>
            <w:r>
              <w:rPr>
                <w:rStyle w:val="IndexLink"/>
                <w:rtl w:val="true"/>
              </w:rPr>
              <w:tab/>
            </w:r>
            <w:r>
              <w:rPr>
                <w:rStyle w:val="IndexLink"/>
              </w:rPr>
              <w:t>149</w:t>
            </w:r>
          </w:hyperlink>
        </w:p>
        <w:p>
          <w:pPr>
            <w:pStyle w:val="Contents5"/>
            <w:tabs>
              <w:tab w:val="clear" w:pos="7892"/>
              <w:tab w:val="right" w:pos="9026" w:leader="dot"/>
            </w:tabs>
            <w:rPr/>
          </w:pPr>
          <w:hyperlink w:anchor="__RefHeading___Toc2770361_3804643083">
            <w:r>
              <w:rPr>
                <w:webHidden/>
                <w:rStyle w:val="IndexLink"/>
                <w:rtl w:val="true"/>
              </w:rPr>
              <w:t>اشاره</w:t>
            </w:r>
            <w:r>
              <w:rPr>
                <w:rStyle w:val="IndexLink"/>
                <w:rtl w:val="true"/>
              </w:rPr>
              <w:tab/>
            </w:r>
            <w:r>
              <w:rPr>
                <w:rStyle w:val="IndexLink"/>
              </w:rPr>
              <w:t>149</w:t>
            </w:r>
          </w:hyperlink>
        </w:p>
        <w:p>
          <w:pPr>
            <w:pStyle w:val="Contents5"/>
            <w:tabs>
              <w:tab w:val="clear" w:pos="7892"/>
              <w:tab w:val="right" w:pos="9026" w:leader="dot"/>
            </w:tabs>
            <w:rPr/>
          </w:pPr>
          <w:hyperlink w:anchor="__RefHeading___Toc2770363_3804643083">
            <w:r>
              <w:rPr>
                <w:webHidden/>
                <w:rStyle w:val="IndexLink"/>
              </w:rPr>
              <w:t>1</w:t>
            </w:r>
            <w:r>
              <w:rPr>
                <w:rStyle w:val="IndexLink"/>
                <w:rtl w:val="true"/>
              </w:rPr>
              <w:t xml:space="preserve">. </w:t>
            </w:r>
            <w:r>
              <w:rPr>
                <w:rStyle w:val="IndexLink"/>
                <w:rtl w:val="true"/>
              </w:rPr>
              <w:t xml:space="preserve">تشفّي الغيظ </w:t>
            </w:r>
            <w:r>
              <w:rPr>
                <w:rStyle w:val="IndexLink"/>
                <w:rtl w:val="true"/>
              </w:rPr>
              <w:t>(</w:t>
            </w:r>
            <w:r>
              <w:rPr>
                <w:rStyle w:val="IndexLink"/>
                <w:rtl w:val="true"/>
              </w:rPr>
              <w:t>تسكين عصبانيّت</w:t>
            </w:r>
            <w:r>
              <w:rPr>
                <w:rStyle w:val="IndexLink"/>
                <w:rtl w:val="true"/>
              </w:rPr>
              <w:t>)</w:t>
              <w:tab/>
            </w:r>
            <w:r>
              <w:rPr>
                <w:rStyle w:val="IndexLink"/>
              </w:rPr>
              <w:t>150</w:t>
            </w:r>
          </w:hyperlink>
        </w:p>
        <w:p>
          <w:pPr>
            <w:pStyle w:val="Contents5"/>
            <w:tabs>
              <w:tab w:val="clear" w:pos="7892"/>
              <w:tab w:val="right" w:pos="9026" w:leader="dot"/>
            </w:tabs>
            <w:rPr/>
          </w:pPr>
          <w:hyperlink w:anchor="__RefHeading___Toc2770365_3804643083">
            <w:r>
              <w:rPr>
                <w:webHidden/>
                <w:rStyle w:val="IndexLink"/>
              </w:rPr>
              <w:t>2</w:t>
            </w:r>
            <w:r>
              <w:rPr>
                <w:rStyle w:val="IndexLink"/>
                <w:rtl w:val="true"/>
              </w:rPr>
              <w:t xml:space="preserve">. </w:t>
            </w:r>
            <w:r>
              <w:rPr>
                <w:rStyle w:val="IndexLink"/>
                <w:rtl w:val="true"/>
              </w:rPr>
              <w:t xml:space="preserve">مساعدة قوم </w:t>
            </w:r>
            <w:r>
              <w:rPr>
                <w:rStyle w:val="IndexLink"/>
                <w:rtl w:val="true"/>
              </w:rPr>
              <w:t>(</w:t>
            </w:r>
            <w:r>
              <w:rPr>
                <w:rStyle w:val="IndexLink"/>
                <w:rtl w:val="true"/>
              </w:rPr>
              <w:t>همراهي با ديگران</w:t>
            </w:r>
            <w:r>
              <w:rPr>
                <w:rStyle w:val="IndexLink"/>
                <w:rtl w:val="true"/>
              </w:rPr>
              <w:t>)</w:t>
              <w:tab/>
            </w:r>
            <w:r>
              <w:rPr>
                <w:rStyle w:val="IndexLink"/>
              </w:rPr>
              <w:t>150</w:t>
            </w:r>
          </w:hyperlink>
        </w:p>
        <w:p>
          <w:pPr>
            <w:pStyle w:val="Contents5"/>
            <w:tabs>
              <w:tab w:val="clear" w:pos="7892"/>
              <w:tab w:val="right" w:pos="9026" w:leader="dot"/>
            </w:tabs>
            <w:rPr/>
          </w:pPr>
          <w:hyperlink w:anchor="__RefHeading___Toc2770367_3804643083">
            <w:r>
              <w:rPr>
                <w:webHidden/>
                <w:rStyle w:val="IndexLink"/>
              </w:rPr>
              <w:t>3</w:t>
            </w:r>
            <w:r>
              <w:rPr>
                <w:rStyle w:val="IndexLink"/>
                <w:rtl w:val="true"/>
              </w:rPr>
              <w:t xml:space="preserve">. </w:t>
            </w:r>
            <w:r>
              <w:rPr>
                <w:rStyle w:val="IndexLink"/>
                <w:rtl w:val="true"/>
              </w:rPr>
              <w:t xml:space="preserve">اسقاط اثر الشهادة عليه </w:t>
            </w:r>
            <w:r>
              <w:rPr>
                <w:rStyle w:val="IndexLink"/>
                <w:rtl w:val="true"/>
              </w:rPr>
              <w:t>(</w:t>
            </w:r>
            <w:r>
              <w:rPr>
                <w:rStyle w:val="IndexLink"/>
                <w:rtl w:val="true"/>
              </w:rPr>
              <w:t>پيشگيري از قبول شهادت ديگري</w:t>
            </w:r>
            <w:r>
              <w:rPr>
                <w:rStyle w:val="IndexLink"/>
                <w:rtl w:val="true"/>
              </w:rPr>
              <w:t>)</w:t>
              <w:tab/>
            </w:r>
            <w:r>
              <w:rPr>
                <w:rStyle w:val="IndexLink"/>
              </w:rPr>
              <w:t>151</w:t>
            </w:r>
          </w:hyperlink>
        </w:p>
        <w:p>
          <w:pPr>
            <w:pStyle w:val="Contents5"/>
            <w:tabs>
              <w:tab w:val="clear" w:pos="7892"/>
              <w:tab w:val="right" w:pos="9026" w:leader="dot"/>
            </w:tabs>
            <w:rPr/>
          </w:pPr>
          <w:hyperlink w:anchor="__RefHeading___Toc2770369_3804643083">
            <w:r>
              <w:rPr>
                <w:webHidden/>
                <w:rStyle w:val="IndexLink"/>
              </w:rPr>
              <w:t>4</w:t>
            </w:r>
            <w:r>
              <w:rPr>
                <w:rStyle w:val="IndexLink"/>
                <w:rtl w:val="true"/>
              </w:rPr>
              <w:t xml:space="preserve">. </w:t>
            </w:r>
            <w:r>
              <w:rPr>
                <w:rStyle w:val="IndexLink"/>
                <w:rtl w:val="true"/>
              </w:rPr>
              <w:t xml:space="preserve">تبرئة النفس </w:t>
            </w:r>
            <w:r>
              <w:rPr>
                <w:rStyle w:val="IndexLink"/>
                <w:rtl w:val="true"/>
              </w:rPr>
              <w:t>(</w:t>
            </w:r>
            <w:r>
              <w:rPr>
                <w:rStyle w:val="IndexLink"/>
                <w:rtl w:val="true"/>
              </w:rPr>
              <w:t>تبرئه‌ي خود با اتّهام به ديگري</w:t>
            </w:r>
            <w:r>
              <w:rPr>
                <w:rStyle w:val="IndexLink"/>
                <w:rtl w:val="true"/>
              </w:rPr>
              <w:t>)</w:t>
              <w:tab/>
            </w:r>
            <w:r>
              <w:rPr>
                <w:rStyle w:val="IndexLink"/>
              </w:rPr>
              <w:t>152</w:t>
            </w:r>
          </w:hyperlink>
        </w:p>
        <w:p>
          <w:pPr>
            <w:pStyle w:val="Contents5"/>
            <w:tabs>
              <w:tab w:val="clear" w:pos="7892"/>
              <w:tab w:val="right" w:pos="9026" w:leader="dot"/>
            </w:tabs>
            <w:rPr/>
          </w:pPr>
          <w:hyperlink w:anchor="__RefHeading___Toc2770371_3804643083">
            <w:r>
              <w:rPr>
                <w:webHidden/>
                <w:rStyle w:val="IndexLink"/>
              </w:rPr>
              <w:t>5</w:t>
            </w:r>
            <w:r>
              <w:rPr>
                <w:rStyle w:val="IndexLink"/>
                <w:rtl w:val="true"/>
              </w:rPr>
              <w:t xml:space="preserve">. </w:t>
            </w:r>
            <w:r>
              <w:rPr>
                <w:rStyle w:val="IndexLink"/>
                <w:rtl w:val="true"/>
              </w:rPr>
              <w:t xml:space="preserve">ارادة التصنّع و المباهاة </w:t>
            </w:r>
            <w:r>
              <w:rPr>
                <w:rStyle w:val="IndexLink"/>
                <w:rtl w:val="true"/>
              </w:rPr>
              <w:t>(</w:t>
            </w:r>
            <w:r>
              <w:rPr>
                <w:rStyle w:val="IndexLink"/>
                <w:rtl w:val="true"/>
              </w:rPr>
              <w:t>خود را بَر ساختن و اظهار فخر كردن</w:t>
            </w:r>
            <w:r>
              <w:rPr>
                <w:rStyle w:val="IndexLink"/>
                <w:rtl w:val="true"/>
              </w:rPr>
              <w:t>)</w:t>
              <w:tab/>
            </w:r>
            <w:r>
              <w:rPr>
                <w:rStyle w:val="IndexLink"/>
              </w:rPr>
              <w:t>152</w:t>
            </w:r>
          </w:hyperlink>
        </w:p>
        <w:p>
          <w:pPr>
            <w:pStyle w:val="Contents5"/>
            <w:tabs>
              <w:tab w:val="clear" w:pos="7892"/>
              <w:tab w:val="right" w:pos="9026" w:leader="dot"/>
            </w:tabs>
            <w:rPr/>
          </w:pPr>
          <w:hyperlink w:anchor="__RefHeading___Toc2770373_3804643083">
            <w:r>
              <w:rPr>
                <w:webHidden/>
                <w:rStyle w:val="IndexLink"/>
              </w:rPr>
              <w:t>6</w:t>
            </w:r>
            <w:r>
              <w:rPr>
                <w:rStyle w:val="IndexLink"/>
                <w:rtl w:val="true"/>
              </w:rPr>
              <w:t xml:space="preserve">. </w:t>
            </w:r>
            <w:r>
              <w:rPr>
                <w:rStyle w:val="IndexLink"/>
                <w:rtl w:val="true"/>
              </w:rPr>
              <w:t>الحسد</w:t>
            </w:r>
            <w:r>
              <w:rPr>
                <w:rStyle w:val="IndexLink"/>
                <w:rtl w:val="true"/>
              </w:rPr>
              <w:tab/>
            </w:r>
            <w:r>
              <w:rPr>
                <w:rStyle w:val="IndexLink"/>
              </w:rPr>
              <w:t>153</w:t>
            </w:r>
          </w:hyperlink>
        </w:p>
        <w:p>
          <w:pPr>
            <w:pStyle w:val="Contents5"/>
            <w:tabs>
              <w:tab w:val="clear" w:pos="7892"/>
              <w:tab w:val="right" w:pos="9026" w:leader="dot"/>
            </w:tabs>
            <w:rPr/>
          </w:pPr>
          <w:hyperlink w:anchor="__RefHeading___Toc2770375_3804643083">
            <w:r>
              <w:rPr>
                <w:webHidden/>
                <w:rStyle w:val="IndexLink"/>
              </w:rPr>
              <w:t>7</w:t>
            </w:r>
            <w:r>
              <w:rPr>
                <w:rStyle w:val="IndexLink"/>
                <w:rtl w:val="true"/>
              </w:rPr>
              <w:t xml:space="preserve">. </w:t>
            </w:r>
            <w:r>
              <w:rPr>
                <w:rStyle w:val="IndexLink"/>
                <w:rtl w:val="true"/>
              </w:rPr>
              <w:t xml:space="preserve">المطايبة و المحاكاة </w:t>
            </w:r>
            <w:r>
              <w:rPr>
                <w:rStyle w:val="IndexLink"/>
                <w:rtl w:val="true"/>
              </w:rPr>
              <w:t>(</w:t>
            </w:r>
            <w:r>
              <w:rPr>
                <w:rStyle w:val="IndexLink"/>
                <w:rtl w:val="true"/>
              </w:rPr>
              <w:t>شوخي و اداي ديگري را تقليد كردن</w:t>
            </w:r>
            <w:r>
              <w:rPr>
                <w:rStyle w:val="IndexLink"/>
                <w:rtl w:val="true"/>
              </w:rPr>
              <w:t>)</w:t>
              <w:tab/>
            </w:r>
            <w:r>
              <w:rPr>
                <w:rStyle w:val="IndexLink"/>
              </w:rPr>
              <w:t>154</w:t>
            </w:r>
          </w:hyperlink>
        </w:p>
        <w:p>
          <w:pPr>
            <w:pStyle w:val="Contents5"/>
            <w:tabs>
              <w:tab w:val="clear" w:pos="7892"/>
              <w:tab w:val="right" w:pos="9026" w:leader="dot"/>
            </w:tabs>
            <w:rPr/>
          </w:pPr>
          <w:hyperlink w:anchor="__RefHeading___Toc2770377_3804643083">
            <w:r>
              <w:rPr>
                <w:webHidden/>
                <w:rStyle w:val="IndexLink"/>
              </w:rPr>
              <w:t>8</w:t>
            </w:r>
            <w:r>
              <w:rPr>
                <w:rStyle w:val="IndexLink"/>
                <w:rtl w:val="true"/>
              </w:rPr>
              <w:t xml:space="preserve">. </w:t>
            </w:r>
            <w:r>
              <w:rPr>
                <w:rStyle w:val="IndexLink"/>
                <w:rtl w:val="true"/>
              </w:rPr>
              <w:t xml:space="preserve">السخرية </w:t>
            </w:r>
            <w:r>
              <w:rPr>
                <w:rStyle w:val="IndexLink"/>
                <w:rtl w:val="true"/>
              </w:rPr>
              <w:t>(</w:t>
            </w:r>
            <w:r>
              <w:rPr>
                <w:rStyle w:val="IndexLink"/>
                <w:rtl w:val="true"/>
              </w:rPr>
              <w:t>تمسخر</w:t>
            </w:r>
            <w:r>
              <w:rPr>
                <w:rStyle w:val="IndexLink"/>
                <w:rtl w:val="true"/>
              </w:rPr>
              <w:t>)</w:t>
              <w:tab/>
            </w:r>
            <w:r>
              <w:rPr>
                <w:rStyle w:val="IndexLink"/>
              </w:rPr>
              <w:t>154</w:t>
            </w:r>
          </w:hyperlink>
        </w:p>
        <w:p>
          <w:pPr>
            <w:pStyle w:val="Contents5"/>
            <w:tabs>
              <w:tab w:val="clear" w:pos="7892"/>
              <w:tab w:val="right" w:pos="9026" w:leader="dot"/>
            </w:tabs>
            <w:rPr/>
          </w:pPr>
          <w:hyperlink w:anchor="__RefHeading___Toc2770379_3804643083">
            <w:r>
              <w:rPr>
                <w:webHidden/>
                <w:rStyle w:val="IndexLink"/>
              </w:rPr>
              <w:t>9</w:t>
            </w:r>
            <w:r>
              <w:rPr>
                <w:rStyle w:val="IndexLink"/>
                <w:rtl w:val="true"/>
              </w:rPr>
              <w:t xml:space="preserve">. </w:t>
            </w:r>
            <w:r>
              <w:rPr>
                <w:rStyle w:val="IndexLink"/>
                <w:rtl w:val="true"/>
              </w:rPr>
              <w:t xml:space="preserve">الترحمُّ و التغمُّم </w:t>
            </w:r>
            <w:r>
              <w:rPr>
                <w:rStyle w:val="IndexLink"/>
                <w:rtl w:val="true"/>
              </w:rPr>
              <w:t>(</w:t>
            </w:r>
            <w:r>
              <w:rPr>
                <w:rStyle w:val="IndexLink"/>
                <w:rtl w:val="true"/>
              </w:rPr>
              <w:t>دلسوزي</w:t>
            </w:r>
            <w:r>
              <w:rPr>
                <w:rStyle w:val="IndexLink"/>
                <w:rtl w:val="true"/>
              </w:rPr>
              <w:t>)</w:t>
              <w:tab/>
            </w:r>
            <w:r>
              <w:rPr>
                <w:rStyle w:val="IndexLink"/>
              </w:rPr>
              <w:t>155</w:t>
            </w:r>
          </w:hyperlink>
        </w:p>
        <w:p>
          <w:pPr>
            <w:pStyle w:val="Contents5"/>
            <w:tabs>
              <w:tab w:val="clear" w:pos="7892"/>
              <w:tab w:val="right" w:pos="9026" w:leader="dot"/>
            </w:tabs>
            <w:rPr/>
          </w:pPr>
          <w:hyperlink w:anchor="__RefHeading___Toc2770381_3804643083">
            <w:r>
              <w:rPr>
                <w:webHidden/>
                <w:rStyle w:val="IndexLink"/>
              </w:rPr>
              <w:t>10</w:t>
            </w:r>
            <w:r>
              <w:rPr>
                <w:rStyle w:val="IndexLink"/>
                <w:rtl w:val="true"/>
              </w:rPr>
              <w:t xml:space="preserve">. </w:t>
            </w:r>
            <w:r>
              <w:rPr>
                <w:rStyle w:val="IndexLink"/>
                <w:rtl w:val="true"/>
              </w:rPr>
              <w:t xml:space="preserve">الغضب لله تعالي </w:t>
            </w:r>
            <w:r>
              <w:rPr>
                <w:rStyle w:val="IndexLink"/>
                <w:rtl w:val="true"/>
              </w:rPr>
              <w:t>(</w:t>
            </w:r>
            <w:r>
              <w:rPr>
                <w:rStyle w:val="IndexLink"/>
                <w:rtl w:val="true"/>
              </w:rPr>
              <w:t>غيرت ديني</w:t>
            </w:r>
            <w:r>
              <w:rPr>
                <w:rStyle w:val="IndexLink"/>
                <w:rtl w:val="true"/>
              </w:rPr>
              <w:t>)</w:t>
              <w:tab/>
            </w:r>
            <w:r>
              <w:rPr>
                <w:rStyle w:val="IndexLink"/>
              </w:rPr>
              <w:t>155</w:t>
            </w:r>
          </w:hyperlink>
        </w:p>
        <w:p>
          <w:pPr>
            <w:pStyle w:val="Contents2"/>
            <w:tabs>
              <w:tab w:val="clear" w:pos="8743"/>
              <w:tab w:val="right" w:pos="9026" w:leader="dot"/>
            </w:tabs>
            <w:rPr/>
          </w:pPr>
          <w:hyperlink w:anchor="__RefHeading___Toc2770383_3804643083">
            <w:r>
              <w:rPr>
                <w:webHidden/>
                <w:rStyle w:val="IndexLink"/>
                <w:rtl w:val="true"/>
              </w:rPr>
              <w:t>كفّاره‌ي غيبت</w:t>
            </w:r>
            <w:r>
              <w:rPr>
                <w:rStyle w:val="IndexLink"/>
                <w:rtl w:val="true"/>
              </w:rPr>
              <w:tab/>
            </w:r>
            <w:r>
              <w:rPr>
                <w:rStyle w:val="IndexLink"/>
              </w:rPr>
              <w:t>157</w:t>
            </w:r>
          </w:hyperlink>
        </w:p>
        <w:p>
          <w:pPr>
            <w:pStyle w:val="Contents3"/>
            <w:tabs>
              <w:tab w:val="clear" w:pos="8459"/>
              <w:tab w:val="right" w:pos="9026" w:leader="dot"/>
            </w:tabs>
            <w:rPr/>
          </w:pPr>
          <w:hyperlink w:anchor="__RefHeading___Toc2770385_3804643083">
            <w:r>
              <w:rPr>
                <w:webHidden/>
                <w:rStyle w:val="IndexLink"/>
                <w:rtl w:val="true"/>
              </w:rPr>
              <w:t>اشاره</w:t>
            </w:r>
            <w:r>
              <w:rPr>
                <w:rStyle w:val="IndexLink"/>
                <w:rtl w:val="true"/>
              </w:rPr>
              <w:tab/>
            </w:r>
            <w:r>
              <w:rPr>
                <w:rStyle w:val="IndexLink"/>
              </w:rPr>
              <w:t>157</w:t>
            </w:r>
          </w:hyperlink>
        </w:p>
        <w:p>
          <w:pPr>
            <w:pStyle w:val="Contents3"/>
            <w:tabs>
              <w:tab w:val="clear" w:pos="8459"/>
              <w:tab w:val="right" w:pos="9026" w:leader="dot"/>
            </w:tabs>
            <w:rPr/>
          </w:pPr>
          <w:hyperlink w:anchor="__RefHeading___Toc2770387_3804643083">
            <w:r>
              <w:rPr>
                <w:webHidden/>
                <w:rStyle w:val="IndexLink"/>
                <w:rtl w:val="true"/>
              </w:rPr>
              <w:t>هفت احتمال در كفّاره‌ي غيبت</w:t>
            </w:r>
            <w:r>
              <w:rPr>
                <w:rStyle w:val="IndexLink"/>
                <w:rtl w:val="true"/>
              </w:rPr>
              <w:tab/>
            </w:r>
            <w:r>
              <w:rPr>
                <w:rStyle w:val="IndexLink"/>
              </w:rPr>
              <w:t>158</w:t>
            </w:r>
          </w:hyperlink>
        </w:p>
        <w:p>
          <w:pPr>
            <w:pStyle w:val="Contents3"/>
            <w:tabs>
              <w:tab w:val="clear" w:pos="8459"/>
              <w:tab w:val="right" w:pos="9026" w:leader="dot"/>
            </w:tabs>
            <w:rPr/>
          </w:pPr>
          <w:hyperlink w:anchor="__RefHeading___Toc2770389_3804643083">
            <w:r>
              <w:rPr>
                <w:webHidden/>
                <w:rStyle w:val="IndexLink"/>
                <w:rtl w:val="true"/>
              </w:rPr>
              <w:t>تأسيس اصل در كفّاره‌ي غيبت</w:t>
            </w:r>
            <w:r>
              <w:rPr>
                <w:rStyle w:val="IndexLink"/>
                <w:rtl w:val="true"/>
              </w:rPr>
              <w:tab/>
            </w:r>
            <w:r>
              <w:rPr>
                <w:rStyle w:val="IndexLink"/>
              </w:rPr>
              <w:t>160</w:t>
            </w:r>
          </w:hyperlink>
        </w:p>
        <w:p>
          <w:pPr>
            <w:pStyle w:val="Contents4"/>
            <w:tabs>
              <w:tab w:val="clear" w:pos="8176"/>
              <w:tab w:val="right" w:pos="9026" w:leader="dot"/>
            </w:tabs>
            <w:rPr/>
          </w:pPr>
          <w:hyperlink w:anchor="__RefHeading___Toc2770391_3804643083">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770393_3804643083">
            <w:r>
              <w:rPr>
                <w:webHidden/>
                <w:rStyle w:val="IndexLink"/>
                <w:rtl w:val="true"/>
              </w:rPr>
              <w:t>قول به اصل احتياط در كفّاره‌ي غيبت</w:t>
            </w:r>
            <w:r>
              <w:rPr>
                <w:rStyle w:val="IndexLink"/>
                <w:rtl w:val="true"/>
              </w:rPr>
              <w:tab/>
            </w:r>
            <w:r>
              <w:rPr>
                <w:rStyle w:val="IndexLink"/>
              </w:rPr>
              <w:t>161</w:t>
            </w:r>
          </w:hyperlink>
        </w:p>
        <w:p>
          <w:pPr>
            <w:pStyle w:val="Contents4"/>
            <w:tabs>
              <w:tab w:val="clear" w:pos="8176"/>
              <w:tab w:val="right" w:pos="9026" w:leader="dot"/>
            </w:tabs>
            <w:rPr/>
          </w:pPr>
          <w:hyperlink w:anchor="__RefHeading___Toc2770395_3804643083">
            <w:r>
              <w:rPr>
                <w:webHidden/>
                <w:rStyle w:val="IndexLink"/>
                <w:rtl w:val="true"/>
              </w:rPr>
              <w:t>مناقشه در ادلّه‌ي قائلين به اصل احتياط</w:t>
            </w:r>
            <w:r>
              <w:rPr>
                <w:rStyle w:val="IndexLink"/>
                <w:rtl w:val="true"/>
              </w:rPr>
              <w:tab/>
            </w:r>
            <w:r>
              <w:rPr>
                <w:rStyle w:val="IndexLink"/>
              </w:rPr>
              <w:t>161</w:t>
            </w:r>
          </w:hyperlink>
        </w:p>
        <w:p>
          <w:pPr>
            <w:pStyle w:val="Contents4"/>
            <w:tabs>
              <w:tab w:val="clear" w:pos="8176"/>
              <w:tab w:val="right" w:pos="9026" w:leader="dot"/>
            </w:tabs>
            <w:rPr/>
          </w:pPr>
          <w:hyperlink w:anchor="__RefHeading___Toc2770397_3804643083">
            <w:r>
              <w:rPr>
                <w:webHidden/>
                <w:rStyle w:val="IndexLink"/>
                <w:rtl w:val="true"/>
              </w:rPr>
              <w:t>سخن آخر در تأسيس اصل</w:t>
            </w:r>
            <w:r>
              <w:rPr>
                <w:rStyle w:val="IndexLink"/>
                <w:rtl w:val="true"/>
              </w:rPr>
              <w:tab/>
            </w:r>
            <w:r>
              <w:rPr>
                <w:rStyle w:val="IndexLink"/>
              </w:rPr>
              <w:t>163</w:t>
            </w:r>
          </w:hyperlink>
        </w:p>
        <w:p>
          <w:pPr>
            <w:pStyle w:val="Contents3"/>
            <w:tabs>
              <w:tab w:val="clear" w:pos="8459"/>
              <w:tab w:val="right" w:pos="9026" w:leader="dot"/>
            </w:tabs>
            <w:rPr/>
          </w:pPr>
          <w:hyperlink w:anchor="__RefHeading___Toc2770399_3804643083">
            <w:r>
              <w:rPr>
                <w:webHidden/>
                <w:rStyle w:val="IndexLink"/>
                <w:rtl w:val="true"/>
              </w:rPr>
              <w:t>ادلّه‌ي وجوب كفّاره در غيبت</w:t>
            </w:r>
            <w:r>
              <w:rPr>
                <w:rStyle w:val="IndexLink"/>
                <w:rtl w:val="true"/>
              </w:rPr>
              <w:tab/>
            </w:r>
            <w:r>
              <w:rPr>
                <w:rStyle w:val="IndexLink"/>
              </w:rPr>
              <w:t>163</w:t>
            </w:r>
          </w:hyperlink>
        </w:p>
        <w:p>
          <w:pPr>
            <w:pStyle w:val="Contents4"/>
            <w:tabs>
              <w:tab w:val="clear" w:pos="8176"/>
              <w:tab w:val="right" w:pos="9026" w:leader="dot"/>
            </w:tabs>
            <w:rPr/>
          </w:pPr>
          <w:hyperlink w:anchor="__RefHeading___Toc2770401_3804643083">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2770403_3804643083">
            <w:r>
              <w:rPr>
                <w:webHidden/>
                <w:rStyle w:val="IndexLink"/>
                <w:rtl w:val="true"/>
              </w:rPr>
              <w:t>آيا ترك غيبت، حقِّ برادر مؤمن است؟</w:t>
            </w:r>
            <w:r>
              <w:rPr>
                <w:rStyle w:val="IndexLink"/>
                <w:rtl w:val="true"/>
              </w:rPr>
              <w:tab/>
            </w:r>
            <w:r>
              <w:rPr>
                <w:rStyle w:val="IndexLink"/>
              </w:rPr>
              <w:t>164</w:t>
            </w:r>
          </w:hyperlink>
        </w:p>
        <w:p>
          <w:pPr>
            <w:pStyle w:val="Contents4"/>
            <w:tabs>
              <w:tab w:val="clear" w:pos="8176"/>
              <w:tab w:val="right" w:pos="9026" w:leader="dot"/>
            </w:tabs>
            <w:rPr/>
          </w:pPr>
          <w:hyperlink w:anchor="__RefHeading___Toc2770405_3804643083">
            <w:r>
              <w:rPr>
                <w:webHidden/>
                <w:rStyle w:val="IndexLink"/>
                <w:rtl w:val="true"/>
              </w:rPr>
              <w:t>روايات لزوم استرضاء و استحلال</w:t>
            </w:r>
            <w:r>
              <w:rPr>
                <w:rStyle w:val="IndexLink"/>
                <w:rtl w:val="true"/>
              </w:rPr>
              <w:tab/>
            </w:r>
            <w:r>
              <w:rPr>
                <w:rStyle w:val="IndexLink"/>
              </w:rPr>
              <w:t>170</w:t>
            </w:r>
          </w:hyperlink>
        </w:p>
        <w:p>
          <w:pPr>
            <w:pStyle w:val="Contents4"/>
            <w:tabs>
              <w:tab w:val="clear" w:pos="8176"/>
              <w:tab w:val="right" w:pos="9026" w:leader="dot"/>
            </w:tabs>
            <w:rPr/>
          </w:pPr>
          <w:hyperlink w:anchor="__RefHeading___Toc2770407_3804643083">
            <w:r>
              <w:rPr>
                <w:webHidden/>
                <w:rStyle w:val="IndexLink"/>
                <w:rtl w:val="true"/>
              </w:rPr>
              <w:t>اسلام دين رأفت نه خشونت</w:t>
            </w:r>
            <w:r>
              <w:rPr>
                <w:rStyle w:val="IndexLink"/>
                <w:rtl w:val="true"/>
              </w:rPr>
              <w:tab/>
            </w:r>
            <w:r>
              <w:rPr>
                <w:rStyle w:val="IndexLink"/>
              </w:rPr>
              <w:t>182</w:t>
            </w:r>
          </w:hyperlink>
        </w:p>
        <w:p>
          <w:pPr>
            <w:pStyle w:val="Contents4"/>
            <w:tabs>
              <w:tab w:val="clear" w:pos="8176"/>
              <w:tab w:val="right" w:pos="9026" w:leader="dot"/>
            </w:tabs>
            <w:rPr/>
          </w:pPr>
          <w:hyperlink w:anchor="__RefHeading___Toc2770409_3804643083">
            <w:r>
              <w:rPr>
                <w:webHidden/>
                <w:rStyle w:val="IndexLink"/>
                <w:rtl w:val="true"/>
              </w:rPr>
              <w:t>جمع‌بندي استدلال‌ها و پاسخ كلّي بر لزوم استحلال</w:t>
            </w:r>
            <w:r>
              <w:rPr>
                <w:rStyle w:val="IndexLink"/>
                <w:rtl w:val="true"/>
              </w:rPr>
              <w:tab/>
            </w:r>
            <w:r>
              <w:rPr>
                <w:rStyle w:val="IndexLink"/>
              </w:rPr>
              <w:t>189</w:t>
            </w:r>
          </w:hyperlink>
        </w:p>
        <w:p>
          <w:pPr>
            <w:pStyle w:val="Contents4"/>
            <w:tabs>
              <w:tab w:val="clear" w:pos="8176"/>
              <w:tab w:val="right" w:pos="9026" w:leader="dot"/>
            </w:tabs>
            <w:rPr/>
          </w:pPr>
          <w:hyperlink w:anchor="__RefHeading___Toc2770411_3804643083">
            <w:r>
              <w:rPr>
                <w:webHidden/>
                <w:rStyle w:val="IndexLink"/>
                <w:rtl w:val="true"/>
              </w:rPr>
              <w:t>مناقشه در وجه اعتباري</w:t>
            </w:r>
            <w:r>
              <w:rPr>
                <w:rStyle w:val="IndexLink"/>
                <w:rtl w:val="true"/>
              </w:rPr>
              <w:tab/>
            </w:r>
            <w:r>
              <w:rPr>
                <w:rStyle w:val="IndexLink"/>
              </w:rPr>
              <w:t>189</w:t>
            </w:r>
          </w:hyperlink>
        </w:p>
        <w:p>
          <w:pPr>
            <w:pStyle w:val="Contents4"/>
            <w:tabs>
              <w:tab w:val="clear" w:pos="8176"/>
              <w:tab w:val="right" w:pos="9026" w:leader="dot"/>
            </w:tabs>
            <w:rPr/>
          </w:pPr>
          <w:hyperlink w:anchor="__RefHeading___Toc2770413_3804643083">
            <w:r>
              <w:rPr>
                <w:webHidden/>
                <w:rStyle w:val="IndexLink"/>
                <w:rtl w:val="true"/>
              </w:rPr>
              <w:t>مناقشه در استدلال به روايات</w:t>
            </w:r>
            <w:r>
              <w:rPr>
                <w:rStyle w:val="IndexLink"/>
                <w:rtl w:val="true"/>
              </w:rPr>
              <w:tab/>
            </w:r>
            <w:r>
              <w:rPr>
                <w:rStyle w:val="IndexLink"/>
              </w:rPr>
              <w:t>190</w:t>
            </w:r>
          </w:hyperlink>
        </w:p>
        <w:p>
          <w:pPr>
            <w:pStyle w:val="Contents3"/>
            <w:tabs>
              <w:tab w:val="clear" w:pos="8459"/>
              <w:tab w:val="right" w:pos="9026" w:leader="dot"/>
            </w:tabs>
            <w:rPr/>
          </w:pPr>
          <w:hyperlink w:anchor="__RefHeading___Toc2770415_3804643083">
            <w:r>
              <w:rPr>
                <w:webHidden/>
                <w:rStyle w:val="IndexLink"/>
                <w:rtl w:val="true"/>
              </w:rPr>
              <w:t xml:space="preserve">آيا استغفار للمغتاب </w:t>
            </w:r>
            <w:r>
              <w:rPr>
                <w:rStyle w:val="IndexLink"/>
                <w:rtl w:val="true"/>
              </w:rPr>
              <w:t>(</w:t>
            </w:r>
            <w:r>
              <w:rPr>
                <w:rStyle w:val="IndexLink"/>
                <w:rtl w:val="true"/>
              </w:rPr>
              <w:t>بالفتح</w:t>
            </w:r>
            <w:r>
              <w:rPr>
                <w:rStyle w:val="IndexLink"/>
                <w:rtl w:val="true"/>
              </w:rPr>
              <w:t xml:space="preserve">) </w:t>
            </w:r>
            <w:r>
              <w:rPr>
                <w:rStyle w:val="IndexLink"/>
                <w:rtl w:val="true"/>
              </w:rPr>
              <w:t>واجب است؟</w:t>
            </w:r>
            <w:r>
              <w:rPr>
                <w:rStyle w:val="IndexLink"/>
                <w:rtl w:val="true"/>
              </w:rPr>
              <w:tab/>
            </w:r>
            <w:r>
              <w:rPr>
                <w:rStyle w:val="IndexLink"/>
              </w:rPr>
              <w:t>190</w:t>
            </w:r>
          </w:hyperlink>
        </w:p>
        <w:p>
          <w:pPr>
            <w:pStyle w:val="Contents4"/>
            <w:tabs>
              <w:tab w:val="clear" w:pos="8176"/>
              <w:tab w:val="right" w:pos="9026" w:leader="dot"/>
            </w:tabs>
            <w:rPr/>
          </w:pPr>
          <w:hyperlink w:anchor="__RefHeading___Toc2770417_3804643083">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2770419_3804643083">
            <w:r>
              <w:rPr>
                <w:webHidden/>
                <w:rStyle w:val="IndexLink"/>
                <w:rtl w:val="true"/>
              </w:rPr>
              <w:t>ادلّه‌ي وجوب استغفار براي مغتاب</w:t>
            </w:r>
            <w:r>
              <w:rPr>
                <w:rStyle w:val="IndexLink"/>
                <w:rtl w:val="true"/>
              </w:rPr>
              <w:tab/>
            </w:r>
            <w:r>
              <w:rPr>
                <w:rStyle w:val="IndexLink"/>
              </w:rPr>
              <w:t>190</w:t>
            </w:r>
          </w:hyperlink>
        </w:p>
        <w:p>
          <w:pPr>
            <w:pStyle w:val="Contents4"/>
            <w:tabs>
              <w:tab w:val="clear" w:pos="8176"/>
              <w:tab w:val="right" w:pos="9026" w:leader="dot"/>
            </w:tabs>
            <w:rPr/>
          </w:pPr>
          <w:hyperlink w:anchor="__RefHeading___Toc2770421_3804643083">
            <w:r>
              <w:rPr>
                <w:webHidden/>
                <w:rStyle w:val="IndexLink"/>
                <w:rtl w:val="true"/>
              </w:rPr>
              <w:t>نتيجه‌ي بحث استغفار للمغتاب</w:t>
            </w:r>
            <w:r>
              <w:rPr>
                <w:rStyle w:val="IndexLink"/>
                <w:rtl w:val="true"/>
              </w:rPr>
              <w:tab/>
            </w:r>
            <w:r>
              <w:rPr>
                <w:rStyle w:val="IndexLink"/>
              </w:rPr>
              <w:t>198</w:t>
            </w:r>
          </w:hyperlink>
        </w:p>
        <w:p>
          <w:pPr>
            <w:pStyle w:val="Contents3"/>
            <w:tabs>
              <w:tab w:val="clear" w:pos="8459"/>
              <w:tab w:val="right" w:pos="9026" w:leader="dot"/>
            </w:tabs>
            <w:rPr/>
          </w:pPr>
          <w:hyperlink w:anchor="__RefHeading___Toc2770423_3804643083">
            <w:r>
              <w:rPr>
                <w:webHidden/>
                <w:rStyle w:val="IndexLink"/>
                <w:rtl w:val="true"/>
              </w:rPr>
              <w:t>وجه جمع بين وجوب استحلال و وجوب استغفار للمغتاب چيست؟</w:t>
            </w:r>
            <w:r>
              <w:rPr>
                <w:rStyle w:val="IndexLink"/>
                <w:rtl w:val="true"/>
              </w:rPr>
              <w:tab/>
            </w:r>
            <w:r>
              <w:rPr>
                <w:rStyle w:val="IndexLink"/>
              </w:rPr>
              <w:t>199</w:t>
            </w:r>
          </w:hyperlink>
        </w:p>
        <w:p>
          <w:pPr>
            <w:pStyle w:val="Contents3"/>
            <w:tabs>
              <w:tab w:val="clear" w:pos="8459"/>
              <w:tab w:val="right" w:pos="9026" w:leader="dot"/>
            </w:tabs>
            <w:rPr/>
          </w:pPr>
          <w:hyperlink w:anchor="__RefHeading___Toc2770425_3804643083">
            <w:r>
              <w:rPr>
                <w:webHidden/>
                <w:rStyle w:val="IndexLink"/>
                <w:rtl w:val="true"/>
              </w:rPr>
              <w:t>توضيح كلام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وجه جمع</w:t>
            </w:r>
            <w:r>
              <w:rPr>
                <w:rStyle w:val="IndexLink"/>
                <w:rtl w:val="true"/>
              </w:rPr>
              <w:tab/>
            </w:r>
            <w:r>
              <w:rPr>
                <w:rStyle w:val="IndexLink"/>
              </w:rPr>
              <w:t>199</w:t>
            </w:r>
          </w:hyperlink>
        </w:p>
        <w:p>
          <w:pPr>
            <w:pStyle w:val="Contents4"/>
            <w:tabs>
              <w:tab w:val="clear" w:pos="8176"/>
              <w:tab w:val="right" w:pos="9026" w:leader="dot"/>
            </w:tabs>
            <w:rPr/>
          </w:pPr>
          <w:hyperlink w:anchor="__RefHeading___Toc2770427_3804643083">
            <w:r>
              <w:rPr>
                <w:webHidden/>
                <w:rStyle w:val="IndexLink"/>
                <w:rtl w:val="true"/>
              </w:rPr>
              <w:t>اشاره</w:t>
            </w:r>
            <w:r>
              <w:rPr>
                <w:rStyle w:val="IndexLink"/>
                <w:rtl w:val="true"/>
              </w:rPr>
              <w:tab/>
            </w:r>
            <w:r>
              <w:rPr>
                <w:rStyle w:val="IndexLink"/>
              </w:rPr>
              <w:t>199</w:t>
            </w:r>
          </w:hyperlink>
        </w:p>
        <w:p>
          <w:pPr>
            <w:pStyle w:val="Contents4"/>
            <w:tabs>
              <w:tab w:val="clear" w:pos="8176"/>
              <w:tab w:val="right" w:pos="9026" w:leader="dot"/>
            </w:tabs>
            <w:rPr/>
          </w:pPr>
          <w:hyperlink w:anchor="__RefHeading___Toc2770429_3804643083">
            <w:r>
              <w:rPr>
                <w:webHidden/>
                <w:rStyle w:val="IndexLink"/>
                <w:rtl w:val="true"/>
              </w:rPr>
              <w:t>استدراك جناب شيخ</w:t>
            </w:r>
            <w:r>
              <w:rPr>
                <w:rStyle w:val="IndexLink"/>
                <w:rtl w:val="true"/>
              </w:rPr>
              <w:t xml:space="preserve">- </w:t>
            </w:r>
            <w:r>
              <w:rPr>
                <w:rStyle w:val="IndexLink"/>
                <w:rtl w:val="true"/>
              </w:rPr>
              <w:t xml:space="preserve">قدس سره </w:t>
            </w:r>
            <w:r>
              <w:rPr>
                <w:rStyle w:val="IndexLink"/>
                <w:rtl w:val="true"/>
              </w:rPr>
              <w:t>-</w:t>
              <w:tab/>
            </w:r>
            <w:r>
              <w:rPr>
                <w:rStyle w:val="IndexLink"/>
              </w:rPr>
              <w:t>202</w:t>
            </w:r>
          </w:hyperlink>
        </w:p>
        <w:p>
          <w:pPr>
            <w:pStyle w:val="Contents4"/>
            <w:tabs>
              <w:tab w:val="clear" w:pos="8176"/>
              <w:tab w:val="right" w:pos="9026" w:leader="dot"/>
            </w:tabs>
            <w:rPr/>
          </w:pPr>
          <w:hyperlink w:anchor="__RefHeading___Toc2770431_3804643083">
            <w:r>
              <w:rPr>
                <w:webHidden/>
                <w:rStyle w:val="IndexLink"/>
                <w:rtl w:val="true"/>
              </w:rPr>
              <w:t>نقد و بررسي نظر شيخ</w:t>
            </w:r>
            <w:r>
              <w:rPr>
                <w:rStyle w:val="IndexLink"/>
                <w:rtl w:val="true"/>
              </w:rPr>
              <w:t xml:space="preserve">- </w:t>
            </w:r>
            <w:r>
              <w:rPr>
                <w:rStyle w:val="IndexLink"/>
                <w:rtl w:val="true"/>
              </w:rPr>
              <w:t xml:space="preserve">قدس سره </w:t>
            </w:r>
            <w:r>
              <w:rPr>
                <w:rStyle w:val="IndexLink"/>
                <w:rtl w:val="true"/>
              </w:rPr>
              <w:t>-</w:t>
              <w:tab/>
            </w:r>
            <w:r>
              <w:rPr>
                <w:rStyle w:val="IndexLink"/>
              </w:rPr>
              <w:t>203</w:t>
            </w:r>
          </w:hyperlink>
        </w:p>
        <w:p>
          <w:pPr>
            <w:pStyle w:val="Contents3"/>
            <w:tabs>
              <w:tab w:val="clear" w:pos="8459"/>
              <w:tab w:val="right" w:pos="9026" w:leader="dot"/>
            </w:tabs>
            <w:rPr/>
          </w:pPr>
          <w:hyperlink w:anchor="__RefHeading___Toc2770433_3804643083">
            <w:r>
              <w:rPr>
                <w:webHidden/>
                <w:rStyle w:val="IndexLink"/>
                <w:rtl w:val="true"/>
              </w:rPr>
              <w:t>آيا اگر مغتاب از غيبت مطّلع شد، استحلال لازم است؟</w:t>
            </w:r>
            <w:r>
              <w:rPr>
                <w:rStyle w:val="IndexLink"/>
                <w:rtl w:val="true"/>
              </w:rPr>
              <w:tab/>
            </w:r>
            <w:r>
              <w:rPr>
                <w:rStyle w:val="IndexLink"/>
              </w:rPr>
              <w:t>205</w:t>
            </w:r>
          </w:hyperlink>
        </w:p>
        <w:p>
          <w:pPr>
            <w:pStyle w:val="Contents4"/>
            <w:tabs>
              <w:tab w:val="clear" w:pos="8176"/>
              <w:tab w:val="right" w:pos="9026" w:leader="dot"/>
            </w:tabs>
            <w:rPr/>
          </w:pPr>
          <w:hyperlink w:anchor="__RefHeading___Toc2770435_3804643083">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2770437_3804643083">
            <w:r>
              <w:rPr>
                <w:webHidden/>
                <w:rStyle w:val="IndexLink"/>
                <w:rtl w:val="true"/>
              </w:rPr>
              <w:t>استدلال به روايت مصباح الشريعة</w:t>
            </w:r>
            <w:r>
              <w:rPr>
                <w:rStyle w:val="IndexLink"/>
                <w:rtl w:val="true"/>
              </w:rPr>
              <w:tab/>
            </w:r>
            <w:r>
              <w:rPr>
                <w:rStyle w:val="IndexLink"/>
              </w:rPr>
              <w:t>206</w:t>
            </w:r>
          </w:hyperlink>
        </w:p>
        <w:p>
          <w:pPr>
            <w:pStyle w:val="Contents3"/>
            <w:tabs>
              <w:tab w:val="clear" w:pos="8459"/>
              <w:tab w:val="right" w:pos="9026" w:leader="dot"/>
            </w:tabs>
            <w:rPr/>
          </w:pPr>
          <w:hyperlink w:anchor="__RefHeading___Toc2770439_3804643083">
            <w:r>
              <w:rPr>
                <w:webHidden/>
                <w:rStyle w:val="IndexLink"/>
                <w:rtl w:val="true"/>
              </w:rPr>
              <w:t>كلام شهيد ثاني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وجه جمع</w:t>
            </w:r>
            <w:r>
              <w:rPr>
                <w:rStyle w:val="IndexLink"/>
                <w:rtl w:val="true"/>
              </w:rPr>
              <w:tab/>
            </w:r>
            <w:r>
              <w:rPr>
                <w:rStyle w:val="IndexLink"/>
              </w:rPr>
              <w:t>207</w:t>
            </w:r>
          </w:hyperlink>
        </w:p>
        <w:p>
          <w:pPr>
            <w:pStyle w:val="Contents3"/>
            <w:tabs>
              <w:tab w:val="clear" w:pos="8459"/>
              <w:tab w:val="right" w:pos="9026" w:leader="dot"/>
            </w:tabs>
            <w:rPr/>
          </w:pPr>
          <w:hyperlink w:anchor="__RefHeading___Toc2770441_3804643083">
            <w:r>
              <w:rPr>
                <w:webHidden/>
                <w:rStyle w:val="IndexLink"/>
                <w:rtl w:val="true"/>
              </w:rPr>
              <w:t>تنها وظيفه‌ي قطعي غيبت كننده</w:t>
            </w:r>
            <w:r>
              <w:rPr>
                <w:rStyle w:val="IndexLink"/>
                <w:rtl w:val="true"/>
              </w:rPr>
              <w:t xml:space="preserve">: </w:t>
            </w:r>
            <w:r>
              <w:rPr>
                <w:rStyle w:val="IndexLink"/>
                <w:rtl w:val="true"/>
              </w:rPr>
              <w:t>استغفار از گناه خود</w:t>
            </w:r>
            <w:r>
              <w:rPr>
                <w:rStyle w:val="IndexLink"/>
                <w:rtl w:val="true"/>
              </w:rPr>
              <w:tab/>
            </w:r>
            <w:r>
              <w:rPr>
                <w:rStyle w:val="IndexLink"/>
              </w:rPr>
              <w:t>209</w:t>
            </w:r>
          </w:hyperlink>
        </w:p>
        <w:p>
          <w:pPr>
            <w:pStyle w:val="Contents2"/>
            <w:tabs>
              <w:tab w:val="clear" w:pos="8743"/>
              <w:tab w:val="right" w:pos="9026" w:leader="dot"/>
            </w:tabs>
            <w:rPr/>
          </w:pPr>
          <w:hyperlink w:anchor="__RefHeading___Toc2770443_3804643083">
            <w:r>
              <w:rPr>
                <w:webHidden/>
                <w:rStyle w:val="IndexLink"/>
                <w:rtl w:val="true"/>
              </w:rPr>
              <w:t>مستثنيات غيبت</w:t>
            </w:r>
            <w:r>
              <w:rPr>
                <w:rStyle w:val="IndexLink"/>
                <w:rtl w:val="true"/>
              </w:rPr>
              <w:tab/>
            </w:r>
            <w:r>
              <w:rPr>
                <w:rStyle w:val="IndexLink"/>
              </w:rPr>
              <w:t>210</w:t>
            </w:r>
          </w:hyperlink>
        </w:p>
        <w:p>
          <w:pPr>
            <w:pStyle w:val="Contents3"/>
            <w:tabs>
              <w:tab w:val="clear" w:pos="8459"/>
              <w:tab w:val="right" w:pos="9026" w:leader="dot"/>
            </w:tabs>
            <w:rPr/>
          </w:pPr>
          <w:hyperlink w:anchor="__RefHeading___Toc2770445_3804643083">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2770447_3804643083">
            <w:r>
              <w:rPr>
                <w:webHidden/>
                <w:rStyle w:val="IndexLink"/>
                <w:rtl w:val="true"/>
              </w:rPr>
              <w:t>نمونه‌هايي از برتري مصحلت غيبت بر مصلحت ترك آن</w:t>
            </w:r>
            <w:r>
              <w:rPr>
                <w:rStyle w:val="IndexLink"/>
                <w:rtl w:val="true"/>
              </w:rPr>
              <w:tab/>
            </w:r>
            <w:r>
              <w:rPr>
                <w:rStyle w:val="IndexLink"/>
              </w:rPr>
              <w:t>212</w:t>
            </w:r>
          </w:hyperlink>
        </w:p>
        <w:p>
          <w:pPr>
            <w:pStyle w:val="Contents3"/>
            <w:tabs>
              <w:tab w:val="clear" w:pos="8459"/>
              <w:tab w:val="right" w:pos="9026" w:leader="dot"/>
            </w:tabs>
            <w:rPr/>
          </w:pPr>
          <w:hyperlink w:anchor="__RefHeading___Toc2770449_3804643083">
            <w:r>
              <w:rPr>
                <w:webHidden/>
                <w:rStyle w:val="IndexLink"/>
                <w:rtl w:val="true"/>
              </w:rPr>
              <w:t>پرهيز از افراط و تفريط</w:t>
            </w:r>
            <w:r>
              <w:rPr>
                <w:rStyle w:val="IndexLink"/>
                <w:rtl w:val="true"/>
              </w:rPr>
              <w:tab/>
            </w:r>
            <w:r>
              <w:rPr>
                <w:rStyle w:val="IndexLink"/>
              </w:rPr>
              <w:t>213</w:t>
            </w:r>
          </w:hyperlink>
        </w:p>
        <w:p>
          <w:pPr>
            <w:pStyle w:val="Contents3"/>
            <w:tabs>
              <w:tab w:val="clear" w:pos="8459"/>
              <w:tab w:val="right" w:pos="9026" w:leader="dot"/>
            </w:tabs>
            <w:rPr/>
          </w:pPr>
          <w:hyperlink w:anchor="__RefHeading___Toc2770451_3804643083">
            <w:r>
              <w:rPr>
                <w:webHidden/>
                <w:rStyle w:val="IndexLink"/>
                <w:rtl w:val="true"/>
              </w:rPr>
              <w:t>قاعده و ملاك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موارد جواز غيبت</w:t>
            </w:r>
            <w:r>
              <w:rPr>
                <w:rStyle w:val="IndexLink"/>
                <w:rtl w:val="true"/>
              </w:rPr>
              <w:tab/>
            </w:r>
            <w:r>
              <w:rPr>
                <w:rStyle w:val="IndexLink"/>
              </w:rPr>
              <w:t>214</w:t>
            </w:r>
          </w:hyperlink>
        </w:p>
        <w:p>
          <w:pPr>
            <w:pStyle w:val="Contents3"/>
            <w:tabs>
              <w:tab w:val="clear" w:pos="8459"/>
              <w:tab w:val="right" w:pos="9026" w:leader="dot"/>
            </w:tabs>
            <w:rPr/>
          </w:pPr>
          <w:hyperlink w:anchor="__RefHeading___Toc2770453_3804643083">
            <w:r>
              <w:rPr>
                <w:webHidden/>
                <w:rStyle w:val="IndexLink"/>
                <w:rtl w:val="true"/>
              </w:rPr>
              <w:t>دو قسم اصلي مستثنيات غيبت، از ديدگاه شيخ انصاري</w:t>
            </w:r>
            <w:r>
              <w:rPr>
                <w:rStyle w:val="IndexLink"/>
                <w:rtl w:val="true"/>
              </w:rPr>
              <w:t xml:space="preserve">- </w:t>
            </w:r>
            <w:r>
              <w:rPr>
                <w:rStyle w:val="IndexLink"/>
                <w:rtl w:val="true"/>
              </w:rPr>
              <w:t xml:space="preserve">قدس سره </w:t>
            </w:r>
            <w:r>
              <w:rPr>
                <w:rStyle w:val="IndexLink"/>
                <w:rtl w:val="true"/>
              </w:rPr>
              <w:t>-</w:t>
              <w:tab/>
            </w:r>
            <w:r>
              <w:rPr>
                <w:rStyle w:val="IndexLink"/>
              </w:rPr>
              <w:t>215</w:t>
            </w:r>
          </w:hyperlink>
        </w:p>
        <w:p>
          <w:pPr>
            <w:pStyle w:val="Contents4"/>
            <w:tabs>
              <w:tab w:val="clear" w:pos="8176"/>
              <w:tab w:val="right" w:pos="9026" w:leader="dot"/>
            </w:tabs>
            <w:rPr/>
          </w:pPr>
          <w:hyperlink w:anchor="__RefHeading___Toc2770455_3804643083">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2770457_3804643083">
            <w:r>
              <w:rPr>
                <w:webHidden/>
                <w:rStyle w:val="IndexLink"/>
                <w:rtl w:val="true"/>
              </w:rPr>
              <w:t>الف</w:t>
            </w:r>
            <w:r>
              <w:rPr>
                <w:rStyle w:val="IndexLink"/>
                <w:rtl w:val="true"/>
              </w:rPr>
              <w:t xml:space="preserve">) </w:t>
            </w:r>
            <w:r>
              <w:rPr>
                <w:rStyle w:val="IndexLink"/>
                <w:rtl w:val="true"/>
              </w:rPr>
              <w:t>عدم خروج غيبت از حرمت، به قاعده‌ي لاضرر يا لاحرج با توجّه به امتناني بودن اين دو قاعده</w:t>
            </w:r>
            <w:r>
              <w:rPr>
                <w:rStyle w:val="IndexLink"/>
                <w:rtl w:val="true"/>
              </w:rPr>
              <w:tab/>
            </w:r>
            <w:r>
              <w:rPr>
                <w:rStyle w:val="IndexLink"/>
              </w:rPr>
              <w:t>216</w:t>
            </w:r>
          </w:hyperlink>
        </w:p>
        <w:p>
          <w:pPr>
            <w:pStyle w:val="Contents4"/>
            <w:tabs>
              <w:tab w:val="clear" w:pos="8176"/>
              <w:tab w:val="right" w:pos="9026" w:leader="dot"/>
            </w:tabs>
            <w:rPr/>
          </w:pPr>
          <w:hyperlink w:anchor="__RefHeading___Toc2770459_3804643083">
            <w:r>
              <w:rPr>
                <w:webHidden/>
                <w:rStyle w:val="IndexLink"/>
                <w:rtl w:val="true"/>
              </w:rPr>
              <w:t>ب</w:t>
            </w:r>
            <w:r>
              <w:rPr>
                <w:rStyle w:val="IndexLink"/>
                <w:rtl w:val="true"/>
              </w:rPr>
              <w:t xml:space="preserve">) </w:t>
            </w:r>
            <w:r>
              <w:rPr>
                <w:rStyle w:val="IndexLink"/>
                <w:rtl w:val="true"/>
              </w:rPr>
              <w:t>جواز غيبت، به ملاك تزاحم</w:t>
            </w:r>
            <w:r>
              <w:rPr>
                <w:rStyle w:val="IndexLink"/>
                <w:rtl w:val="true"/>
              </w:rPr>
              <w:tab/>
            </w:r>
            <w:r>
              <w:rPr>
                <w:rStyle w:val="IndexLink"/>
              </w:rPr>
              <w:t>216</w:t>
            </w:r>
          </w:hyperlink>
        </w:p>
        <w:p>
          <w:pPr>
            <w:pStyle w:val="Contents3"/>
            <w:tabs>
              <w:tab w:val="clear" w:pos="8459"/>
              <w:tab w:val="right" w:pos="9026" w:leader="dot"/>
            </w:tabs>
            <w:rPr/>
          </w:pPr>
          <w:hyperlink w:anchor="__RefHeading___Toc2770461_3804643083">
            <w:r>
              <w:rPr>
                <w:webHidden/>
                <w:rStyle w:val="IndexLink"/>
                <w:rtl w:val="true"/>
              </w:rPr>
              <w:t>مناقشه در نحوه‌ي ورود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بحث مستثنيات غيبت</w:t>
            </w:r>
            <w:r>
              <w:rPr>
                <w:rStyle w:val="IndexLink"/>
                <w:rtl w:val="true"/>
              </w:rPr>
              <w:tab/>
            </w:r>
            <w:r>
              <w:rPr>
                <w:rStyle w:val="IndexLink"/>
              </w:rPr>
              <w:t>221</w:t>
            </w:r>
          </w:hyperlink>
        </w:p>
        <w:p>
          <w:pPr>
            <w:pStyle w:val="Contents3"/>
            <w:tabs>
              <w:tab w:val="clear" w:pos="8459"/>
              <w:tab w:val="right" w:pos="9026" w:leader="dot"/>
            </w:tabs>
            <w:rPr/>
          </w:pPr>
          <w:hyperlink w:anchor="__RefHeading___Toc2770463_3804643083">
            <w:r>
              <w:rPr>
                <w:webHidden/>
                <w:rStyle w:val="IndexLink"/>
                <w:rtl w:val="true"/>
              </w:rPr>
              <w:t>موارد استثنا</w:t>
            </w:r>
            <w:r>
              <w:rPr>
                <w:rStyle w:val="IndexLink"/>
                <w:rtl w:val="true"/>
              </w:rPr>
              <w:tab/>
            </w:r>
            <w:r>
              <w:rPr>
                <w:rStyle w:val="IndexLink"/>
              </w:rPr>
              <w:t>223</w:t>
            </w:r>
          </w:hyperlink>
        </w:p>
        <w:p>
          <w:pPr>
            <w:pStyle w:val="Contents4"/>
            <w:tabs>
              <w:tab w:val="clear" w:pos="8176"/>
              <w:tab w:val="right" w:pos="9026" w:leader="dot"/>
            </w:tabs>
            <w:rPr/>
          </w:pPr>
          <w:hyperlink w:anchor="__RefHeading___Toc2770465_3804643083">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2770467_3804643083">
            <w:r>
              <w:rPr>
                <w:webHidden/>
                <w:rStyle w:val="IndexLink"/>
              </w:rPr>
              <w:t>1</w:t>
            </w:r>
            <w:r>
              <w:rPr>
                <w:rStyle w:val="IndexLink"/>
                <w:rtl w:val="true"/>
              </w:rPr>
              <w:t xml:space="preserve">. </w:t>
            </w:r>
            <w:r>
              <w:rPr>
                <w:rStyle w:val="IndexLink"/>
                <w:rtl w:val="true"/>
              </w:rPr>
              <w:t>غيبت متجاهر به فسق</w:t>
            </w:r>
            <w:r>
              <w:rPr>
                <w:rStyle w:val="IndexLink"/>
                <w:rtl w:val="true"/>
              </w:rPr>
              <w:tab/>
            </w:r>
            <w:r>
              <w:rPr>
                <w:rStyle w:val="IndexLink"/>
              </w:rPr>
              <w:t>223</w:t>
            </w:r>
          </w:hyperlink>
        </w:p>
        <w:p>
          <w:pPr>
            <w:pStyle w:val="Contents5"/>
            <w:tabs>
              <w:tab w:val="clear" w:pos="7892"/>
              <w:tab w:val="right" w:pos="9026" w:leader="dot"/>
            </w:tabs>
            <w:rPr/>
          </w:pPr>
          <w:hyperlink w:anchor="__RefHeading___Toc2770469_3804643083">
            <w:r>
              <w:rPr>
                <w:webHidden/>
                <w:rStyle w:val="IndexLink"/>
                <w:rtl w:val="true"/>
              </w:rPr>
              <w:t>اشاره</w:t>
            </w:r>
            <w:r>
              <w:rPr>
                <w:rStyle w:val="IndexLink"/>
                <w:rtl w:val="true"/>
              </w:rPr>
              <w:tab/>
            </w:r>
            <w:r>
              <w:rPr>
                <w:rStyle w:val="IndexLink"/>
              </w:rPr>
              <w:t>223</w:t>
            </w:r>
          </w:hyperlink>
        </w:p>
        <w:p>
          <w:pPr>
            <w:pStyle w:val="Contents5"/>
            <w:tabs>
              <w:tab w:val="clear" w:pos="7892"/>
              <w:tab w:val="right" w:pos="9026" w:leader="dot"/>
            </w:tabs>
            <w:rPr/>
          </w:pPr>
          <w:hyperlink w:anchor="__RefHeading___Toc2770471_3804643083">
            <w:r>
              <w:rPr>
                <w:webHidden/>
                <w:rStyle w:val="IndexLink"/>
                <w:rtl w:val="true"/>
              </w:rPr>
              <w:t>ادّعاي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جواز لعن متجاهر به فسق و مناقشه در آن</w:t>
            </w:r>
            <w:r>
              <w:rPr>
                <w:rStyle w:val="IndexLink"/>
                <w:rtl w:val="true"/>
              </w:rPr>
              <w:tab/>
            </w:r>
            <w:r>
              <w:rPr>
                <w:rStyle w:val="IndexLink"/>
              </w:rPr>
              <w:t>225</w:t>
            </w:r>
          </w:hyperlink>
        </w:p>
        <w:p>
          <w:pPr>
            <w:pStyle w:val="Contents5"/>
            <w:tabs>
              <w:tab w:val="clear" w:pos="7892"/>
              <w:tab w:val="right" w:pos="9026" w:leader="dot"/>
            </w:tabs>
            <w:rPr/>
          </w:pPr>
          <w:hyperlink w:anchor="__RefHeading___Toc2770473_3804643083">
            <w:r>
              <w:rPr>
                <w:webHidden/>
                <w:rStyle w:val="IndexLink"/>
                <w:rtl w:val="true"/>
              </w:rPr>
              <w:t>ادلّه‌ي جواز غيبت متجاهر به فسق</w:t>
            </w:r>
            <w:r>
              <w:rPr>
                <w:rStyle w:val="IndexLink"/>
                <w:rtl w:val="true"/>
              </w:rPr>
              <w:tab/>
            </w:r>
            <w:r>
              <w:rPr>
                <w:rStyle w:val="IndexLink"/>
              </w:rPr>
              <w:t>227</w:t>
            </w:r>
          </w:hyperlink>
        </w:p>
        <w:p>
          <w:pPr>
            <w:pStyle w:val="Contents5"/>
            <w:tabs>
              <w:tab w:val="clear" w:pos="7892"/>
              <w:tab w:val="right" w:pos="9026" w:leader="dot"/>
            </w:tabs>
            <w:rPr/>
          </w:pPr>
          <w:hyperlink w:anchor="__RefHeading___Toc2770475_3804643083">
            <w:r>
              <w:rPr>
                <w:webHidden/>
                <w:rStyle w:val="IndexLink"/>
                <w:rtl w:val="true"/>
              </w:rPr>
              <w:t>ـ روايت هارون بن جهم</w:t>
            </w:r>
            <w:r>
              <w:rPr>
                <w:rStyle w:val="IndexLink"/>
                <w:rtl w:val="true"/>
              </w:rPr>
              <w:tab/>
            </w:r>
            <w:r>
              <w:rPr>
                <w:rStyle w:val="IndexLink"/>
              </w:rPr>
              <w:t>227</w:t>
            </w:r>
          </w:hyperlink>
        </w:p>
        <w:p>
          <w:pPr>
            <w:pStyle w:val="Contents5"/>
            <w:tabs>
              <w:tab w:val="clear" w:pos="7892"/>
              <w:tab w:val="right" w:pos="9026" w:leader="dot"/>
            </w:tabs>
            <w:rPr/>
          </w:pPr>
          <w:hyperlink w:anchor="__RefHeading___Toc2770477_3804643083">
            <w:r>
              <w:rPr>
                <w:webHidden/>
                <w:rStyle w:val="IndexLink"/>
                <w:rtl w:val="true"/>
              </w:rPr>
              <w:t>نتيجه‌ي نهايي در حكم غيبت متجاهر به فسق</w:t>
            </w:r>
            <w:r>
              <w:rPr>
                <w:rStyle w:val="IndexLink"/>
                <w:rtl w:val="true"/>
              </w:rPr>
              <w:tab/>
            </w:r>
            <w:r>
              <w:rPr>
                <w:rStyle w:val="IndexLink"/>
              </w:rPr>
              <w:t>262</w:t>
            </w:r>
          </w:hyperlink>
        </w:p>
        <w:p>
          <w:pPr>
            <w:pStyle w:val="Contents5"/>
            <w:tabs>
              <w:tab w:val="clear" w:pos="7892"/>
              <w:tab w:val="right" w:pos="9026" w:leader="dot"/>
            </w:tabs>
            <w:rPr/>
          </w:pPr>
          <w:hyperlink w:anchor="__RefHeading___Toc2770479_3804643083">
            <w:r>
              <w:rPr>
                <w:webHidden/>
                <w:rStyle w:val="IndexLink"/>
                <w:rtl w:val="true"/>
              </w:rPr>
              <w:t>آيا جواز غيبت متجاهر به فسق، مشروط به غرض صحيح است؟</w:t>
            </w:r>
            <w:r>
              <w:rPr>
                <w:rStyle w:val="IndexLink"/>
                <w:rtl w:val="true"/>
              </w:rPr>
              <w:tab/>
            </w:r>
            <w:r>
              <w:rPr>
                <w:rStyle w:val="IndexLink"/>
              </w:rPr>
              <w:t>264</w:t>
            </w:r>
          </w:hyperlink>
        </w:p>
        <w:p>
          <w:pPr>
            <w:pStyle w:val="Contents5"/>
            <w:tabs>
              <w:tab w:val="clear" w:pos="7892"/>
              <w:tab w:val="right" w:pos="9026" w:leader="dot"/>
            </w:tabs>
            <w:rPr/>
          </w:pPr>
          <w:hyperlink w:anchor="__RefHeading___Toc2770481_3804643083">
            <w:r>
              <w:rPr>
                <w:webHidden/>
                <w:rStyle w:val="IndexLink"/>
                <w:rtl w:val="true"/>
              </w:rPr>
              <w:t>آيا غيبت متجاهر در غير موردي كه تجاهر به آن دارد، جايز است؟</w:t>
            </w:r>
            <w:r>
              <w:rPr>
                <w:rStyle w:val="IndexLink"/>
                <w:rtl w:val="true"/>
              </w:rPr>
              <w:tab/>
            </w:r>
            <w:r>
              <w:rPr>
                <w:rStyle w:val="IndexLink"/>
              </w:rPr>
              <w:t>265</w:t>
            </w:r>
          </w:hyperlink>
        </w:p>
        <w:p>
          <w:pPr>
            <w:pStyle w:val="Contents5"/>
            <w:tabs>
              <w:tab w:val="clear" w:pos="7892"/>
              <w:tab w:val="right" w:pos="9026" w:leader="dot"/>
            </w:tabs>
            <w:rPr/>
          </w:pPr>
          <w:hyperlink w:anchor="__RefHeading___Toc2770483_3804643083">
            <w:r>
              <w:rPr>
                <w:webHidden/>
                <w:rStyle w:val="IndexLink"/>
                <w:rtl w:val="true"/>
              </w:rPr>
              <w:t xml:space="preserve">آيا غيبت گناهانِ </w:t>
            </w:r>
            <w:r>
              <w:rPr>
                <w:rStyle w:val="IndexLink"/>
                <w:rtl w:val="true"/>
              </w:rPr>
              <w:t>«</w:t>
            </w:r>
            <w:r>
              <w:rPr>
                <w:rStyle w:val="IndexLink"/>
                <w:rtl w:val="true"/>
              </w:rPr>
              <w:t>دون ما تجاهر به</w:t>
            </w:r>
            <w:r>
              <w:rPr>
                <w:rStyle w:val="IndexLink"/>
                <w:rtl w:val="true"/>
              </w:rPr>
              <w:t xml:space="preserve">» </w:t>
            </w:r>
            <w:r>
              <w:rPr>
                <w:rStyle w:val="IndexLink"/>
                <w:rtl w:val="true"/>
              </w:rPr>
              <w:t>بالاولويه جايز است؟</w:t>
            </w:r>
            <w:r>
              <w:rPr>
                <w:rStyle w:val="IndexLink"/>
                <w:rtl w:val="true"/>
              </w:rPr>
              <w:tab/>
            </w:r>
            <w:r>
              <w:rPr>
                <w:rStyle w:val="IndexLink"/>
              </w:rPr>
              <w:t>266</w:t>
            </w:r>
          </w:hyperlink>
        </w:p>
        <w:p>
          <w:pPr>
            <w:pStyle w:val="Contents6"/>
            <w:tabs>
              <w:tab w:val="clear" w:pos="7609"/>
              <w:tab w:val="right" w:pos="9026" w:leader="dot"/>
            </w:tabs>
            <w:rPr/>
          </w:pPr>
          <w:hyperlink w:anchor="__RefHeading___Toc2770485_3804643083">
            <w:r>
              <w:rPr>
                <w:webHidden/>
                <w:rStyle w:val="IndexLink"/>
                <w:rtl w:val="true"/>
              </w:rPr>
              <w:t>اشاره</w:t>
            </w:r>
            <w:r>
              <w:rPr>
                <w:rStyle w:val="IndexLink"/>
                <w:rtl w:val="true"/>
              </w:rPr>
              <w:tab/>
            </w:r>
            <w:r>
              <w:rPr>
                <w:rStyle w:val="IndexLink"/>
              </w:rPr>
              <w:t>266</w:t>
            </w:r>
          </w:hyperlink>
        </w:p>
        <w:p>
          <w:pPr>
            <w:pStyle w:val="Contents6"/>
            <w:tabs>
              <w:tab w:val="clear" w:pos="7609"/>
              <w:tab w:val="right" w:pos="9026" w:leader="dot"/>
            </w:tabs>
            <w:rPr/>
          </w:pPr>
          <w:hyperlink w:anchor="__RefHeading___Toc2770487_3804643083">
            <w:r>
              <w:rPr>
                <w:webHidden/>
                <w:rStyle w:val="IndexLink"/>
                <w:rtl w:val="true"/>
              </w:rPr>
              <w:t>نقد و بررسي فتواي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 xml:space="preserve">در جواز غيبت </w:t>
            </w:r>
            <w:r>
              <w:rPr>
                <w:rStyle w:val="IndexLink"/>
                <w:rtl w:val="true"/>
              </w:rPr>
              <w:t>«</w:t>
            </w:r>
            <w:r>
              <w:rPr>
                <w:rStyle w:val="IndexLink"/>
                <w:rtl w:val="true"/>
              </w:rPr>
              <w:t>دون ما تجاهر به</w:t>
            </w:r>
            <w:r>
              <w:rPr>
                <w:rStyle w:val="IndexLink"/>
                <w:rtl w:val="true"/>
              </w:rPr>
              <w:t>»</w:t>
              <w:tab/>
            </w:r>
            <w:r>
              <w:rPr>
                <w:rStyle w:val="IndexLink"/>
              </w:rPr>
              <w:t>268</w:t>
            </w:r>
          </w:hyperlink>
        </w:p>
        <w:p>
          <w:pPr>
            <w:pStyle w:val="Contents5"/>
            <w:tabs>
              <w:tab w:val="clear" w:pos="7892"/>
              <w:tab w:val="right" w:pos="9026" w:leader="dot"/>
            </w:tabs>
            <w:rPr/>
          </w:pPr>
          <w:hyperlink w:anchor="__RefHeading___Toc2770489_3804643083">
            <w:r>
              <w:rPr>
                <w:webHidden/>
                <w:rStyle w:val="IndexLink"/>
                <w:rtl w:val="true"/>
              </w:rPr>
              <w:t>سخن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غيبت مرتكبين قبايح معروفه</w:t>
            </w:r>
            <w:r>
              <w:rPr>
                <w:rStyle w:val="IndexLink"/>
                <w:rtl w:val="true"/>
              </w:rPr>
              <w:tab/>
            </w:r>
            <w:r>
              <w:rPr>
                <w:rStyle w:val="IndexLink"/>
              </w:rPr>
              <w:t>269</w:t>
            </w:r>
          </w:hyperlink>
        </w:p>
        <w:p>
          <w:pPr>
            <w:pStyle w:val="Contents6"/>
            <w:tabs>
              <w:tab w:val="clear" w:pos="7609"/>
              <w:tab w:val="right" w:pos="9026" w:leader="dot"/>
            </w:tabs>
            <w:rPr/>
          </w:pPr>
          <w:hyperlink w:anchor="__RefHeading___Toc2770491_3804643083">
            <w:r>
              <w:rPr>
                <w:webHidden/>
                <w:rStyle w:val="IndexLink"/>
                <w:rtl w:val="true"/>
              </w:rPr>
              <w:t>اشاره</w:t>
            </w:r>
            <w:r>
              <w:rPr>
                <w:rStyle w:val="IndexLink"/>
                <w:rtl w:val="true"/>
              </w:rPr>
              <w:tab/>
            </w:r>
            <w:r>
              <w:rPr>
                <w:rStyle w:val="IndexLink"/>
              </w:rPr>
              <w:t>269</w:t>
            </w:r>
          </w:hyperlink>
        </w:p>
        <w:p>
          <w:pPr>
            <w:pStyle w:val="Contents6"/>
            <w:tabs>
              <w:tab w:val="clear" w:pos="7609"/>
              <w:tab w:val="right" w:pos="9026" w:leader="dot"/>
            </w:tabs>
            <w:rPr/>
          </w:pPr>
          <w:hyperlink w:anchor="__RefHeading___Toc2770493_3804643083">
            <w:r>
              <w:rPr>
                <w:webHidden/>
                <w:rStyle w:val="IndexLink"/>
                <w:rtl w:val="true"/>
              </w:rPr>
              <w:t>مناقشه در ديدگاه شيخ</w:t>
            </w:r>
            <w:r>
              <w:rPr>
                <w:rStyle w:val="IndexLink"/>
                <w:rtl w:val="true"/>
              </w:rPr>
              <w:t xml:space="preserve">- </w:t>
            </w:r>
            <w:r>
              <w:rPr>
                <w:rStyle w:val="IndexLink"/>
                <w:rtl w:val="true"/>
              </w:rPr>
              <w:t xml:space="preserve">قدس سره </w:t>
            </w:r>
            <w:r>
              <w:rPr>
                <w:rStyle w:val="IndexLink"/>
                <w:rtl w:val="true"/>
              </w:rPr>
              <w:t>-</w:t>
              <w:tab/>
            </w:r>
            <w:r>
              <w:rPr>
                <w:rStyle w:val="IndexLink"/>
              </w:rPr>
              <w:t>270</w:t>
            </w:r>
          </w:hyperlink>
        </w:p>
        <w:p>
          <w:pPr>
            <w:pStyle w:val="Contents5"/>
            <w:tabs>
              <w:tab w:val="clear" w:pos="7892"/>
              <w:tab w:val="right" w:pos="9026" w:leader="dot"/>
            </w:tabs>
            <w:rPr/>
          </w:pPr>
          <w:hyperlink w:anchor="__RefHeading___Toc2770495_3804643083">
            <w:r>
              <w:rPr>
                <w:webHidden/>
                <w:rStyle w:val="IndexLink"/>
                <w:rtl w:val="true"/>
              </w:rPr>
              <w:t>حكم غيبت كسي كه در مكاني متجاهر و در مكان ديگر متستّر است، براي اهل مكان تستّر؟</w:t>
            </w:r>
            <w:r>
              <w:rPr>
                <w:rStyle w:val="IndexLink"/>
                <w:rtl w:val="true"/>
              </w:rPr>
              <w:tab/>
            </w:r>
            <w:r>
              <w:rPr>
                <w:rStyle w:val="IndexLink"/>
              </w:rPr>
              <w:t>270</w:t>
            </w:r>
          </w:hyperlink>
        </w:p>
        <w:p>
          <w:pPr>
            <w:pStyle w:val="Contents5"/>
            <w:tabs>
              <w:tab w:val="clear" w:pos="7892"/>
              <w:tab w:val="right" w:pos="9026" w:leader="dot"/>
            </w:tabs>
            <w:rPr/>
          </w:pPr>
          <w:hyperlink w:anchor="__RefHeading___Toc2770497_3804643083">
            <w:r>
              <w:rPr>
                <w:webHidden/>
                <w:rStyle w:val="IndexLink"/>
                <w:rtl w:val="true"/>
              </w:rPr>
              <w:t>تحقّق تجاهر از منظر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صورت عدم ارائه‌ي محملي براي فسق</w:t>
            </w:r>
            <w:r>
              <w:rPr>
                <w:rStyle w:val="IndexLink"/>
                <w:rtl w:val="true"/>
              </w:rPr>
              <w:tab/>
            </w:r>
            <w:r>
              <w:rPr>
                <w:rStyle w:val="IndexLink"/>
              </w:rPr>
              <w:t>273</w:t>
            </w:r>
          </w:hyperlink>
        </w:p>
        <w:p>
          <w:pPr>
            <w:pStyle w:val="Contents4"/>
            <w:tabs>
              <w:tab w:val="clear" w:pos="8176"/>
              <w:tab w:val="right" w:pos="9026" w:leader="dot"/>
            </w:tabs>
            <w:rPr/>
          </w:pPr>
          <w:hyperlink w:anchor="__RefHeading___Toc2770499_3804643083">
            <w:r>
              <w:rPr>
                <w:webHidden/>
                <w:rStyle w:val="IndexLink"/>
              </w:rPr>
              <w:t>2</w:t>
            </w:r>
            <w:r>
              <w:rPr>
                <w:rStyle w:val="IndexLink"/>
                <w:rtl w:val="true"/>
              </w:rPr>
              <w:t xml:space="preserve">. </w:t>
            </w:r>
            <w:r>
              <w:rPr>
                <w:rStyle w:val="IndexLink"/>
                <w:rtl w:val="true"/>
              </w:rPr>
              <w:t xml:space="preserve">غيبت ظالم در مقام تظلّم </w:t>
            </w:r>
            <w:r>
              <w:rPr>
                <w:rStyle w:val="IndexLink"/>
                <w:rtl w:val="true"/>
              </w:rPr>
              <w:t>(</w:t>
            </w:r>
            <w:r>
              <w:rPr>
                <w:rStyle w:val="IndexLink"/>
                <w:rtl w:val="true"/>
              </w:rPr>
              <w:t>انتصار مظلوم</w:t>
            </w:r>
            <w:r>
              <w:rPr>
                <w:rStyle w:val="IndexLink"/>
                <w:rtl w:val="true"/>
              </w:rPr>
              <w:t>)</w:t>
              <w:tab/>
            </w:r>
            <w:r>
              <w:rPr>
                <w:rStyle w:val="IndexLink"/>
              </w:rPr>
              <w:t>276</w:t>
            </w:r>
          </w:hyperlink>
        </w:p>
        <w:p>
          <w:pPr>
            <w:pStyle w:val="Contents5"/>
            <w:tabs>
              <w:tab w:val="clear" w:pos="7892"/>
              <w:tab w:val="right" w:pos="9026" w:leader="dot"/>
            </w:tabs>
            <w:rPr/>
          </w:pPr>
          <w:hyperlink w:anchor="__RefHeading___Toc2770501_3804643083">
            <w:r>
              <w:rPr>
                <w:webHidden/>
                <w:rStyle w:val="IndexLink"/>
                <w:rtl w:val="true"/>
              </w:rPr>
              <w:t>اشاره</w:t>
            </w:r>
            <w:r>
              <w:rPr>
                <w:rStyle w:val="IndexLink"/>
                <w:rtl w:val="true"/>
              </w:rPr>
              <w:tab/>
            </w:r>
            <w:r>
              <w:rPr>
                <w:rStyle w:val="IndexLink"/>
              </w:rPr>
              <w:t>276</w:t>
            </w:r>
          </w:hyperlink>
        </w:p>
        <w:p>
          <w:pPr>
            <w:pStyle w:val="Contents5"/>
            <w:tabs>
              <w:tab w:val="clear" w:pos="7892"/>
              <w:tab w:val="right" w:pos="9026" w:leader="dot"/>
            </w:tabs>
            <w:rPr/>
          </w:pPr>
          <w:hyperlink w:anchor="__RefHeading___Toc2770503_3804643083">
            <w:r>
              <w:rPr>
                <w:webHidden/>
                <w:rStyle w:val="IndexLink"/>
                <w:rtl w:val="true"/>
              </w:rPr>
              <w:t>آياتي كه براي جواز غيبت مظلوم از ظالم، به آن استدلال شده است</w:t>
            </w:r>
            <w:r>
              <w:rPr>
                <w:rStyle w:val="IndexLink"/>
                <w:rtl w:val="true"/>
              </w:rPr>
              <w:tab/>
            </w:r>
            <w:r>
              <w:rPr>
                <w:rStyle w:val="IndexLink"/>
              </w:rPr>
              <w:t>277</w:t>
            </w:r>
          </w:hyperlink>
        </w:p>
        <w:p>
          <w:pPr>
            <w:pStyle w:val="Contents6"/>
            <w:tabs>
              <w:tab w:val="clear" w:pos="7609"/>
              <w:tab w:val="right" w:pos="9026" w:leader="dot"/>
            </w:tabs>
            <w:rPr/>
          </w:pPr>
          <w:hyperlink w:anchor="__RefHeading___Toc2770505_3804643083">
            <w:r>
              <w:rPr>
                <w:webHidden/>
                <w:rStyle w:val="IndexLink"/>
                <w:rtl w:val="true"/>
              </w:rPr>
              <w:t>الف</w:t>
            </w:r>
            <w:r>
              <w:rPr>
                <w:rStyle w:val="IndexLink"/>
                <w:rtl w:val="true"/>
              </w:rPr>
              <w:t xml:space="preserve">) </w:t>
            </w:r>
            <w:r>
              <w:rPr>
                <w:rStyle w:val="IndexLink"/>
                <w:rtl w:val="true"/>
              </w:rPr>
              <w:t>آيه‌ي نفي سبيل براي كسي كه در مقام انتصار است</w:t>
            </w:r>
            <w:r>
              <w:rPr>
                <w:rStyle w:val="IndexLink"/>
                <w:rtl w:val="true"/>
              </w:rPr>
              <w:tab/>
            </w:r>
            <w:r>
              <w:rPr>
                <w:rStyle w:val="IndexLink"/>
              </w:rPr>
              <w:t>277</w:t>
            </w:r>
          </w:hyperlink>
        </w:p>
        <w:p>
          <w:pPr>
            <w:pStyle w:val="Contents6"/>
            <w:tabs>
              <w:tab w:val="clear" w:pos="7609"/>
              <w:tab w:val="right" w:pos="9026" w:leader="dot"/>
            </w:tabs>
            <w:rPr/>
          </w:pPr>
          <w:hyperlink w:anchor="__RefHeading___Toc2770507_3804643083">
            <w:r>
              <w:rPr>
                <w:webHidden/>
                <w:rStyle w:val="IndexLink"/>
                <w:rtl w:val="true"/>
              </w:rPr>
              <w:t>اشاره</w:t>
            </w:r>
            <w:r>
              <w:rPr>
                <w:rStyle w:val="IndexLink"/>
                <w:rtl w:val="true"/>
              </w:rPr>
              <w:tab/>
            </w:r>
            <w:r>
              <w:rPr>
                <w:rStyle w:val="IndexLink"/>
              </w:rPr>
              <w:t>277</w:t>
            </w:r>
          </w:hyperlink>
        </w:p>
        <w:p>
          <w:pPr>
            <w:pStyle w:val="Contents6"/>
            <w:tabs>
              <w:tab w:val="clear" w:pos="7609"/>
              <w:tab w:val="right" w:pos="9026" w:leader="dot"/>
            </w:tabs>
            <w:rPr/>
          </w:pPr>
          <w:hyperlink w:anchor="__RefHeading___Toc2770509_3804643083">
            <w:r>
              <w:rPr>
                <w:webHidden/>
                <w:rStyle w:val="IndexLink"/>
                <w:rtl w:val="true"/>
              </w:rPr>
              <w:t>وجه استدلال به آيه‌ي شريفه</w:t>
            </w:r>
            <w:r>
              <w:rPr>
                <w:rStyle w:val="IndexLink"/>
                <w:rtl w:val="true"/>
              </w:rPr>
              <w:tab/>
            </w:r>
            <w:r>
              <w:rPr>
                <w:rStyle w:val="IndexLink"/>
              </w:rPr>
              <w:t>278</w:t>
            </w:r>
          </w:hyperlink>
        </w:p>
        <w:p>
          <w:pPr>
            <w:pStyle w:val="Contents6"/>
            <w:tabs>
              <w:tab w:val="clear" w:pos="7609"/>
              <w:tab w:val="right" w:pos="9026" w:leader="dot"/>
            </w:tabs>
            <w:rPr/>
          </w:pPr>
          <w:hyperlink w:anchor="__RefHeading___Toc2770511_3804643083">
            <w:r>
              <w:rPr>
                <w:webHidden/>
                <w:rStyle w:val="IndexLink"/>
                <w:rtl w:val="true"/>
              </w:rPr>
              <w:t>ب</w:t>
            </w:r>
            <w:r>
              <w:rPr>
                <w:rStyle w:val="IndexLink"/>
                <w:rtl w:val="true"/>
              </w:rPr>
              <w:t xml:space="preserve">) </w:t>
            </w:r>
            <w:r>
              <w:rPr>
                <w:rStyle w:val="IndexLink"/>
                <w:rtl w:val="true"/>
              </w:rPr>
              <w:t>آيه‌ي جواز جهر به قول براي مظلوم</w:t>
            </w:r>
            <w:r>
              <w:rPr>
                <w:rStyle w:val="IndexLink"/>
                <w:rtl w:val="true"/>
              </w:rPr>
              <w:tab/>
            </w:r>
            <w:r>
              <w:rPr>
                <w:rStyle w:val="IndexLink"/>
              </w:rPr>
              <w:t>280</w:t>
            </w:r>
          </w:hyperlink>
        </w:p>
        <w:p>
          <w:pPr>
            <w:pStyle w:val="Contents6"/>
            <w:tabs>
              <w:tab w:val="clear" w:pos="7609"/>
              <w:tab w:val="right" w:pos="9026" w:leader="dot"/>
            </w:tabs>
            <w:rPr/>
          </w:pPr>
          <w:hyperlink w:anchor="__RefHeading___Toc2770513_3804643083">
            <w:r>
              <w:rPr>
                <w:webHidden/>
                <w:rStyle w:val="IndexLink"/>
                <w:rtl w:val="true"/>
              </w:rPr>
              <w:t>اشاره</w:t>
            </w:r>
            <w:r>
              <w:rPr>
                <w:rStyle w:val="IndexLink"/>
                <w:rtl w:val="true"/>
              </w:rPr>
              <w:tab/>
            </w:r>
            <w:r>
              <w:rPr>
                <w:rStyle w:val="IndexLink"/>
              </w:rPr>
              <w:t>280</w:t>
            </w:r>
          </w:hyperlink>
        </w:p>
        <w:p>
          <w:pPr>
            <w:pStyle w:val="Contents6"/>
            <w:tabs>
              <w:tab w:val="clear" w:pos="7609"/>
              <w:tab w:val="right" w:pos="9026" w:leader="dot"/>
            </w:tabs>
            <w:rPr/>
          </w:pPr>
          <w:hyperlink w:anchor="__RefHeading___Toc2770515_3804643083">
            <w:r>
              <w:rPr>
                <w:webHidden/>
                <w:rStyle w:val="IndexLink"/>
                <w:rtl w:val="true"/>
              </w:rPr>
              <w:t>وجه استدلال به آيه‌ي شريفه</w:t>
            </w:r>
            <w:r>
              <w:rPr>
                <w:rStyle w:val="IndexLink"/>
                <w:rtl w:val="true"/>
              </w:rPr>
              <w:tab/>
            </w:r>
            <w:r>
              <w:rPr>
                <w:rStyle w:val="IndexLink"/>
              </w:rPr>
              <w:t>281</w:t>
            </w:r>
          </w:hyperlink>
        </w:p>
        <w:p>
          <w:pPr>
            <w:pStyle w:val="Contents5"/>
            <w:tabs>
              <w:tab w:val="clear" w:pos="7892"/>
              <w:tab w:val="right" w:pos="9026" w:leader="dot"/>
            </w:tabs>
            <w:rPr/>
          </w:pPr>
          <w:hyperlink w:anchor="__RefHeading___Toc2770517_3804643083">
            <w:r>
              <w:rPr>
                <w:webHidden/>
                <w:rStyle w:val="IndexLink"/>
                <w:rtl w:val="true"/>
              </w:rPr>
              <w:t>فروعات جواز غيبت در مقام تظلّم</w:t>
            </w:r>
            <w:r>
              <w:rPr>
                <w:rStyle w:val="IndexLink"/>
                <w:rtl w:val="true"/>
              </w:rPr>
              <w:tab/>
            </w:r>
            <w:r>
              <w:rPr>
                <w:rStyle w:val="IndexLink"/>
              </w:rPr>
              <w:t>283</w:t>
            </w:r>
          </w:hyperlink>
        </w:p>
        <w:p>
          <w:pPr>
            <w:pStyle w:val="Contents6"/>
            <w:tabs>
              <w:tab w:val="clear" w:pos="7609"/>
              <w:tab w:val="right" w:pos="9026" w:leader="dot"/>
            </w:tabs>
            <w:rPr/>
          </w:pPr>
          <w:hyperlink w:anchor="__RefHeading___Toc2770519_3804643083">
            <w:r>
              <w:rPr>
                <w:webHidden/>
                <w:rStyle w:val="IndexLink"/>
                <w:rtl w:val="true"/>
              </w:rPr>
              <w:t>فرع اوّل</w:t>
            </w:r>
            <w:r>
              <w:rPr>
                <w:rStyle w:val="IndexLink"/>
                <w:rtl w:val="true"/>
              </w:rPr>
              <w:t xml:space="preserve">: </w:t>
            </w:r>
            <w:r>
              <w:rPr>
                <w:rStyle w:val="IndexLink"/>
                <w:rtl w:val="true"/>
              </w:rPr>
              <w:t>جواز غيبت ظالم حتّي در غير مورد ظلم</w:t>
            </w:r>
            <w:r>
              <w:rPr>
                <w:rStyle w:val="IndexLink"/>
                <w:rtl w:val="true"/>
              </w:rPr>
              <w:tab/>
            </w:r>
            <w:r>
              <w:rPr>
                <w:rStyle w:val="IndexLink"/>
              </w:rPr>
              <w:t>283</w:t>
            </w:r>
          </w:hyperlink>
        </w:p>
        <w:p>
          <w:pPr>
            <w:pStyle w:val="Contents6"/>
            <w:tabs>
              <w:tab w:val="clear" w:pos="7609"/>
              <w:tab w:val="right" w:pos="9026" w:leader="dot"/>
            </w:tabs>
            <w:rPr/>
          </w:pPr>
          <w:hyperlink w:anchor="__RefHeading___Toc2770521_3804643083">
            <w:r>
              <w:rPr>
                <w:webHidden/>
                <w:rStyle w:val="IndexLink"/>
                <w:rtl w:val="true"/>
              </w:rPr>
              <w:t>فرع دوم</w:t>
            </w:r>
            <w:r>
              <w:rPr>
                <w:rStyle w:val="IndexLink"/>
                <w:rtl w:val="true"/>
              </w:rPr>
              <w:t xml:space="preserve">: </w:t>
            </w:r>
            <w:r>
              <w:rPr>
                <w:rStyle w:val="IndexLink"/>
                <w:rtl w:val="true"/>
              </w:rPr>
              <w:t>آيا غيبت از ظالم نزد هر كسي جايز است؟</w:t>
            </w:r>
            <w:r>
              <w:rPr>
                <w:rStyle w:val="IndexLink"/>
                <w:rtl w:val="true"/>
              </w:rPr>
              <w:tab/>
            </w:r>
            <w:r>
              <w:rPr>
                <w:rStyle w:val="IndexLink"/>
              </w:rPr>
              <w:t>286</w:t>
            </w:r>
          </w:hyperlink>
        </w:p>
        <w:p>
          <w:pPr>
            <w:pStyle w:val="Contents6"/>
            <w:tabs>
              <w:tab w:val="clear" w:pos="7609"/>
              <w:tab w:val="right" w:pos="9026" w:leader="dot"/>
            </w:tabs>
            <w:rPr/>
          </w:pPr>
          <w:hyperlink w:anchor="__RefHeading___Toc2770523_3804643083">
            <w:r>
              <w:rPr>
                <w:webHidden/>
                <w:rStyle w:val="IndexLink"/>
                <w:rtl w:val="true"/>
              </w:rPr>
              <w:t>فرع سوم</w:t>
            </w:r>
            <w:r>
              <w:rPr>
                <w:rStyle w:val="IndexLink"/>
                <w:rtl w:val="true"/>
              </w:rPr>
              <w:t xml:space="preserve">: </w:t>
            </w:r>
            <w:r>
              <w:rPr>
                <w:rStyle w:val="IndexLink"/>
                <w:rtl w:val="true"/>
              </w:rPr>
              <w:t>آيا غيبت به عنوان شكايت از ترك اولي، جايز است؟</w:t>
            </w:r>
            <w:r>
              <w:rPr>
                <w:rStyle w:val="IndexLink"/>
                <w:rtl w:val="true"/>
              </w:rPr>
              <w:tab/>
            </w:r>
            <w:r>
              <w:rPr>
                <w:rStyle w:val="IndexLink"/>
              </w:rPr>
              <w:t>288</w:t>
            </w:r>
          </w:hyperlink>
        </w:p>
        <w:p>
          <w:pPr>
            <w:pStyle w:val="Contents5"/>
            <w:tabs>
              <w:tab w:val="clear" w:pos="7892"/>
              <w:tab w:val="right" w:pos="9026" w:leader="dot"/>
            </w:tabs>
            <w:rPr/>
          </w:pPr>
          <w:hyperlink w:anchor="__RefHeading___Toc2770525_3804643083">
            <w:r>
              <w:rPr>
                <w:webHidden/>
                <w:rStyle w:val="IndexLink"/>
                <w:rtl w:val="true"/>
              </w:rPr>
              <w:t>شواهد روايي بر جواز غيبت در مقام تظلّم</w:t>
            </w:r>
            <w:r>
              <w:rPr>
                <w:rStyle w:val="IndexLink"/>
                <w:rtl w:val="true"/>
              </w:rPr>
              <w:tab/>
            </w:r>
            <w:r>
              <w:rPr>
                <w:rStyle w:val="IndexLink"/>
              </w:rPr>
              <w:t>290</w:t>
            </w:r>
          </w:hyperlink>
        </w:p>
        <w:p>
          <w:pPr>
            <w:pStyle w:val="Contents5"/>
            <w:tabs>
              <w:tab w:val="clear" w:pos="7892"/>
              <w:tab w:val="right" w:pos="9026" w:leader="dot"/>
            </w:tabs>
            <w:rPr/>
          </w:pPr>
          <w:hyperlink w:anchor="__RefHeading___Toc2770527_3804643083">
            <w:r>
              <w:rPr>
                <w:webHidden/>
                <w:rStyle w:val="IndexLink"/>
                <w:rtl w:val="true"/>
              </w:rPr>
              <w:t>مجوّزات غيبت به دليل مزاحمت غرض أهم</w:t>
            </w:r>
            <w:r>
              <w:rPr>
                <w:rStyle w:val="IndexLink"/>
                <w:rtl w:val="true"/>
              </w:rPr>
              <w:tab/>
            </w:r>
            <w:r>
              <w:rPr>
                <w:rStyle w:val="IndexLink"/>
              </w:rPr>
              <w:t>295</w:t>
            </w:r>
          </w:hyperlink>
        </w:p>
        <w:p>
          <w:pPr>
            <w:pStyle w:val="Contents4"/>
            <w:tabs>
              <w:tab w:val="clear" w:pos="8176"/>
              <w:tab w:val="right" w:pos="9026" w:leader="dot"/>
            </w:tabs>
            <w:rPr/>
          </w:pPr>
          <w:hyperlink w:anchor="__RefHeading___Toc2770529_3804643083">
            <w:r>
              <w:rPr>
                <w:webHidden/>
                <w:rStyle w:val="IndexLink"/>
              </w:rPr>
              <w:t>3</w:t>
            </w:r>
            <w:r>
              <w:rPr>
                <w:rStyle w:val="IndexLink"/>
                <w:rtl w:val="true"/>
              </w:rPr>
              <w:t xml:space="preserve">. </w:t>
            </w:r>
            <w:r>
              <w:rPr>
                <w:rStyle w:val="IndexLink"/>
                <w:rtl w:val="true"/>
              </w:rPr>
              <w:t>وجوب نُصح مستشير</w:t>
            </w:r>
            <w:r>
              <w:rPr>
                <w:rStyle w:val="IndexLink"/>
                <w:rtl w:val="true"/>
              </w:rPr>
              <w:tab/>
            </w:r>
            <w:r>
              <w:rPr>
                <w:rStyle w:val="IndexLink"/>
              </w:rPr>
              <w:t>295</w:t>
            </w:r>
          </w:hyperlink>
        </w:p>
        <w:p>
          <w:pPr>
            <w:pStyle w:val="Contents5"/>
            <w:tabs>
              <w:tab w:val="clear" w:pos="7892"/>
              <w:tab w:val="right" w:pos="9026" w:leader="dot"/>
            </w:tabs>
            <w:rPr/>
          </w:pPr>
          <w:hyperlink w:anchor="__RefHeading___Toc2770531_3804643083">
            <w:r>
              <w:rPr>
                <w:webHidden/>
                <w:rStyle w:val="IndexLink"/>
                <w:rtl w:val="true"/>
              </w:rPr>
              <w:t>اشاره</w:t>
            </w:r>
            <w:r>
              <w:rPr>
                <w:rStyle w:val="IndexLink"/>
                <w:rtl w:val="true"/>
              </w:rPr>
              <w:tab/>
            </w:r>
            <w:r>
              <w:rPr>
                <w:rStyle w:val="IndexLink"/>
              </w:rPr>
              <w:t>295</w:t>
            </w:r>
          </w:hyperlink>
        </w:p>
        <w:p>
          <w:pPr>
            <w:pStyle w:val="Contents5"/>
            <w:tabs>
              <w:tab w:val="clear" w:pos="7892"/>
              <w:tab w:val="right" w:pos="9026" w:leader="dot"/>
            </w:tabs>
            <w:rPr/>
          </w:pPr>
          <w:hyperlink w:anchor="__RefHeading___Toc2770533_3804643083">
            <w:r>
              <w:rPr>
                <w:webHidden/>
                <w:rStyle w:val="IndexLink"/>
                <w:rtl w:val="true"/>
              </w:rPr>
              <w:t>نقد و بررسي ديدگاه شيخ در جواز غيبت به خاطر وجوب نصح مستشير</w:t>
            </w:r>
            <w:r>
              <w:rPr>
                <w:rStyle w:val="IndexLink"/>
                <w:rtl w:val="true"/>
              </w:rPr>
              <w:tab/>
            </w:r>
            <w:r>
              <w:rPr>
                <w:rStyle w:val="IndexLink"/>
              </w:rPr>
              <w:t>296</w:t>
            </w:r>
          </w:hyperlink>
        </w:p>
        <w:p>
          <w:pPr>
            <w:pStyle w:val="Contents4"/>
            <w:tabs>
              <w:tab w:val="clear" w:pos="8176"/>
              <w:tab w:val="right" w:pos="9026" w:leader="dot"/>
            </w:tabs>
            <w:rPr/>
          </w:pPr>
          <w:hyperlink w:anchor="__RefHeading___Toc2770535_3804643083">
            <w:r>
              <w:rPr>
                <w:webHidden/>
                <w:rStyle w:val="IndexLink"/>
              </w:rPr>
              <w:t>4</w:t>
            </w:r>
            <w:r>
              <w:rPr>
                <w:rStyle w:val="IndexLink"/>
                <w:rtl w:val="true"/>
              </w:rPr>
              <w:t xml:space="preserve">. </w:t>
            </w:r>
            <w:r>
              <w:rPr>
                <w:rStyle w:val="IndexLink"/>
                <w:rtl w:val="true"/>
              </w:rPr>
              <w:t>استفتا</w:t>
            </w:r>
            <w:r>
              <w:rPr>
                <w:rStyle w:val="IndexLink"/>
                <w:rtl w:val="true"/>
              </w:rPr>
              <w:tab/>
            </w:r>
            <w:r>
              <w:rPr>
                <w:rStyle w:val="IndexLink"/>
              </w:rPr>
              <w:t>302</w:t>
            </w:r>
          </w:hyperlink>
        </w:p>
        <w:p>
          <w:pPr>
            <w:pStyle w:val="Contents5"/>
            <w:tabs>
              <w:tab w:val="clear" w:pos="7892"/>
              <w:tab w:val="right" w:pos="9026" w:leader="dot"/>
            </w:tabs>
            <w:rPr/>
          </w:pPr>
          <w:hyperlink w:anchor="__RefHeading___Toc2770537_3804643083">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2770539_3804643083">
            <w:r>
              <w:rPr>
                <w:webHidden/>
                <w:rStyle w:val="IndexLink"/>
                <w:rtl w:val="true"/>
              </w:rPr>
              <w:t>ادلّه‌ي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عدم حرمت غيبت در صورت استفتا</w:t>
            </w:r>
            <w:r>
              <w:rPr>
                <w:rStyle w:val="IndexLink"/>
                <w:rtl w:val="true"/>
              </w:rPr>
              <w:tab/>
            </w:r>
            <w:r>
              <w:rPr>
                <w:rStyle w:val="IndexLink"/>
              </w:rPr>
              <w:t>302</w:t>
            </w:r>
          </w:hyperlink>
        </w:p>
        <w:p>
          <w:pPr>
            <w:pStyle w:val="Contents6"/>
            <w:tabs>
              <w:tab w:val="clear" w:pos="7609"/>
              <w:tab w:val="right" w:pos="9026" w:leader="dot"/>
            </w:tabs>
            <w:rPr/>
          </w:pPr>
          <w:hyperlink w:anchor="__RefHeading___Toc2770541_3804643083">
            <w:r>
              <w:rPr>
                <w:webHidden/>
                <w:rStyle w:val="IndexLink"/>
                <w:rtl w:val="true"/>
              </w:rPr>
              <w:t>الف</w:t>
            </w:r>
            <w:r>
              <w:rPr>
                <w:rStyle w:val="IndexLink"/>
                <w:rtl w:val="true"/>
              </w:rPr>
              <w:t xml:space="preserve">) </w:t>
            </w:r>
            <w:r>
              <w:rPr>
                <w:rStyle w:val="IndexLink"/>
                <w:rtl w:val="true"/>
              </w:rPr>
              <w:t>استدلال به قاعده‌ي تزاحم</w:t>
            </w:r>
            <w:r>
              <w:rPr>
                <w:rStyle w:val="IndexLink"/>
                <w:rtl w:val="true"/>
              </w:rPr>
              <w:tab/>
            </w:r>
            <w:r>
              <w:rPr>
                <w:rStyle w:val="IndexLink"/>
              </w:rPr>
              <w:t>302</w:t>
            </w:r>
          </w:hyperlink>
        </w:p>
        <w:p>
          <w:pPr>
            <w:pStyle w:val="Contents6"/>
            <w:tabs>
              <w:tab w:val="clear" w:pos="7609"/>
              <w:tab w:val="right" w:pos="9026" w:leader="dot"/>
            </w:tabs>
            <w:rPr/>
          </w:pPr>
          <w:hyperlink w:anchor="__RefHeading___Toc2770543_3804643083">
            <w:r>
              <w:rPr>
                <w:webHidden/>
                <w:rStyle w:val="IndexLink"/>
                <w:rtl w:val="true"/>
              </w:rPr>
              <w:t>ب</w:t>
            </w:r>
            <w:r>
              <w:rPr>
                <w:rStyle w:val="IndexLink"/>
                <w:rtl w:val="true"/>
              </w:rPr>
              <w:t xml:space="preserve">) </w:t>
            </w:r>
            <w:r>
              <w:rPr>
                <w:rStyle w:val="IndexLink"/>
                <w:rtl w:val="true"/>
              </w:rPr>
              <w:t>استدلال به روايت عوالي اللئالي</w:t>
            </w:r>
            <w:r>
              <w:rPr>
                <w:rStyle w:val="IndexLink"/>
                <w:rtl w:val="true"/>
              </w:rPr>
              <w:tab/>
            </w:r>
            <w:r>
              <w:rPr>
                <w:rStyle w:val="IndexLink"/>
              </w:rPr>
              <w:t>303</w:t>
            </w:r>
          </w:hyperlink>
        </w:p>
        <w:p>
          <w:pPr>
            <w:pStyle w:val="Contents6"/>
            <w:tabs>
              <w:tab w:val="clear" w:pos="7609"/>
              <w:tab w:val="right" w:pos="9026" w:leader="dot"/>
            </w:tabs>
            <w:rPr/>
          </w:pPr>
          <w:hyperlink w:anchor="__RefHeading___Toc2770545_3804643083">
            <w:r>
              <w:rPr>
                <w:webHidden/>
                <w:rStyle w:val="IndexLink"/>
                <w:rtl w:val="true"/>
              </w:rPr>
              <w:t>ج</w:t>
            </w:r>
            <w:r>
              <w:rPr>
                <w:rStyle w:val="IndexLink"/>
                <w:rtl w:val="true"/>
              </w:rPr>
              <w:t xml:space="preserve">) </w:t>
            </w:r>
            <w:r>
              <w:rPr>
                <w:rStyle w:val="IndexLink"/>
                <w:rtl w:val="true"/>
              </w:rPr>
              <w:t>استدلال به صحيحه‌ي عبدالله بن سنان</w:t>
            </w:r>
            <w:r>
              <w:rPr>
                <w:rStyle w:val="IndexLink"/>
                <w:rtl w:val="true"/>
              </w:rPr>
              <w:tab/>
            </w:r>
            <w:r>
              <w:rPr>
                <w:rStyle w:val="IndexLink"/>
              </w:rPr>
              <w:t>306</w:t>
            </w:r>
          </w:hyperlink>
        </w:p>
        <w:p>
          <w:pPr>
            <w:pStyle w:val="Contents5"/>
            <w:tabs>
              <w:tab w:val="clear" w:pos="7892"/>
              <w:tab w:val="right" w:pos="9026" w:leader="dot"/>
            </w:tabs>
            <w:rPr/>
          </w:pPr>
          <w:hyperlink w:anchor="__RefHeading___Toc2770547_3804643083">
            <w:r>
              <w:rPr>
                <w:webHidden/>
                <w:rStyle w:val="IndexLink"/>
                <w:rtl w:val="true"/>
              </w:rPr>
              <w:t>ـ صحيحه‌ي عبدالله بن سنان</w:t>
            </w:r>
            <w:r>
              <w:rPr>
                <w:rStyle w:val="IndexLink"/>
                <w:rtl w:val="true"/>
              </w:rPr>
              <w:tab/>
            </w:r>
            <w:r>
              <w:rPr>
                <w:rStyle w:val="IndexLink"/>
              </w:rPr>
              <w:t>306</w:t>
            </w:r>
          </w:hyperlink>
        </w:p>
        <w:p>
          <w:pPr>
            <w:pStyle w:val="Contents5"/>
            <w:tabs>
              <w:tab w:val="clear" w:pos="7892"/>
              <w:tab w:val="right" w:pos="9026" w:leader="dot"/>
            </w:tabs>
            <w:rPr/>
          </w:pPr>
          <w:hyperlink w:anchor="__RefHeading___Toc2770549_3804643083">
            <w:r>
              <w:rPr>
                <w:webHidden/>
                <w:rStyle w:val="IndexLink"/>
                <w:rtl w:val="true"/>
              </w:rPr>
              <w:t>سخن آخر در حكم غيبت در مقام استفتا</w:t>
            </w:r>
            <w:r>
              <w:rPr>
                <w:rStyle w:val="IndexLink"/>
                <w:rtl w:val="true"/>
              </w:rPr>
              <w:tab/>
            </w:r>
            <w:r>
              <w:rPr>
                <w:rStyle w:val="IndexLink"/>
              </w:rPr>
              <w:t>316</w:t>
            </w:r>
          </w:hyperlink>
        </w:p>
        <w:p>
          <w:pPr>
            <w:pStyle w:val="Contents4"/>
            <w:tabs>
              <w:tab w:val="clear" w:pos="8176"/>
              <w:tab w:val="right" w:pos="9026" w:leader="dot"/>
            </w:tabs>
            <w:rPr/>
          </w:pPr>
          <w:hyperlink w:anchor="__RefHeading___Toc2770551_3804643083">
            <w:r>
              <w:rPr>
                <w:webHidden/>
                <w:rStyle w:val="IndexLink"/>
              </w:rPr>
              <w:t>5</w:t>
            </w:r>
            <w:r>
              <w:rPr>
                <w:rStyle w:val="IndexLink"/>
                <w:rtl w:val="true"/>
              </w:rPr>
              <w:t xml:space="preserve">. </w:t>
            </w:r>
            <w:r>
              <w:rPr>
                <w:rStyle w:val="IndexLink"/>
                <w:rtl w:val="true"/>
              </w:rPr>
              <w:t>غيبت به قصد ردع از ارتكاب فعل حرام</w:t>
            </w:r>
            <w:r>
              <w:rPr>
                <w:rStyle w:val="IndexLink"/>
                <w:rtl w:val="true"/>
              </w:rPr>
              <w:tab/>
            </w:r>
            <w:r>
              <w:rPr>
                <w:rStyle w:val="IndexLink"/>
              </w:rPr>
              <w:t>318</w:t>
            </w:r>
          </w:hyperlink>
        </w:p>
        <w:p>
          <w:pPr>
            <w:pStyle w:val="Contents5"/>
            <w:tabs>
              <w:tab w:val="clear" w:pos="7892"/>
              <w:tab w:val="right" w:pos="9026" w:leader="dot"/>
            </w:tabs>
            <w:rPr/>
          </w:pPr>
          <w:hyperlink w:anchor="__RefHeading___Toc2770553_3804643083">
            <w:r>
              <w:rPr>
                <w:webHidden/>
                <w:rStyle w:val="IndexLink"/>
                <w:rtl w:val="true"/>
              </w:rPr>
              <w:t>اشاره</w:t>
            </w:r>
            <w:r>
              <w:rPr>
                <w:rStyle w:val="IndexLink"/>
                <w:rtl w:val="true"/>
              </w:rPr>
              <w:tab/>
            </w:r>
            <w:r>
              <w:rPr>
                <w:rStyle w:val="IndexLink"/>
              </w:rPr>
              <w:t>318</w:t>
            </w:r>
          </w:hyperlink>
        </w:p>
        <w:p>
          <w:pPr>
            <w:pStyle w:val="Contents5"/>
            <w:tabs>
              <w:tab w:val="clear" w:pos="7892"/>
              <w:tab w:val="right" w:pos="9026" w:leader="dot"/>
            </w:tabs>
            <w:rPr/>
          </w:pPr>
          <w:hyperlink w:anchor="__RefHeading___Toc2770555_3804643083">
            <w:r>
              <w:rPr>
                <w:webHidden/>
                <w:rStyle w:val="IndexLink"/>
                <w:rtl w:val="true"/>
              </w:rPr>
              <w:t>ادلّه‌ي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جواز غيبت، در مقام قصد ردع عاصي از ارتكاب منكر</w:t>
            </w:r>
            <w:r>
              <w:rPr>
                <w:rStyle w:val="IndexLink"/>
                <w:rtl w:val="true"/>
              </w:rPr>
              <w:tab/>
            </w:r>
            <w:r>
              <w:rPr>
                <w:rStyle w:val="IndexLink"/>
              </w:rPr>
              <w:t>319</w:t>
            </w:r>
          </w:hyperlink>
        </w:p>
        <w:p>
          <w:pPr>
            <w:pStyle w:val="Contents6"/>
            <w:tabs>
              <w:tab w:val="clear" w:pos="7609"/>
              <w:tab w:val="right" w:pos="9026" w:leader="dot"/>
            </w:tabs>
            <w:rPr/>
          </w:pPr>
          <w:hyperlink w:anchor="__RefHeading___Toc2770557_3804643083">
            <w:r>
              <w:rPr>
                <w:webHidden/>
                <w:rStyle w:val="IndexLink"/>
                <w:rtl w:val="true"/>
              </w:rPr>
              <w:t>الف</w:t>
            </w:r>
            <w:r>
              <w:rPr>
                <w:rStyle w:val="IndexLink"/>
                <w:rtl w:val="true"/>
              </w:rPr>
              <w:t xml:space="preserve">) </w:t>
            </w:r>
            <w:r>
              <w:rPr>
                <w:rStyle w:val="IndexLink"/>
                <w:rtl w:val="true"/>
              </w:rPr>
              <w:t>قاعده‌ي تزاحم</w:t>
            </w:r>
            <w:r>
              <w:rPr>
                <w:rStyle w:val="IndexLink"/>
                <w:rtl w:val="true"/>
              </w:rPr>
              <w:tab/>
            </w:r>
            <w:r>
              <w:rPr>
                <w:rStyle w:val="IndexLink"/>
              </w:rPr>
              <w:t>319</w:t>
            </w:r>
          </w:hyperlink>
        </w:p>
        <w:p>
          <w:pPr>
            <w:pStyle w:val="Contents6"/>
            <w:tabs>
              <w:tab w:val="clear" w:pos="7609"/>
              <w:tab w:val="right" w:pos="9026" w:leader="dot"/>
            </w:tabs>
            <w:rPr/>
          </w:pPr>
          <w:hyperlink w:anchor="__RefHeading___Toc2770559_3804643083">
            <w:r>
              <w:rPr>
                <w:webHidden/>
                <w:rStyle w:val="IndexLink"/>
                <w:rtl w:val="true"/>
              </w:rPr>
              <w:t>ب</w:t>
            </w:r>
            <w:r>
              <w:rPr>
                <w:rStyle w:val="IndexLink"/>
                <w:rtl w:val="true"/>
              </w:rPr>
              <w:t xml:space="preserve">) </w:t>
            </w:r>
            <w:r>
              <w:rPr>
                <w:rStyle w:val="IndexLink"/>
                <w:rtl w:val="true"/>
              </w:rPr>
              <w:t>غيبت به قصد ردع منكر، مصداق احسان است</w:t>
            </w:r>
            <w:r>
              <w:rPr>
                <w:rStyle w:val="IndexLink"/>
                <w:rtl w:val="true"/>
              </w:rPr>
              <w:tab/>
            </w:r>
            <w:r>
              <w:rPr>
                <w:rStyle w:val="IndexLink"/>
              </w:rPr>
              <w:t>321</w:t>
            </w:r>
          </w:hyperlink>
        </w:p>
        <w:p>
          <w:pPr>
            <w:pStyle w:val="Contents6"/>
            <w:tabs>
              <w:tab w:val="clear" w:pos="7609"/>
              <w:tab w:val="right" w:pos="9026" w:leader="dot"/>
            </w:tabs>
            <w:rPr/>
          </w:pPr>
          <w:hyperlink w:anchor="__RefHeading___Toc2770561_3804643083">
            <w:r>
              <w:rPr>
                <w:webHidden/>
                <w:rStyle w:val="IndexLink"/>
                <w:rtl w:val="true"/>
              </w:rPr>
              <w:t>ج</w:t>
            </w:r>
            <w:r>
              <w:rPr>
                <w:rStyle w:val="IndexLink"/>
                <w:rtl w:val="true"/>
              </w:rPr>
              <w:t xml:space="preserve">) </w:t>
            </w:r>
            <w:r>
              <w:rPr>
                <w:rStyle w:val="IndexLink"/>
                <w:rtl w:val="true"/>
              </w:rPr>
              <w:t>غيبت به قصد ردع منكر، مشمول اطلاق ادلّه‌ي نهي از منكر است</w:t>
            </w:r>
            <w:r>
              <w:rPr>
                <w:rStyle w:val="IndexLink"/>
                <w:rtl w:val="true"/>
              </w:rPr>
              <w:tab/>
            </w:r>
            <w:r>
              <w:rPr>
                <w:rStyle w:val="IndexLink"/>
              </w:rPr>
              <w:t>328</w:t>
            </w:r>
          </w:hyperlink>
        </w:p>
        <w:p>
          <w:pPr>
            <w:pStyle w:val="Contents4"/>
            <w:tabs>
              <w:tab w:val="clear" w:pos="8176"/>
              <w:tab w:val="right" w:pos="9026" w:leader="dot"/>
            </w:tabs>
            <w:rPr/>
          </w:pPr>
          <w:hyperlink w:anchor="__RefHeading___Toc2770563_3804643083">
            <w:r>
              <w:rPr>
                <w:webHidden/>
                <w:rStyle w:val="IndexLink"/>
              </w:rPr>
              <w:t>6</w:t>
            </w:r>
            <w:r>
              <w:rPr>
                <w:rStyle w:val="IndexLink"/>
                <w:rtl w:val="true"/>
              </w:rPr>
              <w:t xml:space="preserve">- </w:t>
            </w:r>
            <w:r>
              <w:rPr>
                <w:rStyle w:val="IndexLink"/>
                <w:rtl w:val="true"/>
              </w:rPr>
              <w:t>غيبت به قصد حَسم مادّه‌ي فساد</w:t>
            </w:r>
            <w:r>
              <w:rPr>
                <w:rStyle w:val="IndexLink"/>
                <w:rtl w:val="true"/>
              </w:rPr>
              <w:tab/>
            </w:r>
            <w:r>
              <w:rPr>
                <w:rStyle w:val="IndexLink"/>
              </w:rPr>
              <w:t>332</w:t>
            </w:r>
          </w:hyperlink>
        </w:p>
        <w:p>
          <w:pPr>
            <w:pStyle w:val="Contents5"/>
            <w:tabs>
              <w:tab w:val="clear" w:pos="7892"/>
              <w:tab w:val="right" w:pos="9026" w:leader="dot"/>
            </w:tabs>
            <w:rPr/>
          </w:pPr>
          <w:hyperlink w:anchor="__RefHeading___Toc2770565_3804643083">
            <w:r>
              <w:rPr>
                <w:webHidden/>
                <w:rStyle w:val="IndexLink"/>
                <w:rtl w:val="true"/>
              </w:rPr>
              <w:t>اشاره</w:t>
            </w:r>
            <w:r>
              <w:rPr>
                <w:rStyle w:val="IndexLink"/>
                <w:rtl w:val="true"/>
              </w:rPr>
              <w:tab/>
            </w:r>
            <w:r>
              <w:rPr>
                <w:rStyle w:val="IndexLink"/>
              </w:rPr>
              <w:t>332</w:t>
            </w:r>
          </w:hyperlink>
        </w:p>
        <w:p>
          <w:pPr>
            <w:pStyle w:val="Contents5"/>
            <w:tabs>
              <w:tab w:val="clear" w:pos="7892"/>
              <w:tab w:val="right" w:pos="9026" w:leader="dot"/>
            </w:tabs>
            <w:rPr/>
          </w:pPr>
          <w:hyperlink w:anchor="__RefHeading___Toc2770567_3804643083">
            <w:r>
              <w:rPr>
                <w:webHidden/>
                <w:rStyle w:val="IndexLink"/>
                <w:rtl w:val="true"/>
              </w:rPr>
              <w:t>ادلّه‌ي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جواز غيبت به قصد حسم مادّه‌ي فساد</w:t>
            </w:r>
            <w:r>
              <w:rPr>
                <w:rStyle w:val="IndexLink"/>
                <w:rtl w:val="true"/>
              </w:rPr>
              <w:tab/>
            </w:r>
            <w:r>
              <w:rPr>
                <w:rStyle w:val="IndexLink"/>
              </w:rPr>
              <w:t>333</w:t>
            </w:r>
          </w:hyperlink>
        </w:p>
        <w:p>
          <w:pPr>
            <w:pStyle w:val="Contents6"/>
            <w:tabs>
              <w:tab w:val="clear" w:pos="7609"/>
              <w:tab w:val="right" w:pos="9026" w:leader="dot"/>
            </w:tabs>
            <w:rPr/>
          </w:pPr>
          <w:hyperlink w:anchor="__RefHeading___Toc2770569_3804643083">
            <w:r>
              <w:rPr>
                <w:webHidden/>
                <w:rStyle w:val="IndexLink"/>
                <w:rtl w:val="true"/>
              </w:rPr>
              <w:t>الف</w:t>
            </w:r>
            <w:r>
              <w:rPr>
                <w:rStyle w:val="IndexLink"/>
                <w:rtl w:val="true"/>
              </w:rPr>
              <w:t xml:space="preserve">) </w:t>
            </w:r>
            <w:r>
              <w:rPr>
                <w:rStyle w:val="IndexLink"/>
                <w:rtl w:val="true"/>
              </w:rPr>
              <w:t>تزاحم</w:t>
            </w:r>
            <w:r>
              <w:rPr>
                <w:rStyle w:val="IndexLink"/>
                <w:rtl w:val="true"/>
              </w:rPr>
              <w:tab/>
            </w:r>
            <w:r>
              <w:rPr>
                <w:rStyle w:val="IndexLink"/>
              </w:rPr>
              <w:t>333</w:t>
            </w:r>
          </w:hyperlink>
        </w:p>
        <w:p>
          <w:pPr>
            <w:pStyle w:val="Contents6"/>
            <w:tabs>
              <w:tab w:val="clear" w:pos="7609"/>
              <w:tab w:val="right" w:pos="9026" w:leader="dot"/>
            </w:tabs>
            <w:rPr/>
          </w:pPr>
          <w:hyperlink w:anchor="__RefHeading___Toc2770571_3804643083">
            <w:r>
              <w:rPr>
                <w:webHidden/>
                <w:rStyle w:val="IndexLink"/>
                <w:rtl w:val="true"/>
              </w:rPr>
              <w:t>ب</w:t>
            </w:r>
            <w:r>
              <w:rPr>
                <w:rStyle w:val="IndexLink"/>
                <w:rtl w:val="true"/>
              </w:rPr>
              <w:t xml:space="preserve">) </w:t>
            </w:r>
            <w:r>
              <w:rPr>
                <w:rStyle w:val="IndexLink"/>
                <w:rtl w:val="true"/>
              </w:rPr>
              <w:t>تمسّك به صحيحه‌ي داود بن سِرحان</w:t>
            </w:r>
            <w:r>
              <w:rPr>
                <w:rStyle w:val="IndexLink"/>
                <w:rtl w:val="true"/>
              </w:rPr>
              <w:tab/>
            </w:r>
            <w:r>
              <w:rPr>
                <w:rStyle w:val="IndexLink"/>
              </w:rPr>
              <w:t>334</w:t>
            </w:r>
          </w:hyperlink>
        </w:p>
        <w:p>
          <w:pPr>
            <w:pStyle w:val="Contents4"/>
            <w:tabs>
              <w:tab w:val="clear" w:pos="8176"/>
              <w:tab w:val="right" w:pos="9026" w:leader="dot"/>
            </w:tabs>
            <w:rPr/>
          </w:pPr>
          <w:hyperlink w:anchor="__RefHeading___Toc2770573_3804643083">
            <w:r>
              <w:rPr>
                <w:webHidden/>
                <w:rStyle w:val="IndexLink"/>
              </w:rPr>
              <w:t>7</w:t>
            </w:r>
            <w:r>
              <w:rPr>
                <w:rStyle w:val="IndexLink"/>
                <w:rtl w:val="true"/>
              </w:rPr>
              <w:t xml:space="preserve">. </w:t>
            </w:r>
            <w:r>
              <w:rPr>
                <w:rStyle w:val="IndexLink"/>
                <w:rtl w:val="true"/>
              </w:rPr>
              <w:t>جرح شهود</w:t>
            </w:r>
            <w:r>
              <w:rPr>
                <w:rStyle w:val="IndexLink"/>
                <w:rtl w:val="true"/>
              </w:rPr>
              <w:tab/>
            </w:r>
            <w:r>
              <w:rPr>
                <w:rStyle w:val="IndexLink"/>
              </w:rPr>
              <w:t>344</w:t>
            </w:r>
          </w:hyperlink>
        </w:p>
        <w:p>
          <w:pPr>
            <w:pStyle w:val="Contents5"/>
            <w:tabs>
              <w:tab w:val="clear" w:pos="7892"/>
              <w:tab w:val="right" w:pos="9026" w:leader="dot"/>
            </w:tabs>
            <w:rPr/>
          </w:pPr>
          <w:hyperlink w:anchor="__RefHeading___Toc2770575_3804643083">
            <w:r>
              <w:rPr>
                <w:webHidden/>
                <w:rStyle w:val="IndexLink"/>
                <w:rtl w:val="true"/>
              </w:rPr>
              <w:t>اشاره</w:t>
            </w:r>
            <w:r>
              <w:rPr>
                <w:rStyle w:val="IndexLink"/>
                <w:rtl w:val="true"/>
              </w:rPr>
              <w:tab/>
            </w:r>
            <w:r>
              <w:rPr>
                <w:rStyle w:val="IndexLink"/>
              </w:rPr>
              <w:t>344</w:t>
            </w:r>
          </w:hyperlink>
        </w:p>
        <w:p>
          <w:pPr>
            <w:pStyle w:val="Contents5"/>
            <w:tabs>
              <w:tab w:val="clear" w:pos="7892"/>
              <w:tab w:val="right" w:pos="9026" w:leader="dot"/>
            </w:tabs>
            <w:rPr/>
          </w:pPr>
          <w:hyperlink w:anchor="__RefHeading___Toc2770577_3804643083">
            <w:r>
              <w:rPr>
                <w:webHidden/>
                <w:rStyle w:val="IndexLink"/>
                <w:rtl w:val="true"/>
              </w:rPr>
              <w:t>حكم جرح رُوات كاذب</w:t>
            </w:r>
            <w:r>
              <w:rPr>
                <w:rStyle w:val="IndexLink"/>
                <w:rtl w:val="true"/>
              </w:rPr>
              <w:tab/>
            </w:r>
            <w:r>
              <w:rPr>
                <w:rStyle w:val="IndexLink"/>
              </w:rPr>
              <w:t>345</w:t>
            </w:r>
          </w:hyperlink>
        </w:p>
        <w:p>
          <w:pPr>
            <w:pStyle w:val="Contents5"/>
            <w:tabs>
              <w:tab w:val="clear" w:pos="7892"/>
              <w:tab w:val="right" w:pos="9026" w:leader="dot"/>
            </w:tabs>
            <w:rPr/>
          </w:pPr>
          <w:hyperlink w:anchor="__RefHeading___Toc2770579_3804643083">
            <w:r>
              <w:rPr>
                <w:webHidden/>
                <w:rStyle w:val="IndexLink"/>
                <w:rtl w:val="true"/>
              </w:rPr>
              <w:t>حكم غيبت كسي كه بدون علم، چيزي را به دين نسبت مي‌دهد</w:t>
            </w:r>
            <w:r>
              <w:rPr>
                <w:rStyle w:val="IndexLink"/>
                <w:rtl w:val="true"/>
              </w:rPr>
              <w:tab/>
            </w:r>
            <w:r>
              <w:rPr>
                <w:rStyle w:val="IndexLink"/>
              </w:rPr>
              <w:t>347</w:t>
            </w:r>
          </w:hyperlink>
        </w:p>
        <w:p>
          <w:pPr>
            <w:pStyle w:val="Contents5"/>
            <w:tabs>
              <w:tab w:val="clear" w:pos="7892"/>
              <w:tab w:val="right" w:pos="9026" w:leader="dot"/>
            </w:tabs>
            <w:rPr/>
          </w:pPr>
          <w:hyperlink w:anchor="__RefHeading___Toc2770581_3804643083">
            <w:r>
              <w:rPr>
                <w:webHidden/>
                <w:rStyle w:val="IndexLink"/>
                <w:rtl w:val="true"/>
              </w:rPr>
              <w:t xml:space="preserve">حكم جرح مفتيان بدون صلاحيت </w:t>
            </w:r>
            <w:r>
              <w:rPr>
                <w:rStyle w:val="IndexLink"/>
                <w:rtl w:val="true"/>
              </w:rPr>
              <w:t>(</w:t>
            </w:r>
            <w:r>
              <w:rPr>
                <w:rStyle w:val="IndexLink"/>
                <w:rtl w:val="true"/>
              </w:rPr>
              <w:t>مدّعيان مقام افتاء</w:t>
            </w:r>
            <w:r>
              <w:rPr>
                <w:rStyle w:val="IndexLink"/>
                <w:rtl w:val="true"/>
              </w:rPr>
              <w:t>)</w:t>
              <w:tab/>
            </w:r>
            <w:r>
              <w:rPr>
                <w:rStyle w:val="IndexLink"/>
              </w:rPr>
              <w:t>349</w:t>
            </w:r>
          </w:hyperlink>
        </w:p>
        <w:p>
          <w:pPr>
            <w:pStyle w:val="Contents5"/>
            <w:tabs>
              <w:tab w:val="clear" w:pos="7892"/>
              <w:tab w:val="right" w:pos="9026" w:leader="dot"/>
            </w:tabs>
            <w:rPr/>
          </w:pPr>
          <w:hyperlink w:anchor="__RefHeading___Toc2770583_3804643083">
            <w:r>
              <w:rPr>
                <w:webHidden/>
                <w:rStyle w:val="IndexLink"/>
                <w:rtl w:val="true"/>
              </w:rPr>
              <w:t>حكم غيبت داوطلبان تصدّي مشاغل مهم در نظام جمهوري اسلامي</w:t>
            </w:r>
            <w:r>
              <w:rPr>
                <w:rStyle w:val="IndexLink"/>
                <w:rtl w:val="true"/>
              </w:rPr>
              <w:tab/>
            </w:r>
            <w:r>
              <w:rPr>
                <w:rStyle w:val="IndexLink"/>
              </w:rPr>
              <w:t>352</w:t>
            </w:r>
          </w:hyperlink>
        </w:p>
        <w:p>
          <w:pPr>
            <w:pStyle w:val="Contents5"/>
            <w:tabs>
              <w:tab w:val="clear" w:pos="7892"/>
              <w:tab w:val="right" w:pos="9026" w:leader="dot"/>
            </w:tabs>
            <w:rPr/>
          </w:pPr>
          <w:hyperlink w:anchor="__RefHeading___Toc2770585_3804643083">
            <w:r>
              <w:rPr>
                <w:webHidden/>
                <w:rStyle w:val="IndexLink"/>
                <w:rtl w:val="true"/>
              </w:rPr>
              <w:t>حكم غيبت در مقام شهادت براي اقامه‌ي حدود</w:t>
            </w:r>
            <w:r>
              <w:rPr>
                <w:rStyle w:val="IndexLink"/>
                <w:rtl w:val="true"/>
              </w:rPr>
              <w:tab/>
            </w:r>
            <w:r>
              <w:rPr>
                <w:rStyle w:val="IndexLink"/>
              </w:rPr>
              <w:t>353</w:t>
            </w:r>
          </w:hyperlink>
        </w:p>
        <w:p>
          <w:pPr>
            <w:pStyle w:val="Contents4"/>
            <w:tabs>
              <w:tab w:val="clear" w:pos="8176"/>
              <w:tab w:val="right" w:pos="9026" w:leader="dot"/>
            </w:tabs>
            <w:rPr/>
          </w:pPr>
          <w:hyperlink w:anchor="__RefHeading___Toc2770587_3804643083">
            <w:r>
              <w:rPr>
                <w:webHidden/>
                <w:rStyle w:val="IndexLink"/>
              </w:rPr>
              <w:t>8</w:t>
            </w:r>
            <w:r>
              <w:rPr>
                <w:rStyle w:val="IndexLink"/>
                <w:rtl w:val="true"/>
              </w:rPr>
              <w:t xml:space="preserve">. </w:t>
            </w:r>
            <w:r>
              <w:rPr>
                <w:rStyle w:val="IndexLink"/>
                <w:rtl w:val="true"/>
              </w:rPr>
              <w:t>غيبت به جهت دفع ضرر از غيبت شونده</w:t>
            </w:r>
            <w:r>
              <w:rPr>
                <w:rStyle w:val="IndexLink"/>
                <w:rtl w:val="true"/>
              </w:rPr>
              <w:tab/>
            </w:r>
            <w:r>
              <w:rPr>
                <w:rStyle w:val="IndexLink"/>
              </w:rPr>
              <w:t>354</w:t>
            </w:r>
          </w:hyperlink>
        </w:p>
        <w:p>
          <w:pPr>
            <w:pStyle w:val="Contents5"/>
            <w:tabs>
              <w:tab w:val="clear" w:pos="7892"/>
              <w:tab w:val="right" w:pos="9026" w:leader="dot"/>
            </w:tabs>
            <w:rPr/>
          </w:pPr>
          <w:hyperlink w:anchor="__RefHeading___Toc2770589_3804643083">
            <w:r>
              <w:rPr>
                <w:webHidden/>
                <w:rStyle w:val="IndexLink"/>
                <w:rtl w:val="true"/>
              </w:rPr>
              <w:t>اشاره</w:t>
            </w:r>
            <w:r>
              <w:rPr>
                <w:rStyle w:val="IndexLink"/>
                <w:rtl w:val="true"/>
              </w:rPr>
              <w:tab/>
            </w:r>
            <w:r>
              <w:rPr>
                <w:rStyle w:val="IndexLink"/>
              </w:rPr>
              <w:t>354</w:t>
            </w:r>
          </w:hyperlink>
        </w:p>
        <w:p>
          <w:pPr>
            <w:pStyle w:val="Contents5"/>
            <w:tabs>
              <w:tab w:val="clear" w:pos="7892"/>
              <w:tab w:val="right" w:pos="9026" w:leader="dot"/>
            </w:tabs>
            <w:rPr/>
          </w:pPr>
          <w:hyperlink w:anchor="__RefHeading___Toc2770591_3804643083">
            <w:r>
              <w:rPr>
                <w:webHidden/>
                <w:rStyle w:val="IndexLink"/>
                <w:rtl w:val="true"/>
              </w:rPr>
              <w:t>ادلّه‌ي جواز غيبت براي دفع ضرر از غيبت شونده</w:t>
            </w:r>
            <w:r>
              <w:rPr>
                <w:rStyle w:val="IndexLink"/>
                <w:rtl w:val="true"/>
              </w:rPr>
              <w:tab/>
            </w:r>
            <w:r>
              <w:rPr>
                <w:rStyle w:val="IndexLink"/>
              </w:rPr>
              <w:t>355</w:t>
            </w:r>
          </w:hyperlink>
        </w:p>
        <w:p>
          <w:pPr>
            <w:pStyle w:val="Contents6"/>
            <w:tabs>
              <w:tab w:val="clear" w:pos="7609"/>
              <w:tab w:val="right" w:pos="9026" w:leader="dot"/>
            </w:tabs>
            <w:rPr/>
          </w:pPr>
          <w:hyperlink w:anchor="__RefHeading___Toc2770593_3804643083">
            <w:r>
              <w:rPr>
                <w:webHidden/>
                <w:rStyle w:val="IndexLink"/>
                <w:rtl w:val="true"/>
              </w:rPr>
              <w:t>الف</w:t>
            </w:r>
            <w:r>
              <w:rPr>
                <w:rStyle w:val="IndexLink"/>
                <w:rtl w:val="true"/>
              </w:rPr>
              <w:t xml:space="preserve">) </w:t>
            </w:r>
            <w:r>
              <w:rPr>
                <w:rStyle w:val="IndexLink"/>
                <w:rtl w:val="true"/>
              </w:rPr>
              <w:t>قاعده‌ي تزاحم</w:t>
            </w:r>
            <w:r>
              <w:rPr>
                <w:rStyle w:val="IndexLink"/>
                <w:rtl w:val="true"/>
              </w:rPr>
              <w:tab/>
            </w:r>
            <w:r>
              <w:rPr>
                <w:rStyle w:val="IndexLink"/>
              </w:rPr>
              <w:t>355</w:t>
            </w:r>
          </w:hyperlink>
        </w:p>
        <w:p>
          <w:pPr>
            <w:pStyle w:val="Contents6"/>
            <w:tabs>
              <w:tab w:val="clear" w:pos="7609"/>
              <w:tab w:val="right" w:pos="9026" w:leader="dot"/>
            </w:tabs>
            <w:rPr/>
          </w:pPr>
          <w:hyperlink w:anchor="__RefHeading___Toc2770595_3804643083">
            <w:r>
              <w:rPr>
                <w:webHidden/>
                <w:rStyle w:val="IndexLink"/>
                <w:rtl w:val="true"/>
              </w:rPr>
              <w:t>ب</w:t>
            </w:r>
            <w:r>
              <w:rPr>
                <w:rStyle w:val="IndexLink"/>
                <w:rtl w:val="true"/>
              </w:rPr>
              <w:t xml:space="preserve">) </w:t>
            </w:r>
            <w:r>
              <w:rPr>
                <w:rStyle w:val="IndexLink"/>
                <w:rtl w:val="true"/>
              </w:rPr>
              <w:t xml:space="preserve">غيبت به جهت دفع ضرر، مصداق </w:t>
            </w:r>
            <w:r>
              <w:rPr>
                <w:rStyle w:val="IndexLink"/>
                <w:rtl w:val="true"/>
              </w:rPr>
              <w:t>«</w:t>
            </w:r>
            <w:r>
              <w:rPr>
                <w:rStyle w:val="IndexLink"/>
                <w:rtl w:val="true"/>
              </w:rPr>
              <w:t>احسان</w:t>
            </w:r>
            <w:r>
              <w:rPr>
                <w:rStyle w:val="IndexLink"/>
                <w:rtl w:val="true"/>
              </w:rPr>
              <w:t xml:space="preserve">» </w:t>
            </w:r>
            <w:r>
              <w:rPr>
                <w:rStyle w:val="IndexLink"/>
                <w:rtl w:val="true"/>
              </w:rPr>
              <w:t>است</w:t>
            </w:r>
            <w:r>
              <w:rPr>
                <w:rStyle w:val="IndexLink"/>
                <w:rtl w:val="true"/>
              </w:rPr>
              <w:tab/>
            </w:r>
            <w:r>
              <w:rPr>
                <w:rStyle w:val="IndexLink"/>
              </w:rPr>
              <w:t>356</w:t>
            </w:r>
          </w:hyperlink>
        </w:p>
        <w:p>
          <w:pPr>
            <w:pStyle w:val="Contents5"/>
            <w:tabs>
              <w:tab w:val="clear" w:pos="7892"/>
              <w:tab w:val="right" w:pos="9026" w:leader="dot"/>
            </w:tabs>
            <w:rPr/>
          </w:pPr>
          <w:hyperlink w:anchor="__RefHeading___Toc2770597_3804643083">
            <w:r>
              <w:rPr>
                <w:webHidden/>
                <w:rStyle w:val="IndexLink"/>
                <w:rtl w:val="true"/>
              </w:rPr>
              <w:t>نمونه‌اي تاريخي از تلاش امام صادق</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براي دفع ضرر از اصحاب</w:t>
            </w:r>
            <w:r>
              <w:rPr>
                <w:rStyle w:val="IndexLink"/>
                <w:rtl w:val="true"/>
              </w:rPr>
              <w:tab/>
            </w:r>
            <w:r>
              <w:rPr>
                <w:rStyle w:val="IndexLink"/>
              </w:rPr>
              <w:t>357</w:t>
            </w:r>
          </w:hyperlink>
        </w:p>
        <w:p>
          <w:pPr>
            <w:pStyle w:val="Contents5"/>
            <w:tabs>
              <w:tab w:val="clear" w:pos="7892"/>
              <w:tab w:val="right" w:pos="9026" w:leader="dot"/>
            </w:tabs>
            <w:rPr/>
          </w:pPr>
          <w:hyperlink w:anchor="__RefHeading___Toc2770599_3804643083">
            <w:r>
              <w:rPr>
                <w:webHidden/>
                <w:rStyle w:val="IndexLink"/>
                <w:rtl w:val="true"/>
              </w:rPr>
              <w:t>اشكال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استدلال روايي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براي جواز غيبت به جهت دفع ضرر</w:t>
            </w:r>
            <w:r>
              <w:rPr>
                <w:rStyle w:val="IndexLink"/>
                <w:rtl w:val="true"/>
              </w:rPr>
              <w:tab/>
            </w:r>
            <w:r>
              <w:rPr>
                <w:rStyle w:val="IndexLink"/>
              </w:rPr>
              <w:t>374</w:t>
            </w:r>
          </w:hyperlink>
        </w:p>
        <w:p>
          <w:pPr>
            <w:pStyle w:val="Contents6"/>
            <w:tabs>
              <w:tab w:val="clear" w:pos="7609"/>
              <w:tab w:val="right" w:pos="9026" w:leader="dot"/>
            </w:tabs>
            <w:rPr/>
          </w:pPr>
          <w:hyperlink w:anchor="__RefHeading___Toc2770601_3804643083">
            <w:r>
              <w:rPr>
                <w:webHidden/>
                <w:rStyle w:val="IndexLink"/>
                <w:rtl w:val="true"/>
              </w:rPr>
              <w:t>اشاره</w:t>
            </w:r>
            <w:r>
              <w:rPr>
                <w:rStyle w:val="IndexLink"/>
                <w:rtl w:val="true"/>
              </w:rPr>
              <w:tab/>
            </w:r>
            <w:r>
              <w:rPr>
                <w:rStyle w:val="IndexLink"/>
              </w:rPr>
              <w:t>374</w:t>
            </w:r>
          </w:hyperlink>
        </w:p>
        <w:p>
          <w:pPr>
            <w:pStyle w:val="Contents6"/>
            <w:tabs>
              <w:tab w:val="clear" w:pos="7609"/>
              <w:tab w:val="right" w:pos="9026" w:leader="dot"/>
            </w:tabs>
            <w:rPr/>
          </w:pPr>
          <w:hyperlink w:anchor="__RefHeading___Toc2770603_3804643083">
            <w:r>
              <w:rPr>
                <w:webHidden/>
                <w:rStyle w:val="IndexLink"/>
                <w:rtl w:val="true"/>
              </w:rPr>
              <w:t>نقد اشكال سيد خويي</w:t>
            </w:r>
            <w:r>
              <w:rPr>
                <w:rStyle w:val="IndexLink"/>
                <w:rtl w:val="true"/>
              </w:rPr>
              <w:t xml:space="preserve">- </w:t>
            </w:r>
            <w:r>
              <w:rPr>
                <w:rStyle w:val="IndexLink"/>
                <w:rtl w:val="true"/>
              </w:rPr>
              <w:t xml:space="preserve">قدس سره </w:t>
            </w:r>
            <w:r>
              <w:rPr>
                <w:rStyle w:val="IndexLink"/>
                <w:rtl w:val="true"/>
              </w:rPr>
              <w:t>-</w:t>
              <w:tab/>
            </w:r>
            <w:r>
              <w:rPr>
                <w:rStyle w:val="IndexLink"/>
              </w:rPr>
              <w:t>374</w:t>
            </w:r>
          </w:hyperlink>
        </w:p>
        <w:p>
          <w:pPr>
            <w:pStyle w:val="Contents4"/>
            <w:tabs>
              <w:tab w:val="clear" w:pos="8176"/>
              <w:tab w:val="right" w:pos="9026" w:leader="dot"/>
            </w:tabs>
            <w:rPr/>
          </w:pPr>
          <w:hyperlink w:anchor="__RefHeading___Toc2770605_3804643083">
            <w:r>
              <w:rPr>
                <w:webHidden/>
                <w:rStyle w:val="IndexLink"/>
              </w:rPr>
              <w:t>9</w:t>
            </w:r>
            <w:r>
              <w:rPr>
                <w:rStyle w:val="IndexLink"/>
                <w:rtl w:val="true"/>
              </w:rPr>
              <w:t xml:space="preserve">. </w:t>
            </w:r>
            <w:r>
              <w:rPr>
                <w:rStyle w:val="IndexLink"/>
                <w:rtl w:val="true"/>
              </w:rPr>
              <w:t>ذكر عيبي كه صفت مميّزه‌ي شخص باشد به نحوي كه بدون آن شناخته نمي‌شود</w:t>
            </w:r>
            <w:r>
              <w:rPr>
                <w:rStyle w:val="IndexLink"/>
                <w:rtl w:val="true"/>
              </w:rPr>
              <w:tab/>
            </w:r>
            <w:r>
              <w:rPr>
                <w:rStyle w:val="IndexLink"/>
              </w:rPr>
              <w:t>374</w:t>
            </w:r>
          </w:hyperlink>
        </w:p>
        <w:p>
          <w:pPr>
            <w:pStyle w:val="Contents5"/>
            <w:tabs>
              <w:tab w:val="clear" w:pos="7892"/>
              <w:tab w:val="right" w:pos="9026" w:leader="dot"/>
            </w:tabs>
            <w:rPr/>
          </w:pPr>
          <w:hyperlink w:anchor="__RefHeading___Toc2770607_3804643083">
            <w:r>
              <w:rPr>
                <w:webHidden/>
                <w:rStyle w:val="IndexLink"/>
                <w:rtl w:val="true"/>
              </w:rPr>
              <w:t>اشاره</w:t>
            </w:r>
            <w:r>
              <w:rPr>
                <w:rStyle w:val="IndexLink"/>
                <w:rtl w:val="true"/>
              </w:rPr>
              <w:tab/>
            </w:r>
            <w:r>
              <w:rPr>
                <w:rStyle w:val="IndexLink"/>
              </w:rPr>
              <w:t>374</w:t>
            </w:r>
          </w:hyperlink>
        </w:p>
        <w:p>
          <w:pPr>
            <w:pStyle w:val="Contents5"/>
            <w:tabs>
              <w:tab w:val="clear" w:pos="7892"/>
              <w:tab w:val="right" w:pos="9026" w:leader="dot"/>
            </w:tabs>
            <w:rPr/>
          </w:pPr>
          <w:hyperlink w:anchor="__RefHeading___Toc2770609_3804643083">
            <w:r>
              <w:rPr>
                <w:webHidden/>
                <w:rStyle w:val="IndexLink"/>
                <w:rtl w:val="true"/>
              </w:rPr>
              <w:t>دليل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جواز غيبت به عيب مميّزه</w:t>
            </w:r>
            <w:r>
              <w:rPr>
                <w:rStyle w:val="IndexLink"/>
                <w:rtl w:val="true"/>
              </w:rPr>
              <w:tab/>
            </w:r>
            <w:r>
              <w:rPr>
                <w:rStyle w:val="IndexLink"/>
              </w:rPr>
              <w:t>375</w:t>
            </w:r>
          </w:hyperlink>
        </w:p>
        <w:p>
          <w:pPr>
            <w:pStyle w:val="Contents5"/>
            <w:tabs>
              <w:tab w:val="clear" w:pos="7892"/>
              <w:tab w:val="right" w:pos="9026" w:leader="dot"/>
            </w:tabs>
            <w:rPr/>
          </w:pPr>
          <w:hyperlink w:anchor="__RefHeading___Toc2770611_3804643083">
            <w:r>
              <w:rPr>
                <w:webHidden/>
                <w:rStyle w:val="IndexLink"/>
                <w:rtl w:val="true"/>
              </w:rPr>
              <w:t>نقد كلام مرحوم شيخ</w:t>
            </w:r>
            <w:r>
              <w:rPr>
                <w:rStyle w:val="IndexLink"/>
                <w:rtl w:val="true"/>
              </w:rPr>
              <w:t xml:space="preserve">- </w:t>
            </w:r>
            <w:r>
              <w:rPr>
                <w:rStyle w:val="IndexLink"/>
                <w:rtl w:val="true"/>
              </w:rPr>
              <w:t xml:space="preserve">قدس سره </w:t>
            </w:r>
            <w:r>
              <w:rPr>
                <w:rStyle w:val="IndexLink"/>
                <w:rtl w:val="true"/>
              </w:rPr>
              <w:t>-</w:t>
              <w:tab/>
            </w:r>
            <w:r>
              <w:rPr>
                <w:rStyle w:val="IndexLink"/>
              </w:rPr>
              <w:t>377</w:t>
            </w:r>
          </w:hyperlink>
        </w:p>
        <w:p>
          <w:pPr>
            <w:pStyle w:val="Contents5"/>
            <w:tabs>
              <w:tab w:val="clear" w:pos="7892"/>
              <w:tab w:val="right" w:pos="9026" w:leader="dot"/>
            </w:tabs>
            <w:rPr/>
          </w:pPr>
          <w:hyperlink w:anchor="__RefHeading___Toc2770613_3804643083">
            <w:r>
              <w:rPr>
                <w:webHidden/>
                <w:rStyle w:val="IndexLink"/>
                <w:rtl w:val="true"/>
              </w:rPr>
              <w:t>تفصيل در موارد جواز ذكر عيوبي مثل حولاء، اعور و</w:t>
            </w:r>
            <w:r>
              <w:rPr>
                <w:rStyle w:val="IndexLink"/>
                <w:rtl w:val="true"/>
              </w:rPr>
              <w:t>...</w:t>
              <w:tab/>
            </w:r>
            <w:r>
              <w:rPr>
                <w:rStyle w:val="IndexLink"/>
              </w:rPr>
              <w:t>378</w:t>
            </w:r>
          </w:hyperlink>
        </w:p>
        <w:p>
          <w:pPr>
            <w:pStyle w:val="Contents4"/>
            <w:tabs>
              <w:tab w:val="clear" w:pos="8176"/>
              <w:tab w:val="right" w:pos="9026" w:leader="dot"/>
            </w:tabs>
            <w:rPr/>
          </w:pPr>
          <w:hyperlink w:anchor="__RefHeading___Toc2770615_3804643083">
            <w:r>
              <w:rPr>
                <w:webHidden/>
                <w:rStyle w:val="IndexLink"/>
              </w:rPr>
              <w:t>10</w:t>
            </w:r>
            <w:r>
              <w:rPr>
                <w:rStyle w:val="IndexLink"/>
                <w:rtl w:val="true"/>
              </w:rPr>
              <w:t xml:space="preserve">. </w:t>
            </w:r>
            <w:r>
              <w:rPr>
                <w:rStyle w:val="IndexLink"/>
                <w:rtl w:val="true"/>
              </w:rPr>
              <w:t>غيبت نزد كسي كه به دليل اطلاع از عيب، شنيدنش تأثيري در او نداشته باشد</w:t>
            </w:r>
            <w:r>
              <w:rPr>
                <w:rStyle w:val="IndexLink"/>
                <w:rtl w:val="true"/>
              </w:rPr>
              <w:tab/>
            </w:r>
            <w:r>
              <w:rPr>
                <w:rStyle w:val="IndexLink"/>
              </w:rPr>
              <w:t>379</w:t>
            </w:r>
          </w:hyperlink>
        </w:p>
        <w:p>
          <w:pPr>
            <w:pStyle w:val="Contents4"/>
            <w:tabs>
              <w:tab w:val="clear" w:pos="8176"/>
              <w:tab w:val="right" w:pos="9026" w:leader="dot"/>
            </w:tabs>
            <w:rPr/>
          </w:pPr>
          <w:hyperlink w:anchor="__RefHeading___Toc2770617_3804643083">
            <w:r>
              <w:rPr>
                <w:webHidden/>
                <w:rStyle w:val="IndexLink"/>
              </w:rPr>
              <w:t>11</w:t>
            </w:r>
            <w:r>
              <w:rPr>
                <w:rStyle w:val="IndexLink"/>
                <w:rtl w:val="true"/>
              </w:rPr>
              <w:t xml:space="preserve">. </w:t>
            </w:r>
            <w:r>
              <w:rPr>
                <w:rStyle w:val="IndexLink"/>
                <w:rtl w:val="true"/>
              </w:rPr>
              <w:t>غيبت براي ردّ ادّعاي نسبت دروغين</w:t>
            </w:r>
            <w:r>
              <w:rPr>
                <w:rStyle w:val="IndexLink"/>
                <w:rtl w:val="true"/>
              </w:rPr>
              <w:tab/>
            </w:r>
            <w:r>
              <w:rPr>
                <w:rStyle w:val="IndexLink"/>
              </w:rPr>
              <w:t>380</w:t>
            </w:r>
          </w:hyperlink>
        </w:p>
        <w:p>
          <w:pPr>
            <w:pStyle w:val="Contents5"/>
            <w:tabs>
              <w:tab w:val="clear" w:pos="7892"/>
              <w:tab w:val="right" w:pos="9026" w:leader="dot"/>
            </w:tabs>
            <w:rPr/>
          </w:pPr>
          <w:hyperlink w:anchor="__RefHeading___Toc2770619_3804643083">
            <w:r>
              <w:rPr>
                <w:webHidden/>
                <w:rStyle w:val="IndexLink"/>
                <w:rtl w:val="true"/>
              </w:rPr>
              <w:t>اشاره</w:t>
            </w:r>
            <w:r>
              <w:rPr>
                <w:rStyle w:val="IndexLink"/>
                <w:rtl w:val="true"/>
              </w:rPr>
              <w:tab/>
            </w:r>
            <w:r>
              <w:rPr>
                <w:rStyle w:val="IndexLink"/>
              </w:rPr>
              <w:t>380</w:t>
            </w:r>
          </w:hyperlink>
        </w:p>
        <w:p>
          <w:pPr>
            <w:pStyle w:val="Contents5"/>
            <w:tabs>
              <w:tab w:val="clear" w:pos="7892"/>
              <w:tab w:val="right" w:pos="9026" w:leader="dot"/>
            </w:tabs>
            <w:rPr/>
          </w:pPr>
          <w:hyperlink w:anchor="__RefHeading___Toc2770621_3804643083">
            <w:r>
              <w:rPr>
                <w:webHidden/>
                <w:rStyle w:val="IndexLink"/>
                <w:rtl w:val="true"/>
              </w:rPr>
              <w:t>كلام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مبني بر جواز غيبتِ مدّعي نسَب، در صورت ترتّب أثر شرعي</w:t>
            </w:r>
            <w:r>
              <w:rPr>
                <w:rStyle w:val="IndexLink"/>
                <w:rtl w:val="true"/>
              </w:rPr>
              <w:tab/>
            </w:r>
            <w:r>
              <w:rPr>
                <w:rStyle w:val="IndexLink"/>
              </w:rPr>
              <w:t>380</w:t>
            </w:r>
          </w:hyperlink>
        </w:p>
        <w:p>
          <w:pPr>
            <w:pStyle w:val="Contents4"/>
            <w:tabs>
              <w:tab w:val="clear" w:pos="8176"/>
              <w:tab w:val="right" w:pos="9026" w:leader="dot"/>
            </w:tabs>
            <w:rPr/>
          </w:pPr>
          <w:hyperlink w:anchor="__RefHeading___Toc2770623_3804643083">
            <w:r>
              <w:rPr>
                <w:webHidden/>
                <w:rStyle w:val="IndexLink"/>
              </w:rPr>
              <w:t>12</w:t>
            </w:r>
            <w:r>
              <w:rPr>
                <w:rStyle w:val="IndexLink"/>
                <w:rtl w:val="true"/>
              </w:rPr>
              <w:t xml:space="preserve">. </w:t>
            </w:r>
            <w:r>
              <w:rPr>
                <w:rStyle w:val="IndexLink"/>
                <w:rtl w:val="true"/>
              </w:rPr>
              <w:t>قدح در مطالب باطلِ كسي كه بالملازمه دالّ بر نقصان اوست</w:t>
            </w:r>
            <w:r>
              <w:rPr>
                <w:rStyle w:val="IndexLink"/>
                <w:rtl w:val="true"/>
              </w:rPr>
              <w:tab/>
            </w:r>
            <w:r>
              <w:rPr>
                <w:rStyle w:val="IndexLink"/>
              </w:rPr>
              <w:t>385</w:t>
            </w:r>
          </w:hyperlink>
        </w:p>
        <w:p>
          <w:pPr>
            <w:pStyle w:val="Contents3"/>
            <w:tabs>
              <w:tab w:val="clear" w:pos="8459"/>
              <w:tab w:val="right" w:pos="9026" w:leader="dot"/>
            </w:tabs>
            <w:rPr/>
          </w:pPr>
          <w:hyperlink w:anchor="__RefHeading___Toc2770625_3804643083">
            <w:r>
              <w:rPr>
                <w:webHidden/>
                <w:rStyle w:val="IndexLink"/>
                <w:rtl w:val="true"/>
              </w:rPr>
              <w:t>سخن پاياني در مستثنيات غيبت</w:t>
            </w:r>
            <w:r>
              <w:rPr>
                <w:rStyle w:val="IndexLink"/>
                <w:rtl w:val="true"/>
              </w:rPr>
              <w:tab/>
            </w:r>
            <w:r>
              <w:rPr>
                <w:rStyle w:val="IndexLink"/>
              </w:rPr>
              <w:t>389</w:t>
            </w:r>
          </w:hyperlink>
        </w:p>
        <w:p>
          <w:pPr>
            <w:pStyle w:val="Contents2"/>
            <w:tabs>
              <w:tab w:val="clear" w:pos="8743"/>
              <w:tab w:val="right" w:pos="9026" w:leader="dot"/>
            </w:tabs>
            <w:rPr/>
          </w:pPr>
          <w:hyperlink w:anchor="__RefHeading___Toc2770627_3804643083">
            <w:r>
              <w:rPr>
                <w:webHidden/>
                <w:rStyle w:val="IndexLink"/>
                <w:rtl w:val="true"/>
              </w:rPr>
              <w:t>حكم استماع غيبت</w:t>
            </w:r>
            <w:r>
              <w:rPr>
                <w:rStyle w:val="IndexLink"/>
                <w:rtl w:val="true"/>
              </w:rPr>
              <w:tab/>
            </w:r>
            <w:r>
              <w:rPr>
                <w:rStyle w:val="IndexLink"/>
              </w:rPr>
              <w:t>391</w:t>
            </w:r>
          </w:hyperlink>
        </w:p>
        <w:p>
          <w:pPr>
            <w:pStyle w:val="Contents3"/>
            <w:tabs>
              <w:tab w:val="clear" w:pos="8459"/>
              <w:tab w:val="right" w:pos="9026" w:leader="dot"/>
            </w:tabs>
            <w:rPr/>
          </w:pPr>
          <w:hyperlink w:anchor="__RefHeading___Toc2770629_3804643083">
            <w:r>
              <w:rPr>
                <w:webHidden/>
                <w:rStyle w:val="IndexLink"/>
                <w:rtl w:val="true"/>
              </w:rPr>
              <w:t>اشاره</w:t>
            </w:r>
            <w:r>
              <w:rPr>
                <w:rStyle w:val="IndexLink"/>
                <w:rtl w:val="true"/>
              </w:rPr>
              <w:tab/>
            </w:r>
            <w:r>
              <w:rPr>
                <w:rStyle w:val="IndexLink"/>
              </w:rPr>
              <w:t>391</w:t>
            </w:r>
          </w:hyperlink>
        </w:p>
        <w:p>
          <w:pPr>
            <w:pStyle w:val="Contents3"/>
            <w:tabs>
              <w:tab w:val="clear" w:pos="8459"/>
              <w:tab w:val="right" w:pos="9026" w:leader="dot"/>
            </w:tabs>
            <w:rPr/>
          </w:pPr>
          <w:hyperlink w:anchor="__RefHeading___Toc2770631_3804643083">
            <w:r>
              <w:rPr>
                <w:webHidden/>
                <w:rStyle w:val="IndexLink"/>
                <w:rtl w:val="true"/>
              </w:rPr>
              <w:t>كلام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حكم استماع غيبت</w:t>
            </w:r>
            <w:r>
              <w:rPr>
                <w:rStyle w:val="IndexLink"/>
                <w:rtl w:val="true"/>
              </w:rPr>
              <w:tab/>
            </w:r>
            <w:r>
              <w:rPr>
                <w:rStyle w:val="IndexLink"/>
              </w:rPr>
              <w:t>392</w:t>
            </w:r>
          </w:hyperlink>
        </w:p>
        <w:p>
          <w:pPr>
            <w:pStyle w:val="Contents4"/>
            <w:tabs>
              <w:tab w:val="clear" w:pos="8176"/>
              <w:tab w:val="right" w:pos="9026" w:leader="dot"/>
            </w:tabs>
            <w:rPr/>
          </w:pPr>
          <w:hyperlink w:anchor="__RefHeading___Toc2770633_3804643083">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2770635_3804643083">
            <w:r>
              <w:rPr>
                <w:webHidden/>
                <w:rStyle w:val="IndexLink"/>
                <w:rtl w:val="true"/>
              </w:rPr>
              <w:t>مناقشه در كثرت روايات دالّ بر حرمت استماع غيبت</w:t>
            </w:r>
            <w:r>
              <w:rPr>
                <w:rStyle w:val="IndexLink"/>
                <w:rtl w:val="true"/>
              </w:rPr>
              <w:tab/>
            </w:r>
            <w:r>
              <w:rPr>
                <w:rStyle w:val="IndexLink"/>
              </w:rPr>
              <w:t>393</w:t>
            </w:r>
          </w:hyperlink>
        </w:p>
        <w:p>
          <w:pPr>
            <w:pStyle w:val="Contents3"/>
            <w:tabs>
              <w:tab w:val="clear" w:pos="8459"/>
              <w:tab w:val="right" w:pos="9026" w:leader="dot"/>
            </w:tabs>
            <w:rPr/>
          </w:pPr>
          <w:hyperlink w:anchor="__RefHeading___Toc2770637_3804643083">
            <w:r>
              <w:rPr>
                <w:webHidden/>
                <w:rStyle w:val="IndexLink"/>
                <w:rtl w:val="true"/>
              </w:rPr>
              <w:t>ادلّه‌ي حرمت استماع غيبت</w:t>
            </w:r>
            <w:r>
              <w:rPr>
                <w:rStyle w:val="IndexLink"/>
                <w:rtl w:val="true"/>
              </w:rPr>
              <w:tab/>
            </w:r>
            <w:r>
              <w:rPr>
                <w:rStyle w:val="IndexLink"/>
              </w:rPr>
              <w:t>394</w:t>
            </w:r>
          </w:hyperlink>
        </w:p>
        <w:p>
          <w:pPr>
            <w:pStyle w:val="Contents4"/>
            <w:tabs>
              <w:tab w:val="clear" w:pos="8176"/>
              <w:tab w:val="right" w:pos="9026" w:leader="dot"/>
            </w:tabs>
            <w:rPr/>
          </w:pPr>
          <w:hyperlink w:anchor="__RefHeading___Toc2770639_3804643083">
            <w:r>
              <w:rPr>
                <w:webHidden/>
                <w:rStyle w:val="IndexLink"/>
              </w:rPr>
              <w:t>1</w:t>
            </w:r>
            <w:r>
              <w:rPr>
                <w:rStyle w:val="IndexLink"/>
                <w:rtl w:val="true"/>
              </w:rPr>
              <w:t xml:space="preserve">. </w:t>
            </w:r>
            <w:r>
              <w:rPr>
                <w:rStyle w:val="IndexLink"/>
                <w:rtl w:val="true"/>
              </w:rPr>
              <w:t>روايت غرر الحكم و درر الكلم</w:t>
            </w:r>
            <w:r>
              <w:rPr>
                <w:rStyle w:val="IndexLink"/>
                <w:rtl w:val="true"/>
              </w:rPr>
              <w:t>: «</w:t>
            </w:r>
            <w:r>
              <w:rPr>
                <w:rStyle w:val="IndexLink"/>
                <w:rtl w:val="true"/>
              </w:rPr>
              <w:t>السامع للغيبة أحد المغتابين</w:t>
            </w:r>
            <w:r>
              <w:rPr>
                <w:rStyle w:val="IndexLink"/>
                <w:rtl w:val="true"/>
              </w:rPr>
              <w:t>»</w:t>
              <w:tab/>
            </w:r>
            <w:r>
              <w:rPr>
                <w:rStyle w:val="IndexLink"/>
              </w:rPr>
              <w:t>394</w:t>
            </w:r>
          </w:hyperlink>
        </w:p>
        <w:p>
          <w:pPr>
            <w:pStyle w:val="Contents4"/>
            <w:tabs>
              <w:tab w:val="clear" w:pos="8176"/>
              <w:tab w:val="right" w:pos="9026" w:leader="dot"/>
            </w:tabs>
            <w:rPr/>
          </w:pPr>
          <w:hyperlink w:anchor="__RefHeading___Toc2770641_3804643083">
            <w:r>
              <w:rPr>
                <w:webHidden/>
                <w:rStyle w:val="IndexLink"/>
              </w:rPr>
              <w:t>2</w:t>
            </w:r>
            <w:r>
              <w:rPr>
                <w:rStyle w:val="IndexLink"/>
                <w:rtl w:val="true"/>
              </w:rPr>
              <w:t xml:space="preserve">. </w:t>
            </w:r>
            <w:r>
              <w:rPr>
                <w:rStyle w:val="IndexLink"/>
                <w:rtl w:val="true"/>
              </w:rPr>
              <w:t xml:space="preserve">روايتي از اميرالمؤمنين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كتاب اختصاص</w:t>
            </w:r>
            <w:r>
              <w:rPr>
                <w:rStyle w:val="IndexLink"/>
                <w:rtl w:val="true"/>
              </w:rPr>
              <w:tab/>
            </w:r>
            <w:r>
              <w:rPr>
                <w:rStyle w:val="IndexLink"/>
              </w:rPr>
              <w:t>395</w:t>
            </w:r>
          </w:hyperlink>
        </w:p>
        <w:p>
          <w:pPr>
            <w:pStyle w:val="Contents5"/>
            <w:tabs>
              <w:tab w:val="clear" w:pos="7892"/>
              <w:tab w:val="right" w:pos="9026" w:leader="dot"/>
            </w:tabs>
            <w:rPr/>
          </w:pPr>
          <w:hyperlink w:anchor="__RefHeading___Toc2770643_3804643083">
            <w:r>
              <w:rPr>
                <w:webHidden/>
                <w:rStyle w:val="IndexLink"/>
                <w:rtl w:val="true"/>
              </w:rPr>
              <w:t>اشاره</w:t>
            </w:r>
            <w:r>
              <w:rPr>
                <w:rStyle w:val="IndexLink"/>
                <w:rtl w:val="true"/>
              </w:rPr>
              <w:tab/>
            </w:r>
            <w:r>
              <w:rPr>
                <w:rStyle w:val="IndexLink"/>
              </w:rPr>
              <w:t>395</w:t>
            </w:r>
          </w:hyperlink>
        </w:p>
        <w:p>
          <w:pPr>
            <w:pStyle w:val="Contents5"/>
            <w:tabs>
              <w:tab w:val="clear" w:pos="7892"/>
              <w:tab w:val="right" w:pos="9026" w:leader="dot"/>
            </w:tabs>
            <w:rPr/>
          </w:pPr>
          <w:hyperlink w:anchor="__RefHeading___Toc2770645_3804643083">
            <w:r>
              <w:rPr>
                <w:webHidden/>
                <w:rStyle w:val="IndexLink"/>
                <w:rtl w:val="true"/>
              </w:rPr>
              <w:t>بررسي سند روايت اختصاص</w:t>
            </w:r>
            <w:r>
              <w:rPr>
                <w:rStyle w:val="IndexLink"/>
                <w:rtl w:val="true"/>
              </w:rPr>
              <w:tab/>
            </w:r>
            <w:r>
              <w:rPr>
                <w:rStyle w:val="IndexLink"/>
              </w:rPr>
              <w:t>396</w:t>
            </w:r>
          </w:hyperlink>
        </w:p>
        <w:p>
          <w:pPr>
            <w:pStyle w:val="Contents4"/>
            <w:tabs>
              <w:tab w:val="clear" w:pos="8176"/>
              <w:tab w:val="right" w:pos="9026" w:leader="dot"/>
            </w:tabs>
            <w:rPr/>
          </w:pPr>
          <w:hyperlink w:anchor="__RefHeading___Toc2770647_3804643083">
            <w:r>
              <w:rPr>
                <w:webHidden/>
                <w:rStyle w:val="IndexLink"/>
              </w:rPr>
              <w:t>3</w:t>
            </w:r>
            <w:r>
              <w:rPr>
                <w:rStyle w:val="IndexLink"/>
                <w:rtl w:val="true"/>
              </w:rPr>
              <w:t xml:space="preserve">. </w:t>
            </w:r>
            <w:r>
              <w:rPr>
                <w:rStyle w:val="IndexLink"/>
                <w:rtl w:val="true"/>
              </w:rPr>
              <w:t xml:space="preserve">روايتي از امام صادق </w:t>
            </w:r>
            <w:r>
              <w:rPr>
                <w:rStyle w:val="IndexLink"/>
                <w:rtl w:val="true"/>
              </w:rPr>
              <w:t xml:space="preserve">- </w:t>
            </w:r>
            <w:r>
              <w:rPr>
                <w:rStyle w:val="IndexLink"/>
                <w:rtl w:val="true"/>
              </w:rPr>
              <w:t xml:space="preserve">عليه السلام </w:t>
            </w:r>
            <w:r>
              <w:rPr>
                <w:rStyle w:val="IndexLink"/>
                <w:rtl w:val="true"/>
              </w:rPr>
              <w:t xml:space="preserve">- </w:t>
            </w:r>
            <w:r>
              <w:rPr>
                <w:rStyle w:val="IndexLink"/>
                <w:rtl w:val="true"/>
              </w:rPr>
              <w:t>در مجموعه‌ي شهيد</w:t>
            </w:r>
            <w:r>
              <w:rPr>
                <w:rStyle w:val="IndexLink"/>
                <w:rtl w:val="true"/>
              </w:rPr>
              <w:t xml:space="preserve">- </w:t>
            </w:r>
            <w:r>
              <w:rPr>
                <w:rStyle w:val="IndexLink"/>
                <w:rtl w:val="true"/>
              </w:rPr>
              <w:t xml:space="preserve">قدس سره </w:t>
            </w:r>
            <w:r>
              <w:rPr>
                <w:rStyle w:val="IndexLink"/>
                <w:rtl w:val="true"/>
              </w:rPr>
              <w:t>-</w:t>
              <w:tab/>
            </w:r>
            <w:r>
              <w:rPr>
                <w:rStyle w:val="IndexLink"/>
              </w:rPr>
              <w:t>399</w:t>
            </w:r>
          </w:hyperlink>
        </w:p>
        <w:p>
          <w:pPr>
            <w:pStyle w:val="Contents4"/>
            <w:tabs>
              <w:tab w:val="clear" w:pos="8176"/>
              <w:tab w:val="right" w:pos="9026" w:leader="dot"/>
            </w:tabs>
            <w:rPr/>
          </w:pPr>
          <w:hyperlink w:anchor="__RefHeading___Toc2770649_3804643083">
            <w:r>
              <w:rPr>
                <w:webHidden/>
                <w:rStyle w:val="IndexLink"/>
              </w:rPr>
              <w:t>4</w:t>
            </w:r>
            <w:r>
              <w:rPr>
                <w:rStyle w:val="IndexLink"/>
                <w:rtl w:val="true"/>
              </w:rPr>
              <w:t xml:space="preserve">. </w:t>
            </w:r>
            <w:r>
              <w:rPr>
                <w:rStyle w:val="IndexLink"/>
                <w:rtl w:val="true"/>
              </w:rPr>
              <w:t>روايتي از رسول اكرم</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 xml:space="preserve">در </w:t>
            </w:r>
            <w:r>
              <w:rPr>
                <w:rStyle w:val="IndexLink"/>
                <w:rtl w:val="true"/>
              </w:rPr>
              <w:t>«</w:t>
            </w:r>
            <w:r>
              <w:rPr>
                <w:rStyle w:val="IndexLink"/>
                <w:rtl w:val="true"/>
              </w:rPr>
              <w:t>لُب اللباب</w:t>
            </w:r>
            <w:r>
              <w:rPr>
                <w:rStyle w:val="IndexLink"/>
                <w:rtl w:val="true"/>
              </w:rPr>
              <w:t xml:space="preserve">» </w:t>
            </w:r>
            <w:r>
              <w:rPr>
                <w:rStyle w:val="IndexLink"/>
                <w:rtl w:val="true"/>
              </w:rPr>
              <w:t>قطب راوندي</w:t>
            </w:r>
            <w:r>
              <w:rPr>
                <w:rStyle w:val="IndexLink"/>
                <w:rtl w:val="true"/>
              </w:rPr>
              <w:tab/>
            </w:r>
            <w:r>
              <w:rPr>
                <w:rStyle w:val="IndexLink"/>
              </w:rPr>
              <w:t>399</w:t>
            </w:r>
          </w:hyperlink>
        </w:p>
        <w:p>
          <w:pPr>
            <w:pStyle w:val="Contents4"/>
            <w:tabs>
              <w:tab w:val="clear" w:pos="8176"/>
              <w:tab w:val="right" w:pos="9026" w:leader="dot"/>
            </w:tabs>
            <w:rPr/>
          </w:pPr>
          <w:hyperlink w:anchor="__RefHeading___Toc2770651_3804643083">
            <w:r>
              <w:rPr>
                <w:webHidden/>
                <w:rStyle w:val="IndexLink"/>
              </w:rPr>
              <w:t>5</w:t>
            </w:r>
            <w:r>
              <w:rPr>
                <w:rStyle w:val="IndexLink"/>
                <w:rtl w:val="true"/>
              </w:rPr>
              <w:t xml:space="preserve">. </w:t>
            </w:r>
            <w:r>
              <w:rPr>
                <w:rStyle w:val="IndexLink"/>
                <w:rtl w:val="true"/>
              </w:rPr>
              <w:t xml:space="preserve">حديث مناهي </w:t>
            </w:r>
            <w:r>
              <w:rPr>
                <w:rStyle w:val="IndexLink"/>
                <w:rtl w:val="true"/>
              </w:rPr>
              <w:t>«</w:t>
            </w:r>
            <w:r>
              <w:rPr>
                <w:rStyle w:val="IndexLink"/>
                <w:rtl w:val="true"/>
              </w:rPr>
              <w:t>نهي النبي</w:t>
            </w:r>
            <w:r>
              <w:rPr>
                <w:rStyle w:val="IndexLink"/>
                <w:rtl w:val="true"/>
              </w:rPr>
              <w:t xml:space="preserve">- </w:t>
            </w:r>
            <w:r>
              <w:rPr>
                <w:rStyle w:val="IndexLink"/>
                <w:rtl w:val="true"/>
              </w:rPr>
              <w:t xml:space="preserve">صلي الله عليه و آله و سلم </w:t>
            </w:r>
            <w:r>
              <w:rPr>
                <w:rStyle w:val="IndexLink"/>
                <w:rtl w:val="true"/>
              </w:rPr>
              <w:t xml:space="preserve">- </w:t>
            </w:r>
            <w:r>
              <w:rPr>
                <w:rStyle w:val="IndexLink"/>
                <w:rtl w:val="true"/>
              </w:rPr>
              <w:t>عن الغيبه و الاستماع اليها</w:t>
            </w:r>
            <w:r>
              <w:rPr>
                <w:rStyle w:val="IndexLink"/>
                <w:rtl w:val="true"/>
              </w:rPr>
              <w:t>»</w:t>
              <w:tab/>
            </w:r>
            <w:r>
              <w:rPr>
                <w:rStyle w:val="IndexLink"/>
              </w:rPr>
              <w:t>401</w:t>
            </w:r>
          </w:hyperlink>
        </w:p>
        <w:p>
          <w:pPr>
            <w:pStyle w:val="Contents5"/>
            <w:tabs>
              <w:tab w:val="clear" w:pos="7892"/>
              <w:tab w:val="right" w:pos="9026" w:leader="dot"/>
            </w:tabs>
            <w:rPr/>
          </w:pPr>
          <w:hyperlink w:anchor="__RefHeading___Toc2770653_3804643083">
            <w:r>
              <w:rPr>
                <w:webHidden/>
                <w:rStyle w:val="IndexLink"/>
                <w:rtl w:val="true"/>
              </w:rPr>
              <w:t>اشاره</w:t>
            </w:r>
            <w:r>
              <w:rPr>
                <w:rStyle w:val="IndexLink"/>
                <w:rtl w:val="true"/>
              </w:rPr>
              <w:tab/>
            </w:r>
            <w:r>
              <w:rPr>
                <w:rStyle w:val="IndexLink"/>
              </w:rPr>
              <w:t>401</w:t>
            </w:r>
          </w:hyperlink>
        </w:p>
        <w:p>
          <w:pPr>
            <w:pStyle w:val="Contents5"/>
            <w:tabs>
              <w:tab w:val="clear" w:pos="7892"/>
              <w:tab w:val="right" w:pos="9026" w:leader="dot"/>
            </w:tabs>
            <w:rPr/>
          </w:pPr>
          <w:hyperlink w:anchor="__RefHeading___Toc2770655_3804643083">
            <w:r>
              <w:rPr>
                <w:webHidden/>
                <w:rStyle w:val="IndexLink"/>
                <w:rtl w:val="true"/>
              </w:rPr>
              <w:t>مناقشه‌ي بعض اعاظم در دلالت حديث مناهي</w:t>
            </w:r>
            <w:r>
              <w:rPr>
                <w:rStyle w:val="IndexLink"/>
                <w:rtl w:val="true"/>
              </w:rPr>
              <w:tab/>
            </w:r>
            <w:r>
              <w:rPr>
                <w:rStyle w:val="IndexLink"/>
              </w:rPr>
              <w:t>402</w:t>
            </w:r>
          </w:hyperlink>
        </w:p>
        <w:p>
          <w:pPr>
            <w:pStyle w:val="Contents5"/>
            <w:tabs>
              <w:tab w:val="clear" w:pos="7892"/>
              <w:tab w:val="right" w:pos="9026" w:leader="dot"/>
            </w:tabs>
            <w:rPr/>
          </w:pPr>
          <w:hyperlink w:anchor="__RefHeading___Toc2770657_3804643083">
            <w:r>
              <w:rPr>
                <w:webHidden/>
                <w:rStyle w:val="IndexLink"/>
                <w:rtl w:val="true"/>
              </w:rPr>
              <w:t>بررسي مناقشه‌ي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حمل ذيل روايت بر سماع قهري</w:t>
            </w:r>
            <w:r>
              <w:rPr>
                <w:rStyle w:val="IndexLink"/>
                <w:rtl w:val="true"/>
              </w:rPr>
              <w:tab/>
            </w:r>
            <w:r>
              <w:rPr>
                <w:rStyle w:val="IndexLink"/>
              </w:rPr>
              <w:t>405</w:t>
            </w:r>
          </w:hyperlink>
        </w:p>
        <w:p>
          <w:pPr>
            <w:pStyle w:val="Contents6"/>
            <w:tabs>
              <w:tab w:val="clear" w:pos="7609"/>
              <w:tab w:val="right" w:pos="9026" w:leader="dot"/>
            </w:tabs>
            <w:rPr/>
          </w:pPr>
          <w:hyperlink w:anchor="__RefHeading___Toc2770659_3804643083">
            <w:r>
              <w:rPr>
                <w:webHidden/>
                <w:rStyle w:val="IndexLink"/>
                <w:rtl w:val="true"/>
              </w:rPr>
              <w:t>اشاره</w:t>
            </w:r>
            <w:r>
              <w:rPr>
                <w:rStyle w:val="IndexLink"/>
                <w:rtl w:val="true"/>
              </w:rPr>
              <w:tab/>
            </w:r>
            <w:r>
              <w:rPr>
                <w:rStyle w:val="IndexLink"/>
              </w:rPr>
              <w:t>405</w:t>
            </w:r>
          </w:hyperlink>
        </w:p>
        <w:p>
          <w:pPr>
            <w:pStyle w:val="Contents6"/>
            <w:tabs>
              <w:tab w:val="clear" w:pos="7609"/>
              <w:tab w:val="right" w:pos="9026" w:leader="dot"/>
            </w:tabs>
            <w:rPr/>
          </w:pPr>
          <w:hyperlink w:anchor="__RefHeading___Toc2770661_3804643083">
            <w:r>
              <w:rPr>
                <w:webHidden/>
                <w:rStyle w:val="IndexLink"/>
                <w:rtl w:val="true"/>
              </w:rPr>
              <w:t>اشكال ديگري بر استدلال به حديث مناهي براي اثبات جواز استماع غيبت</w:t>
            </w:r>
            <w:r>
              <w:rPr>
                <w:rStyle w:val="IndexLink"/>
                <w:rtl w:val="true"/>
              </w:rPr>
              <w:tab/>
            </w:r>
            <w:r>
              <w:rPr>
                <w:rStyle w:val="IndexLink"/>
              </w:rPr>
              <w:t>407</w:t>
            </w:r>
          </w:hyperlink>
        </w:p>
        <w:p>
          <w:pPr>
            <w:pStyle w:val="Contents6"/>
            <w:tabs>
              <w:tab w:val="clear" w:pos="7609"/>
              <w:tab w:val="right" w:pos="9026" w:leader="dot"/>
            </w:tabs>
            <w:rPr/>
          </w:pPr>
          <w:hyperlink w:anchor="__RefHeading___Toc2770663_3804643083">
            <w:r>
              <w:rPr>
                <w:webHidden/>
                <w:rStyle w:val="IndexLink"/>
                <w:rtl w:val="true"/>
              </w:rPr>
              <w:t>نقد اين اشكال</w:t>
            </w:r>
            <w:r>
              <w:rPr>
                <w:rStyle w:val="IndexLink"/>
                <w:rtl w:val="true"/>
              </w:rPr>
              <w:tab/>
            </w:r>
            <w:r>
              <w:rPr>
                <w:rStyle w:val="IndexLink"/>
              </w:rPr>
              <w:t>408</w:t>
            </w:r>
          </w:hyperlink>
        </w:p>
        <w:p>
          <w:pPr>
            <w:pStyle w:val="Contents6"/>
            <w:tabs>
              <w:tab w:val="clear" w:pos="7609"/>
              <w:tab w:val="right" w:pos="9026" w:leader="dot"/>
            </w:tabs>
            <w:rPr/>
          </w:pPr>
          <w:hyperlink w:anchor="__RefHeading___Toc2770665_3804643083">
            <w:r>
              <w:rPr>
                <w:webHidden/>
                <w:rStyle w:val="IndexLink"/>
                <w:rtl w:val="true"/>
              </w:rPr>
              <w:t>بررسي سند حديث مناهي</w:t>
            </w:r>
            <w:r>
              <w:rPr>
                <w:rStyle w:val="IndexLink"/>
                <w:rtl w:val="true"/>
              </w:rPr>
              <w:tab/>
            </w:r>
            <w:r>
              <w:rPr>
                <w:rStyle w:val="IndexLink"/>
              </w:rPr>
              <w:t>408</w:t>
            </w:r>
          </w:hyperlink>
        </w:p>
        <w:p>
          <w:pPr>
            <w:pStyle w:val="Contents4"/>
            <w:tabs>
              <w:tab w:val="clear" w:pos="8176"/>
              <w:tab w:val="right" w:pos="9026" w:leader="dot"/>
            </w:tabs>
            <w:rPr/>
          </w:pPr>
          <w:hyperlink w:anchor="__RefHeading___Toc2770667_3804643083">
            <w:r>
              <w:rPr>
                <w:webHidden/>
                <w:rStyle w:val="IndexLink"/>
              </w:rPr>
              <w:t>6</w:t>
            </w:r>
            <w:r>
              <w:rPr>
                <w:rStyle w:val="IndexLink"/>
                <w:rtl w:val="true"/>
              </w:rPr>
              <w:t xml:space="preserve">. </w:t>
            </w:r>
            <w:r>
              <w:rPr>
                <w:rStyle w:val="IndexLink"/>
                <w:rtl w:val="true"/>
              </w:rPr>
              <w:t>روايت شهيد ثاني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كشف الريبة</w:t>
            </w:r>
            <w:r>
              <w:rPr>
                <w:rStyle w:val="IndexLink"/>
                <w:rtl w:val="true"/>
              </w:rPr>
              <w:tab/>
            </w:r>
            <w:r>
              <w:rPr>
                <w:rStyle w:val="IndexLink"/>
              </w:rPr>
              <w:t>408</w:t>
            </w:r>
          </w:hyperlink>
        </w:p>
        <w:p>
          <w:pPr>
            <w:pStyle w:val="Contents5"/>
            <w:tabs>
              <w:tab w:val="clear" w:pos="7892"/>
              <w:tab w:val="right" w:pos="9026" w:leader="dot"/>
            </w:tabs>
            <w:rPr/>
          </w:pPr>
          <w:hyperlink w:anchor="__RefHeading___Toc2770669_3804643083">
            <w:r>
              <w:rPr>
                <w:webHidden/>
                <w:rStyle w:val="IndexLink"/>
                <w:rtl w:val="true"/>
              </w:rPr>
              <w:t>اشاره</w:t>
            </w:r>
            <w:r>
              <w:rPr>
                <w:rStyle w:val="IndexLink"/>
                <w:rtl w:val="true"/>
              </w:rPr>
              <w:tab/>
            </w:r>
            <w:r>
              <w:rPr>
                <w:rStyle w:val="IndexLink"/>
              </w:rPr>
              <w:t>408</w:t>
            </w:r>
          </w:hyperlink>
        </w:p>
        <w:p>
          <w:pPr>
            <w:pStyle w:val="Contents5"/>
            <w:tabs>
              <w:tab w:val="clear" w:pos="7892"/>
              <w:tab w:val="right" w:pos="9026" w:leader="dot"/>
            </w:tabs>
            <w:rPr/>
          </w:pPr>
          <w:hyperlink w:anchor="__RefHeading___Toc2770671_3804643083">
            <w:r>
              <w:rPr>
                <w:webHidden/>
                <w:rStyle w:val="IndexLink"/>
                <w:rtl w:val="true"/>
              </w:rPr>
              <w:t>نحوه‌ي استدلال شهيد ثاني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به اين روايت</w:t>
            </w:r>
            <w:r>
              <w:rPr>
                <w:rStyle w:val="IndexLink"/>
                <w:rtl w:val="true"/>
              </w:rPr>
              <w:tab/>
            </w:r>
            <w:r>
              <w:rPr>
                <w:rStyle w:val="IndexLink"/>
              </w:rPr>
              <w:t>410</w:t>
            </w:r>
          </w:hyperlink>
        </w:p>
        <w:p>
          <w:pPr>
            <w:pStyle w:val="Contents5"/>
            <w:tabs>
              <w:tab w:val="clear" w:pos="7892"/>
              <w:tab w:val="right" w:pos="9026" w:leader="dot"/>
            </w:tabs>
            <w:rPr/>
          </w:pPr>
          <w:hyperlink w:anchor="__RefHeading___Toc2770673_3804643083">
            <w:r>
              <w:rPr>
                <w:webHidden/>
                <w:rStyle w:val="IndexLink"/>
                <w:rtl w:val="true"/>
              </w:rPr>
              <w:t>نقد استدلال شهيد ثاني</w:t>
            </w:r>
            <w:r>
              <w:rPr>
                <w:rStyle w:val="IndexLink"/>
                <w:rtl w:val="true"/>
              </w:rPr>
              <w:t xml:space="preserve">- </w:t>
            </w:r>
            <w:r>
              <w:rPr>
                <w:rStyle w:val="IndexLink"/>
                <w:rtl w:val="true"/>
              </w:rPr>
              <w:t xml:space="preserve">قدس سره </w:t>
            </w:r>
            <w:r>
              <w:rPr>
                <w:rStyle w:val="IndexLink"/>
                <w:rtl w:val="true"/>
              </w:rPr>
              <w:t>-</w:t>
              <w:tab/>
            </w:r>
            <w:r>
              <w:rPr>
                <w:rStyle w:val="IndexLink"/>
              </w:rPr>
              <w:t>410</w:t>
            </w:r>
          </w:hyperlink>
        </w:p>
        <w:p>
          <w:pPr>
            <w:pStyle w:val="Contents4"/>
            <w:tabs>
              <w:tab w:val="clear" w:pos="8176"/>
              <w:tab w:val="right" w:pos="9026" w:leader="dot"/>
            </w:tabs>
            <w:rPr/>
          </w:pPr>
          <w:hyperlink w:anchor="__RefHeading___Toc2770675_3804643083">
            <w:r>
              <w:rPr>
                <w:webHidden/>
                <w:rStyle w:val="IndexLink"/>
              </w:rPr>
              <w:t>7</w:t>
            </w:r>
            <w:r>
              <w:rPr>
                <w:rStyle w:val="IndexLink"/>
                <w:rtl w:val="true"/>
              </w:rPr>
              <w:t xml:space="preserve">. </w:t>
            </w:r>
            <w:r>
              <w:rPr>
                <w:rStyle w:val="IndexLink"/>
                <w:rtl w:val="true"/>
              </w:rPr>
              <w:t>روايات دالّ بر لزوم ردّ غيبت</w:t>
            </w:r>
            <w:r>
              <w:rPr>
                <w:rStyle w:val="IndexLink"/>
                <w:rtl w:val="true"/>
              </w:rPr>
              <w:tab/>
            </w:r>
            <w:r>
              <w:rPr>
                <w:rStyle w:val="IndexLink"/>
              </w:rPr>
              <w:t>410</w:t>
            </w:r>
          </w:hyperlink>
        </w:p>
        <w:p>
          <w:pPr>
            <w:pStyle w:val="Contents5"/>
            <w:tabs>
              <w:tab w:val="clear" w:pos="7892"/>
              <w:tab w:val="right" w:pos="9026" w:leader="dot"/>
            </w:tabs>
            <w:rPr/>
          </w:pPr>
          <w:hyperlink w:anchor="__RefHeading___Toc2770677_3804643083">
            <w:r>
              <w:rPr>
                <w:webHidden/>
                <w:rStyle w:val="IndexLink"/>
                <w:rtl w:val="true"/>
              </w:rPr>
              <w:t>اشاره</w:t>
            </w:r>
            <w:r>
              <w:rPr>
                <w:rStyle w:val="IndexLink"/>
                <w:rtl w:val="true"/>
              </w:rPr>
              <w:tab/>
            </w:r>
            <w:r>
              <w:rPr>
                <w:rStyle w:val="IndexLink"/>
              </w:rPr>
              <w:t>410</w:t>
            </w:r>
          </w:hyperlink>
        </w:p>
        <w:p>
          <w:pPr>
            <w:pStyle w:val="Contents5"/>
            <w:tabs>
              <w:tab w:val="clear" w:pos="7892"/>
              <w:tab w:val="right" w:pos="9026" w:leader="dot"/>
            </w:tabs>
            <w:rPr/>
          </w:pPr>
          <w:hyperlink w:anchor="__RefHeading___Toc2770679_3804643083">
            <w:r>
              <w:rPr>
                <w:webHidden/>
                <w:rStyle w:val="IndexLink"/>
                <w:rtl w:val="true"/>
              </w:rPr>
              <w:t>سخن آخر در دلالت روايات لزوم ردّ غيبت، بر حرمت استماع</w:t>
            </w:r>
            <w:r>
              <w:rPr>
                <w:rStyle w:val="IndexLink"/>
                <w:rtl w:val="true"/>
              </w:rPr>
              <w:tab/>
            </w:r>
            <w:r>
              <w:rPr>
                <w:rStyle w:val="IndexLink"/>
              </w:rPr>
              <w:t>424</w:t>
            </w:r>
          </w:hyperlink>
        </w:p>
        <w:p>
          <w:pPr>
            <w:pStyle w:val="Contents5"/>
            <w:tabs>
              <w:tab w:val="clear" w:pos="7892"/>
              <w:tab w:val="right" w:pos="9026" w:leader="dot"/>
            </w:tabs>
            <w:rPr/>
          </w:pPr>
          <w:hyperlink w:anchor="__RefHeading___Toc2770681_3804643083">
            <w:r>
              <w:rPr>
                <w:webHidden/>
                <w:rStyle w:val="IndexLink"/>
                <w:rtl w:val="true"/>
              </w:rPr>
              <w:t>دليل ما بر حرمت استماع غيبت</w:t>
            </w:r>
            <w:r>
              <w:rPr>
                <w:rStyle w:val="IndexLink"/>
                <w:rtl w:val="true"/>
              </w:rPr>
              <w:tab/>
            </w:r>
            <w:r>
              <w:rPr>
                <w:rStyle w:val="IndexLink"/>
              </w:rPr>
              <w:t>425</w:t>
            </w:r>
          </w:hyperlink>
        </w:p>
        <w:p>
          <w:pPr>
            <w:pStyle w:val="Contents3"/>
            <w:tabs>
              <w:tab w:val="clear" w:pos="8459"/>
              <w:tab w:val="right" w:pos="9026" w:leader="dot"/>
            </w:tabs>
            <w:rPr/>
          </w:pPr>
          <w:hyperlink w:anchor="__RefHeading___Toc2770683_3804643083">
            <w:r>
              <w:rPr>
                <w:webHidden/>
                <w:rStyle w:val="IndexLink"/>
                <w:rtl w:val="true"/>
              </w:rPr>
              <w:t>استفاده‌ي حرمت استماع غيبت، از طريق عناوين ملازم با آن</w:t>
            </w:r>
            <w:r>
              <w:rPr>
                <w:rStyle w:val="IndexLink"/>
                <w:rtl w:val="true"/>
              </w:rPr>
              <w:tab/>
            </w:r>
            <w:r>
              <w:rPr>
                <w:rStyle w:val="IndexLink"/>
              </w:rPr>
              <w:t>432</w:t>
            </w:r>
          </w:hyperlink>
        </w:p>
        <w:p>
          <w:pPr>
            <w:pStyle w:val="Contents4"/>
            <w:tabs>
              <w:tab w:val="clear" w:pos="8176"/>
              <w:tab w:val="right" w:pos="9026" w:leader="dot"/>
            </w:tabs>
            <w:rPr/>
          </w:pPr>
          <w:hyperlink w:anchor="__RefHeading___Toc2770685_3804643083">
            <w:r>
              <w:rPr>
                <w:webHidden/>
                <w:rStyle w:val="IndexLink"/>
                <w:rtl w:val="true"/>
              </w:rPr>
              <w:t>اشاره</w:t>
            </w:r>
            <w:r>
              <w:rPr>
                <w:rStyle w:val="IndexLink"/>
                <w:rtl w:val="true"/>
              </w:rPr>
              <w:tab/>
            </w:r>
            <w:r>
              <w:rPr>
                <w:rStyle w:val="IndexLink"/>
              </w:rPr>
              <w:t>432</w:t>
            </w:r>
          </w:hyperlink>
        </w:p>
        <w:p>
          <w:pPr>
            <w:pStyle w:val="Contents4"/>
            <w:tabs>
              <w:tab w:val="clear" w:pos="8176"/>
              <w:tab w:val="right" w:pos="9026" w:leader="dot"/>
            </w:tabs>
            <w:rPr/>
          </w:pPr>
          <w:hyperlink w:anchor="__RefHeading___Toc2770687_3804643083">
            <w:r>
              <w:rPr>
                <w:webHidden/>
                <w:rStyle w:val="IndexLink"/>
              </w:rPr>
              <w:t>1</w:t>
            </w:r>
            <w:r>
              <w:rPr>
                <w:rStyle w:val="IndexLink"/>
                <w:rtl w:val="true"/>
              </w:rPr>
              <w:t xml:space="preserve">. </w:t>
            </w:r>
            <w:r>
              <w:rPr>
                <w:rStyle w:val="IndexLink"/>
                <w:rtl w:val="true"/>
              </w:rPr>
              <w:t>رضايت به فعل حرام</w:t>
            </w:r>
            <w:r>
              <w:rPr>
                <w:rStyle w:val="IndexLink"/>
                <w:rtl w:val="true"/>
              </w:rPr>
              <w:tab/>
            </w:r>
            <w:r>
              <w:rPr>
                <w:rStyle w:val="IndexLink"/>
              </w:rPr>
              <w:t>432</w:t>
            </w:r>
          </w:hyperlink>
        </w:p>
        <w:p>
          <w:pPr>
            <w:pStyle w:val="Contents4"/>
            <w:tabs>
              <w:tab w:val="clear" w:pos="8176"/>
              <w:tab w:val="right" w:pos="9026" w:leader="dot"/>
            </w:tabs>
            <w:rPr/>
          </w:pPr>
          <w:hyperlink w:anchor="__RefHeading___Toc2770689_3804643083">
            <w:r>
              <w:rPr>
                <w:webHidden/>
                <w:rStyle w:val="IndexLink"/>
              </w:rPr>
              <w:t>2</w:t>
            </w:r>
            <w:r>
              <w:rPr>
                <w:rStyle w:val="IndexLink"/>
                <w:rtl w:val="true"/>
              </w:rPr>
              <w:t xml:space="preserve">. </w:t>
            </w:r>
            <w:r>
              <w:rPr>
                <w:rStyle w:val="IndexLink"/>
                <w:rtl w:val="true"/>
              </w:rPr>
              <w:t>دفع منكر</w:t>
            </w:r>
            <w:r>
              <w:rPr>
                <w:rStyle w:val="IndexLink"/>
                <w:rtl w:val="true"/>
              </w:rPr>
              <w:tab/>
            </w:r>
            <w:r>
              <w:rPr>
                <w:rStyle w:val="IndexLink"/>
              </w:rPr>
              <w:t>433</w:t>
            </w:r>
          </w:hyperlink>
        </w:p>
        <w:p>
          <w:pPr>
            <w:pStyle w:val="Contents4"/>
            <w:tabs>
              <w:tab w:val="clear" w:pos="8176"/>
              <w:tab w:val="right" w:pos="9026" w:leader="dot"/>
            </w:tabs>
            <w:rPr/>
          </w:pPr>
          <w:hyperlink w:anchor="__RefHeading___Toc2770691_3804643083">
            <w:r>
              <w:rPr>
                <w:webHidden/>
                <w:rStyle w:val="IndexLink"/>
              </w:rPr>
              <w:t>3</w:t>
            </w:r>
            <w:r>
              <w:rPr>
                <w:rStyle w:val="IndexLink"/>
                <w:rtl w:val="true"/>
              </w:rPr>
              <w:t xml:space="preserve">. </w:t>
            </w:r>
            <w:r>
              <w:rPr>
                <w:rStyle w:val="IndexLink"/>
                <w:rtl w:val="true"/>
              </w:rPr>
              <w:t>تشويق منكر</w:t>
            </w:r>
            <w:r>
              <w:rPr>
                <w:rStyle w:val="IndexLink"/>
                <w:rtl w:val="true"/>
              </w:rPr>
              <w:tab/>
            </w:r>
            <w:r>
              <w:rPr>
                <w:rStyle w:val="IndexLink"/>
              </w:rPr>
              <w:t>434</w:t>
            </w:r>
          </w:hyperlink>
        </w:p>
        <w:p>
          <w:pPr>
            <w:pStyle w:val="Contents3"/>
            <w:tabs>
              <w:tab w:val="clear" w:pos="8459"/>
              <w:tab w:val="right" w:pos="9026" w:leader="dot"/>
            </w:tabs>
            <w:rPr/>
          </w:pPr>
          <w:hyperlink w:anchor="__RefHeading___Toc2770693_3804643083">
            <w:r>
              <w:rPr>
                <w:webHidden/>
                <w:rStyle w:val="IndexLink"/>
                <w:rtl w:val="true"/>
              </w:rPr>
              <w:t>حكم استماع، در صورت جواز غيبت</w:t>
            </w:r>
            <w:r>
              <w:rPr>
                <w:rStyle w:val="IndexLink"/>
                <w:rtl w:val="true"/>
              </w:rPr>
              <w:tab/>
            </w:r>
            <w:r>
              <w:rPr>
                <w:rStyle w:val="IndexLink"/>
              </w:rPr>
              <w:t>435</w:t>
            </w:r>
          </w:hyperlink>
        </w:p>
        <w:p>
          <w:pPr>
            <w:pStyle w:val="Contents4"/>
            <w:tabs>
              <w:tab w:val="clear" w:pos="8176"/>
              <w:tab w:val="right" w:pos="9026" w:leader="dot"/>
            </w:tabs>
            <w:rPr/>
          </w:pPr>
          <w:hyperlink w:anchor="__RefHeading___Toc2770695_3804643083">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2770697_3804643083">
            <w:r>
              <w:rPr>
                <w:webHidden/>
                <w:rStyle w:val="IndexLink"/>
                <w:rtl w:val="true"/>
              </w:rPr>
              <w:t>احتمالات مختلف در مسأله</w:t>
            </w:r>
            <w:r>
              <w:rPr>
                <w:rStyle w:val="IndexLink"/>
                <w:rtl w:val="true"/>
              </w:rPr>
              <w:tab/>
            </w:r>
            <w:r>
              <w:rPr>
                <w:rStyle w:val="IndexLink"/>
              </w:rPr>
              <w:t>436</w:t>
            </w:r>
          </w:hyperlink>
        </w:p>
        <w:p>
          <w:pPr>
            <w:pStyle w:val="Contents5"/>
            <w:tabs>
              <w:tab w:val="clear" w:pos="7892"/>
              <w:tab w:val="right" w:pos="9026" w:leader="dot"/>
            </w:tabs>
            <w:rPr/>
          </w:pPr>
          <w:hyperlink w:anchor="__RefHeading___Toc2770699_3804643083">
            <w:r>
              <w:rPr>
                <w:webHidden/>
                <w:rStyle w:val="IndexLink"/>
                <w:rtl w:val="true"/>
              </w:rPr>
              <w:t>اشاره</w:t>
            </w:r>
            <w:r>
              <w:rPr>
                <w:rStyle w:val="IndexLink"/>
                <w:rtl w:val="true"/>
              </w:rPr>
              <w:tab/>
            </w:r>
            <w:r>
              <w:rPr>
                <w:rStyle w:val="IndexLink"/>
              </w:rPr>
              <w:t>436</w:t>
            </w:r>
          </w:hyperlink>
        </w:p>
        <w:p>
          <w:pPr>
            <w:pStyle w:val="Contents5"/>
            <w:tabs>
              <w:tab w:val="clear" w:pos="7892"/>
              <w:tab w:val="right" w:pos="9026" w:leader="dot"/>
            </w:tabs>
            <w:rPr/>
          </w:pPr>
          <w:hyperlink w:anchor="__RefHeading___Toc2770701_3804643083">
            <w:r>
              <w:rPr>
                <w:webHidden/>
                <w:rStyle w:val="IndexLink"/>
              </w:rPr>
              <w:t>1</w:t>
            </w:r>
            <w:r>
              <w:rPr>
                <w:rStyle w:val="IndexLink"/>
                <w:rtl w:val="true"/>
              </w:rPr>
              <w:t xml:space="preserve">. </w:t>
            </w:r>
            <w:r>
              <w:rPr>
                <w:rStyle w:val="IndexLink"/>
                <w:rtl w:val="true"/>
              </w:rPr>
              <w:t>شنيدن غيبتي كه تخصّصاً از موضوع غيبت خارج است</w:t>
            </w:r>
            <w:r>
              <w:rPr>
                <w:rStyle w:val="IndexLink"/>
                <w:rtl w:val="true"/>
              </w:rPr>
              <w:tab/>
            </w:r>
            <w:r>
              <w:rPr>
                <w:rStyle w:val="IndexLink"/>
              </w:rPr>
              <w:t>436</w:t>
            </w:r>
          </w:hyperlink>
        </w:p>
        <w:p>
          <w:pPr>
            <w:pStyle w:val="Contents5"/>
            <w:tabs>
              <w:tab w:val="clear" w:pos="7892"/>
              <w:tab w:val="right" w:pos="9026" w:leader="dot"/>
            </w:tabs>
            <w:rPr/>
          </w:pPr>
          <w:hyperlink w:anchor="__RefHeading___Toc2770703_3804643083">
            <w:r>
              <w:rPr>
                <w:webHidden/>
                <w:rStyle w:val="IndexLink"/>
              </w:rPr>
              <w:t>2</w:t>
            </w:r>
            <w:r>
              <w:rPr>
                <w:rStyle w:val="IndexLink"/>
                <w:rtl w:val="true"/>
              </w:rPr>
              <w:t xml:space="preserve">. </w:t>
            </w:r>
            <w:r>
              <w:rPr>
                <w:rStyle w:val="IndexLink"/>
                <w:rtl w:val="true"/>
              </w:rPr>
              <w:t>شنيدن غيبتي كه براي غيبت كننده به خاطر اضطرار، تقيّه و يا عدم بلوغ، جايز است</w:t>
            </w:r>
            <w:r>
              <w:rPr>
                <w:rStyle w:val="IndexLink"/>
                <w:rtl w:val="true"/>
              </w:rPr>
              <w:tab/>
            </w:r>
            <w:r>
              <w:rPr>
                <w:rStyle w:val="IndexLink"/>
              </w:rPr>
              <w:t>437</w:t>
            </w:r>
          </w:hyperlink>
        </w:p>
        <w:p>
          <w:pPr>
            <w:pStyle w:val="Contents5"/>
            <w:tabs>
              <w:tab w:val="clear" w:pos="7892"/>
              <w:tab w:val="right" w:pos="9026" w:leader="dot"/>
            </w:tabs>
            <w:rPr/>
          </w:pPr>
          <w:hyperlink w:anchor="__RefHeading___Toc2770705_3804643083">
            <w:r>
              <w:rPr>
                <w:webHidden/>
                <w:rStyle w:val="IndexLink"/>
              </w:rPr>
              <w:t>3</w:t>
            </w:r>
            <w:r>
              <w:rPr>
                <w:rStyle w:val="IndexLink"/>
                <w:rtl w:val="true"/>
              </w:rPr>
              <w:t xml:space="preserve">. </w:t>
            </w:r>
            <w:r>
              <w:rPr>
                <w:rStyle w:val="IndexLink"/>
                <w:rtl w:val="true"/>
              </w:rPr>
              <w:t>شنيدن غيبت ظالم در مقام انتصار</w:t>
            </w:r>
            <w:r>
              <w:rPr>
                <w:rStyle w:val="IndexLink"/>
                <w:rtl w:val="true"/>
              </w:rPr>
              <w:tab/>
            </w:r>
            <w:r>
              <w:rPr>
                <w:rStyle w:val="IndexLink"/>
              </w:rPr>
              <w:t>438</w:t>
            </w:r>
          </w:hyperlink>
        </w:p>
        <w:p>
          <w:pPr>
            <w:pStyle w:val="Contents3"/>
            <w:tabs>
              <w:tab w:val="clear" w:pos="8459"/>
              <w:tab w:val="right" w:pos="9026" w:leader="dot"/>
            </w:tabs>
            <w:rPr/>
          </w:pPr>
          <w:hyperlink w:anchor="__RefHeading___Toc2770707_3804643083">
            <w:r>
              <w:rPr>
                <w:webHidden/>
                <w:rStyle w:val="IndexLink"/>
                <w:rtl w:val="true"/>
              </w:rPr>
              <w:t>حكم استماع در صورت شك در جواز غيبت</w:t>
            </w:r>
            <w:r>
              <w:rPr>
                <w:rStyle w:val="IndexLink"/>
                <w:rtl w:val="true"/>
              </w:rPr>
              <w:tab/>
            </w:r>
            <w:r>
              <w:rPr>
                <w:rStyle w:val="IndexLink"/>
              </w:rPr>
              <w:t>439</w:t>
            </w:r>
          </w:hyperlink>
        </w:p>
        <w:p>
          <w:pPr>
            <w:pStyle w:val="Contents4"/>
            <w:tabs>
              <w:tab w:val="clear" w:pos="8176"/>
              <w:tab w:val="right" w:pos="9026" w:leader="dot"/>
            </w:tabs>
            <w:rPr/>
          </w:pPr>
          <w:hyperlink w:anchor="__RefHeading___Toc2770709_3804643083">
            <w:r>
              <w:rPr>
                <w:webHidden/>
                <w:rStyle w:val="IndexLink"/>
                <w:rtl w:val="true"/>
              </w:rPr>
              <w:t>اشاره</w:t>
            </w:r>
            <w:r>
              <w:rPr>
                <w:rStyle w:val="IndexLink"/>
                <w:rtl w:val="true"/>
              </w:rPr>
              <w:tab/>
            </w:r>
            <w:r>
              <w:rPr>
                <w:rStyle w:val="IndexLink"/>
              </w:rPr>
              <w:t>439</w:t>
            </w:r>
          </w:hyperlink>
        </w:p>
        <w:p>
          <w:pPr>
            <w:pStyle w:val="Contents4"/>
            <w:tabs>
              <w:tab w:val="clear" w:pos="8176"/>
              <w:tab w:val="right" w:pos="9026" w:leader="dot"/>
            </w:tabs>
            <w:rPr/>
          </w:pPr>
          <w:hyperlink w:anchor="__RefHeading___Toc2770711_3804643083">
            <w:r>
              <w:rPr>
                <w:webHidden/>
                <w:rStyle w:val="IndexLink"/>
                <w:rtl w:val="true"/>
              </w:rPr>
              <w:t>شكّ در جواز غيبت به خاطر شكّ در مثل مظلوميّت مغتاب</w:t>
            </w:r>
            <w:r>
              <w:rPr>
                <w:rStyle w:val="IndexLink"/>
                <w:rtl w:val="true"/>
              </w:rPr>
              <w:tab/>
            </w:r>
            <w:r>
              <w:rPr>
                <w:rStyle w:val="IndexLink"/>
              </w:rPr>
              <w:t>441</w:t>
            </w:r>
          </w:hyperlink>
        </w:p>
        <w:p>
          <w:pPr>
            <w:pStyle w:val="Contents4"/>
            <w:tabs>
              <w:tab w:val="clear" w:pos="8176"/>
              <w:tab w:val="right" w:pos="9026" w:leader="dot"/>
            </w:tabs>
            <w:rPr/>
          </w:pPr>
          <w:hyperlink w:anchor="__RefHeading___Toc2770713_3804643083">
            <w:r>
              <w:rPr>
                <w:webHidden/>
                <w:rStyle w:val="IndexLink"/>
                <w:rtl w:val="true"/>
              </w:rPr>
              <w:t>قول مختار در مقام شك</w:t>
            </w:r>
            <w:r>
              <w:rPr>
                <w:rStyle w:val="IndexLink"/>
                <w:rtl w:val="true"/>
              </w:rPr>
              <w:tab/>
            </w:r>
            <w:r>
              <w:rPr>
                <w:rStyle w:val="IndexLink"/>
              </w:rPr>
              <w:t>444</w:t>
            </w:r>
          </w:hyperlink>
        </w:p>
        <w:p>
          <w:pPr>
            <w:pStyle w:val="Contents3"/>
            <w:tabs>
              <w:tab w:val="clear" w:pos="8459"/>
              <w:tab w:val="right" w:pos="9026" w:leader="dot"/>
            </w:tabs>
            <w:rPr/>
          </w:pPr>
          <w:hyperlink w:anchor="__RefHeading___Toc2770715_3804643083">
            <w:r>
              <w:rPr>
                <w:webHidden/>
                <w:rStyle w:val="IndexLink"/>
                <w:rtl w:val="true"/>
              </w:rPr>
              <w:t>آيا وجوب ردّ غيبت، همان وجوب نهي از منكر است؟</w:t>
            </w:r>
            <w:r>
              <w:rPr>
                <w:rStyle w:val="IndexLink"/>
                <w:rtl w:val="true"/>
              </w:rPr>
              <w:tab/>
            </w:r>
            <w:r>
              <w:rPr>
                <w:rStyle w:val="IndexLink"/>
              </w:rPr>
              <w:t>455</w:t>
            </w:r>
          </w:hyperlink>
        </w:p>
        <w:p>
          <w:pPr>
            <w:pStyle w:val="Contents3"/>
            <w:tabs>
              <w:tab w:val="clear" w:pos="8459"/>
              <w:tab w:val="right" w:pos="9026" w:leader="dot"/>
            </w:tabs>
            <w:rPr/>
          </w:pPr>
          <w:hyperlink w:anchor="__RefHeading___Toc2770717_3804643083">
            <w:r>
              <w:rPr>
                <w:webHidden/>
                <w:rStyle w:val="IndexLink"/>
                <w:rtl w:val="true"/>
              </w:rPr>
              <w:t>وحدت ردّ غيبت با نهي از منكر در نظر محقّق ايرواني</w:t>
            </w:r>
            <w:r>
              <w:rPr>
                <w:rStyle w:val="IndexLink"/>
                <w:rtl w:val="true"/>
              </w:rPr>
              <w:t xml:space="preserve">- </w:t>
            </w:r>
            <w:r>
              <w:rPr>
                <w:rStyle w:val="IndexLink"/>
                <w:rtl w:val="true"/>
              </w:rPr>
              <w:t xml:space="preserve">قدس سره </w:t>
            </w:r>
            <w:r>
              <w:rPr>
                <w:rStyle w:val="IndexLink"/>
                <w:rtl w:val="true"/>
              </w:rPr>
              <w:t>-</w:t>
              <w:tab/>
            </w:r>
            <w:r>
              <w:rPr>
                <w:rStyle w:val="IndexLink"/>
              </w:rPr>
              <w:t>455</w:t>
            </w:r>
          </w:hyperlink>
        </w:p>
        <w:p>
          <w:pPr>
            <w:pStyle w:val="Contents3"/>
            <w:tabs>
              <w:tab w:val="clear" w:pos="8459"/>
              <w:tab w:val="right" w:pos="9026" w:leader="dot"/>
            </w:tabs>
            <w:rPr/>
          </w:pPr>
          <w:hyperlink w:anchor="__RefHeading___Toc2770719_3804643083">
            <w:r>
              <w:rPr>
                <w:webHidden/>
                <w:rStyle w:val="IndexLink"/>
                <w:rtl w:val="true"/>
              </w:rPr>
              <w:t>آيا با شك در اين‌كه غيبت كننده مجوّز دارد، ردّ غيبت واجب است؟</w:t>
            </w:r>
            <w:r>
              <w:rPr>
                <w:rStyle w:val="IndexLink"/>
                <w:rtl w:val="true"/>
              </w:rPr>
              <w:tab/>
            </w:r>
            <w:r>
              <w:rPr>
                <w:rStyle w:val="IndexLink"/>
              </w:rPr>
              <w:t>458</w:t>
            </w:r>
          </w:hyperlink>
        </w:p>
        <w:p>
          <w:pPr>
            <w:pStyle w:val="Contents4"/>
            <w:tabs>
              <w:tab w:val="clear" w:pos="8176"/>
              <w:tab w:val="right" w:pos="9026" w:leader="dot"/>
            </w:tabs>
            <w:rPr/>
          </w:pPr>
          <w:hyperlink w:anchor="__RefHeading___Toc2770721_3804643083">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2770723_3804643083">
            <w:r>
              <w:rPr>
                <w:webHidden/>
                <w:rStyle w:val="IndexLink"/>
                <w:rtl w:val="true"/>
              </w:rPr>
              <w:t>ملاحظاتي در ردّ غيبت</w:t>
            </w:r>
            <w:r>
              <w:rPr>
                <w:rStyle w:val="IndexLink"/>
                <w:rtl w:val="true"/>
              </w:rPr>
              <w:tab/>
            </w:r>
            <w:r>
              <w:rPr>
                <w:rStyle w:val="IndexLink"/>
              </w:rPr>
              <w:t>458</w:t>
            </w:r>
          </w:hyperlink>
        </w:p>
        <w:p>
          <w:pPr>
            <w:pStyle w:val="Contents3"/>
            <w:tabs>
              <w:tab w:val="clear" w:pos="8459"/>
              <w:tab w:val="right" w:pos="9026" w:leader="dot"/>
            </w:tabs>
            <w:rPr/>
          </w:pPr>
          <w:hyperlink w:anchor="__RefHeading___Toc2770725_3804643083">
            <w:r>
              <w:rPr>
                <w:webHidden/>
                <w:rStyle w:val="IndexLink"/>
                <w:rtl w:val="true"/>
              </w:rPr>
              <w:t>آيا با علم به اين‌كه غيبت كننده مجوز غيبت دارد، باز ردّ غيبت واجب است؟</w:t>
            </w:r>
            <w:r>
              <w:rPr>
                <w:rStyle w:val="IndexLink"/>
                <w:rtl w:val="true"/>
              </w:rPr>
              <w:tab/>
            </w:r>
            <w:r>
              <w:rPr>
                <w:rStyle w:val="IndexLink"/>
              </w:rPr>
              <w:t>460</w:t>
            </w:r>
          </w:hyperlink>
        </w:p>
        <w:p>
          <w:pPr>
            <w:pStyle w:val="Contents3"/>
            <w:tabs>
              <w:tab w:val="clear" w:pos="8459"/>
              <w:tab w:val="right" w:pos="9026" w:leader="dot"/>
            </w:tabs>
            <w:rPr/>
          </w:pPr>
          <w:hyperlink w:anchor="__RefHeading___Toc2770727_3804643083">
            <w:r>
              <w:rPr>
                <w:webHidden/>
                <w:rStyle w:val="IndexLink"/>
                <w:rtl w:val="true"/>
              </w:rPr>
              <w:t>آيا مدح در حضور و غيبت در غياب، عقاب را دو برابر مي‌كند؟</w:t>
            </w:r>
            <w:r>
              <w:rPr>
                <w:rStyle w:val="IndexLink"/>
                <w:rtl w:val="true"/>
              </w:rPr>
              <w:tab/>
            </w:r>
            <w:r>
              <w:rPr>
                <w:rStyle w:val="IndexLink"/>
              </w:rPr>
              <w:t>462</w:t>
            </w:r>
          </w:hyperlink>
        </w:p>
        <w:p>
          <w:pPr>
            <w:pStyle w:val="Contents3"/>
            <w:tabs>
              <w:tab w:val="clear" w:pos="8459"/>
              <w:tab w:val="right" w:pos="9026" w:leader="dot"/>
            </w:tabs>
            <w:rPr/>
          </w:pPr>
          <w:hyperlink w:anchor="__RefHeading___Toc2770729_3804643083">
            <w:r>
              <w:rPr>
                <w:webHidden/>
                <w:rStyle w:val="IndexLink"/>
                <w:rtl w:val="true"/>
              </w:rPr>
              <w:t>ذو اللسانين يا ذو وجهين چه كساني هستند؟</w:t>
            </w:r>
            <w:r>
              <w:rPr>
                <w:rStyle w:val="IndexLink"/>
                <w:rtl w:val="true"/>
              </w:rPr>
              <w:tab/>
            </w:r>
            <w:r>
              <w:rPr>
                <w:rStyle w:val="IndexLink"/>
              </w:rPr>
              <w:t>462</w:t>
            </w:r>
          </w:hyperlink>
        </w:p>
        <w:p>
          <w:pPr>
            <w:pStyle w:val="Contents4"/>
            <w:tabs>
              <w:tab w:val="clear" w:pos="8176"/>
              <w:tab w:val="right" w:pos="9026" w:leader="dot"/>
            </w:tabs>
            <w:rPr/>
          </w:pPr>
          <w:hyperlink w:anchor="__RefHeading___Toc2770731_3804643083">
            <w:r>
              <w:rPr>
                <w:webHidden/>
                <w:rStyle w:val="IndexLink"/>
                <w:rtl w:val="true"/>
              </w:rPr>
              <w:t>اشاره</w:t>
            </w:r>
            <w:r>
              <w:rPr>
                <w:rStyle w:val="IndexLink"/>
                <w:rtl w:val="true"/>
              </w:rPr>
              <w:tab/>
            </w:r>
            <w:r>
              <w:rPr>
                <w:rStyle w:val="IndexLink"/>
              </w:rPr>
              <w:t>462</w:t>
            </w:r>
          </w:hyperlink>
        </w:p>
        <w:p>
          <w:pPr>
            <w:pStyle w:val="Contents4"/>
            <w:tabs>
              <w:tab w:val="clear" w:pos="8176"/>
              <w:tab w:val="right" w:pos="9026" w:leader="dot"/>
            </w:tabs>
            <w:rPr/>
          </w:pPr>
          <w:hyperlink w:anchor="__RefHeading___Toc2770733_3804643083">
            <w:r>
              <w:rPr>
                <w:webHidden/>
                <w:rStyle w:val="IndexLink"/>
                <w:rtl w:val="true"/>
              </w:rPr>
              <w:t>توضيحي درباره‌ي استفاده‌ي توثيقات عامّه از كامل الزيارات</w:t>
            </w:r>
            <w:r>
              <w:rPr>
                <w:rStyle w:val="IndexLink"/>
                <w:rtl w:val="true"/>
              </w:rPr>
              <w:tab/>
            </w:r>
            <w:r>
              <w:rPr>
                <w:rStyle w:val="IndexLink"/>
              </w:rPr>
              <w:t>468</w:t>
            </w:r>
          </w:hyperlink>
        </w:p>
        <w:p>
          <w:pPr>
            <w:pStyle w:val="Contents4"/>
            <w:tabs>
              <w:tab w:val="clear" w:pos="8176"/>
              <w:tab w:val="right" w:pos="9026" w:leader="dot"/>
            </w:tabs>
            <w:rPr/>
          </w:pPr>
          <w:hyperlink w:anchor="__RefHeading___Toc2770735_3804643083">
            <w:r>
              <w:rPr>
                <w:webHidden/>
                <w:rStyle w:val="IndexLink"/>
                <w:rtl w:val="true"/>
              </w:rPr>
              <w:t>استفاده‌ي توثيقات عامّه از تفسير علي بن ابراهيم</w:t>
            </w:r>
            <w:r>
              <w:rPr>
                <w:rStyle w:val="IndexLink"/>
                <w:rtl w:val="true"/>
              </w:rPr>
              <w:tab/>
            </w:r>
            <w:r>
              <w:rPr>
                <w:rStyle w:val="IndexLink"/>
              </w:rPr>
              <w:t>469</w:t>
            </w:r>
          </w:hyperlink>
        </w:p>
        <w:p>
          <w:pPr>
            <w:pStyle w:val="Contents4"/>
            <w:tabs>
              <w:tab w:val="clear" w:pos="8176"/>
              <w:tab w:val="right" w:pos="9026" w:leader="dot"/>
            </w:tabs>
            <w:rPr/>
          </w:pPr>
          <w:hyperlink w:anchor="__RefHeading___Toc2770737_3804643083">
            <w:r>
              <w:rPr>
                <w:webHidden/>
                <w:rStyle w:val="IndexLink"/>
                <w:rtl w:val="true"/>
              </w:rPr>
              <w:t>توثيق مشايخ اصحاب اجماع</w:t>
            </w:r>
            <w:r>
              <w:rPr>
                <w:rStyle w:val="IndexLink"/>
                <w:rtl w:val="true"/>
              </w:rPr>
              <w:tab/>
            </w:r>
            <w:r>
              <w:rPr>
                <w:rStyle w:val="IndexLink"/>
              </w:rPr>
              <w:t>469</w:t>
            </w:r>
          </w:hyperlink>
        </w:p>
        <w:p>
          <w:pPr>
            <w:pStyle w:val="Contents4"/>
            <w:tabs>
              <w:tab w:val="clear" w:pos="8176"/>
              <w:tab w:val="right" w:pos="9026" w:leader="dot"/>
            </w:tabs>
            <w:rPr/>
          </w:pPr>
          <w:hyperlink w:anchor="__RefHeading___Toc2770739_3804643083">
            <w:r>
              <w:rPr>
                <w:webHidden/>
                <w:rStyle w:val="IndexLink"/>
                <w:rtl w:val="true"/>
              </w:rPr>
              <w:t>نتيجه‌گيري از روايات ذو وجهين</w:t>
            </w:r>
            <w:r>
              <w:rPr>
                <w:rStyle w:val="IndexLink"/>
                <w:rtl w:val="true"/>
              </w:rPr>
              <w:tab/>
            </w:r>
            <w:r>
              <w:rPr>
                <w:rStyle w:val="IndexLink"/>
              </w:rPr>
              <w:t>472</w:t>
            </w:r>
          </w:hyperlink>
        </w:p>
        <w:p>
          <w:pPr>
            <w:pStyle w:val="Contents3"/>
            <w:tabs>
              <w:tab w:val="clear" w:pos="8459"/>
              <w:tab w:val="right" w:pos="9026" w:leader="dot"/>
            </w:tabs>
            <w:rPr/>
          </w:pPr>
          <w:hyperlink w:anchor="__RefHeading___Toc2770741_3804643083">
            <w:r>
              <w:rPr>
                <w:webHidden/>
                <w:rStyle w:val="IndexLink"/>
                <w:rtl w:val="true"/>
              </w:rPr>
              <w:t>آيا غيبت بر بهتان هم اطلاق مي‌شود؟</w:t>
            </w:r>
            <w:r>
              <w:rPr>
                <w:rStyle w:val="IndexLink"/>
                <w:rtl w:val="true"/>
              </w:rPr>
              <w:tab/>
            </w:r>
            <w:r>
              <w:rPr>
                <w:rStyle w:val="IndexLink"/>
              </w:rPr>
              <w:t>477</w:t>
            </w:r>
          </w:hyperlink>
        </w:p>
        <w:p>
          <w:pPr>
            <w:pStyle w:val="Contents4"/>
            <w:tabs>
              <w:tab w:val="clear" w:pos="8176"/>
              <w:tab w:val="right" w:pos="9026" w:leader="dot"/>
            </w:tabs>
            <w:rPr/>
          </w:pPr>
          <w:hyperlink w:anchor="__RefHeading___Toc2770743_3804643083">
            <w:r>
              <w:rPr>
                <w:webHidden/>
                <w:rStyle w:val="IndexLink"/>
                <w:rtl w:val="true"/>
              </w:rPr>
              <w:t>اشاره</w:t>
            </w:r>
            <w:r>
              <w:rPr>
                <w:rStyle w:val="IndexLink"/>
                <w:rtl w:val="true"/>
              </w:rPr>
              <w:tab/>
            </w:r>
            <w:r>
              <w:rPr>
                <w:rStyle w:val="IndexLink"/>
              </w:rPr>
              <w:t>477</w:t>
            </w:r>
          </w:hyperlink>
        </w:p>
        <w:p>
          <w:pPr>
            <w:pStyle w:val="Contents4"/>
            <w:tabs>
              <w:tab w:val="clear" w:pos="8176"/>
              <w:tab w:val="right" w:pos="9026" w:leader="dot"/>
            </w:tabs>
            <w:rPr/>
          </w:pPr>
          <w:hyperlink w:anchor="__RefHeading___Toc2770745_3804643083">
            <w:r>
              <w:rPr>
                <w:webHidden/>
                <w:rStyle w:val="IndexLink"/>
                <w:rtl w:val="true"/>
              </w:rPr>
              <w:t>بهتان غيابي در نگاه شيخ انصاري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داراي سه عقاب كذب، غيبت و مركّب است</w:t>
            </w:r>
            <w:r>
              <w:rPr>
                <w:rStyle w:val="IndexLink"/>
                <w:rtl w:val="true"/>
              </w:rPr>
              <w:t>:</w:t>
              <w:tab/>
            </w:r>
            <w:r>
              <w:rPr>
                <w:rStyle w:val="IndexLink"/>
              </w:rPr>
              <w:t>480</w:t>
            </w:r>
          </w:hyperlink>
        </w:p>
        <w:p>
          <w:pPr>
            <w:pStyle w:val="Contents5"/>
            <w:tabs>
              <w:tab w:val="clear" w:pos="7892"/>
              <w:tab w:val="right" w:pos="9026" w:leader="dot"/>
            </w:tabs>
            <w:rPr/>
          </w:pPr>
          <w:hyperlink w:anchor="__RefHeading___Toc2770747_3804643083">
            <w:r>
              <w:rPr>
                <w:webHidden/>
                <w:rStyle w:val="IndexLink"/>
                <w:rtl w:val="true"/>
              </w:rPr>
              <w:t>اشاره</w:t>
            </w:r>
            <w:r>
              <w:rPr>
                <w:rStyle w:val="IndexLink"/>
                <w:rtl w:val="true"/>
              </w:rPr>
              <w:tab/>
            </w:r>
            <w:r>
              <w:rPr>
                <w:rStyle w:val="IndexLink"/>
              </w:rPr>
              <w:t>480</w:t>
            </w:r>
          </w:hyperlink>
        </w:p>
        <w:p>
          <w:pPr>
            <w:pStyle w:val="Contents5"/>
            <w:tabs>
              <w:tab w:val="clear" w:pos="7892"/>
              <w:tab w:val="right" w:pos="9026" w:leader="dot"/>
            </w:tabs>
            <w:rPr/>
          </w:pPr>
          <w:hyperlink w:anchor="__RefHeading___Toc2770749_3804643083">
            <w:r>
              <w:rPr>
                <w:webHidden/>
                <w:rStyle w:val="IndexLink"/>
                <w:rtl w:val="true"/>
              </w:rPr>
              <w:t>نقد كلام مرحوم شيخ</w:t>
            </w:r>
            <w:r>
              <w:rPr>
                <w:rStyle w:val="IndexLink"/>
                <w:rtl w:val="true"/>
              </w:rPr>
              <w:tab/>
            </w:r>
            <w:r>
              <w:rPr>
                <w:rStyle w:val="IndexLink"/>
              </w:rPr>
              <w:t>480</w:t>
            </w:r>
          </w:hyperlink>
        </w:p>
        <w:p>
          <w:pPr>
            <w:pStyle w:val="Contents3"/>
            <w:tabs>
              <w:tab w:val="clear" w:pos="8459"/>
              <w:tab w:val="right" w:pos="9026" w:leader="dot"/>
            </w:tabs>
            <w:rPr/>
          </w:pPr>
          <w:hyperlink w:anchor="__RefHeading___Toc2770751_3804643083">
            <w:r>
              <w:rPr>
                <w:webHidden/>
                <w:rStyle w:val="IndexLink"/>
                <w:rtl w:val="true"/>
              </w:rPr>
              <w:t>دو نكته‌ي مهم در تتميم بحث غيبت</w:t>
            </w:r>
            <w:r>
              <w:rPr>
                <w:rStyle w:val="IndexLink"/>
                <w:rtl w:val="true"/>
              </w:rPr>
              <w:tab/>
            </w:r>
            <w:r>
              <w:rPr>
                <w:rStyle w:val="IndexLink"/>
              </w:rPr>
              <w:t>481</w:t>
            </w:r>
          </w:hyperlink>
        </w:p>
        <w:p>
          <w:pPr>
            <w:pStyle w:val="Contents4"/>
            <w:tabs>
              <w:tab w:val="clear" w:pos="8176"/>
              <w:tab w:val="right" w:pos="9026" w:leader="dot"/>
            </w:tabs>
            <w:rPr/>
          </w:pPr>
          <w:hyperlink w:anchor="__RefHeading___Toc2770753_3804643083">
            <w:r>
              <w:rPr>
                <w:webHidden/>
                <w:rStyle w:val="IndexLink"/>
              </w:rPr>
              <w:t>1</w:t>
            </w:r>
            <w:r>
              <w:rPr>
                <w:rStyle w:val="IndexLink"/>
                <w:rtl w:val="true"/>
              </w:rPr>
              <w:t xml:space="preserve">. </w:t>
            </w:r>
            <w:r>
              <w:rPr>
                <w:rStyle w:val="IndexLink"/>
                <w:rtl w:val="true"/>
              </w:rPr>
              <w:t>آيا رضايت غيبت شونده موجب حلّيت غيبت مي‌شود؟</w:t>
            </w:r>
            <w:r>
              <w:rPr>
                <w:rStyle w:val="IndexLink"/>
                <w:rtl w:val="true"/>
              </w:rPr>
              <w:tab/>
            </w:r>
            <w:r>
              <w:rPr>
                <w:rStyle w:val="IndexLink"/>
              </w:rPr>
              <w:t>481</w:t>
            </w:r>
          </w:hyperlink>
        </w:p>
        <w:p>
          <w:pPr>
            <w:pStyle w:val="Contents4"/>
            <w:tabs>
              <w:tab w:val="clear" w:pos="8176"/>
              <w:tab w:val="right" w:pos="9026" w:leader="dot"/>
            </w:tabs>
            <w:rPr/>
          </w:pPr>
          <w:hyperlink w:anchor="__RefHeading___Toc2770755_3804643083">
            <w:r>
              <w:rPr>
                <w:webHidden/>
                <w:rStyle w:val="IndexLink"/>
              </w:rPr>
              <w:t>2</w:t>
            </w:r>
            <w:r>
              <w:rPr>
                <w:rStyle w:val="IndexLink"/>
                <w:rtl w:val="true"/>
              </w:rPr>
              <w:t xml:space="preserve">. </w:t>
            </w:r>
            <w:r>
              <w:rPr>
                <w:rStyle w:val="IndexLink"/>
                <w:rtl w:val="true"/>
              </w:rPr>
              <w:t>آيا با إخبار ثقه، استحقاق غيبت شخص ثابت مي‌شود؟</w:t>
            </w:r>
            <w:r>
              <w:rPr>
                <w:rStyle w:val="IndexLink"/>
                <w:rtl w:val="true"/>
              </w:rPr>
              <w:tab/>
            </w:r>
            <w:r>
              <w:rPr>
                <w:rStyle w:val="IndexLink"/>
              </w:rPr>
              <w:t>486</w:t>
            </w:r>
          </w:hyperlink>
        </w:p>
        <w:p>
          <w:pPr>
            <w:pStyle w:val="Contents2"/>
            <w:tabs>
              <w:tab w:val="clear" w:pos="8743"/>
              <w:tab w:val="right" w:pos="9026" w:leader="dot"/>
            </w:tabs>
            <w:rPr/>
          </w:pPr>
          <w:hyperlink w:anchor="__RefHeading___Toc2770757_3804643083">
            <w:r>
              <w:rPr>
                <w:webHidden/>
                <w:rStyle w:val="IndexLink"/>
                <w:rtl w:val="true"/>
              </w:rPr>
              <w:t xml:space="preserve">حقوق اخوان در كلام مرحوم شيخ </w:t>
            </w:r>
            <w:r>
              <w:rPr>
                <w:rStyle w:val="IndexLink"/>
                <w:rtl w:val="true"/>
              </w:rPr>
              <w:t>(</w:t>
            </w:r>
            <w:r>
              <w:rPr>
                <w:rStyle w:val="IndexLink"/>
                <w:rtl w:val="true"/>
              </w:rPr>
              <w:t>قدس سره</w:t>
            </w:r>
            <w:r>
              <w:rPr>
                <w:rStyle w:val="IndexLink"/>
                <w:rtl w:val="true"/>
              </w:rPr>
              <w:t>)</w:t>
              <w:tab/>
            </w:r>
            <w:r>
              <w:rPr>
                <w:rStyle w:val="IndexLink"/>
              </w:rPr>
              <w:t>488</w:t>
            </w:r>
          </w:hyperlink>
        </w:p>
        <w:p>
          <w:pPr>
            <w:pStyle w:val="Contents3"/>
            <w:tabs>
              <w:tab w:val="clear" w:pos="8459"/>
              <w:tab w:val="right" w:pos="9026" w:leader="dot"/>
            </w:tabs>
            <w:rPr/>
          </w:pPr>
          <w:hyperlink w:anchor="__RefHeading___Toc2770759_3804643083">
            <w:r>
              <w:rPr>
                <w:webHidden/>
                <w:rStyle w:val="IndexLink"/>
                <w:rtl w:val="true"/>
              </w:rPr>
              <w:t>اشاره</w:t>
            </w:r>
            <w:r>
              <w:rPr>
                <w:rStyle w:val="IndexLink"/>
                <w:rtl w:val="true"/>
              </w:rPr>
              <w:tab/>
            </w:r>
            <w:r>
              <w:rPr>
                <w:rStyle w:val="IndexLink"/>
              </w:rPr>
              <w:t>488</w:t>
            </w:r>
          </w:hyperlink>
        </w:p>
        <w:p>
          <w:pPr>
            <w:pStyle w:val="Contents3"/>
            <w:tabs>
              <w:tab w:val="clear" w:pos="8459"/>
              <w:tab w:val="right" w:pos="9026" w:leader="dot"/>
            </w:tabs>
            <w:rPr/>
          </w:pPr>
          <w:hyperlink w:anchor="__RefHeading___Toc2770761_3804643083">
            <w:r>
              <w:rPr>
                <w:webHidden/>
                <w:rStyle w:val="IndexLink"/>
                <w:rtl w:val="true"/>
              </w:rPr>
              <w:t>كلام مرحوم شيخ</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در اختصاص حقوق إخوان به عاملين آن</w:t>
            </w:r>
            <w:r>
              <w:rPr>
                <w:rStyle w:val="IndexLink"/>
                <w:rtl w:val="true"/>
              </w:rPr>
              <w:tab/>
            </w:r>
            <w:r>
              <w:rPr>
                <w:rStyle w:val="IndexLink"/>
              </w:rPr>
              <w:t>493</w:t>
            </w:r>
          </w:hyperlink>
        </w:p>
        <w:p>
          <w:pPr>
            <w:pStyle w:val="Contents4"/>
            <w:tabs>
              <w:tab w:val="clear" w:pos="8176"/>
              <w:tab w:val="right" w:pos="9026" w:leader="dot"/>
            </w:tabs>
            <w:rPr/>
          </w:pPr>
          <w:hyperlink w:anchor="__RefHeading___Toc2770763_3804643083">
            <w:r>
              <w:rPr>
                <w:webHidden/>
                <w:rStyle w:val="IndexLink"/>
                <w:rtl w:val="true"/>
              </w:rPr>
              <w:t>اشاره</w:t>
            </w:r>
            <w:r>
              <w:rPr>
                <w:rStyle w:val="IndexLink"/>
                <w:rtl w:val="true"/>
              </w:rPr>
              <w:tab/>
            </w:r>
            <w:r>
              <w:rPr>
                <w:rStyle w:val="IndexLink"/>
              </w:rPr>
              <w:t>493</w:t>
            </w:r>
          </w:hyperlink>
        </w:p>
        <w:p>
          <w:pPr>
            <w:pStyle w:val="Contents4"/>
            <w:tabs>
              <w:tab w:val="clear" w:pos="8176"/>
              <w:tab w:val="right" w:pos="9026" w:leader="dot"/>
            </w:tabs>
            <w:rPr/>
          </w:pPr>
          <w:hyperlink w:anchor="__RefHeading___Toc2770765_3804643083">
            <w:r>
              <w:rPr>
                <w:webHidden/>
                <w:rStyle w:val="IndexLink"/>
                <w:rtl w:val="true"/>
              </w:rPr>
              <w:t>اشكال سيّد خويي</w:t>
            </w:r>
            <w:r>
              <w:rPr>
                <w:rStyle w:val="IndexLink"/>
                <w:rtl w:val="true"/>
              </w:rPr>
              <w:t xml:space="preserve">- </w:t>
            </w:r>
            <w:r>
              <w:rPr>
                <w:rStyle w:val="IndexLink"/>
                <w:rtl w:val="true"/>
              </w:rPr>
              <w:t xml:space="preserve">قدس سره </w:t>
            </w:r>
            <w:r>
              <w:rPr>
                <w:rStyle w:val="IndexLink"/>
                <w:rtl w:val="true"/>
              </w:rPr>
              <w:t xml:space="preserve">- </w:t>
            </w:r>
            <w:r>
              <w:rPr>
                <w:rStyle w:val="IndexLink"/>
                <w:rtl w:val="true"/>
              </w:rPr>
              <w:t>بر كلام مرحوم شيخ</w:t>
            </w:r>
            <w:r>
              <w:rPr>
                <w:rStyle w:val="IndexLink"/>
                <w:rtl w:val="true"/>
              </w:rPr>
              <w:tab/>
            </w:r>
            <w:r>
              <w:rPr>
                <w:rStyle w:val="IndexLink"/>
              </w:rPr>
              <w:t>497</w:t>
            </w:r>
          </w:hyperlink>
        </w:p>
        <w:p>
          <w:pPr>
            <w:pStyle w:val="Contents4"/>
            <w:tabs>
              <w:tab w:val="clear" w:pos="8176"/>
              <w:tab w:val="right" w:pos="9026" w:leader="dot"/>
            </w:tabs>
            <w:rPr/>
          </w:pPr>
          <w:hyperlink w:anchor="__RefHeading___Toc2770767_3804643083">
            <w:r>
              <w:rPr>
                <w:webHidden/>
                <w:rStyle w:val="IndexLink"/>
                <w:rtl w:val="true"/>
              </w:rPr>
              <w:t>نقد كلام سيد خويي</w:t>
            </w:r>
            <w:r>
              <w:rPr>
                <w:rStyle w:val="IndexLink"/>
                <w:rtl w:val="true"/>
              </w:rPr>
              <w:t xml:space="preserve">- </w:t>
            </w:r>
            <w:r>
              <w:rPr>
                <w:rStyle w:val="IndexLink"/>
                <w:rtl w:val="true"/>
              </w:rPr>
              <w:t xml:space="preserve">قدس سره </w:t>
            </w:r>
            <w:r>
              <w:rPr>
                <w:rStyle w:val="IndexLink"/>
                <w:rtl w:val="true"/>
              </w:rPr>
              <w:t>-</w:t>
              <w:tab/>
            </w:r>
            <w:r>
              <w:rPr>
                <w:rStyle w:val="IndexLink"/>
              </w:rPr>
              <w:t>498</w:t>
            </w:r>
          </w:hyperlink>
        </w:p>
        <w:p>
          <w:pPr>
            <w:pStyle w:val="Contents2"/>
            <w:tabs>
              <w:tab w:val="clear" w:pos="8743"/>
              <w:tab w:val="right" w:pos="9026" w:leader="dot"/>
            </w:tabs>
            <w:rPr/>
          </w:pPr>
          <w:hyperlink w:anchor="__RefHeading___Toc2770769_3804643083">
            <w:r>
              <w:rPr>
                <w:webHidden/>
                <w:rStyle w:val="IndexLink"/>
                <w:rtl w:val="true"/>
              </w:rPr>
              <w:t>كتاب‌نامه</w:t>
            </w:r>
            <w:r>
              <w:rPr>
                <w:rStyle w:val="IndexLink"/>
                <w:rtl w:val="true"/>
              </w:rPr>
              <w:tab/>
            </w:r>
            <w:r>
              <w:rPr>
                <w:rStyle w:val="IndexLink"/>
              </w:rPr>
              <w:t>499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359_23168"/>
      <w:bookmarkStart w:id="1" w:name="pg2359_23168"/>
      <w:bookmarkEnd w:id="1"/>
    </w:p>
    <w:p>
      <w:pPr>
        <w:pStyle w:val="Heading2"/>
        <w:numPr>
          <w:ilvl w:val="1"/>
          <w:numId w:val="1"/>
        </w:numPr>
        <w:rPr/>
      </w:pPr>
      <w:bookmarkStart w:id="2" w:name="pg2359_23168"/>
      <w:bookmarkStart w:id="3" w:name="__RefHeading___Toc277018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مدرّسي طباطبايي يزدي، سيّد محمّدرضا،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ويرايش و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بررسي گسترده‌ي فقهي غيبت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سيّد محمّدرضا مدرّسي طباطبايي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دروس خارج فقه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تحقيق و ويرايش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الله غروي، عبدالله اميرخاني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فقه مؤسسه پرتو ثقلين</w:t>
      </w:r>
    </w:p>
    <w:p>
      <w:pPr>
        <w:pStyle w:val="BookText"/>
        <w:rPr/>
      </w:pPr>
      <w:r>
        <w:rPr>
          <w:rFonts w:ascii="Amiri" w:hAnsi="Amiri" w:eastAsia="Amiri" w:cs="Amiri"/>
          <w:color w:val="111111"/>
          <w:sz w:val="28"/>
          <w:sz w:val="28"/>
          <w:szCs w:val="28"/>
          <w:rtl w:val="true"/>
          <w:lang w:bidi="ar-SA"/>
        </w:rPr>
        <w:t>مشخصات 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كريمه اهل‌بيت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9888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987</w:t>
      </w:r>
    </w:p>
    <w:p>
      <w:pPr>
        <w:pStyle w:val="BookText"/>
        <w:rPr/>
      </w:pPr>
      <w:r>
        <w:rPr>
          <w:rFonts w:ascii="IRNazanin" w:hAnsi="IRNazanin" w:eastAsia="IRNazanin"/>
          <w:color w:val="111111"/>
          <w:sz w:val="28"/>
          <w:sz w:val="28"/>
          <w:szCs w:val="28"/>
          <w:rtl w:val="true"/>
          <w:lang w:bidi="fa-IR"/>
        </w:rPr>
        <w:t xml:space="preserve">گالينگور </w:t>
      </w:r>
      <w:r>
        <w:rPr>
          <w:rFonts w:eastAsia="IRNazanin" w:cs="IRNazanin"/>
          <w:color w:val="111111"/>
          <w:sz w:val="28"/>
          <w:szCs w:val="28"/>
          <w:rtl w:val="true"/>
          <w:lang w:bidi="fa-IR"/>
        </w:rPr>
        <w:t xml:space="preserve">/ </w:t>
      </w:r>
      <w:r>
        <w:rPr>
          <w:rFonts w:eastAsia="IRNazanin" w:cs="IRNazanin"/>
          <w:color w:val="111111"/>
          <w:sz w:val="28"/>
          <w:szCs w:val="28"/>
          <w:lang w:bidi="fa-IR"/>
        </w:rPr>
        <w:t>130000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ـ شوميز </w:t>
      </w:r>
      <w:r>
        <w:rPr>
          <w:rFonts w:eastAsia="IRNazanin" w:cs="IRNazanin"/>
          <w:color w:val="111111"/>
          <w:sz w:val="28"/>
          <w:szCs w:val="28"/>
          <w:rtl w:val="true"/>
          <w:lang w:bidi="fa-IR"/>
        </w:rPr>
        <w:t xml:space="preserve">/ </w:t>
      </w:r>
      <w:r>
        <w:rPr>
          <w:rFonts w:eastAsia="IRNazanin" w:cs="IRNazanin"/>
          <w:color w:val="111111"/>
          <w:sz w:val="28"/>
          <w:szCs w:val="28"/>
          <w:lang w:bidi="fa-IR"/>
        </w:rPr>
        <w:t>110000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ريال</w:t>
      </w:r>
    </w:p>
    <w:p>
      <w:pPr>
        <w:pStyle w:val="BookText"/>
        <w:rPr/>
      </w:pPr>
      <w:r>
        <w:rPr>
          <w:rFonts w:ascii="IRNazanin" w:hAnsi="IRNazanin" w:eastAsia="IRNazanin"/>
          <w:color w:val="111111"/>
          <w:sz w:val="28"/>
          <w:sz w:val="28"/>
          <w:szCs w:val="28"/>
          <w:rtl w:val="true"/>
          <w:lang w:bidi="fa-IR"/>
        </w:rPr>
        <w:t>وضعيت فهرست‌نويسي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IRNazanin" w:hAnsi="IRNazanin" w:eastAsia="IRNazanin"/>
          <w:color w:val="111111"/>
          <w:sz w:val="28"/>
          <w:sz w:val="28"/>
          <w:szCs w:val="28"/>
          <w:rtl w:val="true"/>
          <w:lang w:bidi="fa-IR"/>
        </w:rPr>
        <w:t>عنوان روي 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بررسي گسترده ي فقهي غيبت</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اخلاق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فقه جعفري ـ موضوع ـ احكام و موارد استثناء</w:t>
      </w:r>
    </w:p>
    <w:p>
      <w:pPr>
        <w:pStyle w:val="BookText"/>
        <w:rPr/>
      </w:pPr>
      <w:r>
        <w:rPr>
          <w:rFonts w:ascii="Amiri" w:hAnsi="Amiri" w:eastAsia="Amiri" w:cs="Amiri"/>
          <w:color w:val="111111"/>
          <w:sz w:val="28"/>
          <w:sz w:val="28"/>
          <w:szCs w:val="28"/>
          <w:rtl w:val="true"/>
          <w:lang w:bidi="ar-SA"/>
        </w:rPr>
        <w:t>شناسه افزوده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روح اللّه غروي ، عبداللّه اميرخاني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تحقيق و ويرايش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رده‌بندي كنگره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۲۵۱</w:t>
      </w:r>
      <w:r>
        <w:rPr>
          <w:rFonts w:eastAsia="IRNazanin" w:cs="IRNazanin"/>
          <w:color w:val="111111"/>
          <w:sz w:val="28"/>
          <w:szCs w:val="28"/>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پ</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رده‌بندي ديويي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981/496</w:t>
      </w:r>
    </w:p>
    <w:p>
      <w:pPr>
        <w:pStyle w:val="BookText"/>
        <w:rPr/>
      </w:pPr>
      <w:r>
        <w:rPr>
          <w:rFonts w:ascii="Amiri" w:hAnsi="Amiri" w:eastAsia="Amiri" w:cs="Amiri"/>
          <w:color w:val="111111"/>
          <w:sz w:val="28"/>
          <w:sz w:val="28"/>
          <w:szCs w:val="28"/>
          <w:rtl w:val="true"/>
          <w:lang w:bidi="ar-SA"/>
        </w:rPr>
        <w:t>شماره كتابشناسي ملي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۱۵۱۲۶۵۸</w:t>
      </w:r>
    </w:p>
    <w:p>
      <w:pPr>
        <w:pStyle w:val="BookText"/>
        <w:rPr/>
      </w:pPr>
      <w:r>
        <w:rPr>
          <w:rFonts w:ascii="IRNazanin" w:hAnsi="IRNazanin" w:eastAsia="IRNazanin"/>
          <w:color w:val="111111"/>
          <w:sz w:val="28"/>
          <w:sz w:val="28"/>
          <w:szCs w:val="28"/>
          <w:rtl w:val="true"/>
          <w:lang w:bidi="fa-IR"/>
        </w:rPr>
        <w:t xml:space="preserve">دفتر مركز پخش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ـ خ شهدا، كوچه</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كوچه ناصر، پلاك</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 xml:space="preserve">تلفن </w:t>
      </w:r>
      <w:r>
        <w:rPr>
          <w:rFonts w:eastAsia="IRNazanin" w:cs="IRNazanin"/>
          <w:color w:val="111111"/>
          <w:sz w:val="28"/>
          <w:szCs w:val="28"/>
          <w:rtl w:val="true"/>
          <w:lang w:bidi="fa-IR"/>
        </w:rPr>
        <w:t xml:space="preserve">/ </w:t>
      </w:r>
      <w:r>
        <w:rPr>
          <w:rFonts w:eastAsia="IRNazanin" w:cs="IRNazanin"/>
          <w:color w:val="111111"/>
          <w:sz w:val="28"/>
          <w:szCs w:val="28"/>
          <w:lang w:bidi="fa-IR"/>
        </w:rPr>
        <w:t>7831346</w:t>
      </w:r>
      <w:r>
        <w:rPr>
          <w:rFonts w:eastAsia="IRNazanin" w:cs="IRNazanin"/>
          <w:color w:val="111111"/>
          <w:sz w:val="28"/>
          <w:szCs w:val="28"/>
          <w:rtl w:val="true"/>
          <w:lang w:bidi="fa-IR"/>
        </w:rPr>
        <w:t xml:space="preserve">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4081</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eastAsia="IRNazanin" w:cs="IRNazanin"/>
          <w:color w:val="111111"/>
          <w:sz w:val="28"/>
          <w:szCs w:val="28"/>
          <w:lang w:bidi="fa-IR"/>
        </w:rPr>
        <w:t>0919</w:t>
      </w:r>
    </w:p>
    <w:p>
      <w:pPr>
        <w:pStyle w:val="BookText"/>
        <w:rPr/>
      </w:pPr>
      <w:r>
        <w:rPr>
          <w:rFonts w:eastAsia="Times New Roman" w:cs="Times New Roman" w:ascii="Times New Roman" w:hAnsi="Times New Roman"/>
          <w:color w:val="111111"/>
          <w:sz w:val="28"/>
          <w:szCs w:val="28"/>
          <w:lang w:val="en-US" w:bidi="en-US"/>
        </w:rPr>
        <w:t>Partoethaqalain@yahoo.com</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770183_3804643083"/>
      <w:bookmarkStart w:id="6" w:name="_Toc2"/>
      <w:bookmarkEnd w:id="5"/>
      <w:r>
        <w:rPr>
          <w:rtl w:val="true"/>
        </w:rPr>
        <w:t>اشاره</w:t>
      </w:r>
      <w:bookmarkStart w:id="7" w:name="pg2359_23185"/>
      <w:bookmarkEnd w:id="6"/>
    </w:p>
    <w:p>
      <w:pPr>
        <w:pStyle w:val="Heading2"/>
        <w:numPr>
          <w:ilvl w:val="1"/>
          <w:numId w:val="1"/>
        </w:numPr>
        <w:rPr/>
      </w:pPr>
      <w:bookmarkStart w:id="8" w:name="__RefHeading___Toc2770185_3804643083"/>
      <w:bookmarkStart w:id="9" w:name="_Toc3"/>
      <w:bookmarkEnd w:id="7"/>
      <w:bookmarkEnd w:id="8"/>
      <w:r>
        <w:rPr>
          <w:rtl w:val="true"/>
        </w:rPr>
        <w:t>پيش‌گفتار</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يأَيهَُّا الَّذِينَ ءَامَنُواْ اجْتَنِبُواْ كَثِيرًا مِّنَ الظَّنّ‌ِ إِنَّ بَعْضَ الظَّنّ‌ِ إِثْمٌ وَ لَاتجَسَّسُواْ وَ لَايَغْتَب بَّعْضُكُم بَعْضًا أَيحُِبُّ أَحَدُكُمْ أَن يَأْكُلَ لَحْمَ أَخِيهِ مَيْتًا فَكَرِهْتُمُوهُ وَاتَّقُواْ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غيبت ـ به كسر غين ـ اسم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اغتياب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پشت سر گويي است كه در قرآن كريم و سنّت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نهي شديد و أكيد قرار گرفته است و در تبيين حدود آن روايات زيادي وارد شده است</w:t>
      </w:r>
      <w:r>
        <w:rPr>
          <w:rFonts w:eastAsia="IRNazanin" w:cs="IRNazanin"/>
          <w:color w:val="111111"/>
          <w:sz w:val="28"/>
          <w:szCs w:val="28"/>
          <w:rtl w:val="true"/>
          <w:lang w:bidi="fa-IR"/>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پيش رو، محصول دروس خارج فقه حضرت آيت الله سيّد محمّد رضا مدرّسي طباطبايي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افاضاته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پيرامون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عالي ترين سطح تحقيقات فقهي در حوزه ي</w:t>
      </w:r>
    </w:p>
    <w:p>
      <w:pPr>
        <w:pStyle w:val="BookText"/>
        <w:rPr/>
      </w:pPr>
      <w:r>
        <w:rPr>
          <w:rFonts w:ascii="IRNazanin" w:hAnsi="IRNazanin" w:eastAsia="IRNazanin"/>
          <w:color w:val="111111"/>
          <w:sz w:val="28"/>
          <w:sz w:val="28"/>
          <w:szCs w:val="28"/>
          <w:rtl w:val="true"/>
          <w:lang w:bidi="fa-IR"/>
        </w:rPr>
        <w:t>مقدّسه ي قم ارائه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كه زبان متداول دانش فقه و نيز رساله‌هايي در اين سطح، زبان عربي است، ولي نظر به أهمّيت موضوع از منظر دو علم فقه و اخلاق و نياز جامعه ي علمي كشور، صلاح در آن دانسته شد كه پيش از تعريب، جهت بهره برداري فضلا و پژوهشگران به زبان فارسي نيز منتشر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رساله ي حاضر همچون ساير آثار فقهي و اصولي استاد بزرگوار، داراي مزايايي است كه موجب طراوت و سرزندگي آن شده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انديشي فقهي در چارچوب شناخته شده‌ي فقه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عين احترام به انظار بزرگان و بهره گرفتن از آن‌ها؛ دقّت هاي لغوي، رجالي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تاريخي و روايي؛ بحث مستوعب و فراگير حول مسأله و پرداختن به فروعاتي كه در كتب فقهي كمتر بدان پرداخته شده و </w:t>
      </w:r>
      <w:r>
        <w:rPr>
          <w:rFonts w:eastAsia="IRNazanin" w:cs="IRNazanin"/>
          <w:color w:val="111111"/>
          <w:sz w:val="28"/>
          <w:szCs w:val="28"/>
          <w:rtl w:val="true"/>
          <w:lang w:bidi="fa-IR"/>
        </w:rPr>
        <w:t>... .</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موارد زير را مي توان نمونه‌هايي از ژرف‌انديشي و جامع‌نگري در تأليف يا تنظيم اين اثر برشمرد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و تعريف دقيق واژه، بررسي مستوفاي چهار آيه از كتاب الله در اين‌باره، ارائه و بررسي پنج وجه براي ملاك تعيين كبيره بودن گناه، اشتراط يا عدم اشتراط مستوريت عيب در حرمت غيبت، مدخليت و عدم مدخليت رضايت مغتاب ـ به صيغه ي اسم مفعول ـ اشتراط يا عدم اشتراط وجود مخاطب يا قصد انتقاص در حرمت غيبت، بيان اصل عدمي در موارد شك، حكم غيبت شخص نامعيّن، طريق شرعي جبران غيبت، حدود جواز غيبت متجاهر به فسق، حدود جواز غيبت ظالم</w:t>
      </w:r>
    </w:p>
    <w:p>
      <w:pPr>
        <w:pStyle w:val="BookText"/>
        <w:rPr/>
      </w:pPr>
      <w:r>
        <w:rPr>
          <w:rFonts w:ascii="Amiri" w:hAnsi="Amiri" w:eastAsia="Amiri" w:cs="Amiri"/>
          <w:color w:val="111111"/>
          <w:sz w:val="28"/>
          <w:sz w:val="28"/>
          <w:szCs w:val="28"/>
          <w:rtl w:val="true"/>
          <w:lang w:bidi="ar-SA"/>
        </w:rPr>
        <w:t xml:space="preserve">توسط مظلوم در مقام تظلّم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انتصار مظلوم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جواز غيبت در مقام استشاره، جرح شهود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حرمت استماع غيبت، حكم غيبت داوطلبان تصدّي مشاغل مهمّ در نظام جمهوري اسلامي و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بدين لحاظ، انتشار اين رساله فرصت مغتنمي را براي دانشمندان به ويژه اهل تفقّه فراهم آورده تا از آراء و استدلال‌هاي ارائه شده در اين كتاب استفاده برده و به تناسب سطح علمي خود از آن بهره‌مند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 ترديد مهيّا شدن زمينه و فرصت تاريخي براي طرح گسترده‌ي علوم آل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فقه گرفته تا ساير معارف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تولّد و رونق مجدّد اسلام ناب محمّدي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اقبال عمومي به معارف والاي تشيّع، پيش و بيش از هر چيزي مرهون شرايط بالنده‌اي است كه در سايه ي نظام مقدّس اسلامي فراهم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به روح مطهّر بنيان گزار آن و كساني كه در راه برپايي و پويايي آن از بذل نفس و نفيس دريغ نداشتند درود مي فرستيم و ثواب اين اثر را به عالمان ربّاني و شهيدان ارجمند حوزه ها و روحانيت كه با نثار و ايثار خون خود، صداقت عالمان ديني را در عرصه ي عمل به اثبات رساندند تقديم مي داريم</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پايان از همّت والاي شاگردان معظّم له حجج اسلام عبدالله اميرخاني و روح الله غروي در تقرير، تنظيم و ارائه ي بهنگام اين كتاب و محمّد رضا مرادزاده در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پياده سازي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اوّليه ي فايل‌هاي صوتي به متن و محمّد عبدالهي در</w:t>
      </w:r>
    </w:p>
    <w:p>
      <w:pPr>
        <w:pStyle w:val="BookText"/>
        <w:rPr/>
      </w:pPr>
      <w:r>
        <w:rPr>
          <w:rFonts w:ascii="IRNazanin" w:hAnsi="IRNazanin" w:eastAsia="IRNazanin"/>
          <w:color w:val="111111"/>
          <w:sz w:val="28"/>
          <w:sz w:val="28"/>
          <w:szCs w:val="28"/>
          <w:rtl w:val="true"/>
          <w:lang w:bidi="fa-IR"/>
        </w:rPr>
        <w:t>ويراستاري و ديگر عزيزاني كه به نوعي قبول زحمت كردند سپاس گزاري مي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جملگي آنان در كنار استاد بزرگوار، در راستاي احياي تراث فقهي ائمه ي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پيشگاه با عظمت حضرت حق جلّ و علي روسفيد و مأجور باشند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فقه مؤسسه‌ي پرتو ثقلين</w:t>
      </w:r>
      <w:bookmarkStart w:id="10" w:name="pg2359_23189"/>
    </w:p>
    <w:p>
      <w:pPr>
        <w:pStyle w:val="Heading2"/>
        <w:numPr>
          <w:ilvl w:val="1"/>
          <w:numId w:val="1"/>
        </w:numPr>
        <w:rPr/>
      </w:pPr>
      <w:bookmarkStart w:id="11" w:name="__RefHeading___Toc2770187_3804643083"/>
      <w:bookmarkStart w:id="12" w:name="_Toc4"/>
      <w:bookmarkEnd w:id="10"/>
      <w:bookmarkEnd w:id="11"/>
      <w:r>
        <w:rPr>
          <w:rtl w:val="true"/>
        </w:rPr>
        <w:t>معناي غيبت</w:t>
      </w:r>
      <w:bookmarkEnd w:id="12"/>
    </w:p>
    <w:p>
      <w:pPr>
        <w:pStyle w:val="Heading3"/>
        <w:numPr>
          <w:ilvl w:val="2"/>
          <w:numId w:val="1"/>
        </w:numPr>
        <w:rPr/>
      </w:pPr>
      <w:bookmarkStart w:id="13" w:name="__RefHeading___Toc2770189_3804643083"/>
      <w:bookmarkStart w:id="14" w:name="_Toc5"/>
      <w:bookmarkEnd w:id="13"/>
      <w:r>
        <w:rPr>
          <w:rtl w:val="true"/>
        </w:rPr>
        <w:t>اشاره</w:t>
      </w:r>
      <w:bookmarkEnd w:id="14"/>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ادلّه‌ي حرمت آن</w:t>
      </w:r>
      <w:bookmarkStart w:id="15" w:name="pg2359_23191"/>
    </w:p>
    <w:p>
      <w:pPr>
        <w:pStyle w:val="Heading3"/>
        <w:numPr>
          <w:ilvl w:val="2"/>
          <w:numId w:val="1"/>
        </w:numPr>
        <w:rPr/>
      </w:pPr>
      <w:bookmarkStart w:id="16" w:name="__RefHeading___Toc2770191_3804643083"/>
      <w:bookmarkStart w:id="17" w:name="_Toc6"/>
      <w:bookmarkEnd w:id="15"/>
      <w:bookmarkEnd w:id="16"/>
      <w:r>
        <w:rPr>
          <w:rtl w:val="true"/>
        </w:rPr>
        <w:t>ريشه‌ي لغت غيبت و اشاره‌اي به ملاك تشخيص آن</w:t>
      </w:r>
      <w:bookmarkEnd w:id="1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غاب الشيء غيابتاً غيوباً غياباً و غيبتاً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ـ به فتح غين ـ به معناي غيبوبت و پنهان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ـ به كسر غين ـ اسم مصدر از إغتياب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موضوع بحث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همان است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در كلاس حاضر نيست و غَيبت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غِيبت از إغتياب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إغتاب يغتاب غيبةً و إغتاب الرجل صاحبه إغتياباً؛ يعني كسي از رفيقش غيبت كرد، پشت سرش حرفي زد كه نامناسب بود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معيار غيبت چيست ـ إن‌شاءالله ـ بعداً به نحو مستوفي بحث خواهيم كرد كه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در معناي</w:t>
      </w:r>
    </w:p>
    <w:p>
      <w:pPr>
        <w:pStyle w:val="BookText"/>
        <w:rPr/>
      </w:pPr>
      <w:r>
        <w:rPr>
          <w:rFonts w:ascii="IRNazanin" w:hAnsi="IRNazanin" w:eastAsia="IRNazanin"/>
          <w:color w:val="111111"/>
          <w:sz w:val="28"/>
          <w:sz w:val="28"/>
          <w:szCs w:val="28"/>
          <w:rtl w:val="true"/>
          <w:lang w:bidi="fa-IR"/>
        </w:rPr>
        <w:t>غيبت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برادر مؤمنت را ياد كني به آن‌چه كه مكروه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 هم اين‌گونه معنا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كشف عمّا ستره الله عليه</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آن‌چه را كه خداوند در مورد برادر مؤمنت مستور كرده است كشف كني، به گفتار باشد يا به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تشخيص موضوع غِيبت بسيار مهم است و تحقيقاً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بحث در غيبت، بحث تشخيص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حرمت غيبت هيچ شبهه‌اي نيست، امّا غيبتي كه حرام است چيست؟ حدود غيبت كدام است؟ گاهي برخي از عوام، ديگراني را كه از خواص بوده و ملتزم به ترك غيبت هستند متّهم به غيبت مي‌كنند، در حالي‌كه اين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موضوع غيبت را تشخيص دهد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غيبتي كه آن عالم عادل انجام مي‌دهد نه تنها جايز، بلكه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نسبت غيبت به او، خودش گناه تهمت را دارد و به جاي اين‌كه نهي از منكر كند، خود مرتكب منكر شده</w:t>
      </w:r>
      <w:bookmarkStart w:id="18" w:name="pg2359_23193"/>
    </w:p>
    <w:p>
      <w:pPr>
        <w:pStyle w:val="BookText"/>
        <w:rPr/>
      </w:pPr>
      <w:bookmarkEnd w:id="18"/>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بايد در موضوع غيبت تحقيق كنيم و تحقيق، در گروِ بررسي حقيقت غيبت است لغةً و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تحقيق در موضوع غيبت با ممارست با آيات و رواياتي كه واژه‌ي غيبت يا مشتقّات آن در آن‌ها به‌كار رفته است آسان‌تر انجام مي‌شود، مناسب است ـ همان‌طور كه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داده‌اند</w:t>
      </w:r>
      <w:r>
        <w:rPr>
          <w:rStyle w:val="FootnoteAnchor"/>
          <w:rtl w:val="true"/>
        </w:rPr>
        <w:footnoteReference w:id="5"/>
      </w:r>
      <w:r>
        <w:rPr>
          <w:rFonts w:ascii="Amiri" w:hAnsi="Amiri" w:eastAsia="Amiri" w:cs="Amiri"/>
          <w:color w:val="111111"/>
          <w:sz w:val="28"/>
          <w:sz w:val="28"/>
          <w:szCs w:val="28"/>
          <w:rtl w:val="true"/>
          <w:lang w:bidi="ar-SA"/>
        </w:rPr>
        <w:t>ـ ابتدا ادلّه‌ي حرمت غيبت را أعمّ از كتاب و سنّت ذكر كنيم تا مقداري با موضوع غيبت آشنا شويم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با توضيحاتي كه درباره‌ي روايات و كلمات لغويين مي‌دهيم بتوانيم معناي غيبت را به دقّت به دست آوريم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معناي دقيق غيبت را به دست آورديم كه فَبِها و نعمت، امّا اگر نتوانستيم حدودش را به دقّت مشخّص كنيم بايد قدر متيقّن را اخذ و در مابقي، اصل برائت جاري كنيم؛ زيرا ـ طبق قانون كلّي ـ در صورت شك در حرمت اقلّ و اكثر، اكثر كه متيقّن است اخذ شده و اقل كه مورد شك است مجراي برائت مي‌شود</w:t>
      </w:r>
      <w:r>
        <w:rPr>
          <w:rFonts w:eastAsia="IRNazanin" w:cs="IRNazanin"/>
          <w:color w:val="111111"/>
          <w:sz w:val="28"/>
          <w:szCs w:val="28"/>
          <w:rtl w:val="true"/>
          <w:lang w:bidi="fa-IR"/>
        </w:rPr>
        <w:t>.</w:t>
      </w:r>
    </w:p>
    <w:p>
      <w:pPr>
        <w:pStyle w:val="Heading3"/>
        <w:numPr>
          <w:ilvl w:val="2"/>
          <w:numId w:val="1"/>
        </w:numPr>
        <w:rPr/>
      </w:pPr>
      <w:bookmarkStart w:id="19" w:name="__RefHeading___Toc2770193_3804643083"/>
      <w:bookmarkStart w:id="20" w:name="_Toc7"/>
      <w:bookmarkEnd w:id="19"/>
      <w:r>
        <w:rPr>
          <w:rtl w:val="true"/>
        </w:rPr>
        <w:t>بررسي ادلّه‌ي حرمت غيبت</w:t>
      </w:r>
      <w:bookmarkEnd w:id="20"/>
    </w:p>
    <w:p>
      <w:pPr>
        <w:pStyle w:val="Heading4"/>
        <w:numPr>
          <w:ilvl w:val="3"/>
          <w:numId w:val="1"/>
        </w:numPr>
        <w:rPr/>
      </w:pPr>
      <w:bookmarkStart w:id="21" w:name="__RefHeading___Toc2770195_3804643083"/>
      <w:bookmarkStart w:id="22" w:name="_Toc8"/>
      <w:bookmarkEnd w:id="21"/>
      <w:r>
        <w:rPr>
          <w:rtl w:val="true"/>
        </w:rPr>
        <w:t>اشاره</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حرام بالأدلة الأربعة</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غيبت به دليل‌هاي چهارگانه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اجماع، كتاب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ايشان فقط ادلّه‌ي كتاب و سنّت را مطرح فرموده و براي دليليّت</w:t>
      </w:r>
      <w:bookmarkStart w:id="23" w:name="pg2359_23194"/>
    </w:p>
    <w:p>
      <w:pPr>
        <w:pStyle w:val="BookText"/>
        <w:rPr/>
      </w:pPr>
      <w:bookmarkEnd w:id="23"/>
      <w:r>
        <w:rPr>
          <w:rFonts w:ascii="IRNazanin" w:hAnsi="IRNazanin" w:eastAsia="IRNazanin"/>
          <w:color w:val="111111"/>
          <w:sz w:val="28"/>
          <w:sz w:val="28"/>
          <w:szCs w:val="28"/>
          <w:rtl w:val="true"/>
          <w:lang w:bidi="fa-IR"/>
        </w:rPr>
        <w:t>عقل و اجماع، توضيحي ارائه نداده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نيازي نمي‌بينيم كه وارد بحث اثبات حرمت غيبت از طريق عقل و اجماع شويم؛ زيرا اگر هم عقل دلالت بر حرمت غيبت داشته باشد</w:t>
      </w:r>
      <w:r>
        <w:rPr>
          <w:rStyle w:val="FootnoteAnchor"/>
          <w:rtl w:val="true"/>
        </w:rPr>
        <w:footnoteReference w:id="7"/>
      </w:r>
      <w:r>
        <w:rPr>
          <w:rFonts w:ascii="IRNazanin" w:hAnsi="IRNazanin" w:eastAsia="IRNazanin"/>
          <w:color w:val="111111"/>
          <w:sz w:val="28"/>
          <w:sz w:val="28"/>
          <w:szCs w:val="28"/>
          <w:rtl w:val="true"/>
          <w:lang w:bidi="fa-IR"/>
        </w:rPr>
        <w:t>في‌الجمله دلالت دارد، نه آن حدّي كه شارع بيان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بحث در حدود حكم عقل بر حرمت غيبت مفيد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هم با وجود كثرت ادلّه‌ي نقلي در حرمت غيبت، قطعاً مدركي يا حداقل محتمل المدرك است و مُجمِعين با استناد به همين ادلّه‌ي نقلي، حكم به حرمت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اجماع دليل مستقلّي نيست و از فرط ظهور و وفور ادلّه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مهم، آيات كريمه‌ي قرآن كريم و رواياتي است كه در اين زمينه وارد شده است</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2770197_3804643083"/>
      <w:bookmarkStart w:id="25" w:name="_Toc9"/>
      <w:bookmarkEnd w:id="24"/>
      <w:r>
        <w:rPr>
          <w:rtl w:val="true"/>
        </w:rPr>
        <w:t>آيات دالّ بر حرمت غيبت</w:t>
      </w:r>
      <w:bookmarkEnd w:id="25"/>
    </w:p>
    <w:p>
      <w:pPr>
        <w:pStyle w:val="Heading5"/>
        <w:numPr>
          <w:ilvl w:val="4"/>
          <w:numId w:val="1"/>
        </w:numPr>
        <w:rPr/>
      </w:pPr>
      <w:bookmarkStart w:id="26" w:name="__RefHeading___Toc2770199_3804643083"/>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به آيات مباركه‌ي قرآن كريم پرداخته و آيات متعدّدي را دالّ بر حرمت غيبت بيان مي‌دارند، از جمله</w:t>
      </w:r>
      <w:r>
        <w:rPr>
          <w:rFonts w:eastAsia="IRNazanin" w:cs="IRNazanin"/>
          <w:color w:val="111111"/>
          <w:sz w:val="28"/>
          <w:szCs w:val="28"/>
          <w:rtl w:val="true"/>
          <w:lang w:bidi="fa-IR"/>
        </w:rPr>
        <w:t>:</w:t>
      </w:r>
    </w:p>
    <w:p>
      <w:pPr>
        <w:pStyle w:val="Heading5"/>
        <w:numPr>
          <w:ilvl w:val="4"/>
          <w:numId w:val="1"/>
        </w:numPr>
        <w:rPr/>
      </w:pPr>
      <w:bookmarkStart w:id="28" w:name="__RefHeading___Toc2770201_3804643083"/>
      <w:bookmarkStart w:id="29" w:name="_Toc11"/>
      <w:bookmarkEnd w:id="28"/>
      <w:r>
        <w:rPr/>
        <w:t>1</w:t>
      </w:r>
      <w:r>
        <w:rPr>
          <w:rtl w:val="true"/>
        </w:rPr>
        <w:t xml:space="preserve">. </w:t>
      </w:r>
      <w:r>
        <w:rPr>
          <w:rtl w:val="true"/>
        </w:rPr>
        <w:t>آيه‌ي نهي از غيبت</w:t>
      </w:r>
      <w:bookmarkEnd w:id="29"/>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اجْتَنِبُوا كَثيراً مِنَ الظَّنِّ إِنَّ بَعْضَ الظَّنِّ إِثْمٌ وَ لا تَجَسَّسُوا وَ لا يَغْتَبْ بَعْضُكُمْ بَعْضاً أَيُحِبُّ أَحَدُكُمْ أَنْ يَأْكُلَ لَحْمَ أَخيهِ مَيْتاً فَكَرِهْتُمُوهُ وَ اتَّقُوا اللَّهَ إِنَّ اللَّهَ تَوَّابٌ رَحيمٌ</w:t>
      </w:r>
      <w:r>
        <w:rPr>
          <w:rFonts w:eastAsia="Amiri" w:cs="Amiri" w:ascii="Amiri" w:hAnsi="Amiri"/>
          <w:color w:val="111111"/>
          <w:sz w:val="28"/>
          <w:szCs w:val="28"/>
          <w:rtl w:val="true"/>
          <w:lang w:bidi="ar-SA"/>
        </w:rPr>
        <w:t>)</w:t>
      </w:r>
      <w:r>
        <w:rPr>
          <w:rStyle w:val="FootnoteAnchor"/>
          <w:rtl w:val="true"/>
        </w:rPr>
        <w:footnoteReference w:id="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اى كسانى كه ايمان آورده‌ايد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بسيارى از گمان‌ها بپرهيزيد كه پاره‌اى از گمان‌ها گناه است، و تجسّس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نكنيد، و بعضى از شما غيبت بعضى نكند؛ آيا كسى از شما دوست دارد كه گوشت برادر مرده‌اش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كراهت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بترسيد كه خداوند توبه‌پذيرِ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Amiri" w:hAnsi="Amiri" w:eastAsia="Amiri" w:cs="Amiri"/>
          <w:color w:val="111111"/>
          <w:sz w:val="28"/>
          <w:sz w:val="28"/>
          <w:szCs w:val="28"/>
          <w:rtl w:val="true"/>
          <w:lang w:bidi="ar-SA"/>
        </w:rPr>
        <w:t>وجه استدلال به آيه‌ي شريفه براي حرمت غيبت، روشن است؛ زيرا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آيه‌ي شريفه غيبت را مورد نهي قرار داده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آيه، مطلب به صورت استفهام انكاري آمده است كه وجود آن جايي براي ترديد در تحريمي بودن نهي نمي‌گذارد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كه گفتيم، غيبت اسم مصدر إغتياب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بعضي، بعض ديگر را غيبت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از شما دوست دارد كه گوشت برادر مرده‌اش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كراهت داريد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مغتاب</w:t>
      </w:r>
      <w:r>
        <w:rPr>
          <w:rStyle w:val="FootnoteAnchor"/>
          <w:rtl w:val="true"/>
        </w:rPr>
        <w:footnoteReference w:id="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بالكسر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آكل ميته تشبيه كرده است، امّا از چه نظر؟ از اين جهت كه گوشت برادر مؤمنش را مي‌خورد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آيه‌ي شريفه عِرض برادر مؤمن به گوشت</w:t>
      </w:r>
    </w:p>
    <w:p>
      <w:pPr>
        <w:pStyle w:val="BookText"/>
        <w:rPr/>
      </w:pPr>
      <w:r>
        <w:rPr>
          <w:rFonts w:ascii="IRNazanin" w:hAnsi="IRNazanin" w:eastAsia="IRNazanin"/>
          <w:color w:val="111111"/>
          <w:sz w:val="28"/>
          <w:sz w:val="28"/>
          <w:szCs w:val="28"/>
          <w:rtl w:val="true"/>
          <w:lang w:bidi="fa-IR"/>
        </w:rPr>
        <w:t>او و عدم حضورش به ميته بودن تشبيه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ديگر را برادر فرض كرده</w:t>
      </w:r>
      <w:r>
        <w:rPr>
          <w:rStyle w:val="FootnoteAnchor"/>
          <w:rtl w:val="true"/>
        </w:rPr>
        <w:footnoteReference w:id="10"/>
      </w:r>
      <w:r>
        <w:rPr>
          <w:rFonts w:ascii="Amiri" w:hAnsi="Amiri" w:eastAsia="Amiri" w:cs="Amiri"/>
          <w:color w:val="111111"/>
          <w:sz w:val="28"/>
          <w:sz w:val="28"/>
          <w:szCs w:val="28"/>
          <w:rtl w:val="true"/>
          <w:lang w:bidi="ar-SA"/>
        </w:rPr>
        <w:t xml:space="preserve">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أخو المؤمن</w:t>
      </w:r>
      <w:r>
        <w:rPr>
          <w:rFonts w:eastAsia="Amiri" w:cs="Amiri" w:ascii="Amiri" w:hAnsi="Amiri"/>
          <w:color w:val="111111"/>
          <w:sz w:val="28"/>
          <w:szCs w:val="28"/>
          <w:rtl w:val="true"/>
          <w:lang w:bidi="ar-SA"/>
        </w:rPr>
        <w:t>»</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در سوره‌ي الحجرات، آيه‌ي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نيز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الْمُؤْمِنُونَ إِخْوَةٌ فَأَصْلِحُوا بَيْنَ أَخَوَيْكُمْ وَ اتَّقُوا اللَّهَ لَعَلَّكُمْ تُرْحَمُون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تنقيص ديگري به خوردن گوشت او تشبيه شده و در نتيجه كسي كه غيبت مي‌كند،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آكل لحم أخيه المؤمن الميّت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از شما دوست دارد گوشت برادرش را كه مرده است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آيه به نحو استفهام انكاري آمده است يعني هيچ كس حاضر به انجام چنين كاري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عبارت تفكّه را ذكر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التفكّه به أكلاً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لذّت بردن و اين‌كه كسي براي سرگرمي و خوشحالي كاري را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فاكهه، فاكهون و يتفكّهون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يك مادّه‌اند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آيه‌ي شريفه بر حرمت غيبت، جاي بحث نيست و اگر هيچ دليلي بر حرمت غيبت نبود مگر همين آيه‌ي شريفه، كافي بود كه غيبت حرام باشد</w:t>
      </w:r>
      <w:r>
        <w:rPr>
          <w:rFonts w:eastAsia="IRNazanin" w:cs="IRNazanin"/>
          <w:color w:val="111111"/>
          <w:sz w:val="28"/>
          <w:szCs w:val="28"/>
          <w:rtl w:val="true"/>
          <w:lang w:bidi="fa-IR"/>
        </w:rPr>
        <w:t>.</w:t>
      </w:r>
      <w:bookmarkStart w:id="30" w:name="pg2359_23197"/>
    </w:p>
    <w:p>
      <w:pPr>
        <w:pStyle w:val="BookText"/>
        <w:rPr/>
      </w:pPr>
      <w:bookmarkEnd w:id="30"/>
      <w:r>
        <w:rPr>
          <w:rFonts w:ascii="IRNazanin" w:hAnsi="IRNazanin" w:eastAsia="IRNazanin"/>
          <w:color w:val="111111"/>
          <w:sz w:val="28"/>
          <w:sz w:val="28"/>
          <w:szCs w:val="28"/>
          <w:rtl w:val="true"/>
          <w:lang w:bidi="fa-IR"/>
        </w:rPr>
        <w:t>در اين‌كه وجوه تشبيهي كه جناب شيخ مطرح فرموده درست است يا نه، چندان در أخذ نتيجه مهم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برخي، وجوه ديگري را هم اضافه كرده يا بعضي وجوه شيخ را نپذيرفته‌اند، ولي در هر صورت،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و آيه‌ي شريفه دلالت بر حرمت دارد، آن‌هم در مرتبه‌ي بالايي از حرمت، آن‌چنان‌كه از استفهام انكاري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حرمت ثابت است، ولي در مقدار دلالت آيه ـ إن‌شاءالله ـ بعداً مطالبي خواهد آمد</w:t>
      </w:r>
      <w:r>
        <w:rPr>
          <w:rFonts w:eastAsia="IRNazanin" w:cs="IRNazanin"/>
          <w:color w:val="111111"/>
          <w:sz w:val="28"/>
          <w:szCs w:val="28"/>
          <w:rtl w:val="true"/>
          <w:lang w:bidi="fa-IR"/>
        </w:rPr>
        <w:t>.</w:t>
      </w:r>
    </w:p>
    <w:p>
      <w:pPr>
        <w:pStyle w:val="Heading5"/>
        <w:numPr>
          <w:ilvl w:val="4"/>
          <w:numId w:val="1"/>
        </w:numPr>
        <w:rPr/>
      </w:pPr>
      <w:bookmarkStart w:id="31" w:name="__RefHeading___Toc2770203_3804643083"/>
      <w:bookmarkStart w:id="32" w:name="_Toc12"/>
      <w:bookmarkEnd w:id="31"/>
      <w:r>
        <w:rPr/>
        <w:t>2</w:t>
      </w:r>
      <w:r>
        <w:rPr>
          <w:rtl w:val="true"/>
        </w:rPr>
        <w:t xml:space="preserve">. </w:t>
      </w:r>
      <w:r>
        <w:rPr>
          <w:rtl w:val="true"/>
        </w:rPr>
        <w:t>آيه‌ي توبيخ لُمَزَه</w:t>
      </w:r>
      <w:bookmarkEnd w:id="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واي بر هر بدگوي عيب‌جويي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دلالت آيه</w:t>
      </w:r>
    </w:p>
    <w:p>
      <w:pPr>
        <w:pStyle w:val="BookText"/>
        <w:rPr/>
      </w:pP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عبارات ديگر</w:t>
      </w:r>
      <w:r>
        <w:rPr>
          <w:rStyle w:val="FootnoteAnchor"/>
          <w:rtl w:val="true"/>
        </w:rPr>
        <w:footnoteReference w:id="13"/>
      </w:r>
      <w:r>
        <w:rPr>
          <w:rFonts w:ascii="Amiri" w:hAnsi="Amiri" w:eastAsia="Amiri" w:cs="Amiri"/>
          <w:color w:val="111111"/>
          <w:sz w:val="28"/>
          <w:sz w:val="28"/>
          <w:szCs w:val="28"/>
          <w:rtl w:val="true"/>
          <w:lang w:bidi="ar-SA"/>
        </w:rPr>
        <w:t>و مناسبت حكم و موضوع، در مجموع براي آيه ظهوري مي‌سازد كه اين عمل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وجه دلالت آيه را بر حرمت غيبت بيان نفرموده است</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منكر دلالت آيه‌ي شريفه بر حرمت غيبت شده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اين آيه ربطي به قضيه‌ي غيبت ندارد؛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تنقيص ديگران، خواه عيب مستور باشد خواه عيب بارز و آشكار، بلكه بعضي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در مقابل و در حضور ديگران تنقيص آنان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ديگر معناي غيبت از آن استفاده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حرامي است در كنار حرام‌هاي ديگر كه خداوند متعال آن را مستقلاً 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در موردي با غيبت تداخل كند و هر دو يك مصداق پيدا كنند، ولي اين مانع از آن نمي‌شود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مستقلّي در حرمت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تفاوت اين دو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 و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عيب مستور است، ولي ـ بنا به قول بعضي ـ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لازم نيست كه در غياب طرف باشد، بلكه در حضورش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كلمات لغويين مراجعه مي‌كنيم، مي‌بينيم بعضي لغويين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هامز و همّاز و هُمزة</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 xml:space="preserve">را به معناي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كه غيبت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عبارات لغويين از اين قرار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بررسي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راغب اصفهاني در مفردات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هَمْزُ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إغتيابه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همز كردن انسان يعني غيبت كردن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هَمّازٍ مَشّاءٍ بِنَمِيمٍ</w:t>
      </w:r>
      <w:r>
        <w:rPr>
          <w:rFonts w:eastAsia="IRNazanin" w:cs="IRNazanin"/>
          <w:color w:val="111111"/>
          <w:sz w:val="28"/>
          <w:szCs w:val="28"/>
          <w:rtl w:val="true"/>
          <w:lang w:bidi="fa-IR"/>
        </w:rPr>
        <w:t>)</w:t>
      </w:r>
      <w:r>
        <w:rPr>
          <w:rStyle w:val="FootnoteAnchor"/>
          <w:rtl w:val="true"/>
        </w:rPr>
        <w:footnoteReference w:id="15"/>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هَامِزٌ، و هَمَّازٌ، و 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لِكُلِّ هُمَزَةٍ 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الشّاعر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اغتيب فأنت الْهَامِزُ اللُّمَزَة</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راغب بعد از ذكر دو آيه‌ي شريفه، شعري را به عنوان شاهد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شعر از شخصي به نام زيادٌ الاعجم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شعر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شود تو هامز لمزه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شاعر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غيبت، تو هامز لمزه هستي،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غيبت كننده و 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به همين معنا باشد و يا لااقل يكي از اين دو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 و لُمَزَه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معناي غيبت كننده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مصرع قبلي اين شعر هم اين‌گونه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تدلي بِوُدّي إذا لاقيتني كذبا</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تدلى بودّي إذا لاقيتني كذبا و إن أغيب فأنت الهامز اللمزه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تفسير البحر المحيط،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وقتي مرا ملاقات كني إدلاء مي‌كني به محبت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بيان محبت مي‌كني كه چقدر دوستت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روي كذب و دروغ، بعد كه غيبت شود تو هامز لمزه هستي</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فحص بيشتر، نقل‌هاي متعدّدي براي اين شعر يافتيم، از جمله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اُغيّب فأنت الهامز اللمزة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تَغيّبتُ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برخي</w:t>
      </w:r>
    </w:p>
    <w:p>
      <w:pPr>
        <w:pStyle w:val="BookText"/>
        <w:rPr/>
      </w:pPr>
      <w:r>
        <w:rPr>
          <w:rFonts w:ascii="IRNazanin" w:hAnsi="IRNazanin" w:eastAsia="IRNazanin"/>
          <w:color w:val="111111"/>
          <w:sz w:val="28"/>
          <w:sz w:val="28"/>
          <w:szCs w:val="28"/>
          <w:rtl w:val="true"/>
          <w:lang w:bidi="fa-IR"/>
        </w:rPr>
        <w:t>اين‌گونه نقل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نقل‌ها لحاظ شود مي‌تواند به معناي غير غيبت هم باشد؛ يعني وقتي پنهان شدم تو پشت سر من تنقيص مي‌كني، كه در اين صورت ديگر غيبت به معناي خاص نمي‌شود، بلكه يعني آدم دورويي هستي؛ مرا كه مي‌بيني اظهار محبّت و مدح مي‌كني ولي وقتي مرا نمي‌بيني تنقيص 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آيا اين تنقيص به نحوي هست كه مصداق غيبت باشد؟ خير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شعر نمي‌تواند شاهدي براي مساوات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اغتياب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لسان العرب به نقل از زجاج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الزجاج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الهُمَزَةُ اللُّمَزَةُ الذي يغتاب الناس و يَغُضُّهم</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سپس تصريح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كذلك قال ابن السكيت و لم يفرق بينهما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سكّيت</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ظاهراً ابن سكيت كه از علماي بزرگ علم لغت بوده، در زمان 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حمايت از اميرالمؤمنين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متوكّل عباسي به قتل 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غروي</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همين را گفته و بين هَمز و لمز فرق نگذاشته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دو را به معناي غيبت 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مقابل اين لغويين كساني</w:t>
      </w:r>
      <w:r>
        <w:rPr>
          <w:rStyle w:val="FootnoteAnchor"/>
          <w:rtl w:val="true"/>
        </w:rPr>
        <w:footnoteReference w:id="20"/>
      </w:r>
      <w:r>
        <w:rPr>
          <w:rFonts w:ascii="IRNazanin" w:hAnsi="IRNazanin" w:eastAsia="IRNazanin"/>
          <w:color w:val="111111"/>
          <w:sz w:val="28"/>
          <w:sz w:val="28"/>
          <w:szCs w:val="28"/>
          <w:rtl w:val="true"/>
          <w:lang w:bidi="fa-IR"/>
        </w:rPr>
        <w:t>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الهامز و الهمّاز العيّاب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هامز و همّاز يعني عيب‌گير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اختصاص به كسي كه عيب ديگري را غياباً مي‌گويد،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لسان العرب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الهَمَّاز و 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يَخْلُف الناسَ من ورائهم و يأْكل لحومهم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همّاز و هُمزة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پشت سر مردم قرار مي‌گيرد و با تنقيص آنان اكل لحمشان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اين‌كه پشت سر قرار مي‌گيرد، به نوعي مصداقي از غيبت مي‌شود، مخصوصاً كه با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اكل 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اين معنا همز يا لمز، نوع خاصّي از غيبت مي‌شود؛ يعني پشت سر ديگري قرار مي گيرد و او را تنقيص مي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قيد ديگري اضافه مي‌كند كه تنقيص با شِكلَك در آوردن باشد</w:t>
      </w:r>
      <w:r>
        <w:rPr>
          <w:rStyle w:val="FootnoteAnchor"/>
          <w:rtl w:val="true"/>
        </w:rPr>
        <w:footnoteReference w:id="21"/>
      </w:r>
      <w:r>
        <w:rPr>
          <w:rFonts w:ascii="IRNazanin" w:hAnsi="IRNazanin" w:eastAsia="IRNazanin"/>
          <w:color w:val="111111"/>
          <w:sz w:val="28"/>
          <w:sz w:val="28"/>
          <w:szCs w:val="28"/>
          <w:rtl w:val="true"/>
          <w:lang w:bidi="fa-IR"/>
        </w:rPr>
        <w:t>با گوشه‌ي چشم و سر يا امثال آن اداي او را تقليد كند كه در واقع غيبت افعالي مي‌شود، آن‌هم پشت‌سرش؛ يعني خيلي دور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معنا همز يا لمز مساوي با غيبت نيست، بلكه نوع خاصّي از غيبت است و نسبتش با غيبت، عموم و خصوص من وجه مي‌شود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تنقيص، مربوط به عيوب ظاهري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عيوب</w:t>
      </w:r>
    </w:p>
    <w:p>
      <w:pPr>
        <w:pStyle w:val="BookText"/>
        <w:rPr/>
      </w:pPr>
      <w:r>
        <w:rPr>
          <w:rFonts w:ascii="IRNazanin" w:hAnsi="IRNazanin" w:eastAsia="IRNazanin"/>
          <w:color w:val="111111"/>
          <w:sz w:val="28"/>
          <w:sz w:val="28"/>
          <w:szCs w:val="28"/>
          <w:rtl w:val="true"/>
          <w:lang w:bidi="fa-IR"/>
        </w:rPr>
        <w:t>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غيبت ـ بالمعني الاعم ـ ذكر عيب مستور را شرط تحقّق آن بدانيم، باز طبق اين معنا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 يَخْلُف الناسَ من ورائهم و يأْكل لحومهم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مصداق غيبت نيست؛ زيرا ظهور كلام اين است كه اداي ظاهري شخص را در مي‌آورد و او را مسخره مي‌كند؛ مثلاً به نوعي دست يا پايش را حركت مي‌دهد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عمل مي‌تواند خود حرام مستقلّي باشد، مثلاً بگوييم مسخره كردن با ايما و اشاره است، ولي ديگر غيبت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بيان شد، درباره‌ي هُمَزَة و هَمْز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بررسي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لسان العرب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رجل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يعيبك في وجهك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لمزة كسي است كه عيب تو را ـ حداقل به عقيده‌ي خودش ـ روبروي تو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مِنْهُمْ مَنْ يَلْمِزُكَ فِي الصَّدَقاتِ فَإِنْ أُعْطُوا مِنْها رَضُوا وَ إِنْ لَمْ يُعْطَوْا مِنْها إِذا هُمْ يَسْخَطُون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 xml:space="preserve">و برخى از آنان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بر تو خرده مى‌گيرند، پس اگر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داده شود خشنود مى‌گردند و اگر از آن به ايشان داده نشود، به ناگاه به خشم مى‌آيند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منافقيني بودند كه هنگام تقسيم صدقات اگر سهمي به آن‌ها نمي‌رسيد با پُررويي تمام مي‌آمدند جلوي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صدقات را به عدالت تقسيم نكردي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برخي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اين‌گونه معنا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همان‌طور كه قبلاً از ابن سكيت و ديگران نقل شد، آن‌ها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فرقي قائل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بعضي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قيد پشت‌سر و براي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روبرو را ذكر كرده‌اند، برخي هم عكس اين را گفته‌اند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آخر در استدلال به آيه‌ي لُمزه</w:t>
      </w:r>
    </w:p>
    <w:p>
      <w:pPr>
        <w:pStyle w:val="BookText"/>
        <w:rPr/>
      </w:pPr>
      <w:r>
        <w:rPr>
          <w:rFonts w:ascii="IRNazanin" w:hAnsi="IRNazanin" w:eastAsia="IRNazanin"/>
          <w:color w:val="111111"/>
          <w:sz w:val="28"/>
          <w:sz w:val="28"/>
          <w:szCs w:val="28"/>
          <w:rtl w:val="true"/>
          <w:lang w:bidi="fa-IR"/>
        </w:rPr>
        <w:t>نتيجه‌ي نهايي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بدون وجه نبود كه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 لِكُلِّ هُمَزَةٍ لُمَزَةٍ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دالّ بر حرمت غيبت ذكر كنند، امّا حقيقت امر اين است كه ايشان بايد وجه دلالت را تبيين مي‌فرمود كه با اين اختلافات موجود، چگونه آيه‌ي شريفه دلالت بر حرمت غيبت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بنابر معنايي كه ما در نهايت از غيبت اختيار مي‌كنيم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عيب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آيه‌ي مباركه نمي‌توان حرمت غيبت را استفاده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حرمت عيب‌گيري از ديگران به نحوي كه تمسخر يا تنقيص باشد از آيه‌ي مباركه استفاده مي‌شود، هرچند عيب در واقع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اداي يك حركت عاديِ طرف مقابل، در صورتي كه در مقام تنقيص باشد مطابق معناي آيه حرام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33" w:name="pg2359_23204"/>
    </w:p>
    <w:p>
      <w:pPr>
        <w:pStyle w:val="Heading5"/>
        <w:numPr>
          <w:ilvl w:val="4"/>
          <w:numId w:val="1"/>
        </w:numPr>
        <w:rPr/>
      </w:pPr>
      <w:bookmarkStart w:id="34" w:name="__RefHeading___Toc2770205_3804643083"/>
      <w:bookmarkStart w:id="35" w:name="_Toc13"/>
      <w:bookmarkEnd w:id="33"/>
      <w:bookmarkEnd w:id="34"/>
      <w:r>
        <w:rPr/>
        <w:t>3</w:t>
      </w:r>
      <w:r>
        <w:rPr>
          <w:rtl w:val="true"/>
        </w:rPr>
        <w:t xml:space="preserve">. </w:t>
      </w:r>
      <w:r>
        <w:rPr>
          <w:rtl w:val="true"/>
        </w:rPr>
        <w:t>آيه‌ي نهي از جهر به قول سوء</w:t>
      </w:r>
      <w:bookmarkEnd w:id="35"/>
    </w:p>
    <w:p>
      <w:pPr>
        <w:pStyle w:val="Heading6"/>
        <w:numPr>
          <w:ilvl w:val="5"/>
          <w:numId w:val="1"/>
        </w:numPr>
        <w:rPr/>
      </w:pPr>
      <w:bookmarkStart w:id="36" w:name="__RefHeading___Toc2770207_3804643083"/>
      <w:bookmarkStart w:id="37" w:name="_Toc14"/>
      <w:bookmarkEnd w:id="36"/>
      <w:r>
        <w:rPr>
          <w:rtl w:val="true"/>
        </w:rPr>
        <w:t>اشاره</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خداوند بانگ برداشتن به بدزبانى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ستم رفته باشد و خداوند، شنواىِ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خداوند متعال دوست نمي‌دارد آشكار كردن سوئي را كه از جنس قول است، مگر براي كسي كه مظلوم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چون سوء من القول است، آشكار كردنش محبوب خداوند نيست</w:t>
      </w:r>
      <w:r>
        <w:rPr>
          <w:rFonts w:eastAsia="IRNazanin" w:cs="IRNazanin"/>
          <w:color w:val="111111"/>
          <w:sz w:val="28"/>
          <w:szCs w:val="28"/>
          <w:rtl w:val="true"/>
          <w:lang w:bidi="fa-IR"/>
        </w:rPr>
        <w:t>.</w:t>
      </w:r>
    </w:p>
    <w:p>
      <w:pPr>
        <w:pStyle w:val="Heading6"/>
        <w:numPr>
          <w:ilvl w:val="5"/>
          <w:numId w:val="1"/>
        </w:numPr>
        <w:rPr/>
      </w:pPr>
      <w:bookmarkStart w:id="38" w:name="__RefHeading___Toc2770209_3804643083"/>
      <w:bookmarkStart w:id="39" w:name="_Toc15"/>
      <w:bookmarkEnd w:id="38"/>
      <w:r>
        <w:rPr>
          <w:rtl w:val="true"/>
        </w:rPr>
        <w:t>مناقشه در استدلال شيخ</w:t>
      </w:r>
      <w:r>
        <w:rPr>
          <w:rtl w:val="true"/>
        </w:rPr>
        <w:t xml:space="preserve">- </w:t>
      </w:r>
      <w:r>
        <w:rPr>
          <w:rtl w:val="true"/>
        </w:rPr>
        <w:t xml:space="preserve">قدس سره </w:t>
      </w:r>
      <w:r>
        <w:rPr>
          <w:rtl w:val="true"/>
        </w:rPr>
        <w:t>-</w:t>
      </w:r>
      <w:bookmarkEnd w:id="39"/>
    </w:p>
    <w:p>
      <w:pPr>
        <w:pStyle w:val="BookText"/>
        <w:rPr/>
      </w:pPr>
      <w:r>
        <w:rPr>
          <w:rFonts w:ascii="IRNazanin" w:hAnsi="IRNazanin" w:eastAsia="IRNazanin"/>
          <w:color w:val="111111"/>
          <w:sz w:val="28"/>
          <w:sz w:val="28"/>
          <w:szCs w:val="28"/>
          <w:rtl w:val="true"/>
          <w:lang w:bidi="fa-IR"/>
        </w:rPr>
        <w:t xml:space="preserve">همان‌طور كه توجّه داريد، صِرف آيه‌ي مباركه دلالت بر حرمت غيبت نمي‌كند؛ زيرا موضوعِ عدم 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ابتدا بايد اثبات شود كه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سپس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حكمش حرمت است، در حالي‌كه فعلاً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غيبت، اوّل كلام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آيه‌ي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قول حرام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قول حرام چيست، از آيه‌ي شريفه چيزي درباره‌ي غيبت استفاده نمي‌شود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بله، ممكن است في‌الجمله شامل برخي موارد غيبت شود و آن</w:t>
      </w:r>
      <w:bookmarkStart w:id="40" w:name="pg2359_23205"/>
    </w:p>
    <w:p>
      <w:pPr>
        <w:pStyle w:val="BookText"/>
        <w:rPr/>
      </w:pPr>
      <w:bookmarkEnd w:id="40"/>
      <w:r>
        <w:rPr>
          <w:rFonts w:ascii="Amiri" w:hAnsi="Amiri" w:eastAsia="Amiri" w:cs="Amiri"/>
          <w:color w:val="111111"/>
          <w:sz w:val="28"/>
          <w:sz w:val="28"/>
          <w:szCs w:val="28"/>
          <w:rtl w:val="true"/>
          <w:lang w:bidi="ar-SA"/>
        </w:rPr>
        <w:t>مواردي است كه فطرت انسان‌ها قبول دارد و عرفاً سوء من القول باشد، ولي با صِرف آيه نمي‌توان اثبات كرد غيبت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حقيقت مطلب آن است كه آيه‌ي شريفه بيشتر در مقام بيان تجويز بعضي از سوء قول‌هاست؛ يعني خداوند دوست نمي‌دارد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من 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آشكار كني، امّا آيا دوست نداشتن در حدّ حرمت است يا كراهت؟ آيه‌ي شريفه بياني ندارد، بلكه عنايت بر روي استثناي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اگر كسي مظلوم واقع شد و فرياد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به من ظلم كرده است، اين فريادِ دادخواهي او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 اين اظهار ظلم در حالت عادي ـ كه كسي مظلوم واقع نشده باشد ـ حرام باشد و خواه مكروه، آيه از اين جهت بياني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بيان آيه‌ي شريفه اين است كه جهر به سوء من القول، مرجوحيت دارد نه بيشتر</w:t>
      </w:r>
      <w:r>
        <w:rPr>
          <w:rFonts w:eastAsia="IRNazanin" w:cs="IRNazanin"/>
          <w:color w:val="111111"/>
          <w:sz w:val="28"/>
          <w:szCs w:val="28"/>
          <w:rtl w:val="true"/>
          <w:lang w:bidi="fa-IR"/>
        </w:rPr>
        <w:t>.</w:t>
      </w:r>
    </w:p>
    <w:p>
      <w:pPr>
        <w:pStyle w:val="Heading6"/>
        <w:numPr>
          <w:ilvl w:val="5"/>
          <w:numId w:val="1"/>
        </w:numPr>
        <w:rPr/>
      </w:pPr>
      <w:bookmarkStart w:id="41" w:name="__RefHeading___Toc2770211_3804643083"/>
      <w:bookmarkStart w:id="42" w:name="_Toc16"/>
      <w:bookmarkEnd w:id="41"/>
      <w:r>
        <w:rPr>
          <w:rtl w:val="true"/>
        </w:rPr>
        <w:t>مصداق جالبي براي آيه‌ي شريفه در روايات</w:t>
      </w:r>
      <w:bookmarkEnd w:id="42"/>
    </w:p>
    <w:p>
      <w:pPr>
        <w:pStyle w:val="BookText"/>
        <w:rPr/>
      </w:pPr>
      <w:r>
        <w:rPr>
          <w:rFonts w:ascii="Amiri" w:hAnsi="Amiri" w:eastAsia="Amiri" w:cs="Amiri"/>
          <w:color w:val="111111"/>
          <w:sz w:val="28"/>
          <w:sz w:val="28"/>
          <w:szCs w:val="28"/>
          <w:rtl w:val="true"/>
          <w:lang w:bidi="ar-SA"/>
        </w:rPr>
        <w:t>در ذيل همين آيه‌ي شريفه جناب عياشي در تفسير خود روايت جالبي را نقل مي‌كند كه مي‌خوانيم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الْعَيَّاشِيُّ فِي تَفْسِيرِهِ عَنِ الْفَضْلِ بْنِ أَبِي قُرَّةَ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24"/>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كه عدّه‌اي را مهماني كند و بد پذيرايي كند، از كساني است كه ظلم كرده، پس اگر مهمانان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w:t>
      </w:r>
      <w:bookmarkStart w:id="43" w:name="pg2359_23206"/>
    </w:p>
    <w:p>
      <w:pPr>
        <w:pStyle w:val="BookText"/>
        <w:rPr/>
      </w:pPr>
      <w:bookmarkEnd w:id="43"/>
      <w:r>
        <w:rPr>
          <w:rFonts w:ascii="IRNazanin" w:hAnsi="IRNazanin" w:eastAsia="IRNazanin"/>
          <w:color w:val="111111"/>
          <w:sz w:val="28"/>
          <w:sz w:val="28"/>
          <w:szCs w:val="28"/>
          <w:rtl w:val="true"/>
          <w:lang w:bidi="fa-IR"/>
        </w:rPr>
        <w:t>ناخوشايند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كنند اشكالي بر آنان نيست</w:t>
      </w:r>
      <w:r>
        <w:rPr>
          <w:rStyle w:val="FootnoteAnchor"/>
          <w:rtl w:val="true"/>
        </w:rPr>
        <w:footnoteReference w:id="25"/>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البيان في تفسير القرآن،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الضيف ينزل بالرجل فلا يحسن ضيافته فلا جناح عليه في أن يذكره بسوء ما فعله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كه مهماني را مي پذيرد شايسته است از او خوب پذيرايي كرده و بذل موجود كند، نه اين‌كه خودش بهتر بخورد و به مهمان كمتر يا پايين‌تر بدهد و حقّ مهماني را در حدّ وُسع خود ادا نكند، كه در اين صورت اگر مهمان جهر به سوء من القول كند حرجي بر او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سند اين روايت ناتمام است، لذا نمي‌توان طبق آن فتوا داد</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2770213_3804643083"/>
      <w:bookmarkStart w:id="45" w:name="_Toc17"/>
      <w:bookmarkEnd w:id="44"/>
      <w:r>
        <w:rPr/>
        <w:t>4</w:t>
      </w:r>
      <w:r>
        <w:rPr>
          <w:rtl w:val="true"/>
        </w:rPr>
        <w:t xml:space="preserve">. </w:t>
      </w:r>
      <w:r>
        <w:rPr>
          <w:rtl w:val="true"/>
        </w:rPr>
        <w:t>آيه‌ي مذمّت حبّ إشاعه‌ي فحشا</w:t>
      </w:r>
      <w:bookmarkEnd w:id="45"/>
    </w:p>
    <w:p>
      <w:pPr>
        <w:pStyle w:val="Heading6"/>
        <w:numPr>
          <w:ilvl w:val="5"/>
          <w:numId w:val="1"/>
        </w:numPr>
        <w:rPr/>
      </w:pPr>
      <w:bookmarkStart w:id="46" w:name="__RefHeading___Toc2770215_3804643083"/>
      <w:bookmarkStart w:id="47" w:name="_Toc18"/>
      <w:bookmarkEnd w:id="46"/>
      <w:r>
        <w:rPr>
          <w:rtl w:val="true"/>
        </w:rPr>
        <w:t>اشاره</w:t>
      </w:r>
      <w:bookmarkEnd w:id="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26"/>
      </w:r>
      <w:r>
        <w:rPr>
          <w:rFonts w:ascii="IRNazanin" w:hAnsi="IRNazanin" w:eastAsia="IRNazanin"/>
          <w:color w:val="111111"/>
          <w:sz w:val="28"/>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دوست دارند زشت‌كارى در ميان آناني كه ايمان آورده‌اند شيوع پيدا كند، براى آنان در دنيا و آخرت عذابى پر درد خواهد بود و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شما نمى‌دانيد</w:t>
      </w:r>
      <w:r>
        <w:rPr>
          <w:rFonts w:eastAsia="IRNazanin" w:cs="IRNazanin"/>
          <w:color w:val="111111"/>
          <w:sz w:val="28"/>
          <w:szCs w:val="28"/>
          <w:rtl w:val="true"/>
          <w:lang w:bidi="fa-IR"/>
        </w:rPr>
        <w:t>.</w:t>
      </w:r>
      <w:bookmarkStart w:id="48" w:name="pg2359_23207"/>
    </w:p>
    <w:p>
      <w:pPr>
        <w:pStyle w:val="BookText"/>
        <w:rPr/>
      </w:pPr>
      <w:bookmarkEnd w:id="48"/>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جناب شيخ اين آيه‌ي شريفه را هم دالّ بر حرمت مي‌دانند، ولي وجهي بيان نفرمودند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بتوان گفت استدلالي كه در نظرشان بود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بديِ كسي را نزد ديگران ذكر كنند، كه فلان گناه يا عمل قبيح را انجام داده است، قبح آن عمل در نظر شنوندگان يا هر كسي كه مطّلع مي‌شود از بين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انجام داده، فلاني هم انجام داده، پس چيز مهمّي نيست و وقتي ديگران انجام مي‌دهند ما هم مي‌توانيم انجام دهيم ـ به اصطلاح، مرگ دسته جمعي هم عروسي است ـ پس غيبت هم مصداق حبّ اشاعه ي فحشا قرار مي‌گيرد</w:t>
      </w:r>
      <w:r>
        <w:rPr>
          <w:rFonts w:eastAsia="IRNazanin" w:cs="IRNazanin"/>
          <w:color w:val="111111"/>
          <w:sz w:val="28"/>
          <w:szCs w:val="28"/>
          <w:rtl w:val="true"/>
          <w:lang w:bidi="fa-IR"/>
        </w:rPr>
        <w:t>.</w:t>
      </w:r>
    </w:p>
    <w:p>
      <w:pPr>
        <w:pStyle w:val="Heading6"/>
        <w:numPr>
          <w:ilvl w:val="5"/>
          <w:numId w:val="1"/>
        </w:numPr>
        <w:rPr/>
      </w:pPr>
      <w:bookmarkStart w:id="49" w:name="__RefHeading___Toc2770217_3804643083"/>
      <w:bookmarkStart w:id="50" w:name="_Toc19"/>
      <w:bookmarkEnd w:id="49"/>
      <w:r>
        <w:rPr>
          <w:rtl w:val="true"/>
        </w:rPr>
        <w:t>مناقشه در استدلال</w:t>
      </w:r>
      <w:bookmarkEnd w:id="50"/>
    </w:p>
    <w:p>
      <w:pPr>
        <w:pStyle w:val="BookText"/>
        <w:rPr/>
      </w:pPr>
      <w:r>
        <w:rPr>
          <w:rFonts w:ascii="IRNazanin" w:hAnsi="IRNazanin" w:eastAsia="IRNazanin"/>
          <w:color w:val="111111"/>
          <w:sz w:val="28"/>
          <w:sz w:val="28"/>
          <w:szCs w:val="28"/>
          <w:rtl w:val="true"/>
          <w:lang w:bidi="fa-IR"/>
        </w:rPr>
        <w:t xml:space="preserve">اگر هم اين آيه‌ي شريفه دلالت بر حرمت غيبت داشته باشد بسيار جزئي و در موارد خاصّي است؛ زيرا حتّي اگر حُبّ اشاعه‌ي فحشا را به معناي اظهار عمل قبيح و كنايه‌ي از آن بگيريم ـ كما اين‌كه برخي قائلند ـ باز هم دلالت بر حرمت مطلق غيبت ندارد؛ چرا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فاحشه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عملي است كه شدّت قباحت دارد و مطلق عمل قبيح، فاحشه نيست ـ هرچند برخي به اشتباه مدّعي اطلاق فاحشه بر مطلق عمل قبيح شده‌اند ـ كما اين كه در آيه ي شريفه ي ديگري بر گناه شنيع زنا اطلاق فاحشه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اللاَّتي يَأْتينَ الْفاحِشَةَ مِنْ نِسائِكُمْ فَاسْتَشْهِدُوا عَلَيْهِنَّ أَرْبَعَةً مِنْكُمْ فَإِنْ شَهِدُوا فَأَمْسِكُوهُنَّ فِي الْبُيُوتِ حَتَّى يَتَوَفَّاهُنَّ الْمَوْتُ أَوْ يَجْعَلَ</w:t>
      </w:r>
    </w:p>
    <w:p>
      <w:pPr>
        <w:pStyle w:val="BookText"/>
        <w:rPr/>
      </w:pPr>
      <w:r>
        <w:rPr>
          <w:rFonts w:ascii="Amiri" w:hAnsi="Amiri" w:eastAsia="Amiri" w:cs="Amiri"/>
          <w:color w:val="111111"/>
          <w:sz w:val="28"/>
          <w:sz w:val="28"/>
          <w:szCs w:val="28"/>
          <w:rtl w:val="true"/>
          <w:lang w:bidi="ar-SA"/>
        </w:rPr>
        <w:t>اللَّهُ لَهُنَّ سَبيلاً</w:t>
      </w:r>
      <w:r>
        <w:rPr>
          <w:rFonts w:eastAsia="Amiri" w:cs="Amiri" w:ascii="Amiri" w:hAnsi="Amiri"/>
          <w:color w:val="111111"/>
          <w:sz w:val="28"/>
          <w:szCs w:val="28"/>
          <w:rtl w:val="true"/>
          <w:lang w:bidi="ar-SA"/>
        </w:rPr>
        <w:t>)</w:t>
      </w:r>
      <w:r>
        <w:rPr>
          <w:rStyle w:val="FootnoteAnchor"/>
          <w:rtl w:val="true"/>
        </w:rPr>
        <w:footnoteReference w:id="2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زنانِ شما كسانى كه مرتكب فاحشه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مى‌شوند، چهار تن از ميان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گواه گيريد، پس اگر شهادت دادند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خانه‌ها نگاه داريد تا مرگ‌شان فرا رسد يا خدا راهى براى آنان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 شود كه فاحشه در آيه‌ي شريفه يعني عملي كه قبحش زياد است و فاحشه مرادف با قبيح يا حتّي مرادف با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توضيحات، مي‌توان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آيه فقط شامل غيبت در مورد افعال قبيحه‌اي كه شديد القبح است، مي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غيبت به نحوي باشد كه موجب اشاعه‌ي فحشا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نقل مطلب نه تنها موجب زوال قبح گناه نبود بلكه موجب تنفّرِ شنونده از فعل غيبت شونده باشد، ديگر مصداق اشاعه‌ي فحشا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آيه‌ي شريفه دلالتي بر حرمت غيبت، به عنوان غيبت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موارد خاصّي از غيبت را آن‌هم به خاطر اشاعه‌ي فحشا و تحت اين عنوان، حرام مي‌كند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1" w:name="pg2359_23209"/>
    </w:p>
    <w:p>
      <w:pPr>
        <w:pStyle w:val="Heading6"/>
        <w:numPr>
          <w:ilvl w:val="5"/>
          <w:numId w:val="1"/>
        </w:numPr>
        <w:rPr/>
      </w:pPr>
      <w:bookmarkStart w:id="52" w:name="__RefHeading___Toc2770219_3804643083"/>
      <w:bookmarkStart w:id="53" w:name="_Toc20"/>
      <w:bookmarkEnd w:id="51"/>
      <w:bookmarkEnd w:id="52"/>
      <w:r>
        <w:rPr>
          <w:rtl w:val="true"/>
        </w:rPr>
        <w:t>تفسير روايي آيه‌ي شريفه</w:t>
      </w:r>
      <w:bookmarkEnd w:id="53"/>
    </w:p>
    <w:p>
      <w:pPr>
        <w:pStyle w:val="BookText"/>
        <w:rPr/>
      </w:pPr>
      <w:r>
        <w:rPr>
          <w:rFonts w:ascii="Amiri" w:hAnsi="Amiri" w:eastAsia="Amiri" w:cs="Amiri"/>
          <w:color w:val="111111"/>
          <w:sz w:val="28"/>
          <w:sz w:val="28"/>
          <w:szCs w:val="28"/>
          <w:rtl w:val="true"/>
          <w:lang w:bidi="ar-SA"/>
        </w:rPr>
        <w:t>در تفسير اين آيه‌ي مباركه رواياتي وارد شده است كه شايد كسي بتواند از آن‌ها استفاده كند كه آيه شامل غيبت‌كننده 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روايات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مرسله ي ابن ابي عمير</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بَعْضِ أَصْحَابِهِ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فِي مُؤْمِنٍ مَا رَأَتْهُ عَيْنَاهُ وَ سَمِعَتْهُ أُذُنَاهُ فَهُوَ مِنَ الَّذِينَ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w:t>
      </w:r>
      <w:r>
        <w:rPr>
          <w:rStyle w:val="FootnoteAnchor"/>
          <w:rtl w:val="true"/>
        </w:rPr>
        <w:footnoteReference w:id="2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كسي كه در مورد مؤمني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كه دو چشمش ديده و دو گوشش شنيده بگويد، از آن كساني است كه خداوند متعال در قرآن كريم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كساني كه شيوع فاحشه را در بين مؤمنين دوست مي‌دارند عذاب دردناك بر آنان باد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آن‌جايي كه غيبت هم بيان عيبي است كه غيبت كننده آن را</w:t>
      </w:r>
    </w:p>
    <w:p>
      <w:pPr>
        <w:pStyle w:val="BookText"/>
        <w:rPr/>
      </w:pPr>
      <w:r>
        <w:rPr>
          <w:rFonts w:ascii="IRNazanin" w:hAnsi="IRNazanin" w:eastAsia="IRNazanin"/>
          <w:color w:val="111111"/>
          <w:sz w:val="28"/>
          <w:sz w:val="28"/>
          <w:szCs w:val="28"/>
          <w:rtl w:val="true"/>
          <w:lang w:bidi="fa-IR"/>
        </w:rPr>
        <w:t>در ديگران ديده يا شنيده، پس مشمول آيه ي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اين روايت از مرسلات ابن ابي عمير بوده و كساني كه مرسلات ابن ابي عمير را حجّت مي‌دانند سند روايت در نظرشان تمام است، امّا براي ما ـ تاكنون ـ چنين حجّيّتي ثابت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جهت دلالت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انواع غيبت، مصداق اشاعه ي فحشاست</w:t>
      </w:r>
      <w:r>
        <w:rPr>
          <w:rStyle w:val="FootnoteAnchor"/>
          <w:rtl w:val="true"/>
        </w:rPr>
        <w:footnoteReference w:id="30"/>
      </w:r>
      <w:r>
        <w:rPr>
          <w:rFonts w:ascii="Amiri" w:hAnsi="Amiri" w:eastAsia="Amiri" w:cs="Amiri"/>
          <w:color w:val="111111"/>
          <w:sz w:val="28"/>
          <w:sz w:val="28"/>
          <w:szCs w:val="28"/>
          <w:rtl w:val="true"/>
          <w:lang w:bidi="ar-SA"/>
        </w:rPr>
        <w:t xml:space="preserve">و مي‌توان از آيه ي شريفه حرمت آن را اثبات كرد، 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بما هي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نمي‌توان بر طبق اين آيه حرام دانست؛ زيرا غيبت، آن است كه در غياب طرف مقابل، ذكر عيب او شود و حال آن‌كه مفاد آيه حتّي با توجّه به روايت، أعم است از اين‌كه طرفِ مقابل حاضر باشد يا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هر حال في‌الجمله دلالت بر حرمت غيبت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محمّد بن حُمران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مُحَمَّدُ بْنُ الْحَسَنِ بْنِ أَحْمَدَ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حَدَّثَنَا مُحَمَّدُ بْنُ الْحَسَنِ الصَّفَّارُ قَالَ حَدَّثَنَا أَيُّوبُ بْنُ نُوحٍ قَالَ حَدَّثَنَا مُحَمَّدُ بْنُ أَبِي عُمَيْرٍ</w:t>
      </w:r>
      <w:r>
        <w:rPr>
          <w:rStyle w:val="FootnoteAnchor"/>
          <w:rtl w:val="true"/>
        </w:rPr>
        <w:footnoteReference w:id="31"/>
      </w:r>
      <w:r>
        <w:rPr>
          <w:rFonts w:ascii="Amiri" w:hAnsi="Amiri" w:eastAsia="Amiri" w:cs="Amiri"/>
          <w:color w:val="111111"/>
          <w:sz w:val="28"/>
          <w:sz w:val="28"/>
          <w:szCs w:val="28"/>
          <w:rtl w:val="true"/>
          <w:lang w:bidi="ar-SA"/>
        </w:rPr>
        <w:t>قَالَ حَدَّثَنِي مُحَمَّدُ بْنُ حُمْرَانَ عَنِ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قَالَ</w:t>
      </w:r>
    </w:p>
    <w:p>
      <w:pPr>
        <w:pStyle w:val="BookText"/>
        <w:rPr/>
      </w:pPr>
      <w:r>
        <w:rPr>
          <w:rFonts w:ascii="Amiri" w:hAnsi="Amiri" w:eastAsia="Amiri" w:cs="Amiri"/>
          <w:color w:val="111111"/>
          <w:sz w:val="28"/>
          <w:sz w:val="28"/>
          <w:szCs w:val="28"/>
          <w:rtl w:val="true"/>
          <w:lang w:bidi="ar-SA"/>
        </w:rPr>
        <w:t xml:space="preserve">فِي أَخِيهِ الْمُؤْمِنِ مَا رَأَتْهُ عَيْنَاهُ وَ سَمِعَتْهُ أُذُنَاهُ فَهُوَ مِمَّنْ قَالَ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w:t>
      </w:r>
      <w:r>
        <w:rPr>
          <w:rFonts w:eastAsia="Amiri" w:cs="Amiri" w:ascii="Amiri" w:hAnsi="Amiri"/>
          <w:color w:val="111111"/>
          <w:sz w:val="28"/>
          <w:szCs w:val="28"/>
          <w:rtl w:val="true"/>
          <w:lang w:bidi="ar-SA"/>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مشترك بين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بن اعين 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نهدي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حمران ابن اعين شيباني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طايفه‌ي زراره است كه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 مانند شيخ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كتابي هم دارد</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حمران 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داشته و كتاب هم دارد</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بعيد نيست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اين روايت، همان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زيرا نجاشي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ايشان كتاب دارد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لهذا الكتاب رواة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براي كتابش راويان زيادي است؛ يعني</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راويان زيادي از كتابش نقل كرده‌اند</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ـ همان‌گونه كه برخي معتقدند ـ هر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مطلق ذكر شود منصرف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مطلق، منصرف به مشهور يا اشهر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 بروجردي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ذكر شود منصرف به حاج آقا حسين بروجردي مي‌شود؛ چون ايشان مشهور است، با اين‌كه بروجردي‌ها زيادند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شهرت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نهدي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خيلي زياد نباشد، ولي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حمران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اشتهارِ خوبي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درباره‌ي انصراف گفته‌اند، حرف بي‌جايي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عدّه‌اي از اين روايت به صحيحه تعبير كرده‌اند، و به هر حال ظاهراً همان روايت قبل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وجه دلالت اين روايت نيز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في‌الجمله حرمت غيبت ثابت مي‌شود، ولي حرمت غيبت به عنوان غيبت با اين روايت ثابت نمي‌شود</w:t>
      </w:r>
      <w:r>
        <w:rPr>
          <w:rFonts w:eastAsia="IRNazanin" w:cs="IRNazanin"/>
          <w:color w:val="111111"/>
          <w:sz w:val="28"/>
          <w:szCs w:val="28"/>
          <w:rtl w:val="true"/>
          <w:lang w:bidi="fa-IR"/>
        </w:rPr>
        <w:t>.</w:t>
      </w:r>
      <w:bookmarkStart w:id="54" w:name="pg2359_23213"/>
    </w:p>
    <w:p>
      <w:pPr>
        <w:pStyle w:val="Heading4"/>
        <w:numPr>
          <w:ilvl w:val="3"/>
          <w:numId w:val="1"/>
        </w:numPr>
        <w:rPr/>
      </w:pPr>
      <w:bookmarkStart w:id="55" w:name="__RefHeading___Toc2770221_3804643083"/>
      <w:bookmarkStart w:id="56" w:name="_Toc21"/>
      <w:bookmarkEnd w:id="54"/>
      <w:bookmarkEnd w:id="55"/>
      <w:r>
        <w:rPr>
          <w:rtl w:val="true"/>
        </w:rPr>
        <w:t>روايات دالّ بر حرمت غيبت</w:t>
      </w:r>
      <w:bookmarkEnd w:id="56"/>
    </w:p>
    <w:p>
      <w:pPr>
        <w:pStyle w:val="Heading5"/>
        <w:numPr>
          <w:ilvl w:val="4"/>
          <w:numId w:val="1"/>
        </w:numPr>
        <w:rPr/>
      </w:pPr>
      <w:bookmarkStart w:id="57" w:name="__RefHeading___Toc2770223_3804643083"/>
      <w:bookmarkStart w:id="58" w:name="_Toc22"/>
      <w:bookmarkEnd w:id="57"/>
      <w:r>
        <w:rPr>
          <w:rtl w:val="true"/>
        </w:rPr>
        <w:t>اشاره</w:t>
      </w:r>
      <w:bookmarkEnd w:id="58"/>
    </w:p>
    <w:p>
      <w:pPr>
        <w:pStyle w:val="BookText"/>
        <w:rPr/>
      </w:pPr>
      <w:r>
        <w:rPr>
          <w:rStyle w:val="FootnoteAnchor"/>
          <w:rtl w:val="true"/>
        </w:rPr>
        <w:footnoteReference w:id="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يدلّ عليه من الأخبار ما لا يحصى</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روايات زيادي دلالت بر حرمت غيبت دارد كه قابل شمارش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فرمايش ايشان صحيح است؛ روايات در حرمت غيبت بسيار فراوان است كه در كتب شيعه و عامّه و كتاب‌هاي معروف و غير معروف ذكر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تعدادي از اين روايات را ذكر مي‌فرمايد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يكي از اين روايات، روايت معروفي است 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اشدّ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وجود دارد و به حديث وصيت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ابوذر معروف است و به سندهاي متفاوت از كتب متعددي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تعدادي از آن‌ها را ذكر مي‌كنيم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حديث أمالي طوسي</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إِيَّاكَ وَ الْغِيبَةَ، فَإِنَّ 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ذَاكَ؟ 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الرَّجُلَ يَزْنِي فَيَتُوبُ إِلَى اللَّهِ فَيَتُوبُ اللَّهُ عَلَيْهِ، وَ الْغِيبَةُ لَا تُغْفَرُ حَتَّى يَغْفِرَهَا صَاحِبُهَا</w:t>
      </w:r>
      <w:r>
        <w:rPr>
          <w:rFonts w:eastAsia="Amiri" w:cs="Amiri" w:ascii="Amiri" w:hAnsi="Amiri"/>
          <w:color w:val="111111"/>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بپرهيز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از زنا هم شديدتر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ابوذر با تعجّب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غيبت از زنا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فداي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 مي‌كند پس توبه مي‌كند و خداوند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مي‌بخشايد، امّا غيبت آمرزيده نمي‌شود تا اين‌كه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درگذرد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حديث تنبيه الخواطر</w:t>
      </w:r>
    </w:p>
    <w:p>
      <w:pPr>
        <w:pStyle w:val="BookText"/>
        <w:rPr/>
      </w:pPr>
      <w:r>
        <w:rPr>
          <w:rFonts w:ascii="Amiri" w:hAnsi="Amiri" w:eastAsia="Amiri" w:cs="Amiri"/>
          <w:color w:val="111111"/>
          <w:sz w:val="28"/>
          <w:sz w:val="28"/>
          <w:szCs w:val="28"/>
          <w:rtl w:val="true"/>
          <w:lang w:bidi="ar-SA"/>
        </w:rPr>
        <w:t>عَنْ جَابِرٍ وَ أَبِي سَعِيدٍ قَالا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 الْغِيبَةَ فَإِنَّ الْغِيبَةَ أَشَدُّ مِنَ الزِّنَاءِ إِنَّ الرَّجُلَ يَزْنِي وَ يَتُوبُ فَيَتُوبُ اللَّهُ عَلَيْهِ وَ إِنَّ صَاحِبَ الْغِيبَةِ لَا يُغْفَرُ لَهُ حَتَّى يَغْفِرَ لَهُ صَاحِبُه</w:t>
      </w:r>
      <w:r>
        <w:rPr>
          <w:rFonts w:eastAsia="Amiri" w:cs="Amiri" w:ascii="Amiri" w:hAnsi="Amiri"/>
          <w:color w:val="111111"/>
          <w:sz w:val="28"/>
          <w:szCs w:val="28"/>
          <w:rtl w:val="true"/>
          <w:lang w:bidi="ar-SA"/>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نظير همين روايت، از مجمع البيان هم نقل شده است</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حديث خصال، العلل</w:t>
      </w:r>
      <w:r>
        <w:rPr>
          <w:rStyle w:val="FootnoteAnchor"/>
          <w:rtl w:val="true"/>
        </w:rPr>
        <w:footnoteReference w:id="42"/>
      </w:r>
      <w:r>
        <w:rPr>
          <w:rFonts w:ascii="IRNazanin" w:hAnsi="IRNazanin" w:eastAsia="IRNazanin"/>
          <w:color w:val="111111"/>
          <w:sz w:val="28"/>
          <w:sz w:val="28"/>
          <w:szCs w:val="28"/>
          <w:rtl w:val="true"/>
          <w:lang w:bidi="fa-IR"/>
        </w:rPr>
        <w:t>و الاختصاص</w:t>
      </w:r>
    </w:p>
    <w:p>
      <w:pPr>
        <w:pStyle w:val="BookText"/>
        <w:rPr/>
      </w:pPr>
      <w:r>
        <w:rPr>
          <w:rFonts w:ascii="Amiri" w:hAnsi="Amiri" w:eastAsia="Amiri" w:cs="Amiri"/>
          <w:color w:val="111111"/>
          <w:sz w:val="28"/>
          <w:sz w:val="28"/>
          <w:szCs w:val="28"/>
          <w:rtl w:val="true"/>
          <w:lang w:bidi="ar-SA"/>
        </w:rPr>
        <w:t>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أَشَدُّ مِنَ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لِمَ ذَاكَ؟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صَاحِبُ الزِّنَا يَتُوبُ فَيَتُوبُ اللَّهُ عَلَيْهِ وَ صَاحِبُ الْغِيبَةِ يَتُوبُ فَلَا يَتُوبُ اللَّهُ عَلَيْهِ حَتَّى يَكُونَ صَاحِبُهُ الَّذِي اغْتَابَهُ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يُحِلُّه</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قطب راوندي هم در لبّ اللباب مانند اين روايت را از نبي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روايت ديگري را جناب شيخ نقل مي‌فرمايد كه اين روايت از طريق عامّه نقل شده است، ولي در كتاب تنبيه الخواطر ـ كه از كتب شيعه است ـ هم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أنس</w:t>
      </w:r>
    </w:p>
    <w:p>
      <w:pPr>
        <w:pStyle w:val="BookText"/>
        <w:rPr/>
      </w:pPr>
      <w:r>
        <w:rPr>
          <w:rFonts w:ascii="Amiri" w:hAnsi="Amiri" w:eastAsia="Amiri" w:cs="Amiri"/>
          <w:color w:val="111111"/>
          <w:sz w:val="28"/>
          <w:sz w:val="28"/>
          <w:szCs w:val="28"/>
          <w:rtl w:val="true"/>
          <w:lang w:bidi="ar-SA"/>
        </w:rPr>
        <w:t>قَالَ أَنَسٌ خَطَبَنَا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الرِّبَا وَ عَظَّمَ شَأْنَهُ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الدِّرْهَمَ يُصِيبُهُ الرَّجُلُ مِنَ الرِّبَا أَعْظَمُ عِنْدَ اللَّهِ فِي الْخَطِيئَةِ مِنْ سِتٍّ وَ ثَلَاثِينَ زَنْيَةً يَزْنِيهَا الرَّجُلُ وَ أَرْبَى الرِّبَا عِرْضُ الرَّجُلِ الْمُسْلِم</w:t>
      </w:r>
      <w:r>
        <w:rPr>
          <w:rFonts w:eastAsia="Amiri" w:cs="Amiri" w:ascii="Amiri" w:hAnsi="Amiri"/>
          <w:color w:val="111111"/>
          <w:sz w:val="28"/>
          <w:szCs w:val="28"/>
          <w:rtl w:val="true"/>
          <w:lang w:bidi="ar-SA"/>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أنس</w:t>
      </w:r>
      <w:r>
        <w:rPr>
          <w:rStyle w:val="FootnoteAnchor"/>
          <w:rtl w:val="true"/>
        </w:rPr>
        <w:footnoteReference w:id="45"/>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صحبتي كه درباره‌ي ربا داشتند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چيز خطرناكي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درهمي كه فرد از ربا به دست مي‌آورد، نزد خداوند بزرگتر است در خطا بودن از سي و شش زنا، و از بين بردن آبروي فرد مسلمان بالاترين ربا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معتقدند اين روايت هم دلالت بر حرمت غيبت دارد، ولي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بردن عِرض مسلمان لزوماً به صورت غيبت نيست و از راه‌هاي مختلفي مي‌تواند صورت گيرد كه بعضي از مصاديق آن مي‌تواند غيبت باشد</w:t>
      </w:r>
      <w:r>
        <w:rPr>
          <w:rStyle w:val="FootnoteAnchor"/>
          <w:rtl w:val="true"/>
        </w:rPr>
        <w:footnoteReference w:id="46"/>
      </w:r>
      <w:r>
        <w:rPr>
          <w:rFonts w:ascii="IRNazanin" w:hAnsi="IRNazanin" w:eastAsia="IRNazanin"/>
          <w:color w:val="111111"/>
          <w:sz w:val="28"/>
          <w:sz w:val="28"/>
          <w:szCs w:val="28"/>
          <w:rtl w:val="true"/>
          <w:lang w:bidi="fa-IR"/>
        </w:rPr>
        <w:t>، پس موضوع روايت، اعمّ از</w:t>
      </w:r>
      <w:bookmarkStart w:id="59" w:name="pg2359_23217"/>
    </w:p>
    <w:p>
      <w:pPr>
        <w:pStyle w:val="BookText"/>
        <w:rPr/>
      </w:pPr>
      <w:bookmarkEnd w:id="59"/>
      <w:r>
        <w:rPr>
          <w:rFonts w:ascii="Amiri" w:hAnsi="Amiri" w:eastAsia="Amiri" w:cs="Amiri"/>
          <w:color w:val="111111"/>
          <w:sz w:val="28"/>
          <w:sz w:val="28"/>
          <w:szCs w:val="28"/>
          <w:rtl w:val="true"/>
          <w:lang w:bidi="ar-SA"/>
        </w:rPr>
        <w:t>غيبت است</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 w:name="__RefHeading___Toc2770225_3804643083"/>
      <w:bookmarkStart w:id="61" w:name="_Toc23"/>
      <w:bookmarkEnd w:id="60"/>
      <w:r>
        <w:rPr>
          <w:rtl w:val="true"/>
        </w:rPr>
        <w:t>ـ روايت جامع الاخبار</w:t>
      </w:r>
      <w:bookmarkEnd w:id="61"/>
    </w:p>
    <w:p>
      <w:pPr>
        <w:pStyle w:val="BookText"/>
        <w:rPr/>
      </w:pP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صَلَاتَهُ وَ لَا صِيَامَهُ أَرْبَعِينَ يَوْماً وَ لَيْلَةً إِلَّا أَنْ يَغْفِرَ لَهُ صَاحِبُهُ</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مرد يا زن مسلماني را غيبت كند نماز و صيامش مورد پذيرش خداوند قرار نمي‌گيرد، مگر آن‌كه صاحبش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دلالتي بر حرمت ندارد،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قبول نمي‌شود، امّا چه مرتبه‌ي قبولي؟ آيا عذاب هم دارد؟ آيا نمازش باطل مي‌شود؟ قطعاً اين‌گونه نيست، پس شدّت كراهت را مي‌رساند</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 w:name="__RefHeading___Toc2770227_3804643083"/>
      <w:bookmarkStart w:id="63" w:name="_Toc24"/>
      <w:bookmarkEnd w:id="62"/>
      <w:r>
        <w:rPr>
          <w:rtl w:val="true"/>
        </w:rPr>
        <w:t>ـ روايت اجتناب غيبت</w:t>
      </w:r>
      <w:bookmarkEnd w:id="63"/>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اجْتَنِبِ الْغِيبَةَ فَإِنَّهَا إِدَامُ كِلَابِ النَّارِ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مَنْ زَعَمَ</w:t>
      </w:r>
      <w:bookmarkStart w:id="64" w:name="pg2359_23218"/>
    </w:p>
    <w:p>
      <w:pPr>
        <w:pStyle w:val="BookText"/>
        <w:rPr/>
      </w:pPr>
      <w:bookmarkEnd w:id="64"/>
      <w:r>
        <w:rPr>
          <w:rFonts w:ascii="Amiri" w:hAnsi="Amiri" w:eastAsia="Amiri" w:cs="Amiri"/>
          <w:color w:val="111111"/>
          <w:sz w:val="28"/>
          <w:sz w:val="28"/>
          <w:szCs w:val="28"/>
          <w:rtl w:val="true"/>
          <w:lang w:bidi="ar-SA"/>
        </w:rPr>
        <w:t>أَنَّهُ وُلِدَ مِنْ حَلَالٍ وَ هُوَ يَأْكُلُ لُحُومَ النَّاسِ بِالْغِيبَةِ الحديث</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از غيبت اجتناب كن كه غيبت، خورشت سگ‌هاي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نوف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مي‌گويد كسي كه گمان مي‌كند از حلال متولّد شده است، در حالي‌كه با غيبت، گوشت مردم را مي‌خورد</w:t>
      </w:r>
      <w:r>
        <w:rPr>
          <w:rFonts w:eastAsia="IRNazanin" w:cs="IRNazanin"/>
          <w:color w:val="111111"/>
          <w:sz w:val="28"/>
          <w:szCs w:val="28"/>
          <w:rtl w:val="true"/>
          <w:lang w:bidi="fa-IR"/>
        </w:rPr>
        <w:t>.</w:t>
      </w:r>
    </w:p>
    <w:p>
      <w:pPr>
        <w:pStyle w:val="Heading5"/>
        <w:numPr>
          <w:ilvl w:val="4"/>
          <w:numId w:val="1"/>
        </w:numPr>
        <w:rPr/>
      </w:pPr>
      <w:bookmarkStart w:id="65" w:name="__RefHeading___Toc2770229_3804643083"/>
      <w:bookmarkStart w:id="66" w:name="_Toc25"/>
      <w:bookmarkEnd w:id="65"/>
      <w:r>
        <w:rPr>
          <w:rtl w:val="true"/>
        </w:rPr>
        <w:t>ـ روايت مشي در عيب ديگران</w:t>
      </w:r>
      <w:bookmarkEnd w:id="66"/>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فِي عَيْبِ أَخِيهِ وَ كَشْفِ عَوْرَتِهِ كَانَتْ أَوَّلُ خُطْوَةٍ خَطَاهَا وَضَعَهَا فِي جَهَنَّمَ وَ كَشَفَ اللَّهُ عَوْرَتَهُ عَلَى رُءُوسِ الْخَلَائِقِ</w:t>
      </w:r>
      <w:r>
        <w:rPr>
          <w:rFonts w:eastAsia="Amiri" w:cs="Amiri" w:ascii="Amiri" w:hAnsi="Amiri"/>
          <w:color w:val="111111"/>
          <w:sz w:val="28"/>
          <w:szCs w:val="28"/>
          <w:rtl w:val="true"/>
          <w:lang w:bidi="ar-SA"/>
        </w:rPr>
        <w:t>»</w:t>
      </w:r>
      <w:r>
        <w:rPr>
          <w:rStyle w:val="FootnoteAnchor"/>
          <w:rtl w:val="true"/>
        </w:rPr>
        <w:footnoteReference w:id="51"/>
      </w:r>
      <w:bookmarkStart w:id="67" w:name="pg2359_23219"/>
    </w:p>
    <w:p>
      <w:pPr>
        <w:pStyle w:val="BookText"/>
        <w:rPr/>
      </w:pPr>
      <w:bookmarkEnd w:id="67"/>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در مسير آشكار كردنِ عيب</w:t>
      </w:r>
      <w:r>
        <w:rPr>
          <w:rStyle w:val="FootnoteAnchor"/>
          <w:rtl w:val="true"/>
        </w:rPr>
        <w:footnoteReference w:id="52"/>
      </w:r>
      <w:r>
        <w:rPr>
          <w:rFonts w:ascii="IRNazanin" w:hAnsi="IRNazanin" w:eastAsia="IRNazanin"/>
          <w:color w:val="111111"/>
          <w:sz w:val="28"/>
          <w:sz w:val="28"/>
          <w:szCs w:val="28"/>
          <w:rtl w:val="true"/>
          <w:lang w:bidi="fa-IR"/>
        </w:rPr>
        <w:t>ديگران گام بردارد، اوّلين قدمي كه برمي‌دارد در جهنّم قرار مي‌گيرد و خداوند عيوبش را نزد مردم مكشوف مي‌كند</w:t>
      </w:r>
      <w:r>
        <w:rPr>
          <w:rFonts w:eastAsia="IRNazanin" w:cs="IRNazanin"/>
          <w:color w:val="111111"/>
          <w:sz w:val="28"/>
          <w:szCs w:val="28"/>
          <w:rtl w:val="true"/>
          <w:lang w:bidi="fa-IR"/>
        </w:rPr>
        <w:t>.</w:t>
      </w:r>
    </w:p>
    <w:p>
      <w:pPr>
        <w:pStyle w:val="Heading5"/>
        <w:numPr>
          <w:ilvl w:val="4"/>
          <w:numId w:val="1"/>
        </w:numPr>
        <w:rPr/>
      </w:pPr>
      <w:bookmarkStart w:id="68" w:name="__RefHeading___Toc2770231_3804643083"/>
      <w:bookmarkStart w:id="69" w:name="_Toc26"/>
      <w:bookmarkEnd w:id="68"/>
      <w:r>
        <w:rPr>
          <w:rtl w:val="true"/>
        </w:rPr>
        <w:t>ـ روايت غيبت كننده‌ي تائب</w:t>
      </w:r>
      <w:bookmarkEnd w:id="6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أَوْحَى اللَّهُ ـ عَزَّ وَ جَلَّ ـ إِلَى مُوسَى بْنِ عِمْرَانَ أَنَّ الْمُغْتَابَ إِذَا تَابَ فَهُوَ آخِرُ مَنْ يَدْخُلُ الْجَنَّةَ وَ إِنْ لَمْ يَتُبْ فَهُوَ أَوَّلُ مَنْ يَدْخُلُ النَّار</w:t>
      </w:r>
      <w:r>
        <w:rPr>
          <w:rFonts w:eastAsia="Amiri" w:cs="Amiri" w:ascii="Amiri" w:hAnsi="Amiri"/>
          <w:color w:val="111111"/>
          <w:sz w:val="28"/>
          <w:szCs w:val="28"/>
          <w:rtl w:val="true"/>
          <w:lang w:bidi="ar-SA"/>
        </w:rPr>
        <w:t>»</w:t>
      </w:r>
      <w:r>
        <w:rPr>
          <w:rStyle w:val="FootnoteAnchor"/>
          <w:rtl w:val="true"/>
        </w:rPr>
        <w:footnoteReference w:id="53"/>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عزّ و جلّ به حضرت موسي بن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كسي كه غيبت مي‌كند،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گناهش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توبه كند آخرين كسي است كه وارد بهشت مي‌شود و اگر توبه نكند اولين كسي است كه وارد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w:t>
      </w:r>
      <w:bookmarkStart w:id="70" w:name="pg2359_23220"/>
    </w:p>
    <w:p>
      <w:pPr>
        <w:pStyle w:val="BookText"/>
        <w:rPr/>
      </w:pPr>
      <w:bookmarkEnd w:id="70"/>
      <w:r>
        <w:rPr>
          <w:rFonts w:ascii="Amiri" w:hAnsi="Amiri" w:eastAsia="Amiri" w:cs="Amiri"/>
          <w:color w:val="111111"/>
          <w:sz w:val="28"/>
          <w:sz w:val="28"/>
          <w:szCs w:val="28"/>
          <w:rtl w:val="true"/>
          <w:lang w:bidi="ar-SA"/>
        </w:rPr>
        <w:t>اين روايت دالّ بر حرمت غيبت مي‌باشد و به دليل مسلّم بودن حرمت غيبت، احتياجي به سند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خصوصيتي هم در اين روايت نيست كه براي اثبات آن نيازمندِ اثبات صحت سند باشيم</w:t>
      </w:r>
      <w:r>
        <w:rPr>
          <w:rFonts w:eastAsia="Amiri" w:cs="Amiri" w:ascii="Amiri" w:hAnsi="Amiri"/>
          <w:color w:val="111111"/>
          <w:sz w:val="28"/>
          <w:szCs w:val="28"/>
          <w:rtl w:val="true"/>
          <w:lang w:bidi="ar-SA"/>
        </w:rPr>
        <w:t>.</w:t>
      </w:r>
    </w:p>
    <w:p>
      <w:pPr>
        <w:pStyle w:val="Heading5"/>
        <w:numPr>
          <w:ilvl w:val="4"/>
          <w:numId w:val="1"/>
        </w:numPr>
        <w:rPr/>
      </w:pPr>
      <w:bookmarkStart w:id="71" w:name="__RefHeading___Toc2770233_3804643083"/>
      <w:bookmarkStart w:id="72" w:name="_Toc27"/>
      <w:bookmarkEnd w:id="71"/>
      <w:r>
        <w:rPr>
          <w:rtl w:val="true"/>
        </w:rPr>
        <w:t>ـ روايت أكل حسنات</w:t>
      </w:r>
      <w:bookmarkEnd w:id="72"/>
    </w:p>
    <w:p>
      <w:pPr>
        <w:pStyle w:val="BookText"/>
        <w:rPr/>
      </w:pP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حَرَامٌ عَلَى كُلِ مُسْلِمٍ وَ إِنَّهَا لَتَأْكُلُ الْحَسَنَاتِ كَمَا تَأْكُلُ النَّارُ الْحَطَب‌ََُ</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بر هر مسلماني حرام است و همانا غيبت حسنات را مي‌خورد همان‌گونه كه آتش هيزم را مي‌خورد و از بين مي‌برد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احتمالات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معنايي أكل حسنات</w:t>
      </w:r>
    </w:p>
    <w:p>
      <w:p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تفسير اين روايت برآمده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مي‌شود حسنات از بين مي‌رود، چند احتمال در معناي آن وجود دارد</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اين روايت مبالغه باشد؛ يعني غيبت آن‌قدر براي غيبت كننده، گناه فراهم مي‌كند كه گويا حسناتي كه در نامه‌ي اعمالش دارد، محو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معناي احباط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احباط دو معنا دارد</w:t>
      </w:r>
      <w:r>
        <w:rPr>
          <w:rStyle w:val="FootnoteAnchor"/>
          <w:rtl w:val="true"/>
        </w:rPr>
        <w:footnoteReference w:id="56"/>
      </w:r>
      <w:r>
        <w:rPr>
          <w:rFonts w:ascii="IRNazanin" w:hAnsi="IRNazanin" w:eastAsia="IRNazanin"/>
          <w:color w:val="111111"/>
          <w:sz w:val="28"/>
          <w:sz w:val="28"/>
          <w:szCs w:val="28"/>
          <w:rtl w:val="true"/>
          <w:lang w:bidi="fa-IR"/>
        </w:rPr>
        <w:t>كه يك معناي آن مورد قبول شيعه نيست و آن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 و سيّئاتِ شخص را كسر و انكسار كنند و با جمع و تفريق، نتيجه‌ي اعمال را به دست آورند كه اگر مجموع اعمال خير انساني كمتر از سيّئات او بود جهنّمي و اگر حسناتش بيشتر بود بهشتي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معناي احباط، مورد قبول شيعه نيست و آيات، بلكه ادلّه‌ي عقلي براي ردّ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آيات، اين آيه‌ي مباركه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مِثْقالَ ذَرَّةٍ شَرًّا يَرَهُ</w:t>
      </w:r>
      <w:r>
        <w:rPr>
          <w:rFonts w:eastAsia="Amiri" w:cs="Amiri" w:ascii="Amiri" w:hAnsi="Amiri"/>
          <w:color w:val="111111"/>
          <w:sz w:val="28"/>
          <w:szCs w:val="28"/>
          <w:rtl w:val="true"/>
          <w:lang w:bidi="ar-SA"/>
        </w:rPr>
        <w:t>)</w:t>
      </w:r>
      <w:r>
        <w:rPr>
          <w:rStyle w:val="FootnoteAnchor"/>
          <w:rtl w:val="true"/>
        </w:rPr>
        <w:footnoteReference w:id="5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هم‌وزن ذرّه‌اى كار خير انجام دهد آن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هم‌وزن ذرّه‌اى كار بد كند آن را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بحث ميزان اعمال كه در فرهنگ اسلامي وجود دارد، با نفي اين معناي احباط و كسر و تفريق اعمال منافات نخواهد داشت؟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بودجه و دخل و خرج را شمردن، نه كسر و انكسار و اخذ به فرآيند و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مجموع اگر كسي بهشتي باشد به بهشت خواهد رفت، ولي اين بدان معنا نيست كه آثار كار بدش ديده نشود و روي آن اعمال خط بكشند؛ مثلاً بگويند اين سيّئه با آن حسنه محو شود و مانند آن، بلكه ممكن است كارهاي بد انسان مورد عفو يا شفاعت قرار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معناي ديگر احباط آن است كه عمل خيرِ انسان گاهي مشروط به موافات است يا مشروط به كار ديگري؛ مثلاً مشروط به اين‌كه با ايمان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أُوحِيَ إِلَيْكَ وَ إِلَى الَّذينَ مِنْ قَبْلِكَ لَئِنْ أَشْرَكْتَ لَيَحْبَطَنَّ عَمَلُكَ وَ لَتَكُونَنَّ مِنَ الْخاسِرينَ</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قطعاً به تو و به كسانى كه پيش از تو بودند وحى شده است كه اگر شرك بورزى حتماً كردارت تباه گشته و مسلّماً از زيانكاران خواهى شد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احباط به اين معنا مانعي ندارد و ادلّه هم بر وجود آن دلالت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مطابق اين معناي احباط، يك احتمال در معناي روايت اين است كه اعمال حسنه يا كُلّ حسنات، مشروط به غيبت نكردن است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معناي انتقال حسنات به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باشد؛ يعني حسناتي كه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دارد با غيبت به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منتقل مي شود، كما اين كه روايتي بر اين مطلب دلالت دارد و آن روايت سعيد بن جبير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سعيد بن جُبير</w:t>
      </w:r>
    </w:p>
    <w:p>
      <w:pPr>
        <w:pStyle w:val="BookText"/>
        <w:rPr/>
      </w:pPr>
      <w:r>
        <w:rPr>
          <w:rFonts w:ascii="Amiri" w:hAnsi="Amiri" w:eastAsia="Amiri" w:cs="Amiri"/>
          <w:color w:val="111111"/>
          <w:sz w:val="28"/>
          <w:sz w:val="28"/>
          <w:szCs w:val="28"/>
          <w:rtl w:val="true"/>
          <w:lang w:bidi="ar-SA"/>
        </w:rPr>
        <w:t>جَامِعُ الْأَخْبَارِ، عَنْ سَعِيدِ بْنِ جُبَيْرٍ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بِأَحَدٍ يَوْمَ الْقِيَامَةِ يُوقَفُ بَيْنَ يَدَيِ اللَّهِ وَ يُدْفَعُ إِلَيْهِ كِتَابُهُ فَلَا يَرَى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لَيْسَ هَذَا كِتَابِي، فَإِنِّي لَا أَرَى فِيهَا طَاعَتِي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لَا يَضِلُّ وَ لَا يَنْسَى، ذَهَبَ عَمَلُكَ بِاغْتِيَابِ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يُؤْتَى بِآخَرَ وَ يُدْفَعُ إِلَيْهِ كِتَابُهُ فَيَرَى فِيهَا طَاعَاتٍ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هَذَا كِتَابِي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مَا عَمِلْتُ هَذِهِ الطَّاعَاتِ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اغْتَابَكَ فَدُفِعَتْ حَسَنَاتُهُ إِلَيْكَ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را روز قيامت در مقابل پروردگار عالم قرار مي‌دهند و نامه‌ي عملش را تحويل او مي‌دهند، پس حسناتش را در آن نمي‌بيند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نامه‌ي اعمال من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حداقل يك نماز دست و پاشكسته‌اي مثلاً خوانده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طاعتم را در آن نمي‌بينم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تو اشتباه و فراموش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عملت به</w:t>
      </w:r>
      <w:bookmarkStart w:id="73" w:name="pg2359_23224"/>
    </w:p>
    <w:p>
      <w:pPr>
        <w:pStyle w:val="BookText"/>
        <w:rPr/>
      </w:pPr>
      <w:bookmarkEnd w:id="73"/>
      <w:r>
        <w:rPr>
          <w:rFonts w:ascii="IRNazanin" w:hAnsi="IRNazanin" w:eastAsia="IRNazanin"/>
          <w:color w:val="111111"/>
          <w:sz w:val="28"/>
          <w:sz w:val="28"/>
          <w:szCs w:val="28"/>
          <w:rtl w:val="true"/>
          <w:lang w:bidi="fa-IR"/>
        </w:rPr>
        <w:t>واسطه‌ي غيبتي كه از مردم كردي ضايع شد و از بين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ديگري را مي‌آورند و كتابش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مي‌دهند، مي‌بيند طاعات زيادي در نامه‌ي عملش ثبت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نامه‌ي عمل من نيست و من اين عبادت‌ها را انجام نداده‌ام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پاسخ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از تو غيبت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حسناتش به تو داده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روايات متعدّدي با اين مضمون در كتاب مستدرك الوسائل، جلد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 كه البته معمولاً مرسله بوده و بيشتر هم عاميّه است و براي مطالعه بيشتر مي‌توان به آن مراجعه كرد</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2770235_3804643083"/>
      <w:bookmarkStart w:id="75" w:name="_Toc28"/>
      <w:bookmarkEnd w:id="74"/>
      <w:r>
        <w:rPr>
          <w:rtl w:val="true"/>
        </w:rPr>
        <w:t>آيا غيبت از كبائر است؟</w:t>
      </w:r>
      <w:bookmarkEnd w:id="75"/>
    </w:p>
    <w:p>
      <w:pPr>
        <w:pStyle w:val="Heading4"/>
        <w:numPr>
          <w:ilvl w:val="3"/>
          <w:numId w:val="1"/>
        </w:numPr>
        <w:rPr/>
      </w:pPr>
      <w:bookmarkStart w:id="76" w:name="__RefHeading___Toc2770237_3804643083"/>
      <w:bookmarkStart w:id="77" w:name="_Toc29"/>
      <w:bookmarkEnd w:id="76"/>
      <w:r>
        <w:rPr>
          <w:rtl w:val="true"/>
        </w:rPr>
        <w:t>اشاره</w:t>
      </w:r>
      <w:bookmarkEnd w:id="77"/>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اخباري كه تاكنون خوانديم، اقتضا مي‌كند كه غيبت از كبائر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 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ـ كما اين‌كه جماعتي از بزرگان هم گفته‌اند ـ و بلكه أشدّ از بعضي كبائر ديگر است و اين‌كه از بعضي معاصرين شنيده ايم كه در كبيره بودن غيبت وسوسه داشته و آن را قبول ندارند، نادرست است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bookmarkStart w:id="78" w:name="pg2359_23225"/>
    </w:p>
    <w:p>
      <w:pPr>
        <w:pStyle w:val="BookText"/>
        <w:rPr/>
      </w:pPr>
      <w:bookmarkEnd w:id="78"/>
      <w:r>
        <w:rPr>
          <w:rFonts w:ascii="IRNazanin" w:hAnsi="IRNazanin" w:eastAsia="IRNazanin"/>
          <w:color w:val="111111"/>
          <w:sz w:val="28"/>
          <w:sz w:val="28"/>
          <w:szCs w:val="28"/>
          <w:rtl w:val="true"/>
          <w:lang w:bidi="fa-IR"/>
        </w:rPr>
        <w:t>ايشان وجهي براي نظر خود ارائه داده، مي 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جايي كه خيانت از كبائر است و غيبت هم خيانت است، زيرا چه خيانتي بزرگتر از تفكّه به گوشت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از كبائر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وجهي كه از قِبَل بعض معاصرينِ مرحوم شيخ كه منكر كبيره بودن غيبت بودند مي توان ارائه داد، اين چنين است</w:t>
      </w:r>
      <w:r>
        <w:rPr>
          <w:rFonts w:eastAsia="IRNazanin" w:cs="IRNazanin"/>
          <w:color w:val="111111"/>
          <w:sz w:val="28"/>
          <w:szCs w:val="28"/>
          <w:rtl w:val="true"/>
          <w:lang w:bidi="fa-IR"/>
        </w:rPr>
        <w:t>:</w:t>
      </w:r>
    </w:p>
    <w:p>
      <w:pPr>
        <w:pStyle w:val="Heading4"/>
        <w:numPr>
          <w:ilvl w:val="3"/>
          <w:numId w:val="1"/>
        </w:numPr>
        <w:rPr/>
      </w:pPr>
      <w:bookmarkStart w:id="79" w:name="__RefHeading___Toc2770239_3804643083"/>
      <w:bookmarkStart w:id="80" w:name="_Toc30"/>
      <w:bookmarkEnd w:id="79"/>
      <w:r>
        <w:rPr>
          <w:rtl w:val="true"/>
        </w:rPr>
        <w:t>وجه مخالفت برخي با كبيره بودن غيبت</w:t>
      </w:r>
      <w:bookmarkEnd w:id="80"/>
    </w:p>
    <w:p>
      <w:pPr>
        <w:pStyle w:val="BookText"/>
        <w:rPr/>
      </w:pPr>
      <w:r>
        <w:rPr>
          <w:rFonts w:ascii="Amiri" w:hAnsi="Amiri" w:eastAsia="Amiri" w:cs="Amiri"/>
          <w:color w:val="111111"/>
          <w:sz w:val="28"/>
          <w:sz w:val="28"/>
          <w:szCs w:val="28"/>
          <w:rtl w:val="true"/>
          <w:lang w:bidi="ar-SA"/>
        </w:rPr>
        <w:t>روايتي كه بتواند دالّ بر كبيره بودن غيبت باشد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ملاكات عامّي هم كه براي تشخيص كبائر داده شده، بر غيبت منطبق نمي‌شود</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2770241_3804643083"/>
      <w:bookmarkStart w:id="82" w:name="_Toc31"/>
      <w:bookmarkEnd w:id="81"/>
      <w:r>
        <w:rPr>
          <w:rtl w:val="true"/>
        </w:rPr>
        <w:t>تحقيقي در معناي گناهان كبيره</w:t>
      </w:r>
      <w:bookmarkEnd w:id="82"/>
    </w:p>
    <w:p>
      <w:pPr>
        <w:pStyle w:val="BookText"/>
        <w:rPr/>
      </w:pPr>
      <w:r>
        <w:rPr>
          <w:rFonts w:ascii="IRNazanin" w:hAnsi="IRNazanin" w:eastAsia="IRNazanin"/>
          <w:color w:val="111111"/>
          <w:sz w:val="28"/>
          <w:sz w:val="28"/>
          <w:szCs w:val="28"/>
          <w:rtl w:val="true"/>
          <w:lang w:bidi="fa-IR"/>
        </w:rPr>
        <w:t>بحث كبيره بودن غيبت، بحث مهمّي است كه نه تنها اثر اخروي دارد، بلكه ـ بر طبق بعضي مباني ـ اثر فقهي هم دارد؛ زيرا برخي قائلند آن چه كه به عدالت ضربه زده و موجب خروج شخص از وصف عدالت مي‌شود، ارتكاب كبيره يا اصرار بر صغيره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اين مبنا اگر غيبت از كبائر باشد و شخصي غيبت كرد ديگر عادل نيست، ولي بر اساس مبناي مقابل، ضربه‌اي به عدالت شخص نخواهد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اين‌كه اين مبنا صحيح است يا نه، بحثِ خودش را مي‌طلبد و ما در اين مبنا مناقشه داريم، ولي بعيد نيست كه اين مبنا مطابق نظر مشهور باشد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اثر فقهي و اخروي، اثر معرفتي هم دارد؛ يعني شناخت كبائر در فهم قرآن كريم هم مفيد است؛ زيرا در سه آيه‌ي</w:t>
      </w:r>
    </w:p>
    <w:p>
      <w:pPr>
        <w:pStyle w:val="BookText"/>
        <w:rPr/>
      </w:pPr>
      <w:r>
        <w:rPr>
          <w:rFonts w:ascii="Amiri" w:hAnsi="Amiri" w:eastAsia="Amiri" w:cs="Amiri"/>
          <w:color w:val="111111"/>
          <w:sz w:val="28"/>
          <w:sz w:val="28"/>
          <w:szCs w:val="28"/>
          <w:rtl w:val="true"/>
          <w:lang w:bidi="ar-SA"/>
        </w:rPr>
        <w:t>شريفه‌ي قرآن از كبائر صحبت شده است كه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 عَنْكُمْ سَيِّئاتِكُمْ وَ نُدْخِلْكُمْ مُدْخَلاً كَريماً</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الَّذينَ يَجْتَنِبُونَ كَبائِرَ الْإِثْمِ وَ الْفَواحِشَ وَ إِذا ما غَضِبُوا هُمْ يَغْفِرُونَ</w:t>
      </w:r>
      <w:r>
        <w:rPr>
          <w:rFonts w:eastAsia="Amiri" w:cs="Amiri" w:ascii="Amiri" w:hAnsi="Amiri"/>
          <w:color w:val="111111"/>
          <w:sz w:val="28"/>
          <w:szCs w:val="28"/>
          <w:rtl w:val="true"/>
          <w:lang w:bidi="ar-SA"/>
        </w:rPr>
        <w:t>)</w:t>
      </w:r>
      <w:r>
        <w:rPr>
          <w:rStyle w:val="FootnoteAnchor"/>
          <w:rtl w:val="true"/>
        </w:rPr>
        <w:footnoteReference w:id="63"/>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 إِنَّ رَبَّكَ واسِعُ الْمَغْفِرَةِ هُوَ أَعْلَمُ بِكُمْ إِذْ أَنْشَأَكُمْ مِنَ الْأَرْضِ وَ إِذْ أَنْتُمْ أَجِنَّةٌ في بُطُونِ أُمَّهاتِكُمْ فَلا تُزَكُّوا أَنْفُسَكُمْ هُوَ أَعْلَمُ بِمَنِ اتَّقى</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بررسي اين مسأله كه غيبت از كبائر است يا نه، داراي اثرات مهمّي است، لذا به بررسي آن مي‌پردازيم</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تشخيص كبائر، اختلاف نظر سنگيني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w:t>
      </w:r>
      <w:bookmarkStart w:id="83" w:name="pg2359_23227"/>
    </w:p>
    <w:p>
      <w:pPr>
        <w:pStyle w:val="BookText"/>
        <w:rPr/>
      </w:pPr>
      <w:bookmarkEnd w:id="83"/>
      <w:r>
        <w:rPr>
          <w:rFonts w:ascii="IRNazanin" w:hAnsi="IRNazanin" w:eastAsia="IRNazanin"/>
          <w:color w:val="111111"/>
          <w:sz w:val="28"/>
          <w:sz w:val="28"/>
          <w:szCs w:val="28"/>
          <w:rtl w:val="true"/>
          <w:lang w:bidi="fa-IR"/>
        </w:rPr>
        <w:t>علامه‌ي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مرآة العقول كه شرح كافي است، در جايي كه جناب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روايات مربوط به گناهان كبيره مي‌شود اقوال مختلف را مفصّلاً ـ از عامّه و خاصّه ـ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مي‌رسد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مطالبي را كه در اين رابطه در مصباح الفقاهه آورده است، از مرآة العقول اقتباس كرده باشد</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4" w:name="__RefHeading___Toc2770243_3804643083"/>
      <w:bookmarkStart w:id="85" w:name="_Toc32"/>
      <w:bookmarkEnd w:id="84"/>
      <w:r>
        <w:rPr>
          <w:rtl w:val="true"/>
        </w:rPr>
        <w:t>اقوال مختلف در معناي كبيره</w:t>
      </w:r>
      <w:bookmarkEnd w:id="85"/>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در قرآن كريم به آن وعيد آتش داده شده باشد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أوعد الله عليه النار فهو كبيرةٌ</w:t>
      </w:r>
      <w:r>
        <w:rPr>
          <w:rFonts w:eastAsia="IRNazanin" w:cs="IRNazanin"/>
          <w:color w:val="111111"/>
          <w:sz w:val="28"/>
          <w:szCs w:val="28"/>
          <w:rtl w:val="true"/>
          <w:lang w:bidi="fa-IR"/>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وَ فِي عِقَابِ الْأَعْمَالِ عَنْ أَبِيهِ عَنْ مُحَمَّدِ بْنِ يَحْيَى عَنْ مُحَمَّدِ بْنِ أَحْمَدَ عَنْ عَلِيِّ بْنِ إِسْمَاعِيلَ عَنْ أَحْمَدَ بْنِ النَّضْرِ عَنْ عَبَّادِ بْنِ كَثِيرٍ النَّوَّاءِ قَالَ سَأَلْتُ أَبَا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أَوْعَدَ اللَّهُ عَلَيْهِ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xml:space="preserve">، كتاب الجهاد، ابواب جهاد النفس، باب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اين نظر عنايت روي وعيد آتش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در قرآن كريم به آن وعيد عذاب ـ چه آتش و چه غير آن ـ داده باشند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أوعد الله عليه في الاخرة عقاباً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 الله عليه العذاب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قول، شرطيّت خصوص آتش حذف شده و عذاب، اعمّ از آتش و غير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در قرآن كريم يا لسان 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ائمه‌ي طاهرين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وعيد آتش يا عذاب به آن داده شده باشد،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 عليه في القرآن أو في لسان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الوصي النار أو العذاب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كه خداوند در قرآن كريم براي آن در آخرت وعيد عقاب داده باشد و در دنيا هم موجب حدّ باشد، كبيره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أوعد الله عليه في الاخرة عقاباً و أوجب عليه في الدّنيا حدّاً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تمامي گناهان كبيره هستند، اگرچه بعضي از گناهان بزرگتر از بعضي ديگر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المعاصي كلُّها كبيرة</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نقد و بررسي</w:t>
      </w:r>
      <w:bookmarkStart w:id="86" w:name="pg2359_23229"/>
    </w:p>
    <w:p>
      <w:pPr>
        <w:pStyle w:val="BookText"/>
        <w:rPr/>
      </w:pPr>
      <w:bookmarkEnd w:id="86"/>
      <w:r>
        <w:rPr>
          <w:rFonts w:ascii="IRNazanin" w:hAnsi="IRNazanin" w:eastAsia="IRNazanin"/>
          <w:color w:val="111111"/>
          <w:sz w:val="28"/>
          <w:sz w:val="28"/>
          <w:szCs w:val="28"/>
          <w:rtl w:val="true"/>
          <w:lang w:bidi="fa-IR"/>
        </w:rPr>
        <w:t>اگر خواسته باشيم با توجّه به آيات و روايات، يك معيار قطعي براي كبائر بدهيم كه همه جا كاربرد داشته باشد، انصافاً كار مشكلي است، تا آن‌جا كه مرحوم مجلسي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مصلحت اين بوده كه كبائر، مثل شب قدر مخفي باشد؛ يعني فقط همين اندازه معلوم باشد كه كبائري هست و مردم فكر كنند هر گناهي كه قصد ارتكابش را دارند ممكن است كبيره باشد و لذا مراقب باشند و از تمامي گناهان اجتناب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نظر به مجموع رواياتي كه در اين زمينه وارد شده و آيات مباركه و احاديثي كه در ذيل آن براي تفسير آيات آمده است،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اطلاقاتي دارد كه به ذكر يك‌يك آن‌ها مي‌پردازيم</w:t>
      </w:r>
      <w:r>
        <w:rPr>
          <w:rFonts w:eastAsia="IRNazanin" w:cs="IRNazanin"/>
          <w:color w:val="111111"/>
          <w:sz w:val="28"/>
          <w:szCs w:val="28"/>
          <w:rtl w:val="true"/>
          <w:lang w:bidi="fa-IR"/>
        </w:rPr>
        <w:t>.</w:t>
      </w:r>
    </w:p>
    <w:p>
      <w:pPr>
        <w:pStyle w:val="Heading4"/>
        <w:numPr>
          <w:ilvl w:val="3"/>
          <w:numId w:val="1"/>
        </w:numPr>
        <w:rPr/>
      </w:pPr>
      <w:bookmarkStart w:id="87" w:name="__RefHeading___Toc2770245_3804643083"/>
      <w:bookmarkStart w:id="88" w:name="_Toc33"/>
      <w:bookmarkEnd w:id="87"/>
      <w:r>
        <w:rPr>
          <w:rtl w:val="true"/>
        </w:rPr>
        <w:t>اطلاقات كبيره در روايات</w:t>
      </w:r>
      <w:bookmarkEnd w:id="88"/>
    </w:p>
    <w:p>
      <w:pPr>
        <w:pStyle w:val="BookText"/>
        <w:rPr/>
      </w:pPr>
      <w:r>
        <w:rPr>
          <w:rFonts w:ascii="Amiri" w:hAnsi="Amiri" w:eastAsia="Amiri" w:cs="Amiri"/>
          <w:color w:val="111111"/>
          <w:sz w:val="28"/>
          <w:sz w:val="28"/>
          <w:szCs w:val="28"/>
          <w:rtl w:val="true"/>
          <w:lang w:bidi="ar-SA"/>
        </w:rPr>
        <w:t>اطلاق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 به قول مطلق</w:t>
      </w:r>
    </w:p>
    <w:p>
      <w:pPr>
        <w:pStyle w:val="BookText"/>
        <w:rPr/>
      </w:pPr>
      <w:r>
        <w:rPr>
          <w:rFonts w:ascii="IRNazanin" w:hAnsi="IRNazanin" w:eastAsia="IRNazanin"/>
          <w:color w:val="111111"/>
          <w:sz w:val="28"/>
          <w:sz w:val="28"/>
          <w:szCs w:val="28"/>
          <w:rtl w:val="true"/>
          <w:lang w:bidi="fa-IR"/>
        </w:rPr>
        <w:t>اين اطلاق، در طبقه‌بندي، در طبقه‌ي اولي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طبقه ممكن است خود داراي افرادي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تعداد اين كبائر را هفت مورد شمرده‌اند، هرچند بيان روايات با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حرّ عاملي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وسائل الشيعه، كتاب الجهاد، ابواب جهاد النفس و ما يناسبه، باب تعيين الكبائر التي يجب اجتنابها، روايات مربوط به كبائر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تعدادي از اين روايات را ذكر و بررسي مي‌كنيم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ـ صحيحه‌ي ابن محبوب</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بَعْضُ أَصْحَابِنَا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الْكَبَائِرِ، كَمْ هِيَ وَ مَا هِيَ؟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 السَّبْعُ الْمُوجِبَاتُ 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8"/>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محبوب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اصحاب ما همراه من به امام كاظم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اي نوشته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چندتاست و كدامند؟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آن چيزي است كه اگر كسي از آن‌ها اجتناب كند، كه خداوند وعده‌ي آتش برآن داده است، در صورتي كه مؤمن باشد سيئات او را جبران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كبائر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موجبات عقوبت هستند هفت موردند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 حرام، عقوق والدين، ربا خواري، تعرّب بعد از هجرت</w:t>
      </w:r>
      <w:r>
        <w:rPr>
          <w:rStyle w:val="FootnoteAnchor"/>
          <w:rtl w:val="true"/>
        </w:rPr>
        <w:footnoteReference w:id="69"/>
      </w:r>
      <w:r>
        <w:rPr>
          <w:rFonts w:ascii="Amiri" w:hAnsi="Amiri" w:eastAsia="Amiri" w:cs="Amiri"/>
          <w:color w:val="111111"/>
          <w:sz w:val="28"/>
          <w:sz w:val="28"/>
          <w:szCs w:val="28"/>
          <w:rtl w:val="true"/>
          <w:lang w:bidi="ar-SA"/>
        </w:rPr>
        <w:t xml:space="preserve">، قذف محصنه، خوردن مال يتيم و فرار از نبرد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عبيد بن زراره</w:t>
      </w:r>
    </w:p>
    <w:p>
      <w:pPr>
        <w:pStyle w:val="BookText"/>
        <w:rPr/>
      </w:pPr>
      <w:r>
        <w:rPr>
          <w:rFonts w:ascii="Amiri" w:hAnsi="Amiri" w:eastAsia="Amiri" w:cs="Amiri"/>
          <w:color w:val="111111"/>
          <w:sz w:val="28"/>
          <w:sz w:val="28"/>
          <w:szCs w:val="28"/>
          <w:rtl w:val="true"/>
          <w:lang w:bidi="ar-SA"/>
        </w:rPr>
        <w:t>عَنْ عَلِيِّ بْنِ إِبْرَاهِيمَ عَنْ أَبِيهِ عَنِ ابْنِ أَبِي عُمَيْرٍ عَنْ عَبْدِ الرَّحْمَنِ بْنِ الْحَجَّاجِ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الْكَبَائِرِ،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هُنَّ فِي كِتَابِ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الْكُفْرُ بِاللَّهِ وَ قَتْلُ النَّفْسِ وَ عُقُوقُ الْوَالِدَيْنِ وَ أَكْلُ الرِّبَا بَعْدَ الْبَيِّنَةِ وَ أَكْلُ مَالِ الْيَتِيمِ ظُلْماً وَ الْفِرَارُ مِنَ الزَّحْفِ وَ التَّعَرُّبُ بَعْدَ الْهِجْرَةِ</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عبيد بن زراره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ي كبائر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 به خداوند متعال، قتل نفس، عقوق والدين</w:t>
      </w:r>
      <w:r>
        <w:rPr>
          <w:rStyle w:val="FootnoteAnchor"/>
          <w:rtl w:val="true"/>
        </w:rPr>
        <w:footnoteReference w:id="71"/>
      </w:r>
      <w:r>
        <w:rPr>
          <w:rFonts w:ascii="IRNazanin" w:hAnsi="IRNazanin" w:eastAsia="IRNazanin"/>
          <w:color w:val="111111"/>
          <w:sz w:val="28"/>
          <w:sz w:val="28"/>
          <w:szCs w:val="28"/>
          <w:rtl w:val="true"/>
          <w:lang w:bidi="fa-IR"/>
        </w:rPr>
        <w:t xml:space="preserve">، ربا خواري بعد از قيام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حرمت 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خوردن مال يتيم به ظلم، فرار از جنگ و تعرّب بعد از هجرت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تفاوت اين روايت با روايت ابن محبوب آن است كه روايت ابن محبوب قذف محصنه را از كبائر شمرده است ولي روايت زراره آن مورد را ذكر نكرده و كفر بالله را بيان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توجيه اين تفاوت آن است كه در روايت ابن محبوب، حضرت در صدد</w:t>
      </w:r>
    </w:p>
    <w:p>
      <w:pPr>
        <w:pStyle w:val="BookText"/>
        <w:rPr/>
      </w:pPr>
      <w:r>
        <w:rPr>
          <w:rFonts w:ascii="IRNazanin" w:hAnsi="IRNazanin" w:eastAsia="IRNazanin"/>
          <w:color w:val="111111"/>
          <w:sz w:val="28"/>
          <w:sz w:val="28"/>
          <w:szCs w:val="28"/>
          <w:rtl w:val="true"/>
          <w:lang w:bidi="fa-IR"/>
        </w:rPr>
        <w:t>بيان اين مطلب بودند كه اگر كسي مؤمن باشد و از اين معاصي اجتناب كند خداوند سيّئاتش را مي‌بخشايد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آن است كه در مخاطب، شرك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روايت زراره، مخاطب اعم است و مخصوصِ فرض ايمان نيست، لذا كفر را در اولين مورد ذكر مي‌فرمايد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به اين مضامين كه كبائر هفت مورد است ـ با اندك تفاوت‌هايي ـ در همين باب وجود دارد، از جمله روايت سيزدهم و شانزدهم، ولي سند‌ها تمام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برخي از كارها مثل ترك صلات كه قطعاً موبقه است، در روايات جزء كبائر نيامده است؟</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شبهه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همين روايت، عبيد بن زراره از حضرت درباره‌ي نبودن ترك صلات از كبائر مي‌پرسد و حضرت اين‌گونه پاسخ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هَذَا أَكْبَرُ الْمَعَاصِي؟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فَأَكْلُ الدِّرْهَمِ مِنْ مَالِ الْيَتِيمِ ظُلْماً أَكْبَرُ أَمْ تَرْكُ الصَّلَاةِ؟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عَدَدْتَ تَرْكَ الصَّلَاةِ فِي الْكَبَائِرِ؟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أَوَّلُ مَا قُلْتُ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تَارِكَ الصَّلَاةِ كَافِرٌ يَعْنِي مِنْ غَيْرِ 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عبيد بن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پس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بزرگترين معاصي هستند؟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صورت، خوردن يك درهم از مال يتيم به ظلم بزرگتر است يا ترك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ترك نماز را از جمله‌ي كبائر نشمرديد؟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موردي كه برايت گفتم، كدام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ترك كننده‌ي نماز كافر است، البته مقصودم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دليل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عناويني كه مسلّماً از كبائر است ولي جزء هفت مورد شمرده نشده، مانند لواط يا رشوه، اين‌ها داخل در كفر بالله مي‌تواند باشد، كما اين‌كه در مورد رشوه روايت داريم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الكفر بالله العظيم</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يك اطلاق كبيره اين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كبائري هستند كه بالاتر از آن كبيره‌اي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فوقها كبيرة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خود اين كبائر داراي طبقاتي هستند، مانند شرك بالله كه از همه‌ي كبائر 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گناهي كبيره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ذنبٍ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كبيره بودنِ هر گناهي به اعتبار اين است كه گناه، عصيان پروردگار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هم از روايات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بر مطلب، تعدادي از رواياتي است كه در كتاب شريف وسائل الشيعه، كتاب الجهاد، ابواب جهاد النفس، باب تعيين الكبائر آمده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حلبي</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ابْنِ أَبِي عُمَيْرٍ عَنْ حَمَّادٍ عَنِ الْحَلَبِيِّ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الْقُنُوتِ فِي</w:t>
      </w:r>
    </w:p>
    <w:p>
      <w:pPr>
        <w:pStyle w:val="BookText"/>
        <w:rPr/>
      </w:pPr>
      <w:r>
        <w:rPr>
          <w:rFonts w:ascii="Amiri" w:hAnsi="Amiri" w:eastAsia="Amiri" w:cs="Amiri"/>
          <w:color w:val="111111"/>
          <w:sz w:val="28"/>
          <w:sz w:val="28"/>
          <w:szCs w:val="28"/>
          <w:rtl w:val="true"/>
          <w:lang w:bidi="ar-SA"/>
        </w:rPr>
        <w:t>الْوَتْرِ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اسْتَغْفِرْ لِذَنْبِكَ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الشَّيْخُ بِإِسْنَادِهِ عَنْ مُحَمَّدِ بْنِ يَعْقُوبَ مِثْلَهُ</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حلبي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درباره‌ي قنوت در نماز وتر، تا اين‌كه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 بزرگت 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گناهي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اصطلاح، خيلي جا افتاده نيست كه هر گناهي را به اعتبار اين‌كه عصيان خداوند است كبيره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اطلاق، اطلاق خاصّي است و معمولاً به لفظ كبيره نمي‌آيد، بلكه با لفظ عظيم مي‌گويند، گرچه معناي كبيره با عظيم تفاوتي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گناهي است كه مرتكبش پشيمان نشود</w:t>
      </w:r>
    </w:p>
    <w:p>
      <w:pPr>
        <w:pStyle w:val="BookText"/>
        <w:rPr/>
      </w:pPr>
      <w:r>
        <w:rPr>
          <w:rFonts w:ascii="Amiri" w:hAnsi="Amiri" w:eastAsia="Amiri" w:cs="Amiri"/>
          <w:color w:val="111111"/>
          <w:sz w:val="28"/>
          <w:sz w:val="28"/>
          <w:szCs w:val="28"/>
          <w:rtl w:val="true"/>
          <w:lang w:bidi="ar-SA"/>
        </w:rPr>
        <w:t>اين اصطلاح هم از روايات متعددي استفاده مي‌شود، از جمله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ابن ابي عمير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كِتَابِ التَّوْحِيدِ عَنْ أَحْمَدَ بْنِ زِيَادِ بْنِ جَعْفَرٍ الْهَمَذَانِيِّ عَنْ عَلِيِّ بْنِ إِبْرَاهِيمَ عَنْ أَبِيهِ عَنْ مُحَمَّدِ بْنِ أَبِي عُمَيْرٍ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اجْتَنَبَ الْكَبَائِرَ مِنَ الْمُؤْمِنِينَ لَمْ يُسْأَلْ عَنِ الصَّغَائِرِ 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تَجْتَنِبُوا كَبائِرَ ما تُنْهَوْنَ عَنْهُ نُكَفِّرْ</w:t>
      </w:r>
    </w:p>
    <w:p>
      <w:pPr>
        <w:pStyle w:val="BookText"/>
        <w:rPr/>
      </w:pPr>
      <w:r>
        <w:rPr>
          <w:rFonts w:ascii="Amiri" w:hAnsi="Amiri" w:eastAsia="Amiri" w:cs="Amiri"/>
          <w:color w:val="111111"/>
          <w:sz w:val="28"/>
          <w:sz w:val="28"/>
          <w:szCs w:val="28"/>
          <w:rtl w:val="true"/>
          <w:lang w:bidi="ar-SA"/>
        </w:rPr>
        <w:t>عَنْكُمْ سَيِّئاتِكُمْ وَ نُدْخِلْكُمْ مُدْخَلًا كَرِيماً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فَالشَّفَاعَةُ لِمَنْ تَجِبُ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شَفَاعَتِي لِأَهْلِ الْكَبَائِرِ مِنْ أُمَّتِي فَأَمَّا الْمُحْسِنُونَ فَمَا عَلَيْهِمْ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فَقُلْتُ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الشَّفَاعَةُ لِأَهْلِ الْكَبَائِرِ وَ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يَشْفَعُونَ إِلّا لِمَنِ ارْتَضى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يَرْتَكِبُ الْكَبَائِرَ لَا يَكُونُ مُرْتَضًى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يُذْنِبُ ذَنْباً إِلَّا سَاءَهُ ذَلِكَ وَ نَدِمَ عَلَيْهِ وَ قَدْ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سَرَّتْهُ حَسَنَتُهُ وَ سَاءَتْهُ سَيِّئَتُهُ فَهُوَ مُؤْمِنٌ فَمَنْ لَمْ يَنْدَمْ عَلَى ذَنْبٍ يَرْتَكِبُهُ فَلَيْسَ بِمُؤْمِنٍ وَ لَمْ تَجِبْ لَهُ الشَّفَاعَةُ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كَبِيرَ مَعَ الِاسْتِغْفَارِ وَ لَا صَغِيرَ مَعَ الْإِصْرَارِ الْحَدِيثَ</w:t>
      </w:r>
      <w:r>
        <w:rPr>
          <w:rFonts w:eastAsia="Amiri" w:cs="Amiri" w:ascii="Amiri" w:hAnsi="Amiri"/>
          <w:color w:val="111111"/>
          <w:sz w:val="28"/>
          <w:szCs w:val="28"/>
          <w:rtl w:val="true"/>
          <w:lang w:bidi="ar-SA"/>
        </w:rPr>
        <w:t>»</w:t>
      </w:r>
      <w:r>
        <w:rPr>
          <w:rStyle w:val="FootnoteAnchor"/>
          <w:rtl w:val="true"/>
        </w:rPr>
        <w:footnoteReference w:id="7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ابي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مؤمنيني كه از كبائر بپرهيزند، درباره‌ي گناهان كوچكشان مورد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از گناهان بزرگى كه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نهى شده‌ايد دورى گزينيد بدي‌هاى شما را از شما مى‌زداييم و شما را در جايگاهى ارجمند درمى‌آوريم</w:t>
      </w:r>
      <w:r>
        <w:rPr>
          <w:rFonts w:eastAsia="IRNazanin" w:cs="IRNazanin"/>
          <w:color w:val="111111"/>
          <w:sz w:val="28"/>
          <w:szCs w:val="28"/>
          <w:rtl w:val="true"/>
          <w:lang w:bidi="fa-IR"/>
        </w:rPr>
        <w:t>)</w:t>
      </w:r>
      <w:r>
        <w:rPr>
          <w:rStyle w:val="FootnoteAnchor"/>
          <w:rtl w:val="true"/>
        </w:rPr>
        <w:footnoteReference w:id="7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 پس شفاعت براي چه كساني است؟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پدرانش از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نقل فرمودند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شفاعت ما براي مرتكيبن گناهان كبيره از امّت ماست، امّا نيكوكاران مشكلي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نيازمند شفاعت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ابي عمير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پرسيدم اي 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شفاعت براي اهل كبائر است و حال آن‌كه خداوند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جز براى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دهد، شفاعت نمى‌كنند</w:t>
      </w:r>
      <w:r>
        <w:rPr>
          <w:rFonts w:eastAsia="IRNazanin" w:cs="IRNazanin"/>
          <w:color w:val="111111"/>
          <w:sz w:val="28"/>
          <w:szCs w:val="28"/>
          <w:rtl w:val="true"/>
          <w:lang w:bidi="fa-IR"/>
        </w:rPr>
        <w:t>)</w:t>
      </w:r>
      <w:r>
        <w:rPr>
          <w:rStyle w:val="FootnoteAnchor"/>
          <w:rtl w:val="true"/>
        </w:rPr>
        <w:footnoteReference w:id="76"/>
      </w:r>
      <w:r>
        <w:rPr>
          <w:rFonts w:ascii="IRNazanin" w:hAnsi="IRNazanin" w:eastAsia="IRNazanin"/>
          <w:color w:val="111111"/>
          <w:sz w:val="28"/>
          <w:sz w:val="28"/>
          <w:szCs w:val="28"/>
          <w:rtl w:val="true"/>
          <w:lang w:bidi="fa-IR"/>
        </w:rPr>
        <w:t>و كسي كه مرتكب كبائر مي‌شود خداوند از او راضي نيست؟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مؤمني نيست كه گناهي انجام دهد، مگر آن‌كه از ارتكابش ناراحت شده و پشيمان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تحقيق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توبه پشيماني كافي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حسنات خوشحالش مي‌كند و گناهان ناراحتش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علامت آن است كه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است و كسي كه از ارتكاب گناه پشيمان نمي‌شود مؤمن نيست و شفاعتي هم برايش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استغفار، ديگر گناه كبيره‌اي نيست و در صورت اصرار، ديگر آن گناه، صغير و كوچك نيست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بيان ما جملات پاياني روايت است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با اصرار</w:t>
      </w:r>
      <w:r>
        <w:rPr>
          <w:rStyle w:val="FootnoteAnchor"/>
          <w:rtl w:val="true"/>
        </w:rPr>
        <w:footnoteReference w:id="77"/>
      </w:r>
      <w:r>
        <w:rPr>
          <w:rFonts w:ascii="IRNazanin" w:hAnsi="IRNazanin" w:eastAsia="IRNazanin"/>
          <w:color w:val="111111"/>
          <w:sz w:val="28"/>
          <w:sz w:val="28"/>
          <w:szCs w:val="28"/>
          <w:rtl w:val="true"/>
          <w:lang w:bidi="fa-IR"/>
        </w:rPr>
        <w:t>و بدون پشيماني گناهي را انجام دهد، ديگر آن</w:t>
      </w:r>
    </w:p>
    <w:p>
      <w:pPr>
        <w:pStyle w:val="BookText"/>
        <w:rPr/>
      </w:pPr>
      <w:r>
        <w:rPr>
          <w:rFonts w:ascii="IRNazanin" w:hAnsi="IRNazanin" w:eastAsia="IRNazanin"/>
          <w:color w:val="111111"/>
          <w:sz w:val="28"/>
          <w:sz w:val="28"/>
          <w:szCs w:val="28"/>
          <w:rtl w:val="true"/>
          <w:lang w:bidi="fa-IR"/>
        </w:rPr>
        <w:t>گناه ـ هرچند از گناهان صغيره باشد ولي ـ صغيره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اين بيان، گناهي هم كه گناه‌كار از انجامش پشيمان شده و اميد به عفو داشته باشد، هرچند از كبائر باشد صغيره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در مقابل لَمَم</w:t>
      </w:r>
    </w:p>
    <w:p>
      <w:pPr>
        <w:pStyle w:val="BookText"/>
        <w:rPr/>
      </w:pPr>
      <w:r>
        <w:rPr>
          <w:rFonts w:ascii="Amiri" w:hAnsi="Amiri" w:eastAsia="Amiri" w:cs="Amiri"/>
          <w:color w:val="111111"/>
          <w:sz w:val="28"/>
          <w:sz w:val="28"/>
          <w:szCs w:val="28"/>
          <w:rtl w:val="true"/>
          <w:lang w:bidi="ar-SA"/>
        </w:rPr>
        <w:t>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w:t>
      </w:r>
      <w:r>
        <w:rPr>
          <w:rStyle w:val="FootnoteAnchor"/>
          <w:rtl w:val="true"/>
        </w:rPr>
        <w:footnoteReference w:id="7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آنان كه از گناهان بزرگ و زشت‌كاري‌ها، جز لغزش‌هاى كوچك، خوددارى مى‌ورزند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اعتنايي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امر آن است كه اگر ما بوديم و آيه‌ي شريفه، معناي آن مبهم بود و نمي‌توانستيم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بفهميم و با توجّه به قرائن و شواهدي كه هست و مناسبات حكم و موضوع</w:t>
      </w:r>
      <w:r>
        <w:rPr>
          <w:rStyle w:val="FootnoteAnchor"/>
          <w:rtl w:val="true"/>
        </w:rPr>
        <w:footnoteReference w:id="79"/>
      </w:r>
      <w:r>
        <w:rPr>
          <w:rFonts w:ascii="IRNazanin" w:hAnsi="IRNazanin" w:eastAsia="IRNazanin"/>
          <w:color w:val="111111"/>
          <w:sz w:val="28"/>
          <w:sz w:val="28"/>
          <w:szCs w:val="28"/>
          <w:rtl w:val="true"/>
          <w:lang w:bidi="fa-IR"/>
        </w:rPr>
        <w:t xml:space="preserve">در آيه‌ي شريفه، مي‌گفتيم به معناي گناهان كوچك است، ولي به بركت رواياتي كه در خصوص اين مورد وارد شده است مي‌توانيم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يابيم</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بابي در كافي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و چندين روايت را ذكر كرده است كه در بين آن‌ها روايت صحيحه</w:t>
      </w:r>
    </w:p>
    <w:p>
      <w:pPr>
        <w:pStyle w:val="BookText"/>
        <w:rPr/>
      </w:pPr>
      <w:r>
        <w:rPr>
          <w:rFonts w:ascii="IRNazanin" w:hAnsi="IRNazanin" w:eastAsia="IRNazanin"/>
          <w:color w:val="111111"/>
          <w:sz w:val="28"/>
          <w:sz w:val="28"/>
          <w:szCs w:val="28"/>
          <w:rtl w:val="true"/>
          <w:lang w:bidi="fa-IR"/>
        </w:rPr>
        <w:t>هم وجود دارد، امّا صاحب وسائل تنها يكي از آن روايات را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بررسي آن روايات درمي يابيم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كسي گناهي را اتّفاقي انجام دهد و ارتكاب گناه برايش ملكه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مطابق اين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ارتكاب گناه براي كسي ملكه و عادي شده و جزء سجيّه‌ي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 مربوط به لَمَم</w:t>
      </w:r>
    </w:p>
    <w:p>
      <w:pPr>
        <w:pStyle w:val="BookText"/>
        <w:rPr/>
      </w:pPr>
      <w:r>
        <w:rPr>
          <w:rFonts w:ascii="Amiri" w:hAnsi="Amiri" w:eastAsia="Amiri" w:cs="Amiri"/>
          <w:color w:val="111111"/>
          <w:sz w:val="28"/>
          <w:sz w:val="28"/>
          <w:szCs w:val="28"/>
          <w:rtl w:val="true"/>
          <w:lang w:bidi="ar-SA"/>
        </w:rPr>
        <w:t>ـ صحيحه‌ي محمّد بن مسلم</w:t>
      </w:r>
    </w:p>
    <w:p>
      <w:pPr>
        <w:pStyle w:val="BookText"/>
        <w:rPr/>
      </w:pPr>
      <w:r>
        <w:rPr>
          <w:rFonts w:ascii="Amiri" w:hAnsi="Amiri" w:eastAsia="Amiri" w:cs="Amiri"/>
          <w:color w:val="111111"/>
          <w:sz w:val="28"/>
          <w:sz w:val="28"/>
          <w:szCs w:val="28"/>
          <w:rtl w:val="true"/>
          <w:lang w:bidi="ar-SA"/>
        </w:rPr>
        <w:t xml:space="preserve">عَلِيُّ بْنُ إِبْرَاهِيمَ عَنْ أَبِيهِ عَنِ ابْنِ أَبِي عُمَيْرٍ عَنْ أَبِي أَيُّوبَ عَنْ مُحَمَّدِ بْنِ مُسْلِمٍ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 رَأَيْتَ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الذَّنْبُ يُلِمُّ بِهِ الرَّجُلُ فَيَمْكُثُ مَا شَاءَ اللَّهُ ثُمَّ يُلِمُّ بِهِ بَعْدُ</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محمّد بن مسلم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قول خداوند متعال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گناهي است كه شخص انجام مي‌دهد، سپس تا وقتي كه خدا بخواهد از آن دست برمي‌دارد،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انجامش مي‌دهد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محمّد بن مسلم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أَبُو عَلِيٍّ الْأَشْعَرِيُّ عَنْ مُحَمَّدِ بْنِ عَبْدِ الْجَبَّارِ عَنْ صَفْوَانَ عَنِ الْعَلَاءِ عَنْ</w:t>
      </w:r>
    </w:p>
    <w:p>
      <w:pPr>
        <w:pStyle w:val="BookText"/>
        <w:rPr/>
      </w:pPr>
      <w:r>
        <w:rPr>
          <w:rFonts w:ascii="Amiri" w:hAnsi="Amiri" w:eastAsia="Amiri" w:cs="Amiri"/>
          <w:color w:val="111111"/>
          <w:sz w:val="28"/>
          <w:sz w:val="28"/>
          <w:szCs w:val="28"/>
          <w:rtl w:val="true"/>
          <w:lang w:bidi="ar-SA"/>
        </w:rPr>
        <w:t>مُحَمَّدِ بْنِ مُسْلِمٍ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الْهَنَةُ بَعْدَ الْهَنَةِ أَيِ الذَّنْبُ بَعْدَ الذَّنْبِ يُلِمُّ بِهِ الْعَبْدُ</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موثّقه‌ي اسحاق بن عمّار</w:t>
      </w:r>
    </w:p>
    <w:p>
      <w:pPr>
        <w:pStyle w:val="BookText"/>
        <w:rPr/>
      </w:pPr>
      <w:r>
        <w:rPr>
          <w:rFonts w:ascii="Amiri" w:hAnsi="Amiri" w:eastAsia="Amiri" w:cs="Amiri"/>
          <w:color w:val="111111"/>
          <w:sz w:val="28"/>
          <w:sz w:val="28"/>
          <w:szCs w:val="28"/>
          <w:rtl w:val="true"/>
          <w:lang w:bidi="ar-SA"/>
        </w:rPr>
        <w:t xml:space="preserve">عَلِيُّ بْنُ إِبْرَاهِيمَ عَنْ مُحَمَّدِ بْنِ عِيسَى عَنْ يُونُسَ عَنْ إِسْحَاقَ بْنِ عَمَّارٍ قَالَ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مَا مِنْ مُؤْمِنٍ إِلَّا وَ لَهُ ذَنْبٌ يَهْجُرُهُ زَمَاناً ثُمَّ يُلِمُّ بِهِ وَ ذَلِكَ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يَجْتَنِبُونَ كَبائِرَ الْإِثْمِ وَ الْفَواحِشَ إِلَّا اللَّمَمَ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الْفَوَاحِشُ الزِّنَى وَ السَّرِقَةُ وَ اللَّمَمُ الرَّجُلُ يُلِمُّ بِالذَّنْبِ فَيَسْتَغْفِرُ اللَّهَ مِنْهُ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مؤمني نيست مگر آن‌كه گناهي مرتكب مي‌شود، سپس مدّتي آن را ترك مي‌كند و بعد دوباره انجامش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خداوند است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درباره‌ي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يَجْتَنِبُونَ كَبائِرَ الْإِثْمِ وَ الْفَواحِشَ إِلَّا اللَّمَمَ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فواحش، زنا و سرقت است و لمم گناهي است كه شخص انجام مي‌دهد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بلافاصله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گناهش استغفار مي‌كند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صحيحه‌ي ابن رئاب</w:t>
      </w:r>
    </w:p>
    <w:p>
      <w:pPr>
        <w:pStyle w:val="BookText"/>
        <w:rPr/>
      </w:pPr>
      <w:r>
        <w:rPr>
          <w:rFonts w:ascii="Amiri" w:hAnsi="Amiri" w:eastAsia="Amiri" w:cs="Amiri"/>
          <w:color w:val="111111"/>
          <w:sz w:val="28"/>
          <w:sz w:val="28"/>
          <w:szCs w:val="28"/>
          <w:rtl w:val="true"/>
          <w:lang w:bidi="ar-SA"/>
        </w:rPr>
        <w:t xml:space="preserve">عَلِيُّ بْنُ إِبْرَاهِيمَ عَنْ أَبِيهِ وَ عِدَّةٌ مِنْ أَصْحَابِنَا عَنْ سَهْلِ بْنِ زِيَادٍ جَمِيعاً عَنِ ابْنِ مَحْبُوبٍ عَنِ ابْنِ رِئَابٍ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لَا يَكُونُ سَجِيَّتُهُ الْكَذِبَ وَ الْبُخْلَ وَ الْفُجُورَ وَ رُبَّمَا أَلَمَّ مِنْ ذَلِكَ شَيْئاً لَا يَدُومُ عَلَيْهِ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فَيَزْنِي؟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لَا يُولَدُ لَهُ مِنْ تِلْكَ النُّطْفَةِ</w:t>
      </w:r>
      <w:r>
        <w:rPr>
          <w:rFonts w:eastAsia="Amiri" w:cs="Amiri" w:ascii="Amiri" w:hAnsi="Amiri"/>
          <w:color w:val="111111"/>
          <w:sz w:val="28"/>
          <w:szCs w:val="28"/>
          <w:rtl w:val="true"/>
          <w:lang w:bidi="ar-SA"/>
        </w:rPr>
        <w:t>»</w:t>
      </w:r>
      <w:r>
        <w:rPr>
          <w:rStyle w:val="FootnoteAnchor"/>
          <w:rtl w:val="true"/>
        </w:rPr>
        <w:footnoteReference w:id="83"/>
      </w:r>
    </w:p>
    <w:p>
      <w:pPr>
        <w:pStyle w:val="BookText"/>
        <w:rPr/>
      </w:pPr>
      <w:r>
        <w:rPr>
          <w:rFonts w:ascii="IRNazanin" w:hAnsi="IRNazanin" w:eastAsia="IRNazanin"/>
          <w:color w:val="111111"/>
          <w:sz w:val="28"/>
          <w:sz w:val="28"/>
          <w:szCs w:val="28"/>
          <w:rtl w:val="true"/>
          <w:lang w:bidi="fa-IR"/>
        </w:rPr>
        <w:t xml:space="preserve">ابن رئاب مي گويد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سجيّه‌اش كذب و بخل و فجور نيست، ولي چه بسا گناهي از اين‌ها را انجام دهد ولي بر آن تداوم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زنا هم مي‌شود؟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ولي اين‌گونه نيست كه از آن نطفه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نامشروعي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مجموع اين روايات مباركه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به اين اعتبار هم اطلاق مي شود كه ارتكاب گناه، سجيّه‌ي شخص عاصي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صغيره بر گناهي اطلاق مي‌شود كه شخص گاه‌گاه انجام مي‌دهد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اطلاق كبيره همان اطلاق سوم مي باشد؛ يعني گناهي كه شخص عاصي از ارتكابش پشيمان نيست و در روايت، از آن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لاصغير مع الاصرار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گناهي است كه خداوند وعيد آتش به آن داده باشد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وعيدِ در قرآن مراد است و از چند روايت معتبر، چنين اطلاقي استفاده مي‌شود و شكّي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أوعد الله عليها</w:t>
      </w:r>
      <w:bookmarkStart w:id="89" w:name="pg2359_23241"/>
    </w:p>
    <w:p>
      <w:pPr>
        <w:pStyle w:val="BookText"/>
        <w:rPr/>
      </w:pPr>
      <w:bookmarkEnd w:id="89"/>
      <w:r>
        <w:rPr>
          <w:rFonts w:ascii="IRNazanin" w:hAnsi="IRNazanin" w:eastAsia="IRNazanin"/>
          <w:color w:val="111111"/>
          <w:sz w:val="28"/>
          <w:sz w:val="28"/>
          <w:szCs w:val="28"/>
          <w:rtl w:val="true"/>
          <w:lang w:bidi="fa-IR"/>
        </w:rPr>
        <w:t>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كبيره است، هرچند در ضمن يكي از اطلاقات ديگر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صحيحه‌ي ابن محبوب هم چنين معنايي استفاده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ابن محبوب</w:t>
      </w:r>
    </w:p>
    <w:p>
      <w:pPr>
        <w:pStyle w:val="BookText"/>
        <w:rPr/>
      </w:pPr>
      <w:r>
        <w:rPr>
          <w:rFonts w:ascii="Amiri" w:hAnsi="Amiri" w:eastAsia="Amiri" w:cs="Amiri"/>
          <w:color w:val="111111"/>
          <w:sz w:val="28"/>
          <w:sz w:val="28"/>
          <w:szCs w:val="28"/>
          <w:rtl w:val="true"/>
          <w:lang w:bidi="ar-SA"/>
        </w:rPr>
        <w:t>مُحَمَّدُ بْنُ يَعْقُوبَ عَنْ عِدَّةٍ مِنْ أَصْحَابِنَا عَنْ أَحْمَدَ بْنِ مُحَمَّدٍ عَنِ ابْنِ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مَعِي بَعْضُ أَصْحَابِنَا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الْكَبَائِرِ كَمْ هِيَ وَ مَا هِيَ؟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الْكَبَائِرُ مَنِ اجْتَنَبَ مَا وَعَدَ اللَّهُ عَلَيْهِ النَّارَ، كَفَّرَ عَنْهُ سَيِّئَاتِهِ إِذَا كَانَ مُؤْمِناً وَ السَّبْعُ الْمُوجِبَاتُ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النَّفْسِ الْحَرَام وَ عُقُوقُ الْوَالِدَيْنِ وَ أَكْلُ الرِّبَا وَ التَّعَرُّبُ بَعْدَ الْهِجْرَةِ وَ قَذْفُ الْمُحْصَنَةِ وَ أَكْلُ مَالِ الْيَتِيمِ وَ الْفِرَارُ مِنَ الزَّحْفِ</w:t>
      </w:r>
      <w:r>
        <w:rPr>
          <w:rFonts w:eastAsia="Amiri" w:cs="Amiri" w:ascii="Amiri" w:hAnsi="Amiri"/>
          <w:color w:val="111111"/>
          <w:sz w:val="28"/>
          <w:szCs w:val="28"/>
          <w:rtl w:val="true"/>
          <w:lang w:bidi="ar-SA"/>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البته اگر اين اطلاق ملاك قرار گيرد، ظاهراً اطلاق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اين معنا مي‌گنجد</w:t>
      </w:r>
      <w:r>
        <w:rPr>
          <w:rFonts w:eastAsia="IRNazanin" w:cs="IRNazanin"/>
          <w:color w:val="111111"/>
          <w:sz w:val="28"/>
          <w:szCs w:val="28"/>
          <w:rtl w:val="true"/>
          <w:lang w:bidi="fa-IR"/>
        </w:rPr>
        <w:t>.</w:t>
      </w:r>
    </w:p>
    <w:p>
      <w:pPr>
        <w:pStyle w:val="Heading4"/>
        <w:numPr>
          <w:ilvl w:val="3"/>
          <w:numId w:val="1"/>
        </w:numPr>
        <w:rPr/>
      </w:pPr>
      <w:bookmarkStart w:id="90" w:name="__RefHeading___Toc2770247_3804643083"/>
      <w:bookmarkStart w:id="91" w:name="_Toc34"/>
      <w:bookmarkEnd w:id="90"/>
      <w:r>
        <w:rPr>
          <w:rtl w:val="true"/>
        </w:rPr>
        <w:t>ادلّه‌ي شيخ</w:t>
      </w:r>
      <w:r>
        <w:rPr>
          <w:rtl w:val="true"/>
        </w:rPr>
        <w:t xml:space="preserve">- </w:t>
      </w:r>
      <w:r>
        <w:rPr>
          <w:rtl w:val="true"/>
        </w:rPr>
        <w:t xml:space="preserve">قدس سره </w:t>
      </w:r>
      <w:r>
        <w:rPr>
          <w:rtl w:val="true"/>
        </w:rPr>
        <w:t xml:space="preserve">- </w:t>
      </w:r>
      <w:r>
        <w:rPr>
          <w:rtl w:val="true"/>
        </w:rPr>
        <w:t>بر كبيره بودن غيبت</w:t>
      </w:r>
      <w:bookmarkEnd w:id="91"/>
    </w:p>
    <w:p>
      <w:pPr>
        <w:pStyle w:val="BookText"/>
        <w:rPr/>
      </w:pPr>
      <w:r>
        <w:rPr>
          <w:rFonts w:ascii="Amiri" w:hAnsi="Amiri" w:eastAsia="Amiri" w:cs="Amiri"/>
          <w:color w:val="111111"/>
          <w:sz w:val="28"/>
          <w:sz w:val="28"/>
          <w:szCs w:val="28"/>
          <w:rtl w:val="true"/>
          <w:lang w:bidi="ar-SA"/>
        </w:rPr>
        <w:t>از آن‌جا كه نصّ صريحي در كبيره بودن غيبت نداريم، 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نظر مخالف معاصرش را در كبيره نبودن غيبت نقل مي‌كند، تلاش مي‌كند تا به نوعي، استدلالي بر كبيره بودن غيبت ارائه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دو دليل ارائه مي‌دهند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مجموع روايات</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مجموع اخبار استفاده مي‌شود كه غيبت از كبائر بوده، بلكه</w:t>
      </w:r>
    </w:p>
    <w:p>
      <w:pPr>
        <w:pStyle w:val="BookText"/>
        <w:rPr/>
      </w:pPr>
      <w:r>
        <w:rPr>
          <w:rFonts w:ascii="Amiri" w:hAnsi="Amiri" w:eastAsia="Amiri" w:cs="Amiri"/>
          <w:color w:val="111111"/>
          <w:sz w:val="28"/>
          <w:sz w:val="28"/>
          <w:szCs w:val="28"/>
          <w:rtl w:val="true"/>
          <w:lang w:bidi="ar-SA"/>
        </w:rPr>
        <w:t>اشدّ از بعض كبائر است</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استدلال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كبيره را به معناي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أوعد الله عليها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بگيريم، غيبت از كبائر نيست؛ زيرا در قرآن كريم چنين وعيدي درباره‌ي غيبت نيامده است، امّا اگر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ذنب 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مبناي كبيره بدانيم، غيبت از كبائر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اگر اصرار بر گناه، ملاك كبيره باشد و كسي مصرّ بر غيبت بود، در حقّ او كبيره است و اگر كبيره را به اين معنا بدانيم كه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باز معلوم است و البته برگشت آن به اصرار بر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كبيره فقط آن هفت مورد باشد، غيبت ـ كه از جمله‌ي آن موارد نيست ـ كبيره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تنها دليلي كه جناب شيخ مي‌تواند به آن استناد كند استفاده از رواياتي است كه غيبت را أشدّ از گناهاني مي‌داند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أوعد الله عليها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وعيد آتش براي آن داده است، و آن، زنا است و در روايت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أشدّ من الزنا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از رواياتي كه در اطلاق اوّل كبائر ذكر شد، زنا از جمله‌ي هفت مورد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كريم هم گرچه براي زاني حدّ مشخص شده، ولي وعيد آتش به آن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بايد ببينيم رواياتي كه غيبت را أشدّ از زنا معرفي كرده است ـ علي فرض</w:t>
      </w:r>
    </w:p>
    <w:p>
      <w:pPr>
        <w:pStyle w:val="BookText"/>
        <w:rPr/>
      </w:pPr>
      <w:r>
        <w:rPr>
          <w:rFonts w:ascii="IRNazanin" w:hAnsi="IRNazanin" w:eastAsia="IRNazanin"/>
          <w:color w:val="111111"/>
          <w:sz w:val="28"/>
          <w:sz w:val="28"/>
          <w:szCs w:val="28"/>
          <w:rtl w:val="true"/>
          <w:lang w:bidi="fa-IR"/>
        </w:rPr>
        <w:t>صحّت سند ـ آيا دلالتي بر اين دارد كه گناه غيبت از زنا بالاتر بوده، در نتيجه غيبت از كبائر است؟</w:t>
      </w:r>
    </w:p>
    <w:p>
      <w:pPr>
        <w:pStyle w:val="BookText"/>
        <w:rPr/>
      </w:pP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دلالتي بر مطلب ندارد؛ زيرا در خودِ روايت، تعليل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مرتكب زنا شود توبه مي‌كند و خداوند توبه‌اش را مي‌پذيرد، ولي كسي كه غيبت مي‌كند ـ چون عِرض ديگري را از بين برده است ـ حتّي اگر توبه كند آمرزيده نمي‌شود مگر اين‌كه غيبت شونده او را بيامرزد و از گناهش درگذرد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جهت است كه غيبت از زنا بدتر است؛ يعني از جهت تخلّص از وِزر، نه از لحاظ وزر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همانند دو مرض كه يكي خيلي اذيّت نمي‌كند امّا دارو ندارد و ديگري اذيتش بيشتر است ولي دارو و درمان دارد و قابل معالجه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مطابق اين روايات ـ مي‌خواهند بفرمايند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مانند بيماري است كه گرچه خيلي بزرگ است ولي با توبه امكان تخلّص از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به حسب برخي روايات، لزومي ندارد كه نزد حاكم شرع برود و براي خلاصي از گناهش اقرار كند، بلكه اگر بينهُ و بين الله توبه كند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غيبت چون پاي شخص ديگري در كار است تخلّص از آن،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روايت استفاده نمي‌شود كه وزر غيبت، بالاتر از وزر زنا باشد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بر اعظم نبودن غيبت نسبت به زنا اين است كه اگر بر فرض، كسي اضطرار به يكي از دو گناهِ زنا يا غيبت معمولي پيدا كرد، به نحوي كه اگر غيبت كند از اضطرار خلاص مي‌شود ولي اگر غيبت نكند بايد زنا كند، اين‌جا تزاحم است و در تزاحم بايد</w:t>
      </w:r>
    </w:p>
    <w:p>
      <w:pPr>
        <w:pStyle w:val="BookText"/>
        <w:rPr/>
      </w:pPr>
      <w:r>
        <w:rPr>
          <w:rFonts w:ascii="IRNazanin" w:hAnsi="IRNazanin" w:eastAsia="IRNazanin"/>
          <w:color w:val="111111"/>
          <w:sz w:val="28"/>
          <w:sz w:val="28"/>
          <w:szCs w:val="28"/>
          <w:rtl w:val="true"/>
          <w:lang w:bidi="fa-IR"/>
        </w:rPr>
        <w:t>اقل المحذورين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كدام عمل را مي‌تواند انجام دهد؟ احتمال اين معنا هم داده نمي‌شود كه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بايد غيبت را ترك كند و مرتكب زنا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 دالّ بر كبيره بودن خيانت</w:t>
      </w:r>
    </w:p>
    <w:p>
      <w:pPr>
        <w:pStyle w:val="BookText"/>
        <w:rPr/>
      </w:pPr>
      <w:r>
        <w:rPr>
          <w:rFonts w:ascii="IRNazanin" w:hAnsi="IRNazanin" w:eastAsia="IRNazanin"/>
          <w:color w:val="111111"/>
          <w:sz w:val="28"/>
          <w:sz w:val="28"/>
          <w:szCs w:val="28"/>
          <w:rtl w:val="true"/>
          <w:lang w:bidi="fa-IR"/>
        </w:rPr>
        <w:t>رواياتي داريم كه خيانت را از كبائر شمرده است و غيبت هم خيانت به ديگران است؛ زيرا چه خيانتي بزرگتر از تفكّه به گوشت برادر مؤمن</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هم از كبائر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رواياتي كه خيانت را از كبائر بر مي‌شمارد عبارتند 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عيون الاخبار</w:t>
      </w:r>
    </w:p>
    <w:p>
      <w:pPr>
        <w:pStyle w:val="BookText"/>
        <w:rPr/>
      </w:pPr>
      <w:r>
        <w:rPr>
          <w:rFonts w:ascii="Amiri" w:hAnsi="Amiri" w:eastAsia="Amiri" w:cs="Amiri"/>
          <w:color w:val="111111"/>
          <w:sz w:val="28"/>
          <w:sz w:val="28"/>
          <w:szCs w:val="28"/>
          <w:rtl w:val="true"/>
          <w:lang w:bidi="ar-SA"/>
        </w:rPr>
        <w:t xml:space="preserve">فِي عُيُونِ الْأَخْبَارِ بِأَسَانِيدِهِ عَنِ الْفَضْلِ بْنِ شَاذَانَ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إِلَى الْمَأْمُونِ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الْإِيمَانُ هُوَ أَدَاءُ الْأَمَانَةِ وَ اجْتِنَابُ جَمِيعِ الْكَبَائِرِ وَ هُوَ مَعْرِفَةٌ بِالْقَلْبِ وَ إِقْرَارٌ بِاللِّسَانِ وَ عَمَلٌ بِالْأَرْكَانِ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اجْتِنَابُ الْكَبَائِرِ وَ هِيَ قَتْلُ النَّفْسِ الَّتِي حَرَّمَ اللَّهُ تَعَالَى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الْإِسْرَافُ وَ التَّبْذِيرُ وَ الْخِيَانَةُ و </w:t>
      </w:r>
      <w:r>
        <w:rPr>
          <w:rFonts w:eastAsia="Amiri" w:cs="Amiri" w:ascii="Amiri" w:hAnsi="Amiri"/>
          <w:color w:val="111111"/>
          <w:sz w:val="28"/>
          <w:szCs w:val="28"/>
          <w:rtl w:val="true"/>
          <w:lang w:bidi="ar-SA"/>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 xml:space="preserve">البته در نسخه بدل دارد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مصدر يعني عيون الاخبار نيامده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روايت اعمش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الْأَعْمَشِ عَنْ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شَرَائِعِ الدِّينِ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الْكَبَائِرُ مُحَرَّمَةٌ وَ هِيَ الشِّرْكُ بِاللَّهِ وَ قَتْلُ النَّفْسِ الَّتِي حَرَّمَ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الْكَذِبُ وَ الْإِسْرَافُ وَ التَّبْذِيرُ وَ الْخِيَانَةُ و </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استدلال</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قبولِ اين نظر كه عنوان خيانت بر هر غيبتي منطبق باشد،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گناهي را مخفيانه انجام داده باشد و ديگري مطّلع</w:t>
      </w:r>
    </w:p>
    <w:p>
      <w:pPr>
        <w:pStyle w:val="BookText"/>
        <w:rPr/>
      </w:pPr>
      <w:r>
        <w:rPr>
          <w:rFonts w:ascii="IRNazanin" w:hAnsi="IRNazanin" w:eastAsia="IRNazanin"/>
          <w:color w:val="111111"/>
          <w:sz w:val="28"/>
          <w:sz w:val="28"/>
          <w:szCs w:val="28"/>
          <w:rtl w:val="true"/>
          <w:lang w:bidi="fa-IR"/>
        </w:rPr>
        <w:t>شد، چه امانتي در دست شخصِ مطّلع وجود دارد كه نبايد در آن خيانت كند؟ كسي به گناه‌كار قولي براي پوشاندن گناهش نداده است تا اگر غيبتِ او كرد گفته شود در حقّ او خيانت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بعد از آن‌كه شرع فرمود بايد عِرض مؤمن را حفظ و مستوراتش را آشكار نكرد،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وجود چنين حقّي اگر كسي مرتكب غيبت شود و در نتيجه عرض مؤمن حفظ نشود، خيانت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از اين جهت صرف نظر شود، عرفاً خيانت بر هر غيبتي صدق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گفت هر غيبتي خيانت است، گرچه ممكن است برخي از مصاديقش خيانت باشد، البته از اين باب كه ما مي‌دانيم شارع مقدّس بعضي موارد را به عنوان سرّ مؤمن قرار داده است و سرّ مؤمن نبايد افشا گردد و اگر افشا شود خيانت است</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علاوه مشكل آن است كه خودِ آن دو روايت هم سند ندارد</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كسي مدّعي شود چون خداوند متعال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يَأْمُرُكُمْ أَنْ تُؤَدُّوا الْأَماناتِ إِلى أَهْلِها</w:t>
      </w:r>
      <w:r>
        <w:rPr>
          <w:rFonts w:eastAsia="IRNazanin" w:cs="IRNazanin"/>
          <w:color w:val="111111"/>
          <w:sz w:val="28"/>
          <w:szCs w:val="28"/>
          <w:rtl w:val="true"/>
          <w:lang w:bidi="fa-IR"/>
        </w:rPr>
        <w:t>)</w:t>
      </w:r>
      <w:r>
        <w:rPr>
          <w:rStyle w:val="FootnoteAnchor"/>
          <w:rtl w:val="true"/>
        </w:rPr>
        <w:footnoteReference w:id="90"/>
      </w:r>
      <w:r>
        <w:rPr>
          <w:rFonts w:ascii="Amiri" w:hAnsi="Amiri" w:eastAsia="Amiri" w:cs="Amiri"/>
          <w:color w:val="111111"/>
          <w:sz w:val="28"/>
          <w:sz w:val="28"/>
          <w:szCs w:val="28"/>
          <w:rtl w:val="true"/>
          <w:lang w:bidi="ar-SA"/>
        </w:rPr>
        <w:t>استفاده مي‌شود هر تكليفي امانت است و در نتيجه، هر خلاف تكليفي خيانت است، اين مطلب صحيح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روايات، خيانت به آن معناي وسيع را نمي‌خواهد بفرمايد، بلكه خيانت بالمعني الخاص و خيانت عرفي ملاك</w:t>
      </w:r>
      <w:bookmarkStart w:id="92" w:name="pg2359_23247"/>
    </w:p>
    <w:p>
      <w:pPr>
        <w:pStyle w:val="BookText"/>
        <w:rPr/>
      </w:pPr>
      <w:bookmarkEnd w:id="92"/>
      <w:r>
        <w:rPr>
          <w:rFonts w:ascii="Amiri" w:hAnsi="Amiri" w:eastAsia="Amiri" w:cs="Amiri"/>
          <w:color w:val="111111"/>
          <w:sz w:val="28"/>
          <w:sz w:val="28"/>
          <w:szCs w:val="28"/>
          <w:rtl w:val="true"/>
          <w:lang w:bidi="ar-SA"/>
        </w:rPr>
        <w:t>روايات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ايّ حالٍ خودِ خيانت هم در كبيره بودنش بحث است و ثابت نيست كه از كبائر باشد تا كسي به قياس اولويت بخواهد كبيره بودن غيبت را ثابت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ما مصداق مَثَل معروف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ثبّت العرش ثم انقش</w:t>
      </w:r>
      <w:r>
        <w:rPr>
          <w:rFonts w:eastAsia="Amiri" w:cs="Amiri" w:ascii="Amiri" w:hAnsi="Amiri"/>
          <w:color w:val="111111"/>
          <w:sz w:val="28"/>
          <w:szCs w:val="28"/>
          <w:rtl w:val="true"/>
          <w:lang w:bidi="ar-SA"/>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نتيجه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استدلال شيخ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استدلال ديگري در كتاب مكاسب ذكر نفرمودند، ولي به نظر مي‌رسد حداقل دو استدلال ديگر وجود دارد كه يكي از اين دو، باز به دليل نداشتن سند، قابل تمسّك نيست، ولي به استدلال دوم مي‌توان تمسّك كرد</w:t>
      </w:r>
      <w:r>
        <w:rPr>
          <w:rFonts w:eastAsia="IRNazanin" w:cs="IRNazanin"/>
          <w:color w:val="111111"/>
          <w:sz w:val="28"/>
          <w:szCs w:val="28"/>
          <w:rtl w:val="true"/>
          <w:lang w:bidi="fa-IR"/>
        </w:rPr>
        <w:t>.</w:t>
      </w:r>
    </w:p>
    <w:p>
      <w:pPr>
        <w:pStyle w:val="Heading4"/>
        <w:numPr>
          <w:ilvl w:val="3"/>
          <w:numId w:val="1"/>
        </w:numPr>
        <w:rPr/>
      </w:pPr>
      <w:bookmarkStart w:id="93" w:name="__RefHeading___Toc2770249_3804643083"/>
      <w:bookmarkStart w:id="94" w:name="_Toc35"/>
      <w:bookmarkEnd w:id="93"/>
      <w:r>
        <w:rPr>
          <w:rtl w:val="true"/>
        </w:rPr>
        <w:t>ادلّه‌ي ديگري بر كبيره بودن غيبت</w:t>
      </w:r>
      <w:bookmarkEnd w:id="94"/>
    </w:p>
    <w:p>
      <w:pPr>
        <w:pStyle w:val="Heading5"/>
        <w:numPr>
          <w:ilvl w:val="4"/>
          <w:numId w:val="1"/>
        </w:numPr>
        <w:rPr/>
      </w:pPr>
      <w:bookmarkStart w:id="95" w:name="__RefHeading___Toc2770251_3804643083"/>
      <w:bookmarkStart w:id="96" w:name="_Toc36"/>
      <w:bookmarkEnd w:id="95"/>
      <w:r>
        <w:rPr>
          <w:rtl w:val="true"/>
        </w:rPr>
        <w:t>استدلال به روايت أنس</w:t>
      </w:r>
      <w:bookmarkEnd w:id="96"/>
    </w:p>
    <w:p>
      <w:pPr>
        <w:pStyle w:val="BookText"/>
        <w:rPr/>
      </w:pPr>
      <w:r>
        <w:rPr>
          <w:rFonts w:ascii="IRNazanin" w:hAnsi="IRNazanin" w:eastAsia="IRNazanin"/>
          <w:color w:val="111111"/>
          <w:sz w:val="28"/>
          <w:sz w:val="28"/>
          <w:szCs w:val="28"/>
          <w:rtl w:val="true"/>
          <w:lang w:bidi="fa-IR"/>
        </w:rPr>
        <w:t>در روايت أنس اين‌گونه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أَنَسٍ قَالَ خَطَبَنَا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الرِّبَا وَ عَظَّمَ شَأْنَهُ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أَرْبَى الرِّبَا عِرْضُ الرَّجُلِ الْمُسْلِمِ</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بالاترين ربا، عِرض انسان مسلمان است</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روايت، عظمت عِرض مؤمن بر ربا، از حيث تخلّص از</w:t>
      </w:r>
    </w:p>
    <w:p>
      <w:pPr>
        <w:pStyle w:val="BookText"/>
        <w:rPr/>
      </w:pPr>
      <w:r>
        <w:rPr>
          <w:rFonts w:ascii="IRNazanin" w:hAnsi="IRNazanin" w:eastAsia="IRNazanin"/>
          <w:color w:val="111111"/>
          <w:sz w:val="28"/>
          <w:sz w:val="28"/>
          <w:szCs w:val="28"/>
          <w:rtl w:val="true"/>
          <w:lang w:bidi="fa-IR"/>
        </w:rPr>
        <w:t>وزر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درهمِ ربائي كه آن‌قدر گناه دارد، اگر غيبت از آن بالاتر باشد پس غيبت از گناهان كبيره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استدلال به روايت أنس</w:t>
      </w:r>
    </w:p>
    <w:p>
      <w:pPr>
        <w:pStyle w:val="BookText"/>
        <w:rPr/>
      </w:pPr>
      <w:r>
        <w:rPr>
          <w:rFonts w:ascii="IRNazanin" w:hAnsi="IRNazanin" w:eastAsia="IRNazanin"/>
          <w:color w:val="111111"/>
          <w:sz w:val="28"/>
          <w:sz w:val="28"/>
          <w:szCs w:val="28"/>
          <w:rtl w:val="true"/>
          <w:lang w:bidi="fa-IR"/>
        </w:rPr>
        <w:t>اين روايت علاوه بر ضعف سند، از جهت دلالت بر مطلب هم مشكل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محذور ترجيح غيبت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اين‌جا 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روايات، شدّت گناهِ يك درهم ربا از سي و شش زنا بيشتر شمرده شده است</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البته روايات از اين دست، كم نيست با تفاوت در عدد تشبيه كه عدد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 هم در برخي از روايات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اين روايت، غيبت را از ربا بدتر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جايي امر دائر باشد بين يك درهم ربا و بين زنا، كدام مقدّم است؟ قاعده اين است كه حكم به اخذ ربا و ترك زنا شود و فكر نمي‌كنم كسي خلاف اين را ملتزم شود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روايت ـ علي فرض صدورش ـ بايد توجيه شود كه اگر كسي كارش ربا باشد بدتر از زنا است، نه اين‌كه يك درهم ربا از زنا بالاتر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هيچ فطرتي اين مطلب را نمي‌پذيرد و احكام اسلام با فطرت ناسازگار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نصّ صريح و روشني بر اين مطلب داشتيم قبول مي‌كرديم، ولي با اين اطلاقات و روايات</w:t>
      </w:r>
    </w:p>
    <w:p>
      <w:pPr>
        <w:pStyle w:val="BookText"/>
        <w:rPr/>
      </w:pPr>
      <w:r>
        <w:rPr>
          <w:rFonts w:ascii="IRNazanin" w:hAnsi="IRNazanin" w:eastAsia="IRNazanin"/>
          <w:color w:val="111111"/>
          <w:sz w:val="28"/>
          <w:sz w:val="28"/>
          <w:szCs w:val="28"/>
          <w:rtl w:val="true"/>
          <w:lang w:bidi="fa-IR"/>
        </w:rPr>
        <w:t>ضعيف السند بايد اين‌گونه توجيه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يكي از دلايل چنين تهديدهايي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 گناه يك درهم ربا از سي و شش 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كساني كه مرتكب ربا بودند، حتّي بعد از اعلام حكم حرمت ربا و تصريح خداوند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الْبَيْعَ وَ حَرَّمَ الرِّبا</w:t>
      </w:r>
      <w:r>
        <w:rPr>
          <w:rFonts w:eastAsia="IRNazanin" w:cs="IRNazanin"/>
          <w:color w:val="111111"/>
          <w:sz w:val="28"/>
          <w:szCs w:val="28"/>
          <w:rtl w:val="true"/>
          <w:lang w:bidi="fa-IR"/>
        </w:rPr>
        <w:t>)</w:t>
      </w:r>
      <w:r>
        <w:rPr>
          <w:rStyle w:val="FootnoteAnchor"/>
          <w:rtl w:val="true"/>
        </w:rPr>
        <w:footnoteReference w:id="94"/>
      </w:r>
      <w:r>
        <w:rPr>
          <w:rFonts w:ascii="IRNazanin" w:hAnsi="IRNazanin" w:eastAsia="IRNazanin"/>
          <w:color w:val="111111"/>
          <w:sz w:val="28"/>
          <w:sz w:val="28"/>
          <w:szCs w:val="28"/>
          <w:rtl w:val="true"/>
          <w:lang w:bidi="fa-IR"/>
        </w:rPr>
        <w:t>باز هم انگيزه براي ادامه‌ي كار خود و رباخواري داشتند و لذا جاي چنان تهديدي بود كه خداوند اعلام حرب به آن‌ها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وجود دواعي بر انجام چنين حرامي، خداوند براي بيان شدّت حرمت، از مثال گناهي استفاده مي‌كند كه شدّت آن نزد همه معلوم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مطلب اين‌كه هنوز هم با وجود اين همه تأكيدات قرآني و روايي، افراد زيادي مبتلاي به ربا هستند و توجيهاتي هم براي صحّت عمل خود مي‌آورند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فضايي لازم بود چكّشي مانند تشبيه ربا به سي و شش زنا، بر سر مسلمانانِ بي‌مبالات بخورد تا أهمّيت و قُبح ربا مشخّص شود</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توجيه ديگر اين‌كه بيان اين دسته از روايات براي مبالغه است</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bookmarkStart w:id="97" w:name="pg2359_23250"/>
    </w:p>
    <w:p>
      <w:pPr>
        <w:pStyle w:val="Heading5"/>
        <w:numPr>
          <w:ilvl w:val="4"/>
          <w:numId w:val="1"/>
        </w:numPr>
        <w:rPr/>
      </w:pPr>
      <w:bookmarkStart w:id="98" w:name="__RefHeading___Toc2770253_3804643083"/>
      <w:bookmarkStart w:id="99" w:name="_Toc37"/>
      <w:bookmarkEnd w:id="97"/>
      <w:bookmarkEnd w:id="98"/>
      <w:r>
        <w:rPr>
          <w:rtl w:val="true"/>
        </w:rPr>
        <w:t>استدلال به آيه‌ي مذمّت از حُبّ إشاعه‌ي فحشا</w:t>
      </w:r>
      <w:bookmarkEnd w:id="9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يُحِبُّونَ أَنْ تَشيعَ الْفاحِشَةُ فِي الَّذينَ آمَنُوا لَهُمْ عَذابٌ أَليمٌ فِي الدُّنْيا وَ الْآخِرَةِ وَ اللَّهُ يَعْلَمُ وَ أَنْتُمْ لا تَعْلَمُون</w:t>
      </w:r>
      <w:r>
        <w:rPr>
          <w:rFonts w:eastAsia="Amiri" w:cs="Amiri" w:ascii="Amiri" w:hAnsi="Amiri"/>
          <w:color w:val="111111"/>
          <w:sz w:val="28"/>
          <w:szCs w:val="28"/>
          <w:rtl w:val="true"/>
          <w:lang w:bidi="ar-SA"/>
        </w:rPr>
        <w:t>)</w:t>
      </w:r>
      <w:r>
        <w:rPr>
          <w:rStyle w:val="FootnoteAnchor"/>
          <w:rtl w:val="true"/>
        </w:rPr>
        <w:footnoteReference w:id="97"/>
      </w:r>
      <w:r>
        <w:rPr>
          <w:rFonts w:ascii="IRNazanin" w:hAnsi="IRNazanin" w:eastAsia="IRNazanin"/>
          <w:color w:val="111111"/>
          <w:sz w:val="28"/>
          <w:sz w:val="28"/>
          <w:szCs w:val="28"/>
          <w:rtl w:val="true"/>
          <w:lang w:bidi="fa-IR"/>
        </w:rPr>
        <w:t xml:space="preserve">هرچند كه براي حبّ اشاعه‌ي فحشا وعيد آتش نداده، ولي وعيد عذاب أليم داده است و در كبيره بودن گناه، ايعاد يعني وعيد عذاب ـ هرچند به يكي از معاني مهم گذشته ـ با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كافي است، چنان‌كه از روايت صحيح عبد العظيم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معنا استفاده مي‌شود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در ذيل اين آيه‌ي شريفه، روايت صحيحي نقل شد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دو چشمش عيبي را از مؤمن ببيند يا دو گوشش بشنود سپس آن را نقل كند، مشمول اين آيه است</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ذكر عيب مؤمن مي كند، چشمش ديده يا گوشش شنيده و جزء كساني است كه حبّ شيوع فاحشه دارد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ذكر عيب و تنقيص مؤمن بايد در حدّي باشد كه آبروي او را ببرد؛ مثلاً تنقيص ديني باشد، نه امثال نقص بدني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عنوان مثال</w:t>
      </w:r>
      <w:bookmarkStart w:id="100" w:name="pg2359_23252"/>
    </w:p>
    <w:p>
      <w:pPr>
        <w:pStyle w:val="BookText"/>
        <w:rPr/>
      </w:pPr>
      <w:bookmarkEnd w:id="100"/>
      <w:r>
        <w:rPr>
          <w:rFonts w:ascii="IRNazanin" w:hAnsi="IRNazanin" w:eastAsia="IRNazanin"/>
          <w:color w:val="111111"/>
          <w:sz w:val="28"/>
          <w:sz w:val="28"/>
          <w:szCs w:val="28"/>
          <w:rtl w:val="true"/>
          <w:lang w:bidi="fa-IR"/>
        </w:rPr>
        <w:t xml:space="preserve">اگر كسي نقص بدني داشته باشد و نخواهد ديگري بداند، امّا در جايي مثل استخر يا حمّام عمومي مي‌رود و ديگري نقص او را مي‌بيند و براي ديگران بازگو مي‌كند، امثال اين موارد گرچه غيبت است ولي نمي‌توانيم با استناد به اين آيه‌ي شريفه اين‌ها را كبيره بدانيم؛ زيرا به قرينه‌ي فاحشه، عملي را كه بازگو مي‌كند بايد عمل بدي باشد؛ يعني چيزي كه آبروريزي به همراه داشته باشد، وگرنه چيزي كه قبيح نباشد و فقط صاحب عيب از اظهارش بدش مي‌آيد و يك نقص تكويني هست، بازگو كردنش كبيره نيست و مقدار قبحش به همان اندازه‌ي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يَغْتَبْ بَعْضُكُمْ بَعْضاً أَ يُحِبُّ أَحَدُكُمْ أَنْ يَأْكُلَ لَحْمَ أَخيهِ مَيْتاً فَكَرِهْتُمُوهُ</w:t>
      </w:r>
      <w:r>
        <w:rPr>
          <w:rFonts w:eastAsia="IRNazanin" w:cs="IRNazanin"/>
          <w:color w:val="111111"/>
          <w:sz w:val="28"/>
          <w:szCs w:val="28"/>
          <w:rtl w:val="true"/>
          <w:lang w:bidi="fa-IR"/>
        </w:rPr>
        <w:t>)</w:t>
      </w:r>
      <w:r>
        <w:rPr>
          <w:rStyle w:val="FootnoteAnchor"/>
          <w:rtl w:val="true"/>
        </w:rPr>
        <w:footnoteReference w:id="100"/>
      </w:r>
      <w:r>
        <w:rPr>
          <w:rFonts w:ascii="IRNazanin" w:hAnsi="IRNazanin" w:eastAsia="IRNazanin"/>
          <w:color w:val="111111"/>
          <w:sz w:val="28"/>
          <w:sz w:val="28"/>
          <w:szCs w:val="28"/>
          <w:rtl w:val="true"/>
          <w:lang w:bidi="fa-IR"/>
        </w:rPr>
        <w:t>است و به اين معيار گناه است، نه به معيار وعيد عذاب اليم</w:t>
      </w:r>
      <w:r>
        <w:rPr>
          <w:rFonts w:eastAsia="IRNazanin" w:cs="IRNazanin"/>
          <w:color w:val="111111"/>
          <w:sz w:val="28"/>
          <w:szCs w:val="28"/>
          <w:rtl w:val="true"/>
          <w:lang w:bidi="fa-IR"/>
        </w:rPr>
        <w:t>.</w:t>
      </w:r>
    </w:p>
    <w:p>
      <w:pPr>
        <w:pStyle w:val="Heading4"/>
        <w:numPr>
          <w:ilvl w:val="3"/>
          <w:numId w:val="1"/>
        </w:numPr>
        <w:rPr/>
      </w:pPr>
      <w:bookmarkStart w:id="101" w:name="__RefHeading___Toc2770255_3804643083"/>
      <w:bookmarkStart w:id="102" w:name="_Toc38"/>
      <w:bookmarkEnd w:id="101"/>
      <w:r>
        <w:rPr>
          <w:rtl w:val="true"/>
        </w:rPr>
        <w:t>نتيجه‌ي بحث كبيره بودن غيبت</w:t>
      </w:r>
      <w:bookmarkEnd w:id="102"/>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ما كبيره بودن غيبت مربوط به اين است كه به چه چيزي غيبت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گناهان بزرگي مانند زنا غيبت كنند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كبيره است و لااقل اشاعه ي فاحشه بوده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عَذابٌ أَليمٌ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ولي اگر غيبت مربوط به چيزي مانند يك نقص بدني است كه شخص ناقص دوست ندارد آشكار شود و كسي هم خبر ندارد، حالا يكي خبردار شده يا ديده و بازگو كند، اين غيبت است و خوردن گوشت برادر مؤمن، ولي نمي‌توانيم اين را كبيره به معناي گناهي كه وعيد عذاب اليم بر آن داده باشند،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تفصيل را</w:t>
      </w:r>
      <w:bookmarkStart w:id="103" w:name="pg2359_23253"/>
    </w:p>
    <w:p>
      <w:pPr>
        <w:pStyle w:val="BookText"/>
        <w:rPr/>
      </w:pPr>
      <w:bookmarkEnd w:id="103"/>
      <w:r>
        <w:rPr>
          <w:rFonts w:ascii="IRNazanin" w:hAnsi="IRNazanin" w:eastAsia="IRNazanin"/>
          <w:color w:val="111111"/>
          <w:sz w:val="28"/>
          <w:sz w:val="28"/>
          <w:szCs w:val="28"/>
          <w:rtl w:val="true"/>
          <w:lang w:bidi="fa-IR"/>
        </w:rPr>
        <w:t>از كسي نديديم، ولي به نظر ما چنين تفصيلي از مجموع ادلّه استفاده مي‌شود</w:t>
      </w:r>
      <w:r>
        <w:rPr>
          <w:rFonts w:eastAsia="IRNazanin" w:cs="IRNazanin"/>
          <w:color w:val="111111"/>
          <w:sz w:val="28"/>
          <w:szCs w:val="28"/>
          <w:rtl w:val="true"/>
          <w:lang w:bidi="fa-IR"/>
        </w:rPr>
        <w:t>.</w:t>
      </w:r>
    </w:p>
    <w:p>
      <w:pPr>
        <w:pStyle w:val="Heading3"/>
        <w:numPr>
          <w:ilvl w:val="2"/>
          <w:numId w:val="1"/>
        </w:numPr>
        <w:rPr/>
      </w:pPr>
      <w:bookmarkStart w:id="104" w:name="__RefHeading___Toc2770257_3804643083"/>
      <w:bookmarkStart w:id="105" w:name="_Toc39"/>
      <w:bookmarkEnd w:id="104"/>
      <w:r>
        <w:rPr>
          <w:rtl w:val="true"/>
        </w:rPr>
        <w:t xml:space="preserve">آيا منحصراً غيبت </w:t>
      </w:r>
      <w:r>
        <w:rPr>
          <w:rtl w:val="true"/>
        </w:rPr>
        <w:t>«</w:t>
      </w:r>
      <w:r>
        <w:rPr>
          <w:rtl w:val="true"/>
        </w:rPr>
        <w:t>مؤمن</w:t>
      </w:r>
      <w:r>
        <w:rPr>
          <w:rtl w:val="true"/>
        </w:rPr>
        <w:t xml:space="preserve">» </w:t>
      </w:r>
      <w:r>
        <w:rPr>
          <w:rtl w:val="true"/>
        </w:rPr>
        <w:t>حرام است؟</w:t>
      </w:r>
      <w:bookmarkEnd w:id="105"/>
    </w:p>
    <w:p>
      <w:p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غيبت را مخصوص مؤمنين مي‌داند</w:t>
      </w:r>
      <w:r>
        <w:rPr>
          <w:rStyle w:val="FootnoteAnchor"/>
          <w:rtl w:val="true"/>
        </w:rPr>
        <w:footnoteReference w:id="101"/>
      </w:r>
      <w:r>
        <w:rPr>
          <w:rFonts w:ascii="IRNazanin" w:hAnsi="IRNazanin" w:eastAsia="IRNazanin"/>
          <w:color w:val="111111"/>
          <w:sz w:val="28"/>
          <w:sz w:val="28"/>
          <w:szCs w:val="28"/>
          <w:rtl w:val="true"/>
          <w:lang w:bidi="fa-IR"/>
        </w:rPr>
        <w:t>زيرا غيبت مخالفين، جزء مستثنيات غيبت است و در بحث مستثنيات غيبت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 كه اهل بدعت هستند غيبت ندارند و كسي كه مخالف عقائد حقّه است معلوم است كه اهل بدعت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اعلاي اهل بدعت، مخالفين هستند و به طريق اولي مشمول روايات اهل بدعت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شيعه‌اي به خاطر يكي دو مسأله‌ي فقهي مصداق اهل بدعت شود، مخالفين كه در اصول و فروع به اسم اسلام مخالفت مي‌كنند به طريق اولي اهل بدعت خواهند بود، بلكه بايد فضائح و قبائح آنان نيز ذكر گردد تا مردم از آن‌ها دوري كنند</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استدلال، استدلالي قويّ است كه جناب شيخ فرموده</w:t>
      </w:r>
      <w:r>
        <w:rPr>
          <w:rStyle w:val="FootnoteAnchor"/>
          <w:rtl w:val="true"/>
        </w:rPr>
        <w:footnoteReference w:id="103"/>
      </w:r>
      <w:r>
        <w:rPr>
          <w:rFonts w:ascii="IRNazanin" w:hAnsi="IRNazanin" w:eastAsia="IRNazanin"/>
          <w:color w:val="111111"/>
          <w:sz w:val="28"/>
          <w:sz w:val="28"/>
          <w:szCs w:val="28"/>
          <w:rtl w:val="true"/>
          <w:lang w:bidi="fa-IR"/>
        </w:rPr>
        <w:t>و</w:t>
      </w:r>
    </w:p>
    <w:p>
      <w:pPr>
        <w:pStyle w:val="BookText"/>
        <w:rPr/>
      </w:pPr>
      <w:r>
        <w:rPr>
          <w:rFonts w:ascii="Amiri" w:hAnsi="Amiri" w:eastAsia="Amiri" w:cs="Amiri"/>
          <w:color w:val="111111"/>
          <w:sz w:val="28"/>
          <w:sz w:val="28"/>
          <w:szCs w:val="28"/>
          <w:rtl w:val="true"/>
          <w:lang w:bidi="ar-SA"/>
        </w:rPr>
        <w:t>درست هم فرموده است؛ زيرا همه‌ي مخالفين، اهل بدعت هستند و نظرات خود را به اسلام و قرآن نسبت مي‌دهند</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صحيحه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اهل بدعت را اظهار كنيد و عيب‌هايشان را زياد بگوييد، از طرف ديگر غيبت هم يعني پشت‌سر ديگران بدي‌هاي او را گفتن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استثنايي هم در جواز غيبت بين يك موضوع و موضوع ديگر نيست و در هر موضوعي كه باشد مانعي ندارد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بعضي از فقها غيبت مخالفين را جايز ندانسته‌اند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جناب مقدّس اردبيل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 شده است كه ايشان غيبت مخالفين را جايز نمي‌دانند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به نظر مي‌رسد كه مخالفين، اهل بدعت بوده و مشمول روايات اهل بدعت مي‌شوند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 آيه‌ي شريفه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يُحِبُّ أَحَدُكُمْ أَنْ يَأْكُلَ لَحْمَ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ضميمه‌ي رواياتي كه</w:t>
      </w:r>
    </w:p>
    <w:p>
      <w:pPr>
        <w:pStyle w:val="BookText"/>
        <w:rPr/>
      </w:pP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أَخُ الْمُؤْمِن</w:t>
      </w:r>
      <w:r>
        <w:rPr>
          <w:rFonts w:eastAsia="Amiri" w:cs="Amiri" w:ascii="Amiri" w:hAnsi="Amiri"/>
          <w:color w:val="111111"/>
          <w:sz w:val="28"/>
          <w:szCs w:val="28"/>
          <w:rtl w:val="true"/>
          <w:lang w:bidi="ar-SA"/>
        </w:rPr>
        <w:t>»</w:t>
      </w:r>
      <w:r>
        <w:rPr>
          <w:rStyle w:val="FootnoteAnchor"/>
          <w:rtl w:val="true"/>
        </w:rPr>
        <w:footnoteReference w:id="10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نه اهل خلاف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اوّل، حرمت مستفاد از آيه‌ي شريفه شامل مخالفين نمي‌شود</w:t>
      </w:r>
      <w:r>
        <w:rPr>
          <w:rStyle w:val="FootnoteAnchor"/>
          <w:rtl w:val="true"/>
        </w:rPr>
        <w:footnoteReference w:id="106"/>
      </w:r>
      <w:r>
        <w:rPr>
          <w:rFonts w:ascii="IRNazanin" w:hAnsi="IRNazanin" w:eastAsia="IRNazanin"/>
          <w:color w:val="111111"/>
          <w:sz w:val="28"/>
          <w:sz w:val="28"/>
          <w:szCs w:val="28"/>
          <w:rtl w:val="true"/>
          <w:lang w:bidi="fa-IR"/>
        </w:rPr>
        <w:t xml:space="preserve">، در نتيجه مصداق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فم الركيّة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و دايره‌ي شمول معنوي آيه از اوّل تنگ بوده و موارد مشكوك، مجراي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گاهي عناوين ديگري بر غيبت مخالفين منطبق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بعضي روايات استفاده مي‌شود بعضي عناوين را نبايد حتّي به كافر نسبت داد، مانند ابن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مخالفيني كه حداقل در ظاهر، حكم اسلام بر آن‌ها جاري مي‌شود به طريق اولي نبايد گفت و اين موارد استثناء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غير از اين موارد، دليلي بر عدم جواز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توجّه داشت كه رعايت جوانب تقيّه لازم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عين حال، بعضي از روايات مي‌فرمايند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الْكَفُ عَنْهُمْ أَجْمَل</w:t>
      </w:r>
      <w:r>
        <w:rPr>
          <w:rFonts w:eastAsia="Amiri" w:cs="Amiri" w:ascii="Amiri" w:hAnsi="Amiri"/>
          <w:color w:val="111111"/>
          <w:sz w:val="28"/>
          <w:szCs w:val="28"/>
          <w:rtl w:val="true"/>
          <w:lang w:bidi="ar-SA"/>
        </w:rPr>
        <w:t>»</w:t>
      </w:r>
      <w:r>
        <w:rPr>
          <w:rStyle w:val="FootnoteAnchor"/>
          <w:rtl w:val="true"/>
        </w:rPr>
        <w:footnoteReference w:id="107"/>
      </w:r>
    </w:p>
    <w:p>
      <w:pPr>
        <w:pStyle w:val="BookText"/>
        <w:rPr/>
      </w:pPr>
      <w:r>
        <w:rPr>
          <w:rFonts w:ascii="Amiri" w:hAnsi="Amiri" w:eastAsia="Amiri" w:cs="Amiri"/>
          <w:color w:val="111111"/>
          <w:sz w:val="28"/>
          <w:sz w:val="28"/>
          <w:szCs w:val="28"/>
          <w:rtl w:val="true"/>
          <w:lang w:bidi="ar-SA"/>
        </w:rPr>
        <w:t>البته مورد سؤال، افترا و قذف است و ظاهراً اجمليت كفّ، اطلاق به تمام موارد ـ حتّي غيبت ـ نداشته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غروي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6" w:name="pg2359_23256"/>
    </w:p>
    <w:p>
      <w:pPr>
        <w:pStyle w:val="Heading3"/>
        <w:numPr>
          <w:ilvl w:val="2"/>
          <w:numId w:val="1"/>
        </w:numPr>
        <w:rPr/>
      </w:pPr>
      <w:bookmarkStart w:id="107" w:name="__RefHeading___Toc2770259_3804643083"/>
      <w:bookmarkStart w:id="108" w:name="_Toc40"/>
      <w:bookmarkEnd w:id="106"/>
      <w:bookmarkEnd w:id="107"/>
      <w:r>
        <w:rPr>
          <w:rtl w:val="true"/>
        </w:rPr>
        <w:t>حكم غيبت صبيّ مميّز</w:t>
      </w:r>
      <w:bookmarkEnd w:id="108"/>
    </w:p>
    <w:p>
      <w:pPr>
        <w:pStyle w:val="BookText"/>
        <w:rPr/>
      </w:pPr>
      <w:r>
        <w:rPr>
          <w:rFonts w:ascii="IRNazanin" w:hAnsi="IRNazanin" w:eastAsia="IRNazanin"/>
          <w:color w:val="111111"/>
          <w:sz w:val="28"/>
          <w:sz w:val="28"/>
          <w:szCs w:val="28"/>
          <w:rtl w:val="true"/>
          <w:lang w:bidi="fa-IR"/>
        </w:rPr>
        <w:t xml:space="preserve">روشن است كه غيبت صبيّ مميّز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جايز نيست؛ زيرا صبيّ مميّز هم صدق اسلام و ايمان بر او شده و مسلمان و مؤمن است و چه بسا عقايدش حتّي از بسياري از بالغين، محكم‌تر و مستدل‌تر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آيه‌ي شريفه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مؤمنِ ديگر را غيبت نكنيد، آيا كسي دوست مي‌دارد گوشت برادرِ مرده‌اش را بخورد؟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بدتان مي‌آيد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توجّه به اين‌كه صبيّ مميّز هم برادر ايماني مؤمنين محسوب مي‌شود، داخل در اطلاق آيه‌ي شريفه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شاهد مطلب اين‌كه در آيه‌ي شريفه خداوند متعال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يَسْئَلُونَكَ عَنِ الْيَتامى قُلْ إِصْلاحٌ لَهُمْ خَيْرٌ وَ إِنْ تُخالِطُوهُمْ فَإِخْوانُكُم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درباره‌ي يتيمان از تو مى‌پرسند،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صلاح آنان كار كردن بهتر است و اگر با آنان همزيستى كنيد برادران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مي‌دانيم كه يتيم وقتي بالغ شد ديگر شرعاً يتيم نيست و مادامي‌كه صبيّ است اطلاق يتيم به او مي‌شود، خداوند متعال به</w:t>
      </w:r>
      <w:bookmarkStart w:id="109" w:name="pg2359_23257"/>
    </w:p>
    <w:p>
      <w:pPr>
        <w:pStyle w:val="BookText"/>
        <w:rPr/>
      </w:pPr>
      <w:bookmarkEnd w:id="109"/>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يتاما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مي‌كند و يتيم، صبيّ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شكّي نيست كه غيبت نسبت به آن‌ها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اين‌كه آيا صبي مي‌تواند غيبت كند يا نه،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صبي تكليف ندارد و رفع قلم از او شده است، ولي ممكن است در برخي موارد اگر غيبتي باشد كه مي‌دانيم شارع مقدس راضي به تحقّق آن حتّي از غير مكلّف نيست، چه بسا بر وليِّ او لازم باشد او را منع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براي منعش نياز به تعزير او باشد بايد با اجراي تعزير، او را منع كند</w:t>
      </w:r>
      <w:r>
        <w:rPr>
          <w:rFonts w:eastAsia="IRNazanin" w:cs="IRNazanin"/>
          <w:color w:val="111111"/>
          <w:sz w:val="28"/>
          <w:szCs w:val="28"/>
          <w:rtl w:val="true"/>
          <w:lang w:bidi="fa-IR"/>
        </w:rPr>
        <w:t>.</w:t>
      </w:r>
    </w:p>
    <w:p>
      <w:pPr>
        <w:pStyle w:val="Heading3"/>
        <w:numPr>
          <w:ilvl w:val="2"/>
          <w:numId w:val="1"/>
        </w:numPr>
        <w:rPr/>
      </w:pPr>
      <w:bookmarkStart w:id="110" w:name="__RefHeading___Toc2770261_3804643083"/>
      <w:bookmarkStart w:id="111" w:name="_Toc41"/>
      <w:bookmarkEnd w:id="110"/>
      <w:r>
        <w:rPr>
          <w:rtl w:val="true"/>
        </w:rPr>
        <w:t>حكم غيبت صبيّ غير مميّز و مجنون</w:t>
      </w:r>
      <w:bookmarkEnd w:id="111"/>
    </w:p>
    <w:p>
      <w:pPr>
        <w:pStyle w:val="BookText"/>
        <w:rPr/>
      </w:pPr>
      <w:r>
        <w:rPr>
          <w:rFonts w:ascii="IRNazanin" w:hAnsi="IRNazanin" w:eastAsia="IRNazanin"/>
          <w:color w:val="111111"/>
          <w:sz w:val="28"/>
          <w:sz w:val="28"/>
          <w:szCs w:val="28"/>
          <w:rtl w:val="true"/>
          <w:lang w:bidi="fa-IR"/>
        </w:rPr>
        <w:t>در غير مميّز گاهي اصلاً صدق غيبت در مورد او نمي‌شود؛ يعني توقعّي از غير مميّز نيست كه كار كاملي انجام دهد يا مثلاً گناهي را ترك كند؛ زيرا غير مميّز تكليفي ندارد و لذا نمي‌توان عمل مرجوحي را در نظر داشت كه از او سر زده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مصداق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 بالفتح واقع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بعضي عيوب مستوره‌ي صبيّ غير مميّز كه اگر بر فرض در شخص بالغ بود اظهارش غيبت مي‌شد، آيا بيان آن و اظهارش جايز است يا نه؟ همچنين در مورد مجنون كه عيب مستوري داشته باشد اين‌كه آيا اظهارش حرام است يا جايز، نياز به تأمّل و بررسي دارد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بسياري از فقها قائلند كه غيبت غير مميّز جائز است، ولي انصافاً نمي‌توان علي الاطلاق قائل به جواز شد؛ زيرا اطلاق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w:t>
      </w:r>
    </w:p>
    <w:p>
      <w:pPr>
        <w:pStyle w:val="BookText"/>
        <w:rPr/>
      </w:pPr>
      <w:r>
        <w:rPr>
          <w:rFonts w:ascii="IRNazanin" w:hAnsi="IRNazanin" w:eastAsia="IRNazanin"/>
          <w:color w:val="111111"/>
          <w:sz w:val="28"/>
          <w:sz w:val="28"/>
          <w:szCs w:val="28"/>
          <w:rtl w:val="true"/>
          <w:lang w:bidi="fa-IR"/>
        </w:rPr>
        <w:t>صبيّ غير مميّز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شاهدي كه در بحث قبلي آورديم و خداوند به يتيم اطلاق برادر كرد، در اين مورد هم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يتيم، برادر باشد فرقي بين بالغ و غير بالغش نيست، او هم برادر حساب مي‌شود ولي برادري كه نابالغ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كسي برادري داشت كه بالغ نشده باشد آيا برادرش نيست؟ وقتي فردي محكوم به ايمان است ولو بالتبع، و آيه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تُخالِطُوهُمْ فَإِخْوانُكُم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چه يتيم بالغ باشد و چه غير بالغ، حتّي يتيم ديوانه‌اي كه محكوم به اسلام باشد، شامل همه مي‌شود و انصافاً مشكل است قول به جواز غيبت در اين موارد را پذيرفت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اين‌كه برخي تصريح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صبيّ غير مميّز جائز است</w:t>
      </w:r>
      <w:r>
        <w:rPr>
          <w:rStyle w:val="FootnoteAnchor"/>
          <w:rtl w:val="true"/>
        </w:rPr>
        <w:footnoteReference w:id="109"/>
      </w:r>
      <w:r>
        <w:rPr>
          <w:rFonts w:ascii="IRNazanin" w:hAnsi="IRNazanin" w:eastAsia="IRNazanin"/>
          <w:color w:val="111111"/>
          <w:sz w:val="28"/>
          <w:sz w:val="28"/>
          <w:szCs w:val="28"/>
          <w:rtl w:val="true"/>
          <w:lang w:bidi="fa-IR"/>
        </w:rPr>
        <w:t>، احتمالاً به خاطر آن است كه معمولاً در آن‌ها عيبي كه حرام باشد وجود ندارد؛ زيرا عيب يا به اخلاق است يا به رفتار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جسمي به ندرت اتفاق مي‌افتد به نحوي كه مصداق عيب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غيبت در اين افراد موضوع نداشته، آقايان فرموده‌اند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مطلب هم همين است كه صبيّ غير مميّز و ديوانه هر خُلقي كه داشته باشد يا هر رفتاري از او سر بزند عيب محسوب نمي‌شود تا غيبت او شود؛ زيرا غيبت حتماً بايد عيب باشد و بازگو كردن كمالات ديگران ـ حتّي اگر در غياب شخص باشد ـ غيبت نيست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اگر گفتن حرفي واقعاً موجب حطّ شأن غيرمميّز و ديوانه ـ هرچند در آينده ـ بوده و انتقاصي از آنان باشد، التزام به جوازش بسيار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اين‌كه احتياط واجب در ترك است و بايد از آن اجتناب شود</w:t>
      </w:r>
      <w:r>
        <w:rPr>
          <w:rFonts w:eastAsia="IRNazanin" w:cs="IRNazanin"/>
          <w:color w:val="111111"/>
          <w:sz w:val="28"/>
          <w:szCs w:val="28"/>
          <w:rtl w:val="true"/>
          <w:lang w:bidi="fa-IR"/>
        </w:rPr>
        <w:t>.</w:t>
      </w:r>
      <w:bookmarkStart w:id="112" w:name="pg2359_23260"/>
    </w:p>
    <w:p>
      <w:pPr>
        <w:pStyle w:val="Heading2"/>
        <w:numPr>
          <w:ilvl w:val="1"/>
          <w:numId w:val="1"/>
        </w:numPr>
        <w:rPr/>
      </w:pPr>
      <w:bookmarkStart w:id="113" w:name="__RefHeading___Toc2770263_3804643083"/>
      <w:bookmarkStart w:id="114" w:name="_Toc42"/>
      <w:bookmarkEnd w:id="112"/>
      <w:bookmarkEnd w:id="113"/>
      <w:r>
        <w:rPr>
          <w:rtl w:val="true"/>
        </w:rPr>
        <w:t>حقيقت غيبت چيست؟</w:t>
      </w:r>
      <w:bookmarkEnd w:id="114"/>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15" w:name="__RefHeading___Toc2770265_3804643083"/>
      <w:bookmarkStart w:id="116" w:name="_Toc43"/>
      <w:bookmarkEnd w:id="115"/>
      <w:r>
        <w:rPr>
          <w:rtl w:val="true"/>
        </w:rPr>
        <w:t>اشاره</w:t>
      </w:r>
      <w:bookmarkStart w:id="117" w:name="pg2359_23262"/>
      <w:bookmarkEnd w:id="116"/>
    </w:p>
    <w:p>
      <w:pPr>
        <w:pStyle w:val="BookText"/>
        <w:rPr/>
      </w:pPr>
      <w:bookmarkEnd w:id="117"/>
      <w:r>
        <w:rPr>
          <w:rFonts w:ascii="IRNazanin" w:hAnsi="IRNazanin" w:eastAsia="IRNazanin"/>
          <w:color w:val="111111"/>
          <w:sz w:val="28"/>
          <w:sz w:val="28"/>
          <w:szCs w:val="28"/>
          <w:rtl w:val="true"/>
          <w:lang w:bidi="fa-IR"/>
        </w:rPr>
        <w:t>يكي از مهمترين مباحث غيبت، معنا و حقيقت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غيبت في‌الجمله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متيقّن غيبت آن است كه در غياب كسي، عيب مستورش به قصد انتقاص او ذكر شود به نحوي كه اگر شخص غايب مي‌شنيد ناراضي بود كه چنين ذكري از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قدر متيقّن غيبت است و هيچ كس در غيبت بودن اين مناقشه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قيودي در اين تعريف هست كه شايد كسي آن را براي تحقّق غيبت لازم نداند</w:t>
      </w:r>
      <w:r>
        <w:rPr>
          <w:rFonts w:eastAsia="IRNazanin" w:cs="IRNazanin"/>
          <w:color w:val="111111"/>
          <w:sz w:val="28"/>
          <w:szCs w:val="28"/>
          <w:rtl w:val="true"/>
          <w:lang w:bidi="fa-IR"/>
        </w:rPr>
        <w:t>.</w:t>
      </w:r>
    </w:p>
    <w:p>
      <w:pPr>
        <w:pStyle w:val="Heading3"/>
        <w:numPr>
          <w:ilvl w:val="2"/>
          <w:numId w:val="1"/>
        </w:numPr>
        <w:rPr/>
      </w:pPr>
      <w:bookmarkStart w:id="118" w:name="__RefHeading___Toc2770267_3804643083"/>
      <w:bookmarkStart w:id="119" w:name="_Toc44"/>
      <w:bookmarkEnd w:id="118"/>
      <w:r>
        <w:rPr>
          <w:rtl w:val="true"/>
        </w:rPr>
        <w:t>قيود مورد بحث در تعريف غيبت</w:t>
      </w:r>
      <w:bookmarkEnd w:id="119"/>
    </w:p>
    <w:p>
      <w:pPr>
        <w:pStyle w:val="Heading4"/>
        <w:numPr>
          <w:ilvl w:val="3"/>
          <w:numId w:val="1"/>
        </w:numPr>
        <w:rPr/>
      </w:pPr>
      <w:bookmarkStart w:id="120" w:name="__RefHeading___Toc2770269_3804643083"/>
      <w:bookmarkStart w:id="121" w:name="_Toc45"/>
      <w:bookmarkEnd w:id="120"/>
      <w:r>
        <w:rPr>
          <w:rtl w:val="true"/>
        </w:rPr>
        <w:t>وجود عيب در غيبت شونده</w:t>
      </w:r>
      <w:bookmarkEnd w:id="12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از قيود، اين است كه آن عيب حتماً بايد در غيبت شونده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قائلند اين شرط، لازم نيست؛ اگر هم عيب در شخص نباشد، هرچند بُهتان صدق مي‌كند امّا غيبت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مصرّين بر اين نظر،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نگاه ايشان، بهتان بودن عملي موجب نمي‌شود كه آن عمل از غيبت بودن خارج شود و اگر حكم</w:t>
      </w:r>
      <w:bookmarkStart w:id="122" w:name="pg2359_23263"/>
    </w:p>
    <w:p>
      <w:pPr>
        <w:pStyle w:val="BookText"/>
        <w:rPr/>
      </w:pPr>
      <w:bookmarkEnd w:id="122"/>
      <w:r>
        <w:rPr>
          <w:rFonts w:ascii="Amiri" w:hAnsi="Amiri" w:eastAsia="Amiri" w:cs="Amiri"/>
          <w:color w:val="111111"/>
          <w:sz w:val="28"/>
          <w:sz w:val="28"/>
          <w:szCs w:val="28"/>
          <w:rtl w:val="true"/>
          <w:lang w:bidi="ar-SA"/>
        </w:rPr>
        <w:t>خاصّي براي عنوان غيبت هست ـ مثلاً لزوم طلب حلّيت ـ بر اين عمل هم مترتّب خواهد بود</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2770271_3804643083"/>
      <w:bookmarkStart w:id="124" w:name="_Toc46"/>
      <w:bookmarkEnd w:id="123"/>
      <w:r>
        <w:rPr>
          <w:rtl w:val="true"/>
        </w:rPr>
        <w:t>مستوريت عيب</w:t>
      </w:r>
      <w:bookmarkEnd w:id="124"/>
    </w:p>
    <w:p>
      <w:pPr>
        <w:pStyle w:val="BookText"/>
        <w:rPr/>
      </w:pPr>
      <w:r>
        <w:rPr>
          <w:rFonts w:ascii="IRNazanin" w:hAnsi="IRNazanin" w:eastAsia="IRNazanin"/>
          <w:color w:val="111111"/>
          <w:sz w:val="28"/>
          <w:sz w:val="28"/>
          <w:szCs w:val="28"/>
          <w:rtl w:val="true"/>
          <w:lang w:bidi="fa-IR"/>
        </w:rPr>
        <w:t>قيد ديگري كه در تعريف غيبت بود مستور بودن عيب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 واضح هم باشد غيبت محقّق مي‌شود، كما اين‌كه از اطلاق عبارات برخي فقها بلكه كثيري از فقها اين مطلب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عفيف باشد؛ يعني جلباب حيا را ندريده باشد؛ چرا كه بعضي، غيبتِ شخص غير عفيف و متجاهر به فسق را از مستثنيات غيبت ذكر كرده‌اند، كه خواهد آمد</w:t>
      </w:r>
      <w:r>
        <w:rPr>
          <w:rFonts w:eastAsia="IRNazanin" w:cs="IRNazanin"/>
          <w:color w:val="111111"/>
          <w:sz w:val="28"/>
          <w:szCs w:val="28"/>
          <w:rtl w:val="true"/>
          <w:lang w:bidi="fa-IR"/>
        </w:rPr>
        <w:t>.</w:t>
      </w:r>
    </w:p>
    <w:p>
      <w:pPr>
        <w:pStyle w:val="Heading4"/>
        <w:numPr>
          <w:ilvl w:val="3"/>
          <w:numId w:val="1"/>
        </w:numPr>
        <w:rPr/>
      </w:pPr>
      <w:bookmarkStart w:id="125" w:name="__RefHeading___Toc2770273_3804643083"/>
      <w:bookmarkStart w:id="126" w:name="_Toc47"/>
      <w:bookmarkEnd w:id="125"/>
      <w:r>
        <w:rPr>
          <w:rtl w:val="true"/>
        </w:rPr>
        <w:t>عدم رضايت غيبت شونده</w:t>
      </w:r>
      <w:bookmarkEnd w:id="126"/>
    </w:p>
    <w:p>
      <w:pPr>
        <w:pStyle w:val="Heading5"/>
        <w:numPr>
          <w:ilvl w:val="4"/>
          <w:numId w:val="1"/>
        </w:numPr>
        <w:rPr/>
      </w:pPr>
      <w:bookmarkStart w:id="127" w:name="__RefHeading___Toc2770275_3804643083"/>
      <w:bookmarkStart w:id="128" w:name="_Toc48"/>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در اين كه نارضايتي غيبت شونده از ذكر عيب او در تحقّق غيبت لازم است، بعضي چنين قيدي را لازم دانسته‌اند</w:t>
      </w:r>
      <w:r>
        <w:rPr>
          <w:rFonts w:eastAsia="IRNazanin" w:cs="IRNazanin"/>
          <w:color w:val="111111"/>
          <w:sz w:val="28"/>
          <w:szCs w:val="28"/>
          <w:rtl w:val="true"/>
          <w:lang w:bidi="fa-IR"/>
        </w:rPr>
        <w:t>.</w:t>
      </w:r>
    </w:p>
    <w:p>
      <w:pPr>
        <w:pStyle w:val="Heading5"/>
        <w:numPr>
          <w:ilvl w:val="4"/>
          <w:numId w:val="1"/>
        </w:numPr>
        <w:rPr/>
      </w:pPr>
      <w:bookmarkStart w:id="129" w:name="__RefHeading___Toc2770277_3804643083"/>
      <w:bookmarkStart w:id="130" w:name="_Toc49"/>
      <w:bookmarkEnd w:id="129"/>
      <w:r>
        <w:rPr>
          <w:rtl w:val="true"/>
        </w:rPr>
        <w:t>ديدگاه حضرت امام</w:t>
      </w:r>
      <w:r>
        <w:rPr>
          <w:rtl w:val="true"/>
        </w:rPr>
        <w:t xml:space="preserve">- </w:t>
      </w:r>
      <w:r>
        <w:rPr>
          <w:rtl w:val="true"/>
        </w:rPr>
        <w:t xml:space="preserve">قدس سره </w:t>
      </w:r>
      <w:r>
        <w:rPr>
          <w:rtl w:val="true"/>
        </w:rPr>
        <w:t xml:space="preserve">- </w:t>
      </w:r>
      <w:r>
        <w:rPr>
          <w:rtl w:val="true"/>
        </w:rPr>
        <w:t>در عدم لزوم وجود عيب، براي تحقّق غيبت</w:t>
      </w:r>
      <w:bookmarkEnd w:id="130"/>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ديگري به چيزي كه منقصت او باشد، بايد در شخص وجود داشته باشد تا صدق غيبت كند و اگر آن عيب در او نباشد غيبت نيست، بلكه فقط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بي‌مدركي است و من اين قيد را براي تحقّق غيبت لازم نمي‌دانم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ايشان شواهد زيادي را براي تأييد نظر خودشان، از لغت و حتّي روايات ذكر مي‌فرمايد و نتيجه مي‌گيرد كه غيبت دو اصطلاح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اصطلاح عام كه اين‌گونه تعريف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شخص به چيزي كه عيب است، خواه اين عيب در او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 اگر در او نباشد علاوه بر عنوان غيبت، بهتان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غيبت با بهتان، عام و خاص من وجه مي‌شود</w:t>
      </w:r>
      <w:r>
        <w:rPr>
          <w:rStyle w:val="FootnoteAnchor"/>
          <w:rtl w:val="true"/>
        </w:rPr>
        <w:footnoteReference w:id="110"/>
      </w:r>
      <w:r>
        <w:rPr>
          <w:rFonts w:ascii="IRNazanin" w:hAnsi="IRNazanin" w:eastAsia="IRNazanin"/>
          <w:color w:val="111111"/>
          <w:sz w:val="28"/>
          <w:sz w:val="28"/>
          <w:szCs w:val="28"/>
          <w:rtl w:val="true"/>
          <w:lang w:bidi="fa-IR"/>
        </w:rPr>
        <w:t>زيرا در غيبت، شرط است كه پشت‌سر ديگري و در غياب او باشد، خواه عيب در او باشد يا نباشد، ولي بهتان از اين جهت، اعم است؛ يعني چه پشت‌سر باشد و چه روبرو، بهتان صادق است امّا نبايد عيب مذكور، در او باشد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اصطلاح ديگر غيبت در نظر ايشان، در مقابل بهتان است؛ يعني اگر عيبي از كسي ذكر شود كه در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كان فيه ممّا كان عيباً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است و اگر عيب در او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لم يكن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ايشان آن است كه اصطلاح دوم، اصطلاح مستحدثي است، ولي در اصل لغت، معناي اعم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حكم نكنيم كه اين اصطلاح، مستحدث است، حداقل بايد احتمالش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شواهدي هم از روايات و اهل لغت بر اين نظر</w:t>
      </w:r>
      <w:bookmarkStart w:id="131" w:name="pg2359_23265"/>
    </w:p>
    <w:p>
      <w:pPr>
        <w:pStyle w:val="BookText"/>
        <w:rPr/>
      </w:pPr>
      <w:bookmarkEnd w:id="131"/>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مسأله‌ي بعدي كه مطرح مي‌كنيم، با فرمايش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قريب المخرج است، آن را هم بيان مي‌كنيم، سپس به بررسي منابع و مستنداتي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ديگران ارائه داده‌اند مي‌پردازيم</w:t>
      </w:r>
      <w:r>
        <w:rPr>
          <w:rFonts w:eastAsia="IRNazanin" w:cs="IRNazanin"/>
          <w:color w:val="111111"/>
          <w:sz w:val="28"/>
          <w:szCs w:val="28"/>
          <w:rtl w:val="true"/>
          <w:lang w:bidi="fa-IR"/>
        </w:rPr>
        <w:t>.</w:t>
      </w:r>
    </w:p>
    <w:p>
      <w:pPr>
        <w:pStyle w:val="Heading5"/>
        <w:numPr>
          <w:ilvl w:val="4"/>
          <w:numId w:val="1"/>
        </w:numPr>
        <w:rPr/>
      </w:pPr>
      <w:bookmarkStart w:id="132" w:name="__RefHeading___Toc2770279_3804643083"/>
      <w:bookmarkStart w:id="133" w:name="_Toc50"/>
      <w:bookmarkEnd w:id="132"/>
      <w:r>
        <w:rPr>
          <w:rtl w:val="true"/>
        </w:rPr>
        <w:t>آيا مستور بودن عيب، شرط تحقّق غيبت است؟</w:t>
      </w:r>
      <w:bookmarkEnd w:id="133"/>
    </w:p>
    <w:p>
      <w:pPr>
        <w:pStyle w:val="BookText"/>
        <w:rPr/>
      </w:pPr>
      <w:r>
        <w:rPr>
          <w:rFonts w:ascii="IRNazanin" w:hAnsi="IRNazanin" w:eastAsia="IRNazanin"/>
          <w:color w:val="111111"/>
          <w:sz w:val="28"/>
          <w:sz w:val="28"/>
          <w:szCs w:val="28"/>
          <w:rtl w:val="true"/>
          <w:lang w:bidi="fa-IR"/>
        </w:rPr>
        <w:t>آيا در غيبت شرط است كه عيب، مستور باشد؟ يعني اگر در غياب كسي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كچل است، در حالي‌كه اين مطلب را همه مي‌بينند و آشكار است، ديگر غيبت نيست؟ يا اين‌كه كراهتِ شخص از اظهار عيب، موجب تحقّق غيبت مي‌شود هرچند آن عيب در جلوي ديد همه باشد؟ بنابراين اگر كسي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كچل آمد، مطابق معناي دوم، غيبت است هرچند اين‌كه سخريه هم نباشد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بحث هم مي‌فرمايند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حيث لغت، غيبت شامل اين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عيب آشكار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نهايت اين‌كه مستفاد از روايات، استثناي اين مورد از حرمت مي باشد، نه اين‌كه غيبت لغوي شاملش نشود</w:t>
      </w:r>
      <w:r>
        <w:rPr>
          <w:rStyle w:val="FootnoteAnchor"/>
          <w:rtl w:val="true"/>
        </w:rPr>
        <w:footnoteReference w:id="1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چون در حرمت غيبت اطلاق</w:t>
      </w:r>
      <w:bookmarkStart w:id="134" w:name="pg2359_23266"/>
    </w:p>
    <w:p>
      <w:pPr>
        <w:pStyle w:val="BookText"/>
        <w:rPr/>
      </w:pPr>
      <w:bookmarkEnd w:id="134"/>
      <w:r>
        <w:rPr>
          <w:rFonts w:ascii="IRNazanin" w:hAnsi="IRNazanin" w:eastAsia="IRNazanin"/>
          <w:color w:val="111111"/>
          <w:sz w:val="28"/>
          <w:sz w:val="28"/>
          <w:szCs w:val="28"/>
          <w:rtl w:val="true"/>
          <w:lang w:bidi="fa-IR"/>
        </w:rPr>
        <w:t>داريم، تنها به اندازه‌ي قدر متيقّن مي‌توانيم خارج شويم؛ يعني اگر ثبوت استثنا يقيني بود غيبت حرام نيست وگرنه داخل در اطلاق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خلاف بعضي كه اصلاً در اصل تحقّق غيبت، در چنين مواردي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 عيب غير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دارند كه آيا از حيث لغت، غيبت صادق است يا نه؟</w:t>
      </w:r>
    </w:p>
    <w:p>
      <w:pPr>
        <w:pStyle w:val="BookText"/>
        <w:rPr/>
      </w:pPr>
      <w:r>
        <w:rPr>
          <w:rFonts w:ascii="IRNazanin" w:hAnsi="IRNazanin" w:eastAsia="IRNazanin"/>
          <w:color w:val="111111"/>
          <w:sz w:val="28"/>
          <w:sz w:val="28"/>
          <w:szCs w:val="28"/>
          <w:rtl w:val="true"/>
          <w:lang w:bidi="fa-IR"/>
        </w:rPr>
        <w:t>ثمره‌ي اين اختلاف، قابل توجّه است؛ زيرا اگر در صدق لغوي غيبت شك داشتيم بايد به قدر متيقّن اكتفا كنيم كه قدر متيقّن، ذكر عيب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نظر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اين‌گونه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حرمت ذكر عيب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خرج بالدليل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مواردي كه با دليل، خارج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مطابق ديدگاه دوم، فقط ذكر عيب مستور غيبت است و غيبت بودن موارد ديگر احتياج به دليل داشته و اگر دليلي نبود مجراي برائت است</w:t>
      </w:r>
      <w:r>
        <w:rPr>
          <w:rFonts w:eastAsia="IRNazanin" w:cs="IRNazanin"/>
          <w:color w:val="111111"/>
          <w:sz w:val="28"/>
          <w:szCs w:val="28"/>
          <w:rtl w:val="true"/>
          <w:lang w:bidi="fa-IR"/>
        </w:rPr>
        <w:t>.</w:t>
      </w:r>
    </w:p>
    <w:p>
      <w:pPr>
        <w:pStyle w:val="Heading5"/>
        <w:numPr>
          <w:ilvl w:val="4"/>
          <w:numId w:val="1"/>
        </w:numPr>
        <w:rPr/>
      </w:pPr>
      <w:bookmarkStart w:id="135" w:name="__RefHeading___Toc2770281_3804643083"/>
      <w:bookmarkStart w:id="136" w:name="_Toc51"/>
      <w:bookmarkEnd w:id="135"/>
      <w:r>
        <w:rPr>
          <w:rtl w:val="true"/>
        </w:rPr>
        <w:t>نقد و بررسي ديدگاه حضرت امام</w:t>
      </w:r>
      <w:r>
        <w:rPr>
          <w:rtl w:val="true"/>
        </w:rPr>
        <w:t xml:space="preserve">- </w:t>
      </w:r>
      <w:r>
        <w:rPr>
          <w:rtl w:val="true"/>
        </w:rPr>
        <w:t xml:space="preserve">قدس سره </w:t>
      </w:r>
      <w:r>
        <w:rPr>
          <w:rtl w:val="true"/>
        </w:rPr>
        <w:t>-</w:t>
      </w:r>
      <w:bookmarkEnd w:id="136"/>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براي بررسي فنّي و عالمانه‌ي اين دو مسأله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يا عدم صدق غيبت بر ذكر عيبي كه در شخص نباشد و شرط مستور بودن عيب در تحقّق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بايد لغت غيبت را صرف نظر از بيان شارع مقدّس بررسي كنيم تا ببينيم غيبت، در حاقّ لغت به چه معناست؟ آن عرب بياباني كه ابتدا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يَغْتَبْ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 يا كلام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 چه معنايي در ذهنش نقش مي‌بست؟ آيا اصلاً معنايي در ذهنش نقش مي‌بست و آيا مي‌توان آن معنا را به دست آورد؟</w:t>
      </w:r>
    </w:p>
    <w:p>
      <w:pPr>
        <w:pStyle w:val="BookText"/>
        <w:rPr/>
      </w:pPr>
      <w:r>
        <w:rPr>
          <w:rFonts w:ascii="IRNazanin" w:hAnsi="IRNazanin" w:eastAsia="IRNazanin"/>
          <w:color w:val="111111"/>
          <w:sz w:val="28"/>
          <w:sz w:val="28"/>
          <w:szCs w:val="28"/>
          <w:rtl w:val="true"/>
          <w:lang w:bidi="fa-IR"/>
        </w:rPr>
        <w:t>البته بايد توجّه كرد كه مسأله‌ي اول ـ علي‌رغم اين‌كه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توضيحات زيادي پيرامون آن داده است ـ بحث مهمّي نيست؛ زيرا اگر بر بهتان، وقتي در غياب شخص باشد غيبت هم صدق كند، تأثير چنداني ندارد؛ چرا كه به هر حال بهتان است و حرام و اگر همين بهتان، پشت‌سر باشد و صدق غيبت هم كند ثمره‌اش اين است كه حرمتش بيشتر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ثمره‌اي كه احتمال داده مي‌شود ـ ولي خود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نتوانسته چنين اثري را مترتّب كند ـ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عنوان غيبت مترتّب شود و ما استحلال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لازم بدانيم، اگر بهتان هم بود باز بايد استحلال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اصلِ اين اثر و لزوم استحلال، مورد اشكال است؛ زيرا روايتي كه در اين مورد هست سند صحيح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احتياط خوب است، البته اگر مزاحم نداشته باشد؛ مثلاً ناراحتي و عصبانيت مغتاب را به همراه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وانگهي ممكن است كسي مدّعي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در غيبت استحلال واجب است، به قياس اولويت در بهتان هم استحلال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براي غيبتي كه ذكر عيب موجود است استحلال را لازم يا راجح بداند، به طريق اولي بايد قائل به حكم استحلال براي بهتان ـ كه ذكر عيب مفقود و انتساب عيب غير موجود، به ديگري است ـ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غيبت، حق الناس است در بهتان هم هست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اثر مهمّي بر اين بحث مترتّب نيست به آن نمي‌پردازيم، كما اين‌كه ديگران هم زياد متعرّض اين بحث</w:t>
      </w:r>
      <w:bookmarkStart w:id="137" w:name="pg2359_23268"/>
    </w:p>
    <w:p>
      <w:pPr>
        <w:pStyle w:val="BookText"/>
        <w:rPr/>
      </w:pPr>
      <w:bookmarkEnd w:id="137"/>
      <w:r>
        <w:rPr>
          <w:rFonts w:ascii="IRNazanin" w:hAnsi="IRNazanin" w:eastAsia="IRNazanin"/>
          <w:color w:val="111111"/>
          <w:sz w:val="28"/>
          <w:sz w:val="28"/>
          <w:szCs w:val="28"/>
          <w:rtl w:val="true"/>
          <w:lang w:bidi="fa-IR"/>
        </w:rPr>
        <w:t>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بعضي شواهدي را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كرده است، پاسخ دارد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سندي ندارند،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قابل توجيه است؛ شايد واژه‌ي غيبت در آن‌ها مجازاً به كار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بيش از اين وارد بحثي كه اثر مهمّي ندارد، نمي‌شويم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بحث دوم است كه داراي اثرات زيادي است و بحث اين است كه اگر در غياب شخص، عيوب ظاهري او بيان شود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واقعاً حرف زدن سخت مي‌شود و انسان بايد از بسياري موارد اجتناب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سرش مو نداشته باشد ـ اگر عيب محسوب شود ـ يا چشمش چپ باشد يا لنگ باشد، مطابق اين مبنا ذكر اين‌ها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هم قصد انتقاص را در تعريف غيبت شرط دانسته‌اند، بر خلاف عدّه‌اي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ثمره‌ي اين بحث هم مهم است، كه با بررسي معناي غيبت به همه‌ي اين مسائل خواهيم پرداخت، إن‌شاء‌الله</w:t>
      </w:r>
      <w:r>
        <w:rPr>
          <w:rFonts w:eastAsia="IRNazanin" w:cs="IRNazanin"/>
          <w:color w:val="111111"/>
          <w:sz w:val="28"/>
          <w:szCs w:val="28"/>
          <w:rtl w:val="true"/>
          <w:lang w:bidi="fa-IR"/>
        </w:rPr>
        <w:t>.</w:t>
      </w:r>
    </w:p>
    <w:p>
      <w:pPr>
        <w:pStyle w:val="Heading4"/>
        <w:numPr>
          <w:ilvl w:val="3"/>
          <w:numId w:val="1"/>
        </w:numPr>
        <w:rPr/>
      </w:pPr>
      <w:bookmarkStart w:id="138" w:name="__RefHeading___Toc2770283_3804643083"/>
      <w:bookmarkStart w:id="139" w:name="_Toc52"/>
      <w:bookmarkEnd w:id="138"/>
      <w:r>
        <w:rPr>
          <w:rtl w:val="true"/>
        </w:rPr>
        <w:t>بررسي اقوال لغويين در تبيين حقيقت غيبت</w:t>
      </w:r>
      <w:bookmarkEnd w:id="139"/>
    </w:p>
    <w:p>
      <w:pPr>
        <w:pStyle w:val="Heading5"/>
        <w:numPr>
          <w:ilvl w:val="4"/>
          <w:numId w:val="1"/>
        </w:numPr>
        <w:rPr/>
      </w:pPr>
      <w:bookmarkStart w:id="140" w:name="__RefHeading___Toc2770285_3804643083"/>
      <w:bookmarkStart w:id="141" w:name="_Toc53"/>
      <w:bookmarkEnd w:id="140"/>
      <w:r>
        <w:rPr>
          <w:rtl w:val="true"/>
        </w:rPr>
        <w:t>اشاره</w:t>
      </w:r>
      <w:bookmarkEnd w:id="141"/>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مراجعه به لغت ـ همان‌طور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ـ عمدتاً استفاده‌ي تعميم مي‌شود؛ يعني معناي لغوي غيبت، هم شامل عيب مستور مي‌شود و هم غير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عبارات تعدادي از لغويين را به عنوان خبرگان لغت بررسي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مطمئن باشيم كه اينان در مقام بيان حقيقت معناي اغتياب هستند، چون قول آنان قول خبره است حجّت است، مگر آن‌كه خلافش ثابت شود و يا وثاقتِ قائل، مشكوك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كتاب‌هاي لغتِ مادر، مثل العين و معجم مقاييس اللغة، مطلب قابل توجّهي ندارند و قضيه را مجمل گذرانده‌اند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راغب در مفردات</w:t>
      </w:r>
      <w:r>
        <w:rPr>
          <w:rStyle w:val="FootnoteAnchor"/>
          <w:rtl w:val="true"/>
        </w:rPr>
        <w:footnoteReference w:id="112"/>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يذكر الإنسان غيره بما فيه من عيب من غير أن أحوج إلي ذكره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غيبت آن است كه شخص ديگري را به عيبي كه در او هست 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بدون آن‌كه نيازي به اين ذكر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ايشان قصد انتقاص را هم شرط مي‌داند و با قيد وجود عيب در مغتاب، بهتان را از تعريف غيبت خارج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تعريف، از حيث آشكار بودن عيب يا غير آشكار بودن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باشد، امّا عيب تكويني باشد يا اخلاقي يا ديني و آشكار باشد يا مستور، از اين جهات اطلاق داشته و قيدي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صحاح اين‌گونه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إغتابه إغتياباً، إذا وقع فيه؛</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 xml:space="preserve">غيبت زماني است كه كسي در مورد ديگري بدگويي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درباره‌ي او حرف ناصواب بزند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توضيح مي‌دهد</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الاسم الغِيبَةُ، و هو أن يتكلَّم خلف إنسانٍ مستور بما يَغُمُّه لو سمِعَه فإنْ كان صدقاً سُمِّىَ غِيبَةً و إن كان</w:t>
      </w:r>
    </w:p>
    <w:p>
      <w:pPr>
        <w:pStyle w:val="BookText"/>
        <w:rPr/>
      </w:pPr>
      <w:r>
        <w:rPr>
          <w:rFonts w:ascii="Amiri" w:hAnsi="Amiri" w:eastAsia="Amiri" w:cs="Amiri"/>
          <w:color w:val="111111"/>
          <w:sz w:val="28"/>
          <w:sz w:val="28"/>
          <w:szCs w:val="28"/>
          <w:rtl w:val="true"/>
          <w:lang w:bidi="ar-SA"/>
        </w:rPr>
        <w:t>كذباً سمِّى بُهتاناً؛</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غيبت آن است كه پشت‌سر انسان مستوري صحبتي شود كه اگر بشنود ناراحت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حرفي كه زده درست باشد غيبت ناميده مي‌شود و اگر دروغ باشد بهتان ناميده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بيان صحاح خلاف استفاده‌اي است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 زيرا صحاح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و بهتان با هم جمع نمي‌شوند؛ غيبت براي زماني است كه مطالب مطرح شده صادق باشد، ولي بهتان براي زماني است كه صادق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اين حيث كه عيب مستور شرط است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آشكار هم باشد باز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صحاح بياني ندارد؛ چرا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يتكلَّم خلف إنسانٍ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مستور صفت انسان است نه صفت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مراجعه به لغت مي‌بينيم مستور و ستير به معناي عفيف است</w:t>
      </w:r>
      <w:r>
        <w:rPr>
          <w:rStyle w:val="FootnoteAnchor"/>
          <w:rtl w:val="true"/>
        </w:rPr>
        <w:footnoteReference w:id="115"/>
      </w:r>
      <w:r>
        <w:rPr>
          <w:rFonts w:ascii="IRNazanin" w:hAnsi="IRNazanin" w:eastAsia="IRNazanin"/>
          <w:color w:val="111111"/>
          <w:sz w:val="28"/>
          <w:sz w:val="28"/>
          <w:szCs w:val="28"/>
          <w:rtl w:val="true"/>
          <w:lang w:bidi="fa-IR"/>
        </w:rPr>
        <w:t>، پس كأنّ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انساني كه حيا دارد و آشكارا فاجر نيست، صحبت كردن غيبت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انسان مستور يعني انسان عفيف، و اين قيد احتراز است از كسي كه عفيف نبوده و جلباب حيا را از وجه خود نيانداخته باشد</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اين معنا متّخذ از روايات است كه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ألقي جلباب</w:t>
      </w:r>
    </w:p>
    <w:p>
      <w:pPr>
        <w:pStyle w:val="BookText"/>
        <w:rPr/>
      </w:pPr>
      <w:r>
        <w:rPr>
          <w:rFonts w:ascii="Amiri" w:hAnsi="Amiri" w:eastAsia="Amiri" w:cs="Amiri"/>
          <w:color w:val="111111"/>
          <w:sz w:val="28"/>
          <w:sz w:val="28"/>
          <w:szCs w:val="28"/>
          <w:rtl w:val="true"/>
          <w:lang w:bidi="ar-SA"/>
        </w:rPr>
        <w:t>الحياء عن وجهه فلاغيبة له</w:t>
      </w:r>
      <w:r>
        <w:rPr>
          <w:rFonts w:eastAsia="Amiri" w:cs="Amiri" w:ascii="Amiri" w:hAnsi="Amiri"/>
          <w:color w:val="111111"/>
          <w:sz w:val="28"/>
          <w:szCs w:val="28"/>
          <w:rtl w:val="true"/>
          <w:lang w:bidi="ar-SA"/>
        </w:rPr>
        <w:t>»</w:t>
      </w:r>
      <w:r>
        <w:rPr>
          <w:rStyle w:val="FootnoteAnchor"/>
          <w:rtl w:val="true"/>
        </w:rPr>
        <w:footnoteReference w:id="117"/>
      </w:r>
    </w:p>
    <w:p>
      <w:pPr>
        <w:pStyle w:val="BookText"/>
        <w:rPr/>
      </w:pP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بحارالانوار، ج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أَلْقَى جِلْبَابَ الْحَيَاءِ عَنْ وَجْهِهِ فَلَا غِيبَةَ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صحاح هم اشاره به همان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تعريف صحاح از جهت امكان وحدت غيبت و بهتان، مخالف قول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از حيث شرطيّت عيب مستور و پنهان اطلاق داشته و در نتيجه موافق قول ايشان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مي‌تواند ايمائي داشته باشد كه همان‌طور كه عيب دنيوي اگر آشكار بود ذكر آن غيبت نيست، عيب ديني هم اگر آشكار بود ذكر آن غيبت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العروس</w:t>
      </w:r>
      <w:r>
        <w:rPr>
          <w:rStyle w:val="FootnoteAnchor"/>
          <w:rtl w:val="true"/>
        </w:rPr>
        <w:footnoteReference w:id="118"/>
      </w:r>
      <w:r>
        <w:rPr>
          <w:rFonts w:ascii="IRNazanin" w:hAnsi="IRNazanin" w:eastAsia="IRNazanin"/>
          <w:color w:val="111111"/>
          <w:sz w:val="28"/>
          <w:sz w:val="28"/>
          <w:szCs w:val="28"/>
          <w:rtl w:val="true"/>
          <w:lang w:bidi="fa-IR"/>
        </w:rPr>
        <w:t>در تعريف غيبت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الغِيبَةُ من الاغْتِيَاب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اغتاب الرجُل صاحِبَه اغْتِيَاباً، إِذَا وَقَعَ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أَن يَتَكَلَّم خَلْف إِنْسَان مَسْتُورٍ بِسُوءٍ، أَوْ بِمَا يَغُمُّه،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فِيهِ، فإِن كان صِدْقاً فهو غِيبَةٌ، و إِنْ كَانَ كَذِباً فهو البَهْتُ و البُهْتَانُ</w:t>
      </w:r>
      <w:r>
        <w:rPr>
          <w:rStyle w:val="FootnoteAnchor"/>
          <w:rtl w:val="true"/>
        </w:rPr>
        <w:footnoteReference w:id="11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غيبت از مادّه‌ي اغتياب است ـ زماني كه كسي درباره‌ي</w:t>
      </w:r>
    </w:p>
    <w:p>
      <w:pPr>
        <w:pStyle w:val="BookText"/>
        <w:rPr/>
      </w:pPr>
      <w:r>
        <w:rPr>
          <w:rFonts w:ascii="IRNazanin" w:hAnsi="IRNazanin" w:eastAsia="IRNazanin"/>
          <w:color w:val="111111"/>
          <w:sz w:val="28"/>
          <w:sz w:val="28"/>
          <w:szCs w:val="28"/>
          <w:rtl w:val="true"/>
          <w:lang w:bidi="fa-IR"/>
        </w:rPr>
        <w:t>ديگري صحبت كند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غيبت ديگري كرد ـ به معناي آن است كه فردي خَلف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عفيفي به بدي سخن بگويد يا حرفي بزند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نارحت كند، هرچند آن‌چه گفته،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باشد غيبت است و اگر دروغ باشد بَهت و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فيه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اگرچه در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بالاولويه بيان مي‌كند حتّي اگر هم در او نباشد غيبت است و اين حرف، مطابق فرمايش حضرت امام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ادامه كه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كان صِدْقاً فهو غِيبَةٌ و إِنْ كَانَ كَذِباً فهو البَهْتُ و البُهْتَانُ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مي‌رسد مي‌خواهد بين غيبت و بهتان فرق بگذارد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مطالب گفته شده در او نباشد فقط بهتان است و ديگر غيبت صادق نيست؛ چون ظاهر اين است كه غيبت و بهتان را قسيم يكديگر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حضرت امام از مثل اين عبارات لغويين هم استفاده كرده است كه اينان مي‌خواهند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غيبت است ولي غيبت خاصّي است؛ يعني غيبتي است كه عنوان بهتان هم بر آن صادق است، نه اين‌كه غيبت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از حيث اطلاق يا عدم اطلاق نسبت به عيب آشكار، مثل كلام صحاح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تاج العروس در ادامه‌ي مطالب فوق مي‌نويسد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جَاءَ عَنِ النَّبِيِّ صلى اللّه عليه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اين‌چنين از 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تاج العروس معلوم مي‌شود كه حاقّ لغت را معنا نكرده، بلكه استفاده‌ي خود از روايات را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عين</w:t>
      </w:r>
    </w:p>
    <w:p>
      <w:pPr>
        <w:pStyle w:val="BookText"/>
        <w:rPr/>
      </w:pPr>
      <w:r>
        <w:rPr>
          <w:rFonts w:ascii="IRNazanin" w:hAnsi="IRNazanin" w:eastAsia="IRNazanin"/>
          <w:color w:val="111111"/>
          <w:sz w:val="28"/>
          <w:sz w:val="28"/>
          <w:szCs w:val="28"/>
          <w:rtl w:val="true"/>
          <w:lang w:bidi="fa-IR"/>
        </w:rPr>
        <w:t xml:space="preserve">همين مطلب هم در لسان العرب هست و احتمالاً زبيدي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تاج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مطالبش را از آن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الاسم الغِيبَة؛ و لا يكونُ ذلِكَ إِلّا مِنْ وَرَائِه، و في التَّنْزِيلِ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يَغْتَبْ بَعْضُكُمْ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يتَنَاولْ رَجُلًا بظَهْرِ الغَيْب بما يَسُوءُه مِمَّا هُوَ فِيه؛</w:t>
      </w:r>
    </w:p>
    <w:p>
      <w:pPr>
        <w:pStyle w:val="BookText"/>
        <w:rPr/>
      </w:pPr>
      <w:r>
        <w:rPr>
          <w:rFonts w:ascii="IRNazanin" w:hAnsi="IRNazanin" w:eastAsia="IRNazanin"/>
          <w:color w:val="111111"/>
          <w:sz w:val="28"/>
          <w:sz w:val="28"/>
          <w:szCs w:val="28"/>
          <w:rtl w:val="true"/>
          <w:lang w:bidi="fa-IR"/>
        </w:rPr>
        <w:t xml:space="preserve">غيبت نيست مگر پشت‌سر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غياب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و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شما بعض ديگر را غيبت نكند؛ يعني كسي پشت‌سر ديگري حرف‌هايي نگويد كه موجب ناراحتي او مي‌شود، از آن چيزهايي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او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استدراك مي‌كند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إِذَا تَنَاوَلَه بِمَا ليس فيه فهو بَهْتٌ و بُهْتَانٌ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درباره‌ي او چيزي بگويد كه در او نباشد، اين بَهت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اظهر است كه مي‌خواهد بهتان را در مقابل غيبت قرار دهد؛ يعني اگر چيزي در شخص غايب نباشد و شنيدنش ناراحتش كند بهتان است نه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مطلبي را اضافه مي‌كند كه ابن منظور در لسان العرب هم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آقاي زُبيدي از ابن الاعرابي نقل مي‌كند كه او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غَابَ، إِذَا اغْتَابَ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يكي از معاني غابَ، إغتاب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غَابَ، إِذَا ذَكَر إِنْسَاناً بخَيْرٍ أَوْ 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غابَ يعني انساني را به خير يا شرّي ياد كنند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ـ دقّت بفرماييد ـ آقاي ابن اعرابي معتقد است حاقّ لغت</w:t>
      </w:r>
    </w:p>
    <w:p>
      <w:pPr>
        <w:pStyle w:val="BookText"/>
        <w:rPr/>
      </w:pPr>
      <w:r>
        <w:rPr>
          <w:rFonts w:ascii="IRNazanin" w:hAnsi="IRNazanin" w:eastAsia="IRNazanin"/>
          <w:color w:val="111111"/>
          <w:sz w:val="28"/>
          <w:sz w:val="28"/>
          <w:szCs w:val="28"/>
          <w:rtl w:val="true"/>
          <w:lang w:bidi="fa-IR"/>
        </w:rPr>
        <w:t>غيبت، مشتمل بر ذكر سوء نيست، بلكه هر انساني را به خيري يا شرّي ذكر كنند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قطعاً مقصودش اين است كه در پشت‌سرش باشد نه در حضورش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الغِيبَةُ فِعْلة مِنْه أَي من الاغْتِيَاب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غيبت فعله‌اي از اغتياب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تكُونَ حَسَنَةً أَو قَبِيحَةً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غيبت ممكن است حسنه يا قبيحه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اين‌هم معنايي از غيبت كه آقاي ابن منظور و زبيدي هر دو نقل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كتاب النهاية</w:t>
      </w:r>
      <w:r>
        <w:rPr>
          <w:rStyle w:val="FootnoteAnchor"/>
          <w:rtl w:val="true"/>
        </w:rPr>
        <w:footnoteReference w:id="120"/>
      </w:r>
      <w:r>
        <w:rPr>
          <w:rFonts w:ascii="IRNazanin" w:hAnsi="IRNazanin" w:eastAsia="IRNazanin"/>
          <w:color w:val="111111"/>
          <w:sz w:val="28"/>
          <w:sz w:val="28"/>
          <w:szCs w:val="28"/>
          <w:rtl w:val="true"/>
          <w:lang w:bidi="fa-IR"/>
        </w:rPr>
        <w:t>در تعريف غيبت مي‌گويد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تكرر فيه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أن يَذكُر الإنسانَ في غَيْبَتِه بسوء و إن كان فيه، فإذا ذكرته بما ليس فيه فهو البهت و البهتان</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 xml:space="preserve">ذكر غيبت تكرار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ايشان، تكرار غيبت در احاديث است، همان‌گونه كه اسم اين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غيبت آن است كه انساني را در غيابش به بدي ياد كند، هرچند اين‌كه آن بدي در او باشد </w:t>
      </w:r>
      <w:r>
        <w:rPr>
          <w:rFonts w:eastAsia="IRNazanin" w:cs="IRNazanin"/>
          <w:color w:val="111111"/>
          <w:sz w:val="28"/>
          <w:szCs w:val="28"/>
          <w:rtl w:val="true"/>
          <w:lang w:bidi="fa-IR"/>
        </w:rPr>
        <w:t>...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حرف، تأييد فرمايش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زيرا بيان مي‌كند يكي از افراد غيبت، آن است كه بدي در او باشد، پس اگر ديگري را به چيزي ياد كرد كه در او نبود اين بَهت و بهتان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كسي از اين عبارات استظهار كند كه بهت و بهتان هم</w:t>
      </w:r>
      <w:bookmarkStart w:id="142" w:name="pg2359_23275"/>
    </w:p>
    <w:p>
      <w:pPr>
        <w:pStyle w:val="BookText"/>
        <w:rPr/>
      </w:pPr>
      <w:bookmarkEnd w:id="142"/>
      <w:r>
        <w:rPr>
          <w:rFonts w:ascii="IRNazanin" w:hAnsi="IRNazanin" w:eastAsia="IRNazanin"/>
          <w:color w:val="111111"/>
          <w:sz w:val="28"/>
          <w:sz w:val="28"/>
          <w:szCs w:val="28"/>
          <w:rtl w:val="true"/>
          <w:lang w:bidi="fa-IR"/>
        </w:rPr>
        <w:t>غيبت است، نهايت اين‌كه اسم ديگري هم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المصباح المنير</w:t>
      </w:r>
      <w:r>
        <w:rPr>
          <w:rStyle w:val="FootnoteAnchor"/>
          <w:rtl w:val="true"/>
        </w:rPr>
        <w:footnoteReference w:id="122"/>
      </w:r>
      <w:r>
        <w:rPr>
          <w:rFonts w:ascii="IRNazanin" w:hAnsi="IRNazanin" w:eastAsia="IRNazanin"/>
          <w:color w:val="111111"/>
          <w:sz w:val="28"/>
          <w:sz w:val="28"/>
          <w:szCs w:val="28"/>
          <w:rtl w:val="true"/>
          <w:lang w:bidi="fa-IR"/>
        </w:rPr>
        <w:t>در تعريف غيبت مي‌گويد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اغْتَابَهُ اغْتِيَاباً إذَا ذَكَرَهُ بِمَا يَكْرَهُ مِنَ الْعُيُوبِ وَ هُوَ حَقٌّ و الاسْمُ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بَاطِلًا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بُهْتٍ</w:t>
      </w:r>
      <w:r>
        <w:rPr>
          <w:rFonts w:eastAsia="Amiri" w:cs="Amiri" w:ascii="Amiri" w:hAnsi="Amiri"/>
          <w:color w:val="111111"/>
          <w:sz w:val="28"/>
          <w:szCs w:val="28"/>
          <w:rtl w:val="true"/>
          <w:lang w:bidi="ar-SA"/>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غيبت كرد ديگري را غيبت كردني، زماني است كه ذكري از او شود به عيوبي كه او مبغوض مي‌دارد، در حالي‌كه آن عيب، حقيقت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اسم مصدرش هم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باطل باشد و آن عيب در او نباشد، غيبتي است كه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ايشان مي‌خواهد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اصل اعم است از اين جهت كه آن سوئي كه پشت‌سر گفته مي‌شود، در شخص غائب باشد يا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امر اين‌كه اگر نباشد، بهت و بهتان هم صادق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مطالبي بود كه ما از لغويّين جمع‌آوري كرديم</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770287_3804643083"/>
      <w:bookmarkStart w:id="144" w:name="_Toc54"/>
      <w:bookmarkEnd w:id="143"/>
      <w:r>
        <w:rPr>
          <w:rtl w:val="true"/>
        </w:rPr>
        <w:t>نتيجه‌ي بررسي اقوال</w:t>
      </w:r>
      <w:bookmarkEnd w:id="144"/>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تمام كتبي كه بررسي شد، غيبت نسبت به مستور بودن يا اعم بودن عيب اطلاق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ديگري ذكر شود، عيبي كه موجب ناراحتي او باشد، امّا از جهت اين‌كه اين عيب</w:t>
      </w:r>
    </w:p>
    <w:p>
      <w:pPr>
        <w:pStyle w:val="BookText"/>
        <w:rPr/>
      </w:pPr>
      <w:r>
        <w:rPr>
          <w:rFonts w:ascii="IRNazanin" w:hAnsi="IRNazanin" w:eastAsia="IRNazanin"/>
          <w:color w:val="111111"/>
          <w:sz w:val="28"/>
          <w:sz w:val="28"/>
          <w:szCs w:val="28"/>
          <w:rtl w:val="true"/>
          <w:lang w:bidi="fa-IR"/>
        </w:rPr>
        <w:t>مستور باشد يا نه، قيدي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شبهه‌اي در عبارت صحاح جوهري و برخي مانند آن بود كه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 انسان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مستور به معناي عيب مستور نيست، بلكه مراد انسان مستور است؛ يعني انسان عفيف، و اشاره است به روايتي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أَلْقَى جِلْبَابَ الْحَيَاءِ عَنْ وَجْهِهِ فَلَا غِيْبَةَ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ربطي به لغت غيبت ندارد؛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مستور 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لغت غيبت اخذ نشده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اين است كه فرد متجاهر به فسق، غيبت ندارد، همان‌گونه كه جناب شيخ هم به اين مطلب اشاره مي‌فرمايد</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 xml:space="preserve">البته جناب شيخ در بحث شرطيت ستر براي عيب مذكور، در معناي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انسان مستور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داده‌اند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يؤيد ذلك ما في الصحاح من أن الغيبة أن يتكلم خلف إنسان مستور بما يغمه لو سمعه فإن كان صدقا سمي غيبة و إن كان كذبا سمي بهتانا فإن أراد من المستور من حيث ذلك المقول وافق الأخبار و إن أراد مقابل المتجاهر احتمل الموافقة و المخالفة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همان،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اين‌كه عيب مستور باشد يا اين‌كه ذكر عيب غير مستور هم مصداق غيبت است بياني ندارد، بلكه از اين حيث اطلاق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 ايمائي را نسبت به خروج عيب غير مستور، استفاده كرديم</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نتيجه‌ي بررسي عبارات لغويين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كردند، عيبي كه ذكرش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ناراحت</w:t>
      </w:r>
      <w:bookmarkStart w:id="145" w:name="pg2359_23277"/>
    </w:p>
    <w:p>
      <w:pPr>
        <w:pStyle w:val="BookText"/>
        <w:rPr/>
      </w:pPr>
      <w:bookmarkEnd w:id="145"/>
      <w:r>
        <w:rPr>
          <w:rFonts w:ascii="IRNazanin" w:hAnsi="IRNazanin" w:eastAsia="IRNazanin"/>
          <w:color w:val="111111"/>
          <w:sz w:val="28"/>
          <w:sz w:val="28"/>
          <w:szCs w:val="28"/>
          <w:rtl w:val="true"/>
          <w:lang w:bidi="fa-IR"/>
        </w:rPr>
        <w:t>كند غيبت است، چه اين عيب، مستور و چه آشكار باشد</w:t>
      </w:r>
      <w:r>
        <w:rPr>
          <w:rFonts w:eastAsia="IRNazanin" w:cs="IRNazanin"/>
          <w:color w:val="111111"/>
          <w:sz w:val="28"/>
          <w:szCs w:val="28"/>
          <w:rtl w:val="true"/>
          <w:lang w:bidi="fa-IR"/>
        </w:rPr>
        <w:t>.</w:t>
      </w:r>
    </w:p>
    <w:p>
      <w:pPr>
        <w:pStyle w:val="Heading4"/>
        <w:numPr>
          <w:ilvl w:val="3"/>
          <w:numId w:val="1"/>
        </w:numPr>
        <w:rPr/>
      </w:pPr>
      <w:bookmarkStart w:id="146" w:name="__RefHeading___Toc2770289_3804643083"/>
      <w:bookmarkStart w:id="147" w:name="_Toc55"/>
      <w:bookmarkEnd w:id="146"/>
      <w:r>
        <w:rPr>
          <w:rtl w:val="true"/>
        </w:rPr>
        <w:t>مناقشه در تعاريف لغويين</w:t>
      </w:r>
      <w:bookmarkEnd w:id="147"/>
    </w:p>
    <w:p>
      <w:pPr>
        <w:pStyle w:val="BookText"/>
        <w:rPr/>
      </w:pPr>
      <w:r>
        <w:rPr>
          <w:rFonts w:ascii="IRNazanin" w:hAnsi="IRNazanin" w:eastAsia="IRNazanin"/>
          <w:color w:val="111111"/>
          <w:sz w:val="28"/>
          <w:sz w:val="28"/>
          <w:szCs w:val="28"/>
          <w:rtl w:val="true"/>
          <w:lang w:bidi="fa-IR"/>
        </w:rPr>
        <w:t>قول لغويين ـ و به طريق اولي قول فقها ـ مشوب به تعاريف و حتّي احكامي است كه در اخبار و روايات آمده است كما اين‌كه گاهي در تعريف خود، با عباراتي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كما جاء في الحديث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جاء عن النبي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تصريح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اماراتي وجود دارد كه برخي قيود، متّخذ از روايات است، مانند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 انسان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احتمال قوي مي‌دهيم بلكه اطمينان داريم اشاره است به اين‌كه بايد براي تحقّق غيبت،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متجاهر به فسق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قول لغويين حتّي به عنوان اهل خبره حجّت نيست؛ زيرا ما احراز نكرديم كه لغويين در صدد تعريف حاقّ لغت بودند، آن‌چنان‌كه يك عرب معاصر نزول وحي و صدور حديث، از لغت غيبت تلقّي داشته است، تا بتوانيم تمام حدود غيبت را بشناسيم كه آيا ذكر عيب مستور ملاك صدق غيبت است يا ذكر عيب غير مستور هم مصداق غيبت مي‌باشد؟</w:t>
      </w:r>
    </w:p>
    <w:p>
      <w:pPr>
        <w:pStyle w:val="BookText"/>
        <w:rPr/>
      </w:pPr>
      <w:r>
        <w:rPr>
          <w:rFonts w:ascii="IRNazanin" w:hAnsi="IRNazanin" w:eastAsia="IRNazanin"/>
          <w:color w:val="111111"/>
          <w:sz w:val="28"/>
          <w:sz w:val="28"/>
          <w:szCs w:val="28"/>
          <w:rtl w:val="true"/>
          <w:lang w:bidi="fa-IR"/>
        </w:rPr>
        <w:t>عدم تعريف حاقّ لغت غيبت توسط علماي لغت، اين احتمال را تقويت مي‌كند كه شايد غيبت، يك معناي مسجّل محدّدي در زمان نزول وحي نداشته و بعيد نيست اين‌چنين باشد و شارع در صدد تبيين غيبت برآمده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بر اين مطلب، روايتي بود كه در آن، جناب ابوذر ـ كه</w:t>
      </w:r>
    </w:p>
    <w:p>
      <w:pPr>
        <w:pStyle w:val="BookText"/>
        <w:rPr/>
      </w:pPr>
      <w:r>
        <w:rPr>
          <w:rFonts w:ascii="IRNazanin" w:hAnsi="IRNazanin" w:eastAsia="IRNazanin"/>
          <w:color w:val="111111"/>
          <w:sz w:val="28"/>
          <w:sz w:val="28"/>
          <w:szCs w:val="28"/>
          <w:rtl w:val="true"/>
          <w:lang w:bidi="fa-IR"/>
        </w:rPr>
        <w:t>خود يك عرب خالص و تمام عيار است ـ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معناي غيبت مي‌پرسد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الغيبة؟</w:t>
      </w:r>
      <w:r>
        <w:rPr>
          <w:rFonts w:eastAsia="IRNazanin" w:cs="IRNazanin"/>
          <w:color w:val="111111"/>
          <w:sz w:val="28"/>
          <w:szCs w:val="28"/>
          <w:rtl w:val="true"/>
          <w:lang w:bidi="fa-IR"/>
        </w:rPr>
        <w:t>»</w:t>
      </w:r>
      <w:r>
        <w:rPr>
          <w:rStyle w:val="FootnoteAnchor"/>
          <w:rtl w:val="true"/>
        </w:rPr>
        <w:footnoteReference w:id="1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معناي واضحي داشت چنين سؤالي چندان به‌جا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بگوييم هيچ توجيهي ندارد، بلكه مي‌گوييم خيلي مناسب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اين سؤال از طرف جناب سلمان مطرح مي‌شد ممكن بود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عرب نبود و لذا معناي آن را از حضرت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حرف، بعد از مدت زمان طولاني كه سلمان در بين اعراب بوده شايد به‌جا نباشد، ولي ابوذر كه ديگر عرب مادرزاد بود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سوي ديگر احتمال داده مي‌شود ـ هرچند ضعيف ـ كه غيبت چون در مادّه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معناي پنهان، مشترك است، تنها وجه غيبت اين نيست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غايب است و در وراء است، شايد وجه ديگري هم در نظر باشد و هر دو وجه مراد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فرد مغتاب در وراء باشد و وجه ديگر اين‌كه صفت، عيب و نقص او هم پنهان باشد؛ يعني نقص پنهان او را در</w:t>
      </w:r>
      <w:bookmarkStart w:id="148" w:name="pg2359_23279"/>
    </w:p>
    <w:p>
      <w:pPr>
        <w:pStyle w:val="BookText"/>
        <w:rPr/>
      </w:pPr>
      <w:bookmarkEnd w:id="148"/>
      <w:r>
        <w:rPr>
          <w:rFonts w:ascii="IRNazanin" w:hAnsi="IRNazanin" w:eastAsia="IRNazanin"/>
          <w:color w:val="111111"/>
          <w:sz w:val="28"/>
          <w:sz w:val="28"/>
          <w:szCs w:val="28"/>
          <w:rtl w:val="true"/>
          <w:lang w:bidi="fa-IR"/>
        </w:rPr>
        <w:t>حالي‌كه خودش نيست ذكر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به تمام معنايش اين است، و إلا چندان مناسب نيست كه اگر كسي نباشد ولي عيبش جلو چشم همه بود، ذكر چنين عيبي هم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اعتبار پنهان بودن شخص مي‌توان گفت، ولي احتمال مي‌دهيم پنهان بودن به معناي كاملِ پنهان است؛ يعني هم فرد، پنهان است و هم وصف و 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اين معنا هم باشد كافي است در اين‌كه مستوريت عيب را شرط تحقّق غيبت بدانيم، به خصوص با توجّه به اين‌كه نهي از غيبت، بعد از نهي از تجسّس آمده كه روشن است موضوع آن، عيب پنهان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خداوند متعال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عيوب پنهان نرويد و اگر آن را مي‌دانيد به ديگران نگوييد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به نظر مي‌رسد آن غيبتي كه مورد نظر قرآن كريم است يك معناي محدّد عرفي نداشته و قرآن كريم في‌الجمله آن را بيان كرده و بيان تفصيلي آن به روايات موكول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اصطلاح غيبت، با معناي لغوي خود في‌الجمله مناسبت دارد</w:t>
      </w:r>
      <w:r>
        <w:rPr>
          <w:rFonts w:eastAsia="IRNazanin" w:cs="IRNazanin"/>
          <w:color w:val="111111"/>
          <w:sz w:val="28"/>
          <w:szCs w:val="28"/>
          <w:rtl w:val="true"/>
          <w:lang w:bidi="fa-IR"/>
        </w:rPr>
        <w:t>.</w:t>
      </w:r>
    </w:p>
    <w:p>
      <w:pPr>
        <w:pStyle w:val="Heading3"/>
        <w:numPr>
          <w:ilvl w:val="2"/>
          <w:numId w:val="1"/>
        </w:numPr>
        <w:rPr/>
      </w:pPr>
      <w:bookmarkStart w:id="149" w:name="__RefHeading___Toc2770291_3804643083"/>
      <w:bookmarkStart w:id="150" w:name="_Toc56"/>
      <w:bookmarkEnd w:id="149"/>
      <w:r>
        <w:rPr>
          <w:rtl w:val="true"/>
        </w:rPr>
        <w:t>اشاره به معناي غيبت در روايات و تعريف فقها از غيبت</w:t>
      </w:r>
      <w:bookmarkEnd w:id="150"/>
    </w:p>
    <w:p>
      <w:pPr>
        <w:pStyle w:val="Heading4"/>
        <w:numPr>
          <w:ilvl w:val="3"/>
          <w:numId w:val="1"/>
        </w:numPr>
        <w:rPr/>
      </w:pPr>
      <w:bookmarkStart w:id="151" w:name="__RefHeading___Toc2770293_3804643083"/>
      <w:bookmarkStart w:id="152" w:name="_Toc57"/>
      <w:bookmarkEnd w:id="151"/>
      <w:r>
        <w:rPr>
          <w:rtl w:val="true"/>
        </w:rPr>
        <w:t>اشاره</w:t>
      </w:r>
      <w:bookmarkEnd w:id="152"/>
    </w:p>
    <w:p>
      <w:pPr>
        <w:pStyle w:val="BookText"/>
        <w:rPr/>
      </w:pPr>
      <w:r>
        <w:rPr>
          <w:rFonts w:ascii="IRNazanin" w:hAnsi="IRNazanin" w:eastAsia="IRNazanin"/>
          <w:color w:val="111111"/>
          <w:sz w:val="28"/>
          <w:sz w:val="28"/>
          <w:szCs w:val="28"/>
          <w:rtl w:val="true"/>
          <w:lang w:bidi="fa-IR"/>
        </w:rPr>
        <w:t>روايات، در معناي غيبت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بعضي از روايات، غيبت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كرده‌اند، در مقابل، بعضي ديگر از روايات، معناي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مي‌كنند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فقهاي ما نيز در استفاده از روايات چند دسته هستند، ولي دو</w:t>
      </w:r>
    </w:p>
    <w:p>
      <w:pPr>
        <w:pStyle w:val="BookText"/>
        <w:rPr/>
      </w:pPr>
      <w:r>
        <w:rPr>
          <w:rFonts w:ascii="IRNazanin" w:hAnsi="IRNazanin" w:eastAsia="IRNazanin"/>
          <w:color w:val="111111"/>
          <w:sz w:val="28"/>
          <w:sz w:val="28"/>
          <w:szCs w:val="28"/>
          <w:rtl w:val="true"/>
          <w:lang w:bidi="fa-IR"/>
        </w:rPr>
        <w:t>نظر، عمده است</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فقهايي كه زحمت زيادي در اين زمينه كشيده است جناب 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كتابي درباره‌ي غيبت دارند به نام كشف الريبة عن احكام الغيبة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مقدّمه‌ي اين كتاب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ما افرادي هستند كه از محرّمات بسياري اجتناب مي‌كنند، البته شايد اجتنابشان از محرّمات از اين باب باشد كه اگر مرتكب شوند كوس رسوايي و طبل افتضاحشان زده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همين پرهيزگارانِ از محرّمات وقتي به غيبت مي‌رسند بي‌محابا با تفكّه به اعراض مردم به غيبت آنان مي‌پردازند، در حالي‌كه چه بسا غيبت، نسبت به گناهان ديگر بزرگتر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وجه اين عمل، جهالت مردم است و شايد هم به خاطر آن است كه در اين گناه، آبروي‌شان زود نمي‌رود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اين‌كه جامعه‌ي خود را مخصوصاً كساني را كه منتسب به فضل و كمال هستند از اين گناه بزرگ نجات بدهم، اين رساله ـ كشف الريبة عن احكام الغيبة ـ را نوشتم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bookmarkStart w:id="153" w:name="pg2359_23281"/>
    </w:p>
    <w:p>
      <w:pPr>
        <w:pStyle w:val="Heading4"/>
        <w:numPr>
          <w:ilvl w:val="3"/>
          <w:numId w:val="1"/>
        </w:numPr>
        <w:rPr/>
      </w:pPr>
      <w:bookmarkStart w:id="154" w:name="__RefHeading___Toc2770295_3804643083"/>
      <w:bookmarkStart w:id="155" w:name="_Toc58"/>
      <w:bookmarkEnd w:id="153"/>
      <w:bookmarkEnd w:id="154"/>
      <w:r>
        <w:rPr>
          <w:rtl w:val="true"/>
        </w:rPr>
        <w:t>نقل دو تعريف از غيبت توسط شهيد ثاني</w:t>
      </w:r>
      <w:r>
        <w:rPr>
          <w:rtl w:val="true"/>
        </w:rPr>
        <w:t xml:space="preserve">- </w:t>
      </w:r>
      <w:r>
        <w:rPr>
          <w:rtl w:val="true"/>
        </w:rPr>
        <w:t xml:space="preserve">قدس سره </w:t>
      </w:r>
      <w:r>
        <w:rPr>
          <w:rtl w:val="true"/>
        </w:rPr>
        <w:t>-</w:t>
      </w:r>
      <w:bookmarkEnd w:id="155"/>
    </w:p>
    <w:p>
      <w:pPr>
        <w:pStyle w:val="BookText"/>
        <w:rPr/>
      </w:pPr>
      <w:r>
        <w:rPr>
          <w:rFonts w:ascii="Amiri" w:hAnsi="Amiri" w:eastAsia="Amiri" w:cs="Amiri"/>
          <w:color w:val="111111"/>
          <w:sz w:val="28"/>
          <w:sz w:val="28"/>
          <w:szCs w:val="28"/>
          <w:rtl w:val="true"/>
          <w:lang w:bidi="ar-SA"/>
        </w:rPr>
        <w:t>ايشان ابتدا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بحسب الاصطلاح فلها تعريفان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المشهور؛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جهت اصطلاح ـ نه لغت ـ داراي دو تعريف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 از دو تعريف مشهور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تعريف مشهور از غيبت</w:t>
      </w:r>
    </w:p>
    <w:p>
      <w:pPr>
        <w:pStyle w:val="BookText"/>
        <w:rPr/>
      </w:pPr>
      <w:r>
        <w:rPr>
          <w:rFonts w:ascii="Amiri" w:hAnsi="Amiri" w:eastAsia="Amiri" w:cs="Amiri"/>
          <w:color w:val="111111"/>
          <w:sz w:val="28"/>
          <w:sz w:val="28"/>
          <w:szCs w:val="28"/>
          <w:rtl w:val="true"/>
          <w:lang w:bidi="ar-SA"/>
        </w:rPr>
        <w:t>و هو ذكر الإنسان حال غيبته بما يكره نسبته إليه ممّا يعد نقصانا في العرف بقصد الانتقاص و الذم؛</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يادآوري انساني كه غايب است، به چيزي كه خوش ندارد آن چيز به او نسبت داده شود، به شرط آن‌كه آن چيز عرفاً نقصان بوده و به قصد انتقاص و پايين</w:t>
      </w:r>
    </w:p>
    <w:p>
      <w:pPr>
        <w:pStyle w:val="BookText"/>
        <w:rPr/>
      </w:pPr>
      <w:r>
        <w:rPr>
          <w:rFonts w:ascii="IRNazanin" w:hAnsi="IRNazanin" w:eastAsia="IRNazanin"/>
          <w:color w:val="111111"/>
          <w:sz w:val="28"/>
          <w:sz w:val="28"/>
          <w:szCs w:val="28"/>
          <w:rtl w:val="true"/>
          <w:lang w:bidi="fa-IR"/>
        </w:rPr>
        <w:t>آوردن و مذمّت او باشد</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مطابق تعريف 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غيبت، آن شيءِ نسبت داده شده نقص عرفي بوده و نيز قصد انتقاص موجود باشد و اگر عرفاً نقص نباشد يا قصد انتقاص و مذمّت نباشد ـ مثل اين‌كه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نماز شب مي‌خواند ـ حتّي اگر او خوشش هم نيايد 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فاحترز بالقيد الأخير و هو قصد الانتقاص عن ذكر العيب للطبيب مثلا أو لاستدعاء الرحمة من السلطان في حق الزمن و الأعمى بذكر نقصانهما و يمكن الغناء عنه بقيد كراهة النسبة</w:t>
      </w:r>
      <w:r>
        <w:rPr>
          <w:rStyle w:val="FootnoteAnchor"/>
          <w:rtl w:val="true"/>
        </w:rPr>
        <w:footnoteReference w:id="129"/>
      </w:r>
      <w:r>
        <w:rPr>
          <w:rFonts w:ascii="Amiri" w:hAnsi="Amiri" w:eastAsia="Amiri" w:cs="Amiri"/>
          <w:color w:val="111111"/>
          <w:sz w:val="28"/>
          <w:sz w:val="28"/>
          <w:szCs w:val="28"/>
          <w:rtl w:val="true"/>
          <w:lang w:bidi="ar-SA"/>
        </w:rPr>
        <w:t>إليه؛</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مشهور با اين قيد، يعني قصد انتقاص، از بيان عيب نزد طبيب احتراز كرده‌اند؛ مثلاً كسي به طبيب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فرزندم يا رفيقم كه غايب است فلان را بيماري دارد، يا براي طلب بخشش از سلطان در حقّ كسي كه زمين‌گير است يا نابيناست به سلطان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زمين‌گير است يا نابيناست، تا جلب رحمت سلطان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با وجود قيد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 نسبته اليه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نيازي به قيد قصد انتقاص نباشد؛ زيرا اگر مثلاً براي طبيب از بيماريِ كسي بگويند تا زمينه‌ي معالجه‌اش فراهم آيد او ناراحت نمي‌شود، مگر اين‌كه خيلي استثنايي باشد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تعريف غير مشهور از غيبت</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ما يكره نسبته إلى آخره و هو أعم من الأول لشمول مورده اللسان و الإشارة و الحكاية و غيرها و هو أولى لما سيأتي من عدم قصر الغيبة على اللسان؛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توجّه دادن به چيزي در مورد كسي كه ناراحت مي‌شود چنين نسبتي به او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تعريف، اعمّ از تعريف اوّل است؛ زيرا شامل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اشاره، حكايت و غير اين‌ها مي‌شود و اين تعريف بهتر است؛ به دليل آن‌چه كه به زودي خواهد آمد كه غيبت منحصر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تعريف اوّل كه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 الانسان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غيبتي كه با لفظ صورت مي‌گيرد، در حالي‌كه غيبت، منحصر در لفظ و زبان نيست و لذا در تعريف دوم به جاي عبارت ذكر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التنبيه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كاري انجام دهد كه ديگران ـ كه شنونده‌ي غيبت هستند ـ متوجّه چيزي در ديگري شوند كه وي دوست نمي‌دارد منسوب به آن شود، هرچند اين توجّه دادن با چشم و ابرو يا با اشاره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تعريف دوم با تعريف اوّل هيچ فرقي ندارد، مگر اين‌كه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توجّه داريد، ملاك در تعريف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ناراحتي</w:t>
      </w:r>
      <w:bookmarkStart w:id="156" w:name="pg2359_23285"/>
    </w:p>
    <w:p>
      <w:pPr>
        <w:pStyle w:val="BookText"/>
        <w:rPr/>
      </w:pPr>
      <w:bookmarkEnd w:id="156"/>
      <w:r>
        <w:rPr>
          <w:rFonts w:ascii="IRNazanin" w:hAnsi="IRNazanin" w:eastAsia="IRNazanin"/>
          <w:color w:val="111111"/>
          <w:sz w:val="28"/>
          <w:sz w:val="28"/>
          <w:szCs w:val="28"/>
          <w:rtl w:val="true"/>
          <w:lang w:bidi="fa-IR"/>
        </w:rPr>
        <w:t xml:space="preserve">شخص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نسبتي كه به او داده مي‌شود، اعمّ از اين‌كه عيب ظاهر باشد يا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هرچند نقصان آشكار باشد كه همه مي‌بينند ـ مانند كچلي ـ باز مصداق غيبت است و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قيد ديگري هم داشت كه قصد انتقاص باشد و با اين قيد هم مواردي را از مصداق غيبت خارج فرمود</w:t>
      </w:r>
      <w:r>
        <w:rPr>
          <w:rFonts w:eastAsia="IRNazanin" w:cs="IRNazanin"/>
          <w:color w:val="111111"/>
          <w:sz w:val="28"/>
          <w:szCs w:val="28"/>
          <w:rtl w:val="true"/>
          <w:lang w:bidi="fa-IR"/>
        </w:rPr>
        <w:t>.</w:t>
      </w:r>
    </w:p>
    <w:p>
      <w:pPr>
        <w:pStyle w:val="Heading4"/>
        <w:numPr>
          <w:ilvl w:val="3"/>
          <w:numId w:val="1"/>
        </w:numPr>
        <w:rPr/>
      </w:pPr>
      <w:bookmarkStart w:id="157" w:name="__RefHeading___Toc2770297_3804643083"/>
      <w:bookmarkStart w:id="158" w:name="_Toc59"/>
      <w:bookmarkEnd w:id="157"/>
      <w:r>
        <w:rPr>
          <w:rtl w:val="true"/>
        </w:rPr>
        <w:t>تعريف محقّق كَرَكي</w:t>
      </w:r>
      <w:r>
        <w:rPr>
          <w:rtl w:val="true"/>
        </w:rPr>
        <w:t xml:space="preserve">- </w:t>
      </w:r>
      <w:r>
        <w:rPr>
          <w:rtl w:val="true"/>
        </w:rPr>
        <w:t xml:space="preserve">قدس سره </w:t>
      </w:r>
      <w:r>
        <w:rPr>
          <w:rtl w:val="true"/>
        </w:rPr>
        <w:t xml:space="preserve">- </w:t>
      </w:r>
      <w:r>
        <w:rPr>
          <w:rtl w:val="true"/>
        </w:rPr>
        <w:t>از غيبت</w:t>
      </w:r>
      <w:bookmarkEnd w:id="158"/>
    </w:p>
    <w:p>
      <w:pPr>
        <w:pStyle w:val="BookText"/>
        <w:rPr/>
      </w:pPr>
      <w:r>
        <w:rPr>
          <w:rFonts w:ascii="Amiri" w:hAnsi="Amiri" w:eastAsia="Amiri" w:cs="Amiri"/>
          <w:color w:val="111111"/>
          <w:sz w:val="28"/>
          <w:sz w:val="28"/>
          <w:szCs w:val="28"/>
          <w:rtl w:val="true"/>
          <w:lang w:bidi="ar-SA"/>
        </w:rPr>
        <w:t>تعريف محقّق كَرَكي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از غيبت</w:t>
      </w:r>
    </w:p>
    <w:p>
      <w:pPr>
        <w:pStyle w:val="BookText"/>
        <w:rPr/>
      </w:pPr>
      <w:r>
        <w:rPr>
          <w:rFonts w:ascii="Amiri" w:hAnsi="Amiri" w:eastAsia="Amiri" w:cs="Amiri"/>
          <w:color w:val="111111"/>
          <w:sz w:val="28"/>
          <w:sz w:val="28"/>
          <w:szCs w:val="28"/>
          <w:rtl w:val="true"/>
          <w:lang w:bidi="ar-SA"/>
        </w:rPr>
        <w:t>صاحب جامع المقاصد در تعريف غيبت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 المرء في أخيه 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فيه؛</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تعريف غيبت ـ بنابر آن‌چه كه در اخبار است ـ اين است كه كسي در مورد برادر ديني خود، چيزي را بگويد كه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بشنود دوست نمي‌دارد،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كه در او وجود داشته باشد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تعريف خود، كاري به لغت ندارد، بلكه با توجّه به روايات و اخبار، غيبت را تعريف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بهتان را غيبت نمي‌داند؛ زيرا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چيزهايي كه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عبارت شهيد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بود و حتّي شامل بهتان هم مي‌شد</w:t>
      </w:r>
      <w:r>
        <w:rPr>
          <w:rFonts w:eastAsia="IRNazanin" w:cs="IRNazanin"/>
          <w:color w:val="111111"/>
          <w:sz w:val="28"/>
          <w:szCs w:val="28"/>
          <w:rtl w:val="true"/>
          <w:lang w:bidi="fa-IR"/>
        </w:rPr>
        <w:t>.</w:t>
      </w:r>
      <w:bookmarkStart w:id="159" w:name="pg2359_23286"/>
    </w:p>
    <w:p>
      <w:pPr>
        <w:pStyle w:val="BookText"/>
        <w:rPr/>
      </w:pPr>
      <w:bookmarkEnd w:id="159"/>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تعريف شهيد، شامل غيبت به عيب ظاهر هم مي‌شود</w:t>
      </w:r>
      <w:r>
        <w:rPr>
          <w:rFonts w:eastAsia="IRNazanin" w:cs="IRNazanin"/>
          <w:color w:val="111111"/>
          <w:sz w:val="28"/>
          <w:szCs w:val="28"/>
          <w:rtl w:val="true"/>
          <w:lang w:bidi="fa-IR"/>
        </w:rPr>
        <w:t>.</w:t>
      </w:r>
    </w:p>
    <w:p>
      <w:pPr>
        <w:pStyle w:val="Heading4"/>
        <w:numPr>
          <w:ilvl w:val="3"/>
          <w:numId w:val="1"/>
        </w:numPr>
        <w:rPr/>
      </w:pPr>
      <w:bookmarkStart w:id="160" w:name="__RefHeading___Toc2770299_3804643083"/>
      <w:bookmarkStart w:id="161" w:name="_Toc60"/>
      <w:bookmarkEnd w:id="160"/>
      <w:r>
        <w:rPr>
          <w:rtl w:val="true"/>
        </w:rPr>
        <w:t xml:space="preserve">تعريف نراقي اوّل </w:t>
      </w:r>
      <w:r>
        <w:rPr>
          <w:rtl w:val="true"/>
        </w:rPr>
        <w:t xml:space="preserve">- </w:t>
      </w:r>
      <w:r>
        <w:rPr>
          <w:rtl w:val="true"/>
        </w:rPr>
        <w:t xml:space="preserve">قدس سره </w:t>
      </w:r>
      <w:r>
        <w:rPr>
          <w:rtl w:val="true"/>
        </w:rPr>
        <w:t xml:space="preserve">- </w:t>
      </w:r>
      <w:r>
        <w:rPr>
          <w:rtl w:val="true"/>
        </w:rPr>
        <w:t>از غيبت</w:t>
      </w:r>
      <w:bookmarkEnd w:id="161"/>
    </w:p>
    <w:p>
      <w:pPr>
        <w:pStyle w:val="BookText"/>
        <w:rPr/>
      </w:pPr>
      <w:r>
        <w:rPr>
          <w:rFonts w:ascii="Amiri" w:hAnsi="Amiri" w:eastAsia="Amiri" w:cs="Amiri"/>
          <w:color w:val="111111"/>
          <w:sz w:val="28"/>
          <w:sz w:val="28"/>
          <w:szCs w:val="28"/>
          <w:rtl w:val="true"/>
          <w:lang w:bidi="ar-SA"/>
        </w:rPr>
        <w:t xml:space="preserve">تعريف نراقي اوّل </w:t>
      </w:r>
      <w:r>
        <w:rPr>
          <w:rStyle w:val="FootnoteAnchor"/>
          <w:rtl w:val="true"/>
        </w:rPr>
        <w:footnoteReference w:id="1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غيبت</w:t>
      </w:r>
    </w:p>
    <w:p>
      <w:pPr>
        <w:pStyle w:val="BookText"/>
        <w:rPr/>
      </w:pPr>
      <w:r>
        <w:rPr>
          <w:rFonts w:ascii="Amiri" w:hAnsi="Amiri" w:eastAsia="Amiri" w:cs="Amiri"/>
          <w:color w:val="111111"/>
          <w:sz w:val="28"/>
          <w:sz w:val="28"/>
          <w:szCs w:val="28"/>
          <w:rtl w:val="true"/>
          <w:lang w:bidi="ar-SA"/>
        </w:rPr>
        <w:t>صاحب كتاب اخلاقي جامع السعادات در تعريف غيبت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الغيبة و هي أن يذكر الغير بما يكرهه لو بلغه</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 xml:space="preserve">غيبت ذكر ديگري است به چيزي كه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برسد ناراحت مي‌شود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تعريف هم از جهت اين‌كه عيب، مستور باشد يا اين‌كه ظاهر 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مي‌تواند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اعم است</w:t>
      </w:r>
      <w:r>
        <w:rPr>
          <w:rFonts w:eastAsia="Amiri" w:cs="Amiri" w:ascii="Amiri" w:hAnsi="Amiri"/>
          <w:color w:val="111111"/>
          <w:sz w:val="28"/>
          <w:szCs w:val="28"/>
          <w:rtl w:val="true"/>
          <w:lang w:bidi="ar-SA"/>
        </w:rPr>
        <w:t>.</w:t>
      </w:r>
      <w:bookmarkStart w:id="162" w:name="pg2359_23287"/>
    </w:p>
    <w:p>
      <w:pPr>
        <w:pStyle w:val="Heading4"/>
        <w:numPr>
          <w:ilvl w:val="3"/>
          <w:numId w:val="1"/>
        </w:numPr>
        <w:rPr/>
      </w:pPr>
      <w:bookmarkStart w:id="163" w:name="__RefHeading___Toc2770301_3804643083"/>
      <w:bookmarkStart w:id="164" w:name="_Toc61"/>
      <w:bookmarkEnd w:id="162"/>
      <w:bookmarkEnd w:id="163"/>
      <w:r>
        <w:rPr>
          <w:rtl w:val="true"/>
        </w:rPr>
        <w:t>تعريف شيخ بهايي</w:t>
      </w:r>
      <w:r>
        <w:rPr>
          <w:rtl w:val="true"/>
        </w:rPr>
        <w:t xml:space="preserve">- </w:t>
      </w:r>
      <w:r>
        <w:rPr>
          <w:rtl w:val="true"/>
        </w:rPr>
        <w:t xml:space="preserve">قدس سره </w:t>
      </w:r>
      <w:r>
        <w:rPr>
          <w:rtl w:val="true"/>
        </w:rPr>
        <w:t xml:space="preserve">- </w:t>
      </w:r>
      <w:r>
        <w:rPr>
          <w:rtl w:val="true"/>
        </w:rPr>
        <w:t>از غيبت</w:t>
      </w:r>
      <w:bookmarkEnd w:id="164"/>
    </w:p>
    <w:p>
      <w:pPr>
        <w:pStyle w:val="BookText"/>
        <w:rPr/>
      </w:pPr>
      <w:r>
        <w:rPr>
          <w:rFonts w:ascii="IRNazanin" w:hAnsi="IRNazanin" w:eastAsia="IRNazanin"/>
          <w:color w:val="111111"/>
          <w:sz w:val="28"/>
          <w:sz w:val="28"/>
          <w:szCs w:val="28"/>
          <w:rtl w:val="true"/>
          <w:lang w:bidi="fa-IR"/>
        </w:rPr>
        <w:t>شيخ بهايي در كتاب اربعين خود، غيبت را اين‌گونه معنا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عُرّفت الغيبة بأنّها التنبيه حال غيبة الإنسان المعيّن أو بحكمه على ما يكره نسبته إليه ممّا هو حاصل فيه و يعدّ نقصاناً بحسب العرف، قولاً أو إشارةً أو كنايةً، تعريضاًَ أو تصريحاً</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 xml:space="preserve">غيبت تعريف شده است به تنبيه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 عدم حضور انسان معيّن يا در حكم معيّن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جمع خاصّي باشد كه شامل او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چيزي كه كراهت دارد چنين نسبتي به او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چيزهايي كه در او حاصل است و عرفاً نقص شمرده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حال، اين تنبيه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بيان باشد يا اشاره يا كنايه، تعريض باشد يا تصريح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 موارد غيبت است</w:t>
      </w:r>
      <w:r>
        <w:rPr>
          <w:rFonts w:eastAsia="IRNazanin" w:cs="IRNazanin"/>
          <w:color w:val="111111"/>
          <w:sz w:val="28"/>
          <w:szCs w:val="28"/>
          <w:rtl w:val="true"/>
          <w:lang w:bidi="fa-IR"/>
        </w:rPr>
        <w:t>].</w:t>
      </w:r>
    </w:p>
    <w:p>
      <w:pPr>
        <w:pStyle w:val="Heading4"/>
        <w:numPr>
          <w:ilvl w:val="3"/>
          <w:numId w:val="1"/>
        </w:numPr>
        <w:rPr/>
      </w:pPr>
      <w:bookmarkStart w:id="165" w:name="__RefHeading___Toc2770303_3804643083"/>
      <w:bookmarkStart w:id="166" w:name="_Toc62"/>
      <w:bookmarkEnd w:id="165"/>
      <w:r>
        <w:rPr>
          <w:rtl w:val="true"/>
        </w:rPr>
        <w:t>تعريف نراقي ثاني</w:t>
      </w:r>
      <w:r>
        <w:rPr>
          <w:rtl w:val="true"/>
        </w:rPr>
        <w:t xml:space="preserve">- </w:t>
      </w:r>
      <w:r>
        <w:rPr>
          <w:rtl w:val="true"/>
        </w:rPr>
        <w:t xml:space="preserve">قدس سره </w:t>
      </w:r>
      <w:r>
        <w:rPr>
          <w:rtl w:val="true"/>
        </w:rPr>
        <w:t xml:space="preserve">- </w:t>
      </w:r>
      <w:r>
        <w:rPr>
          <w:rtl w:val="true"/>
        </w:rPr>
        <w:t>از غيبت</w:t>
      </w:r>
      <w:bookmarkEnd w:id="166"/>
    </w:p>
    <w:p>
      <w:pPr>
        <w:pStyle w:val="BookText"/>
        <w:rPr/>
      </w:pPr>
      <w:r>
        <w:rPr>
          <w:rFonts w:ascii="Amiri" w:hAnsi="Amiri" w:eastAsia="Amiri" w:cs="Amiri"/>
          <w:color w:val="111111"/>
          <w:sz w:val="28"/>
          <w:sz w:val="28"/>
          <w:szCs w:val="28"/>
          <w:rtl w:val="true"/>
          <w:lang w:bidi="ar-SA"/>
        </w:rPr>
        <w:t>تعريف نراقي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از غيبت</w:t>
      </w:r>
    </w:p>
    <w:p>
      <w:pPr>
        <w:pStyle w:val="BookText"/>
        <w:rPr/>
      </w:pPr>
      <w:r>
        <w:rPr>
          <w:rFonts w:ascii="Amiri" w:hAnsi="Amiri" w:eastAsia="Amiri" w:cs="Amiri"/>
          <w:color w:val="111111"/>
          <w:sz w:val="28"/>
          <w:sz w:val="28"/>
          <w:szCs w:val="28"/>
          <w:rtl w:val="true"/>
          <w:lang w:bidi="ar-SA"/>
        </w:rPr>
        <w:t>صاحب كتاب مستند الشيعة در تعريف غيبت مي‌فرمايد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أن يُذكر الإنسانُ من خلفه بما فيه من</w:t>
      </w:r>
      <w:bookmarkStart w:id="167" w:name="pg2359_23288"/>
    </w:p>
    <w:p>
      <w:pPr>
        <w:pStyle w:val="BookText"/>
        <w:rPr/>
      </w:pPr>
      <w:bookmarkEnd w:id="167"/>
      <w:r>
        <w:rPr>
          <w:rFonts w:ascii="Amiri" w:hAnsi="Amiri" w:eastAsia="Amiri" w:cs="Amiri"/>
          <w:color w:val="111111"/>
          <w:sz w:val="28"/>
          <w:sz w:val="28"/>
          <w:szCs w:val="28"/>
          <w:rtl w:val="true"/>
          <w:lang w:bidi="ar-SA"/>
        </w:rPr>
        <w:t>السوء، فلو لم يكن من خلفه لم يكن غيبة</w:t>
      </w:r>
      <w:r>
        <w:rPr>
          <w:rFonts w:eastAsia="Amiri" w:cs="Amiri" w:ascii="Amiri" w:hAnsi="Amiri"/>
          <w:color w:val="111111"/>
          <w:sz w:val="28"/>
          <w:szCs w:val="28"/>
          <w:rtl w:val="true"/>
          <w:lang w:bidi="ar-SA"/>
        </w:rPr>
        <w:t>»</w:t>
      </w:r>
      <w:r>
        <w:rPr>
          <w:rStyle w:val="FootnoteAnchor"/>
          <w:rtl w:val="true"/>
        </w:rPr>
        <w:footnoteReference w:id="136"/>
      </w:r>
    </w:p>
    <w:p>
      <w:pPr>
        <w:pStyle w:val="BookText"/>
        <w:rPr/>
      </w:pPr>
      <w:r>
        <w:rPr>
          <w:rFonts w:ascii="IRNazanin" w:hAnsi="IRNazanin" w:eastAsia="IRNazanin"/>
          <w:color w:val="111111"/>
          <w:sz w:val="28"/>
          <w:sz w:val="28"/>
          <w:szCs w:val="28"/>
          <w:rtl w:val="true"/>
          <w:lang w:bidi="fa-IR"/>
        </w:rPr>
        <w:t xml:space="preserve">غيبت آن است كه انساني در غيابش به چيز بدي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عيوبش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شود، پس اگر در غيابش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در حضورش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تعريف صاحب مستند هم قيدي از مستور بودن عيب يا آشكار بودنش نيامده و اطلاق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بررسي كلمات لغويين و عبارات فقها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مستوريتِ عيب، از قيود موضوع غيبت نيست، نه عرفاً و نه لغةً</w:t>
      </w:r>
      <w:r>
        <w:rPr>
          <w:rStyle w:val="FootnoteAnchor"/>
          <w:rtl w:val="true"/>
        </w:rPr>
        <w:footnoteReference w:id="13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عيب آشكار هم باشد بازگو كردن آن غيبت محسوب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 آن است كه ذكر عيب آشكار هم غيبت باشد و اگر بخواهيم از دايره‌ي حرمت خارج شود بايد استثنا شده باشد مانند غيبت فاجر، وگرنه ذكر عيب آشكار هم داخل در غيبت حرام است</w:t>
      </w:r>
      <w:r>
        <w:rPr>
          <w:rFonts w:eastAsia="IRNazanin" w:cs="IRNazanin"/>
          <w:color w:val="111111"/>
          <w:sz w:val="28"/>
          <w:szCs w:val="28"/>
          <w:rtl w:val="true"/>
          <w:lang w:bidi="fa-IR"/>
        </w:rPr>
        <w:t>.</w:t>
      </w:r>
    </w:p>
    <w:p>
      <w:pPr>
        <w:pStyle w:val="Heading4"/>
        <w:numPr>
          <w:ilvl w:val="3"/>
          <w:numId w:val="1"/>
        </w:numPr>
        <w:rPr/>
      </w:pPr>
      <w:bookmarkStart w:id="168" w:name="__RefHeading___Toc2770305_3804643083"/>
      <w:bookmarkStart w:id="169" w:name="_Toc63"/>
      <w:bookmarkEnd w:id="168"/>
      <w:r>
        <w:rPr>
          <w:rtl w:val="true"/>
        </w:rPr>
        <w:t>تفسير مرحوم شيخ</w:t>
      </w:r>
      <w:r>
        <w:rPr>
          <w:rtl w:val="true"/>
        </w:rPr>
        <w:t xml:space="preserve">- </w:t>
      </w:r>
      <w:r>
        <w:rPr>
          <w:rtl w:val="true"/>
        </w:rPr>
        <w:t xml:space="preserve">قدس سره </w:t>
      </w:r>
      <w:r>
        <w:rPr>
          <w:rtl w:val="true"/>
        </w:rPr>
        <w:t xml:space="preserve">- </w:t>
      </w:r>
      <w:r>
        <w:rPr>
          <w:rtl w:val="true"/>
        </w:rPr>
        <w:t xml:space="preserve">از عبارت </w:t>
      </w:r>
      <w:r>
        <w:rPr>
          <w:rtl w:val="true"/>
        </w:rPr>
        <w:t>«</w:t>
      </w:r>
      <w:r>
        <w:rPr>
          <w:rtl w:val="true"/>
        </w:rPr>
        <w:t>ذكرك أخاك بما يكرهه</w:t>
      </w:r>
      <w:r>
        <w:rPr>
          <w:rtl w:val="true"/>
        </w:rPr>
        <w:t>»</w:t>
      </w:r>
      <w:bookmarkEnd w:id="169"/>
    </w:p>
    <w:p>
      <w:pPr>
        <w:pStyle w:val="Heading5"/>
        <w:numPr>
          <w:ilvl w:val="4"/>
          <w:numId w:val="1"/>
        </w:numPr>
        <w:rPr/>
      </w:pPr>
      <w:bookmarkStart w:id="170" w:name="__RefHeading___Toc2770307_3804643083"/>
      <w:bookmarkStart w:id="171" w:name="_Toc64"/>
      <w:bookmarkEnd w:id="170"/>
      <w:r>
        <w:rPr>
          <w:rtl w:val="true"/>
        </w:rPr>
        <w:t>اشاره</w:t>
      </w:r>
      <w:bookmarkEnd w:id="171"/>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الأولى بملاحظة ما تقدّم من الأخبار و</w:t>
      </w:r>
    </w:p>
    <w:p>
      <w:pPr>
        <w:pStyle w:val="BookText"/>
        <w:rPr/>
      </w:pPr>
      <w:r>
        <w:rPr>
          <w:rFonts w:ascii="Amiri" w:hAnsi="Amiri" w:eastAsia="Amiri" w:cs="Amiri"/>
          <w:color w:val="111111"/>
          <w:sz w:val="28"/>
          <w:sz w:val="28"/>
          <w:szCs w:val="28"/>
          <w:rtl w:val="true"/>
          <w:lang w:bidi="ar-SA"/>
        </w:rPr>
        <w:t>كلمات الأصحاب</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xml:space="preserve">با ملاحظه‌ي رواياتي كه ذكر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محصَّل آن اخبار و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كلمات اصحاب و فقها، تعريف غيبت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ياد كردن از برادرت به چيزي كه آن را زشت مي‌دارد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قبلاً بيان شد، اين عبارت در روايت جناب ابي‌ذر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دو روايت از ابي‌ذر اين‌چنين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تَذْكُرَ أخَاكَ بِمَايَكرَهُه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مهم است معناي اين عبارت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براي تعريف غيبت در صدد تفسير اين عبارت برآمده و به تبيين آن مي‌پردازد تا در نهايت پاسخ اين پرسش داده شود كه آيا غيبت فقط شامل عيب مستور مي‌شود يا عيب ظاهر را هم در بر مي‌گيرد؟ و اساساً اين عبارت چگونه معنا مي‌شود؟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تبييني كه مرحوم شيخ از جامع المقاصد ارائه داده بود، غيبت اين‌گونه تعريف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يَقُولَ فِي أَخِيهِ مَا يَكْرَهُهُ لَو سَمِعَهُ مِمّا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در مورد برادرت چيزي گفته شود كه اگر بشنود ناراحت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عيوبي كه در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اين نيست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وصف ناراحت مي‌شود و آن وصف را مبغوض مي‌دارد؛ زيرا ممكن است مغتاب از برخي اوصاف ناراحت نشود ولي ذكرش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ميل به قبايح دارد؛ مثلاً چشم‌چراني را دوست مي‌دارد، ولي گفتن</w:t>
      </w:r>
    </w:p>
    <w:p>
      <w:pPr>
        <w:pStyle w:val="BookText"/>
        <w:rPr/>
      </w:pPr>
      <w:r>
        <w:rPr>
          <w:rFonts w:ascii="IRNazanin" w:hAnsi="IRNazanin" w:eastAsia="IRNazanin"/>
          <w:color w:val="111111"/>
          <w:sz w:val="28"/>
          <w:sz w:val="28"/>
          <w:szCs w:val="28"/>
          <w:rtl w:val="true"/>
          <w:lang w:bidi="fa-IR"/>
        </w:rPr>
        <w:t>چنين وصفي از او مخصوصاً اگر مستور باشد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مقصود صاحب جامع المقاصد ـ و هر كسي كه مانند ايشان فرموده است ـ بايد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وصفي كه مغتاب از ظهورش ناراحت مي‌شود و ظهورش را مكروه مي‌دارد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 توجّه به توضيح فوق،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احتمال معنايي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موصول، وصف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ـ با تبييني كه شد ـ مراد، ظهور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معناي غيبت اين‌چنين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الغِيبَةُ ذِكْرُكَ أخَاكَ بِالوَصْفِ الَّذِي يَكْرَهُ المُغْتَابُ ظُهُورَه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موصول، نفس آن كلام باشد؛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بِالكَلامِ الذَيِ يَكْرَهُ المُغْتَابُ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ذكر كردن برادرت به كلامي كه موجب ناراحتي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مغتاب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بِنَاءً عَلىَ إرجَاعِ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الكَلامِ المَذْكورِ بِهِ، لا إلىَ الوَصْفِ مَا تَقَدّمَ مِن أنّ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الإنسَانَ بِكلامٍ يَسُوؤه؛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الكراهة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كلام برگردد نه به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كه از مغتاب ذكر مي‌شود، تعريف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اين‌گونه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انساني را ذكر كند به كلامي كه اين كلام، او را ناراحت مي‌كند؛ يعني در صورتي كه بشنود چنين كلامي درباره‌ي او گفته‌اند،</w:t>
      </w:r>
    </w:p>
    <w:p>
      <w:pPr>
        <w:pStyle w:val="BookText"/>
        <w:rPr/>
      </w:pPr>
      <w:r>
        <w:rPr>
          <w:rFonts w:ascii="Amiri" w:hAnsi="Amiri" w:eastAsia="Amiri" w:cs="Amiri"/>
          <w:color w:val="111111"/>
          <w:sz w:val="28"/>
          <w:sz w:val="28"/>
          <w:szCs w:val="28"/>
          <w:rtl w:val="true"/>
          <w:lang w:bidi="ar-SA"/>
        </w:rPr>
        <w:t>ناراحت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چرا اين كلام او را ناراحت مي‌كند، دو احتمال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بِإِظْهَارِ عَيْبِهِ الْمَسْتُورِ وَ إِنْ لَمْ يَقْصُد اِنْتِقَاصَه وَ إِمَّا بِاِنْتِقَاصِهِ بِعَيْبٍ غَيْرِ مَسْتُور؛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خاطر آن است كه غيبت‌كننده عيبِ مستورِ مغتاب را ذكر مي‌كند هرچند قصد انتقاص او را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براي اظهار علمش ذكر مي‌كند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 من هم اين موضوع را مي‌دانم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 غير مستور را ذكر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قصد انتقاص مغتاب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اين كه چگونه موجب انتقاص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بِقَصْدِ المُتَكَلِّمِ، أو بِكَوْنِ الكَلامِ بِنَفْسِهِ مُنَقّصَاً لَهُ، كَمَا إذَا اتَّصَفَ الشَخْصُ بِالألقَابِ المُشْعِرَةِ بِالذَّمِ؛</w:t>
      </w:r>
    </w:p>
    <w:p>
      <w:pPr>
        <w:pStyle w:val="BookText"/>
        <w:rPr/>
      </w:pPr>
      <w:r>
        <w:rPr>
          <w:rFonts w:ascii="Amiri" w:hAnsi="Amiri" w:eastAsia="Amiri" w:cs="Amiri"/>
          <w:color w:val="111111"/>
          <w:sz w:val="28"/>
          <w:sz w:val="28"/>
          <w:szCs w:val="28"/>
          <w:rtl w:val="true"/>
          <w:lang w:bidi="ar-SA"/>
        </w:rPr>
        <w:t>يا متكلّمِ غيبت، قصد تنقيص مغتاب را مي‌كند يا آن كلامي را كه به كار مي‌برد في‌نفسه موجب تنقيص مغتاب است؛ مثلاً شخص را متّصف به القابي مي‌كند كه مُشعر به ذمّ اوست</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172" w:name="pg2359_23292"/>
    </w:p>
    <w:p>
      <w:pPr>
        <w:pStyle w:val="Heading5"/>
        <w:numPr>
          <w:ilvl w:val="4"/>
          <w:numId w:val="1"/>
        </w:numPr>
        <w:rPr/>
      </w:pPr>
      <w:bookmarkStart w:id="173" w:name="__RefHeading___Toc2770309_3804643083"/>
      <w:bookmarkStart w:id="174" w:name="_Toc65"/>
      <w:bookmarkEnd w:id="172"/>
      <w:bookmarkEnd w:id="173"/>
      <w:r>
        <w:rPr>
          <w:rtl w:val="true"/>
        </w:rPr>
        <w:t>تفصيل مرحوم شيخ</w:t>
      </w:r>
      <w:r>
        <w:rPr>
          <w:rtl w:val="true"/>
        </w:rPr>
        <w:t xml:space="preserve">- </w:t>
      </w:r>
      <w:r>
        <w:rPr>
          <w:rtl w:val="true"/>
        </w:rPr>
        <w:t xml:space="preserve">قدس سره </w:t>
      </w:r>
      <w:r>
        <w:rPr>
          <w:rtl w:val="true"/>
        </w:rPr>
        <w:t xml:space="preserve">- </w:t>
      </w:r>
      <w:r>
        <w:rPr>
          <w:rtl w:val="true"/>
        </w:rPr>
        <w:t>در تعريف غيبت</w:t>
      </w:r>
      <w:bookmarkEnd w:id="174"/>
    </w:p>
    <w:p>
      <w:pPr>
        <w:pStyle w:val="BookText"/>
        <w:rPr/>
      </w:pPr>
      <w:r>
        <w:rPr>
          <w:rFonts w:ascii="IRNazanin" w:hAnsi="IRNazanin" w:eastAsia="IRNazanin"/>
          <w:color w:val="111111"/>
          <w:sz w:val="28"/>
          <w:sz w:val="28"/>
          <w:szCs w:val="28"/>
          <w:rtl w:val="true"/>
          <w:lang w:bidi="fa-IR"/>
        </w:rPr>
        <w:t>با توضيحاتي كه جناب شيخ فرمودند، روشن شد كه ايشان در معناي غيبت، نسبت به ذكر عيب غير مستور قائل به تفصيل مي‌شوند؛ يعني اگر قصد انتقاص نباشد و كلام هم به نحوي نباشد كه موجب منقصت شود، ذكر عيب غير مستور غيبت نيست، ولي اگر قصد انتقاص بود يا كلام به نحوي باشد كه مُشعِر به ذم باشد،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گُرازخان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ذكر عيب غير مستور باشد باز غيبت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 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قصد انتقاص، كُلاً ملاك در غيبت است؛ زيرا ممكن است قصد انتقاص نباشد ولي غيبت صادق باشد و آن در ذكر عيب مستور است 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عيب مستور كلاً ملاك است؛ زيرا ممكن است ذكرِ عيب غير مستور بوده ولي باز غيبت صادق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تعريف جناب شيخ از غيبت اين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بِكَلامٍ يَسُوءُه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ديگري را ذكر كند به كلامي كه موجب ناراحتي‌اش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توضيح كه ايجاد ناراحتي به يكي از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مخفي او را ذكر كند، هرچند قصد انتقاص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عيب آشكار را به قصد انتقاص ذكر كند يا عيب آشكار را به كلامي ذكر كند كه مُشعر به ذم است</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توضيحاتي كه تا اين‌جا بيان شد، مربوط به احتمالي بود كه</w:t>
      </w:r>
    </w:p>
    <w:p>
      <w:pPr>
        <w:pStyle w:val="BookText"/>
        <w:rPr/>
      </w:pPr>
      <w:r>
        <w:rPr>
          <w:rFonts w:ascii="IRNazanin" w:hAnsi="IRNazanin" w:eastAsia="IRNazanin"/>
          <w:color w:val="111111"/>
          <w:sz w:val="28"/>
          <w:sz w:val="28"/>
          <w:szCs w:val="28"/>
          <w:rtl w:val="true"/>
          <w:lang w:bidi="fa-IR"/>
        </w:rPr>
        <w:t xml:space="preserve">ضمير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احتمال ديگر اين بود كه ضمير به وصف برگردد كه البته مقصود، ظهور وصف است و معناي غيبت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ذِكْرُكَ أخَاكَ بِالوَصْفِ الّذِي يَكْرَهُ المُغْتَابُ ظُهُورَه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لَو أُرجِعَت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الوَصْفِ الَّذِي يُسْنَدُ إلَى الإنْسَان تَعَيّنَ إرَادَةُ كَرَاهَةِ ظُهُورِهَا، فَيَخْتَصُّ بِالقِسْمِ الأوّل وَ هُوَ مَا كَانَ إظْهَارَاً لِأمْرٍ مَسْتُور؛</w:t>
      </w:r>
    </w:p>
    <w:p>
      <w:pPr>
        <w:pStyle w:val="BookText"/>
        <w:rPr/>
      </w:pPr>
      <w:r>
        <w:rPr>
          <w:rFonts w:ascii="IRNazanin" w:hAnsi="IRNazanin" w:eastAsia="IRNazanin"/>
          <w:color w:val="111111"/>
          <w:sz w:val="28"/>
          <w:sz w:val="28"/>
          <w:szCs w:val="28"/>
          <w:rtl w:val="true"/>
          <w:lang w:bidi="fa-IR"/>
        </w:rPr>
        <w:t xml:space="preserve">بله،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ضمير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به وصف برگردد، وصفي كه به انسان استناد داده مي‌شود تعيّن مي‌يابد كه مراد، كراهت ظهور آن است، پس در اين صورت، غيبت مختصّ به قسم اوّل مي‌شود و آن، وقتي است كه اظهار امرِ مستور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علّت اين اختصاص را نفرموده كه چرا در اين صورت غيبت فقط شامل عيب مستور مي‌شود و عيب آشكار غيبت نيست؟ ولي علّت روشن است؛ چون عيب غير مستور، خودش ظاهر است و ظهور در مورد آن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كه ظاهر است دوباره ظاهر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مستور است كه ظهورش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دوم در معناي غيبت، شامل ذكر عيب آشكار نمي‌شود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تعاريف فقهاي عظام و تعريف جناب شيخ را مطرح كرديم و توضيح بيشتري داديم تا آقاياني كه تدريس مكاسب مي‌كنند مطلب برايشان آسان‌تر شود، ولي نظر خودمان چيست؟</w:t>
      </w:r>
      <w:bookmarkStart w:id="175" w:name="pg2359_23294"/>
    </w:p>
    <w:p>
      <w:pPr>
        <w:pStyle w:val="Heading3"/>
        <w:numPr>
          <w:ilvl w:val="2"/>
          <w:numId w:val="1"/>
        </w:numPr>
        <w:rPr/>
      </w:pPr>
      <w:bookmarkStart w:id="176" w:name="__RefHeading___Toc2770311_3804643083"/>
      <w:bookmarkStart w:id="177" w:name="_Toc66"/>
      <w:bookmarkEnd w:id="175"/>
      <w:bookmarkEnd w:id="176"/>
      <w:r>
        <w:rPr>
          <w:rtl w:val="true"/>
        </w:rPr>
        <w:t>نقد و بررسي</w:t>
      </w:r>
      <w:bookmarkEnd w:id="177"/>
    </w:p>
    <w:p>
      <w:pPr>
        <w:pStyle w:val="BookText"/>
        <w:rPr/>
      </w:pPr>
      <w:r>
        <w:rPr>
          <w:rFonts w:ascii="IRNazanin" w:hAnsi="IRNazanin" w:eastAsia="IRNazanin"/>
          <w:color w:val="111111"/>
          <w:sz w:val="28"/>
          <w:sz w:val="28"/>
          <w:szCs w:val="28"/>
          <w:rtl w:val="true"/>
          <w:lang w:bidi="fa-IR"/>
        </w:rPr>
        <w:t>حقيقت اين است كه آن‌چه در كلمات فقهاست عمدتاً از روايات أخذ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شيخ هم تصريح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بِمُلاحَظَةِ مَا تَقَدَّمَ مِنَ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اندكي هم از لغت گرفته شده، ولي اگر كسي مدّعي باشد تعريف غيبت بيشتر از لغت گرفته شده است، ما نمي‌توانيم ـ بعد از تحقيق نسبتاً مفصّلي كه انجام داديم ـ تسليم اين ادّعا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بررسي اخبار مي‌پردازيم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بررسيي كه در ابتداي بحث انجام داديم معلوم شد روايتِ مشتمل بر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صحيح نداشته و لذا اعتباري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همين‌طور روايتي كه غيبت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مي‌كرد، گرچه تعدادش از روايت اوّل بيشتر بود و در مجموع مستفيضه بود، ولي از حدّ خبر واحد خارج نمي‌شود و به حدّ تواتر نمي‌رسد، در حدّي هم نيست كه موجب اطمينان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خدمت 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چنين تفاوتي در اخبار ـ كما اين‌كه خود شيخ هم متعرّض اين تفاوت خواهد شد ـ چگونه مي‌فرماييد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محصَّل از اخبار و كلمات قوم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ما نمي‌توانيم تعريف شما را محصّل از اخبار و كلمات قوم بدانيم؛ زيرا اخبار به نحوي است كه يك حاصل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در دو روايت ـ كه بعيد نيست يكي باشد ـ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ذِكْرُكَ أَخَاكَ بِمَا يَكْرَهُه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كلمات بسياري از فقها هم با اين</w:t>
      </w:r>
    </w:p>
    <w:p>
      <w:pPr>
        <w:pStyle w:val="BookText"/>
        <w:rPr/>
      </w:pPr>
      <w:r>
        <w:rPr>
          <w:rFonts w:ascii="IRNazanin" w:hAnsi="IRNazanin" w:eastAsia="IRNazanin"/>
          <w:color w:val="111111"/>
          <w:sz w:val="28"/>
          <w:sz w:val="28"/>
          <w:szCs w:val="28"/>
          <w:rtl w:val="true"/>
          <w:lang w:bidi="fa-IR"/>
        </w:rPr>
        <w:t>عبارت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دو مطلب را قبول داريم ولي مي‌توانيم توجيهي ـ هرچند خلاف ظاهر ـ ارائه دهيم كه اين دو تعريف را به تعريف واحد برگرداند و آن اين‌كه حتّي اگر كراهت را به كلام مذكور ارجاع دهيم، چون واژه‌ي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ياد كردن ديگري است پس موضوع ذكر بايد چيزي باشد كه به نوعي نسيان بر او عارض شده و از ذهن‌ها پنهان باشد تا غيبت بر آن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عيب آشكاري باشد كه مخاطب آن را مي‌بيند، صحيح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فلاني را ياد كردم به چيزي كه مكروه مي‌دارد؛ زيرا اين ياد و اين مطلب، در ذُكر مخاطب و سامع هم وجود دارد</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اشكال عمده اين است كه اين روايت ـ يا دو روايت ـ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حتّي رجوع ضمير به كلام را بپذيريم و روايت ظهورِ در مطلق عيب، حتّي عيب آشكار، داشته باشد نمي‌توان پذيرفت كه اين معنا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حجّت باشد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مقابلِ اين روايت ـ يا دو روايت ـ روايات متعدّدي داريم كه غيبت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چند مورد از آن روايات را مي 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عبد الرحمان بن سيابه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 بْنُ إِبْرَاهِيمَ عَنْ مُحَمَّدِ بْنِ عِيسَى عَنْ يُونُسَ بْنِ عَبْدِ الرَّحْمَنِ عَنْ عَبْدِ الرَّحْمَنِ بْنِ سَيَابَةَ</w:t>
      </w:r>
      <w:r>
        <w:rPr>
          <w:rStyle w:val="FootnoteAnchor"/>
          <w:rtl w:val="true"/>
        </w:rPr>
        <w:footnoteReference w:id="14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أَنْ تَقُولَ فِي</w:t>
      </w:r>
    </w:p>
    <w:p>
      <w:pPr>
        <w:pStyle w:val="BookText"/>
        <w:rPr/>
      </w:pPr>
      <w:r>
        <w:rPr>
          <w:rFonts w:ascii="Amiri" w:hAnsi="Amiri" w:eastAsia="Amiri" w:cs="Amiri"/>
          <w:color w:val="111111"/>
          <w:sz w:val="28"/>
          <w:sz w:val="28"/>
          <w:szCs w:val="28"/>
          <w:rtl w:val="true"/>
          <w:lang w:bidi="ar-SA"/>
        </w:rPr>
        <w:t>أَخِيكَ مَا سَتَرَهُ اللَّهُ عَلَيْهِ وَ أَمَّا الْأَمْرُ الظَّاهِرُ فِيهِ مِثْلُ الْحِدَّةِ وَ الْعَجَلَةِ فَلَا وَ الْبُهْتَانُ أَنْ تَقُولَ فِيهِ مَا لَيْسَ فِيهِ</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عبد الرّحمان بن سيابه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آن است كه در مورد برادرت آن‌چه را كه خداوند بر او مخفي كرده است بگويي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كني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امري كه ظاهر است مثل تند و تيزي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و بهتان آن است كه در مورد كسي چيزي گفته شود كه در او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عبدالله بن سنان</w:t>
      </w:r>
    </w:p>
    <w:p>
      <w:pPr>
        <w:pStyle w:val="BookText"/>
        <w:rPr/>
      </w:pPr>
      <w:r>
        <w:rPr>
          <w:rFonts w:ascii="Amiri" w:hAnsi="Amiri" w:eastAsia="Amiri" w:cs="Amiri"/>
          <w:color w:val="111111"/>
          <w:sz w:val="28"/>
          <w:sz w:val="28"/>
          <w:szCs w:val="28"/>
          <w:rtl w:val="true"/>
          <w:lang w:bidi="ar-SA"/>
        </w:rPr>
        <w:t>الْعَيَّاشِيُّ فِي تَفْسِيرِهِ عَنْ عَبْدِ اللَّهِ بْنِ حَمَّادٍ الْأَنْصَارِيِّ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الْغِيبَةُ أَنْ تَقُولَ فِي أَخِيكَ مَا قَدْ سَتَرَهُ اللَّهُ عَلَيْهِ</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روايت ابو القاسم كوفي</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الْقَاسِمِ الْكُوفِيُّ فِي كِتَابِ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قَالَ فِي أَخِيهِ الْمُؤْمِنِ مِمَّا فِيهِ مِمَّا قَدِ اسْتَتَرَ بِهِ عَنِ النَّاسِ فَقَدِ اغْتَابَهُ</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ـ داود بن سِرحان</w:t>
      </w:r>
    </w:p>
    <w:p>
      <w:pPr>
        <w:pStyle w:val="BookText"/>
        <w:rPr/>
      </w:pPr>
      <w:r>
        <w:rPr>
          <w:rFonts w:ascii="Amiri" w:hAnsi="Amiri" w:eastAsia="Amiri" w:cs="Amiri"/>
          <w:color w:val="111111"/>
          <w:sz w:val="28"/>
          <w:sz w:val="28"/>
          <w:szCs w:val="28"/>
          <w:rtl w:val="true"/>
          <w:lang w:bidi="ar-SA"/>
        </w:rPr>
        <w:t>الْحُسَيْنُ بْنُ مُحَمَّدٍ عَنْ مُعَلَّى بْنِ مُحَمَّدٍ</w:t>
      </w:r>
      <w:r>
        <w:rPr>
          <w:rStyle w:val="FootnoteAnchor"/>
          <w:rtl w:val="true"/>
        </w:rPr>
        <w:footnoteReference w:id="144"/>
      </w:r>
      <w:r>
        <w:rPr>
          <w:rFonts w:ascii="Amiri" w:hAnsi="Amiri" w:eastAsia="Amiri" w:cs="Amiri"/>
          <w:color w:val="111111"/>
          <w:sz w:val="28"/>
          <w:sz w:val="28"/>
          <w:szCs w:val="28"/>
          <w:rtl w:val="true"/>
          <w:lang w:bidi="ar-SA"/>
        </w:rPr>
        <w:t>عَنِ الْحَسَنِ بْنِ عَلِيٍّ الْوَشَّاءِ عَنْ دَاوُدَ بْنِ سِرْحَانَ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الْغِيبَةِ،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تَقُولَ لِأَخِيكَ فِي دِينِهِ مَا لَمْ يَفْعَلْ وَ تَبُثَّ عَلَيْهِ أَمْراً قَدْ سَتَرَهُ اللَّهُ عَلَيْهِ لَمْ يُقَمْ عَلَيْهِ فِيهِ حَدٌّ</w:t>
      </w:r>
      <w:r>
        <w:rPr>
          <w:rFonts w:eastAsia="Amiri" w:cs="Amiri" w:ascii="Amiri" w:hAnsi="Amiri"/>
          <w:color w:val="111111"/>
          <w:sz w:val="28"/>
          <w:szCs w:val="28"/>
          <w:rtl w:val="true"/>
          <w:lang w:bidi="ar-SA"/>
        </w:rPr>
        <w:t>»</w:t>
      </w:r>
      <w:r>
        <w:rPr>
          <w:rStyle w:val="FootnoteAnchor"/>
          <w:rtl w:val="true"/>
        </w:rPr>
        <w:footnoteReference w:id="145"/>
      </w:r>
    </w:p>
    <w:p>
      <w:pPr>
        <w:pStyle w:val="BookText"/>
        <w:rPr/>
      </w:pPr>
      <w:r>
        <w:rPr>
          <w:rFonts w:ascii="IRNazanin" w:hAnsi="IRNazanin" w:eastAsia="IRNazanin"/>
          <w:color w:val="111111"/>
          <w:sz w:val="28"/>
          <w:sz w:val="28"/>
          <w:szCs w:val="28"/>
          <w:rtl w:val="true"/>
          <w:lang w:bidi="fa-IR"/>
        </w:rPr>
        <w:t>داود بن سرحان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غيبت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درباره‌ي برادرت در امور ديني او چيزي بگويي كه انجامش نداده باشد و امري را كه خداوند بر او مستور كرده آشكارش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اموري كه حدّ بر او جاري نشده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حدّي نيست كه همه بدانند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يحيي الازرق</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أَحْمَدَ بْنِ مُحَمَّدٍ عَنِ الْعَبَّاسِ بْنِ عَامِرٍ عَنْ أَبَانٍ عَنْ رَجُلٍ لَا نَعْلَمُهُ إِلَّا يَحْيَى الْأَزْرَقَ قَالَ قَالَ لِي أَبُو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ذَكَرَ رَجُلًا مِنْ خَلْفِهِ بِمَا هُوَ فِيهِ مِمَّا عَرَفَهُ النَّاسُ لَمْ يَغْتَبْهُ وَ مَنْ ذَكَرَهُ مِنْ خَلْفِهِ بِمَا هُوَ فِيهِ مِمَّا لَا يَعْرِفُهُ النَّاسُ اغْتَابَهُ وَ مَنْ ذَكَرَهُ بِمَا لَيْسَ</w:t>
      </w:r>
    </w:p>
    <w:p>
      <w:pPr>
        <w:pStyle w:val="BookText"/>
        <w:rPr/>
      </w:pPr>
      <w:r>
        <w:rPr>
          <w:rFonts w:ascii="Amiri" w:hAnsi="Amiri" w:eastAsia="Amiri" w:cs="Amiri"/>
          <w:color w:val="111111"/>
          <w:sz w:val="28"/>
          <w:sz w:val="28"/>
          <w:szCs w:val="28"/>
          <w:rtl w:val="true"/>
          <w:lang w:bidi="ar-SA"/>
        </w:rPr>
        <w:t>فِيهِ فَقَدْ بَهَتَهُ</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يحيي الازرق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ديگري را در پشت‌سرش ياد كند به چيزي كه در او هست و مردم آن را مي‌دانند، غيبتِ او نكرده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در پشت‌سر ديگري به چيزي كه در او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نمي‌دانند، او را ياد كند غيبت او كرده است و كسي كه ذكر كند ديگري را به چيزي كه در او نباشد پس به او بهتان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اين روايات مستفيضه، هرچند تك تك روايات سند تام ندارند، ولي در مقابلِ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يكي يا حداكثر دوتاست از قوّت بيشتري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أسناد اين روايات مستفيضه قطعاً بهتر از آن است و 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مقام تحديد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مي‌توانيم ملتزم شويم غيبت شامل ذكر عيب آشكار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سرش مو ندارد يا چشمش نمي‌بيند و اين عيب در معرض ديد همه هست، اگر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كچل آمد، آيا غيبت كرده است؟</w:t>
      </w:r>
      <w:r>
        <w:rPr>
          <w:rFonts w:eastAsia="IRNazanin" w:cs="IRNazanin"/>
          <w:color w:val="111111"/>
          <w:sz w:val="28"/>
          <w:szCs w:val="28"/>
          <w:rtl w:val="true"/>
          <w:lang w:bidi="fa-IR"/>
        </w:rPr>
        <w:t>!</w:t>
      </w:r>
      <w:r>
        <w:rPr>
          <w:rStyle w:val="FootnoteAnchor"/>
          <w:rtl w:val="true"/>
        </w:rPr>
        <w:footnoteReference w:id="14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اين روايات مستفيضه و ضعف روايات مقابل، نمي‌توانيم فتوا بدهيم اگر كسي عيب آشكار شخص ديگر را بيان كند غيبتِ او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هر دو روايت از نظر سند تمام بودند ممكن بود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مثبتين هستند و نفي همديگر</w:t>
      </w:r>
    </w:p>
    <w:p>
      <w:pPr>
        <w:pStyle w:val="BookText"/>
        <w:rPr/>
      </w:pPr>
      <w:r>
        <w:rPr>
          <w:rFonts w:ascii="IRNazanin" w:hAnsi="IRNazanin" w:eastAsia="IRNazanin"/>
          <w:color w:val="111111"/>
          <w:sz w:val="28"/>
          <w:sz w:val="28"/>
          <w:szCs w:val="28"/>
          <w:rtl w:val="true"/>
          <w:lang w:bidi="fa-IR"/>
        </w:rPr>
        <w:t xml:space="preserve">نمي‌كنند و به هر دو عمل مي‌كنيم، ولي با توجّه به ضعف روايت اوّل و قوّت نسبي روايات دسته‌ي دوم و اين‌كه روايات دسته‌ي دوم در مقام تحديد بوده و در نتيجه قابل جمع با روايت اوّل نيست، نمي‌توانيم ذكر عيب آشكار را غيبت بدانيم؛ زيرا قدر متيقّن از غيبت، ذكر عيب مستور و مخفي است و در مابقي اگر شك داشته باشيم مجراي برائت است و مشمول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لايَعْلَمُون</w:t>
      </w:r>
      <w:r>
        <w:rPr>
          <w:rFonts w:eastAsia="IRNazanin" w:cs="IRNazanin"/>
          <w:color w:val="111111"/>
          <w:sz w:val="28"/>
          <w:szCs w:val="28"/>
          <w:rtl w:val="true"/>
          <w:lang w:bidi="fa-IR"/>
        </w:rPr>
        <w:t>»</w:t>
      </w:r>
      <w:r>
        <w:rPr>
          <w:rStyle w:val="FootnoteAnchor"/>
          <w:rtl w:val="true"/>
        </w:rPr>
        <w:footnoteReference w:id="148"/>
      </w:r>
      <w:r>
        <w:rPr>
          <w:rFonts w:ascii="IRNazanin" w:hAnsi="IRNazanin" w:eastAsia="IRNazanin"/>
          <w:color w:val="111111"/>
          <w:sz w:val="28"/>
          <w:sz w:val="28"/>
          <w:szCs w:val="28"/>
          <w:rtl w:val="true"/>
          <w:lang w:bidi="fa-IR"/>
        </w:rPr>
        <w:t>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نيز گذشت كه مقتضاي قول لغويين آن است كه ذكر عيب آشكار نيز غيبت است، امّا قول آنان به گونه‌اي نيست كه به عنوان قول خبره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طريق احتياط هم واضح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ممكن است ذكر عيب آشكار تحت عنوان ديگري حرام باشد، عناويني مانند ايذاء، تعيير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آن‌گونه كه جناب شيخ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از الفاظ مُشعر به ذم براي ديگري استفاده كند و واقعاً هم مذمّت طرف مقابل باشد هرچند نسبت به عيب آشكار، غيبت كرده است و از باب غيبت حرام است</w:t>
      </w:r>
      <w:r>
        <w:rPr>
          <w:rFonts w:eastAsia="IRNazanin" w:cs="IRNazanin"/>
          <w:color w:val="111111"/>
          <w:sz w:val="28"/>
          <w:szCs w:val="28"/>
          <w:rtl w:val="true"/>
          <w:lang w:bidi="fa-IR"/>
        </w:rPr>
        <w:t>.</w:t>
      </w:r>
      <w:bookmarkStart w:id="178" w:name="pg2359_23300"/>
    </w:p>
    <w:p>
      <w:pPr>
        <w:pStyle w:val="Heading3"/>
        <w:numPr>
          <w:ilvl w:val="2"/>
          <w:numId w:val="1"/>
        </w:numPr>
        <w:rPr/>
      </w:pPr>
      <w:bookmarkStart w:id="179" w:name="__RefHeading___Toc2770313_3804643083"/>
      <w:bookmarkStart w:id="180" w:name="_Toc67"/>
      <w:bookmarkEnd w:id="178"/>
      <w:bookmarkEnd w:id="179"/>
      <w:r>
        <w:rPr>
          <w:rtl w:val="true"/>
        </w:rPr>
        <w:t>قول مختار در تعريف غيبت</w:t>
      </w:r>
      <w:bookmarkEnd w:id="18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آن‌چه تاكنون بررسي كرديم، مي توانيم در تعريف غيبت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موضوع غيبت هم بايد عيب باشد، خواه عيب ديني يا جسمي، مربوط به دنيا و يا مربوط به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عيب، به هر دليلي ظاهر باشد ذكر آن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مطلب هم آن است كه در بسياري از موارد، رواياتي داريم كه كسي مثلاً احوَل بوده و در لسان روايت از 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شده است، يا در حضور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فلانيِ أحول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احول عيب باشد أعمَي هم عيب است و فرقي بين اين دو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ممكن است در مواردي با فرض عدم انطباق عنوان غيبت، عناوين محرّم ديگري منطبق شود؛ مثل ايذاء مؤمن، تعيير مؤمن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آن فرض ديگري است</w:t>
      </w:r>
      <w:r>
        <w:rPr>
          <w:rFonts w:eastAsia="IRNazanin" w:cs="IRNazanin"/>
          <w:color w:val="111111"/>
          <w:sz w:val="28"/>
          <w:szCs w:val="28"/>
          <w:rtl w:val="true"/>
          <w:lang w:bidi="fa-IR"/>
        </w:rPr>
        <w:t>.</w:t>
      </w:r>
      <w:bookmarkStart w:id="181" w:name="pg2359_23301"/>
    </w:p>
    <w:p>
      <w:pPr>
        <w:pStyle w:val="Heading2"/>
        <w:numPr>
          <w:ilvl w:val="1"/>
          <w:numId w:val="1"/>
        </w:numPr>
        <w:rPr/>
      </w:pPr>
      <w:bookmarkStart w:id="182" w:name="__RefHeading___Toc2770315_3804643083"/>
      <w:bookmarkStart w:id="183" w:name="_Toc68"/>
      <w:bookmarkEnd w:id="181"/>
      <w:bookmarkEnd w:id="182"/>
      <w:r>
        <w:rPr>
          <w:rtl w:val="true"/>
        </w:rPr>
        <w:t xml:space="preserve">تنبيهات مرحوم شيخ </w:t>
      </w:r>
      <w:r>
        <w:rPr>
          <w:rtl w:val="true"/>
        </w:rPr>
        <w:t>(</w:t>
      </w:r>
      <w:r>
        <w:rPr>
          <w:rtl w:val="true"/>
        </w:rPr>
        <w:t>قدس سره</w:t>
      </w:r>
      <w:r>
        <w:rPr>
          <w:rtl w:val="true"/>
        </w:rPr>
        <w:t>)</w:t>
      </w:r>
      <w:bookmarkEnd w:id="183"/>
    </w:p>
    <w:p>
      <w:pPr>
        <w:pStyle w:val="Heading3"/>
        <w:numPr>
          <w:ilvl w:val="2"/>
          <w:numId w:val="1"/>
        </w:numPr>
        <w:rPr/>
      </w:pPr>
      <w:bookmarkStart w:id="184" w:name="__RefHeading___Toc2770317_3804643083"/>
      <w:bookmarkStart w:id="185" w:name="_Toc69"/>
      <w:bookmarkEnd w:id="184"/>
      <w:r>
        <w:rPr>
          <w:rtl w:val="true"/>
        </w:rPr>
        <w:t>اشاره</w:t>
      </w:r>
      <w:bookmarkEnd w:id="18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بحث غيبت</w:t>
      </w:r>
      <w:bookmarkStart w:id="186" w:name="pg2359_23303"/>
    </w:p>
    <w:p>
      <w:pPr>
        <w:pStyle w:val="Heading3"/>
        <w:numPr>
          <w:ilvl w:val="2"/>
          <w:numId w:val="1"/>
        </w:numPr>
        <w:rPr/>
      </w:pPr>
      <w:bookmarkStart w:id="187" w:name="__RefHeading___Toc2770319_3804643083"/>
      <w:bookmarkStart w:id="188" w:name="_Toc70"/>
      <w:bookmarkEnd w:id="186"/>
      <w:bookmarkEnd w:id="187"/>
      <w:r>
        <w:rPr>
          <w:rtl w:val="true"/>
        </w:rPr>
        <w:t>امر اوّل</w:t>
      </w:r>
      <w:r>
        <w:rPr>
          <w:rtl w:val="true"/>
        </w:rPr>
        <w:t xml:space="preserve">: </w:t>
      </w:r>
      <w:r>
        <w:rPr>
          <w:rtl w:val="true"/>
        </w:rPr>
        <w:t>نقش قصد انتقاص در تحقّق غيبت در ديدگاه شهيد ثاني</w:t>
      </w:r>
      <w:r>
        <w:rPr>
          <w:rtl w:val="true"/>
        </w:rPr>
        <w:t xml:space="preserve">- </w:t>
      </w:r>
      <w:r>
        <w:rPr>
          <w:rtl w:val="true"/>
        </w:rPr>
        <w:t xml:space="preserve">قدس سره </w:t>
      </w:r>
      <w:r>
        <w:rPr>
          <w:rtl w:val="true"/>
        </w:rPr>
        <w:t>-</w:t>
      </w:r>
      <w:bookmarkEnd w:id="188"/>
    </w:p>
    <w:p>
      <w:pPr>
        <w:pStyle w:val="Heading4"/>
        <w:numPr>
          <w:ilvl w:val="3"/>
          <w:numId w:val="1"/>
        </w:numPr>
        <w:rPr/>
      </w:pPr>
      <w:bookmarkStart w:id="189" w:name="__RefHeading___Toc2770321_3804643083"/>
      <w:bookmarkStart w:id="190" w:name="_Toc71"/>
      <w:bookmarkEnd w:id="189"/>
      <w:r>
        <w:rPr>
          <w:rtl w:val="true"/>
        </w:rPr>
        <w:t>اشاره</w:t>
      </w:r>
      <w:bookmarkEnd w:id="190"/>
    </w:p>
    <w:p>
      <w:pPr>
        <w:pStyle w:val="BookText"/>
        <w:rPr/>
      </w:pPr>
      <w:r>
        <w:rPr>
          <w:rFonts w:ascii="IRNazanin" w:hAnsi="IRNazanin" w:eastAsia="IRNazanin"/>
          <w:color w:val="111111"/>
          <w:sz w:val="28"/>
          <w:sz w:val="28"/>
          <w:szCs w:val="28"/>
          <w:rtl w:val="true"/>
          <w:lang w:bidi="fa-IR"/>
        </w:rPr>
        <w:t>جناب شهيد ثاني و برخي ديگر، قصد انتقاص را در تعريف غيبت دخيل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انتقاص نداشت عملش حرمت ندارد و چه بسا غيبت هم نباشد؛ زيرا اين قيد را در تعريف غيبت أخذ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اعلام معاصري كه به جِد، خود را ملتزم به اين قيد مي‌بيند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مكاسب محرّمه‌ي خود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قصد الانتقاص، فالظاهر اعتباره في مفهومها عرفاً</w:t>
      </w:r>
      <w:r>
        <w:rPr>
          <w:rFonts w:eastAsia="Amiri" w:cs="Amiri" w:ascii="Amiri" w:hAnsi="Amiri"/>
          <w:color w:val="111111"/>
          <w:sz w:val="28"/>
          <w:szCs w:val="28"/>
          <w:rtl w:val="true"/>
          <w:lang w:bidi="ar-SA"/>
        </w:rPr>
        <w:t>»</w:t>
      </w:r>
      <w:r>
        <w:rPr>
          <w:rStyle w:val="FootnoteAnchor"/>
          <w:rtl w:val="true"/>
        </w:rPr>
        <w:footnoteReference w:id="149"/>
      </w:r>
      <w:r>
        <w:rPr>
          <w:rFonts w:ascii="Amiri" w:hAnsi="Amiri" w:eastAsia="Amiri" w:cs="Amiri"/>
          <w:color w:val="111111"/>
          <w:sz w:val="28"/>
          <w:sz w:val="28"/>
          <w:szCs w:val="28"/>
          <w:rtl w:val="true"/>
          <w:lang w:bidi="ar-SA"/>
        </w:rPr>
        <w:t>ظاهر اين است كه قصد انتقاص، عرفاً در مفهوم غيبت مأخوذ است</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دليل خود را ـ كه همان فرمايش شهيد ثاني است ـ بيان مي‌دارد و مي‌فرمايد</w:t>
      </w:r>
      <w:r>
        <w:rPr>
          <w:rFonts w:eastAsia="IRNazanin" w:cs="IRNazanin"/>
          <w:color w:val="111111"/>
          <w:sz w:val="28"/>
          <w:szCs w:val="28"/>
          <w:rtl w:val="true"/>
          <w:lang w:bidi="fa-IR"/>
        </w:rPr>
        <w:t>:</w:t>
      </w:r>
      <w:bookmarkStart w:id="191" w:name="pg2359_23304"/>
    </w:p>
    <w:p>
      <w:pPr>
        <w:pStyle w:val="BookText"/>
        <w:rPr/>
      </w:pPr>
      <w:bookmarkEnd w:id="191"/>
      <w:r>
        <w:rPr>
          <w:rFonts w:ascii="Amiri" w:hAnsi="Amiri" w:eastAsia="Amiri" w:cs="Amiri"/>
          <w:color w:val="111111"/>
          <w:sz w:val="28"/>
          <w:sz w:val="28"/>
          <w:szCs w:val="28"/>
          <w:rtl w:val="true"/>
          <w:lang w:bidi="ar-SA"/>
        </w:rPr>
        <w:t>فمن ذكر عيب مريض عند الطبيب ليعالجه من غير قصد التعييب و الانتقاص 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اغتابه في العرف؛</w:t>
      </w:r>
    </w:p>
    <w:p>
      <w:pPr>
        <w:pStyle w:val="BookText"/>
        <w:rPr/>
      </w:pPr>
      <w:r>
        <w:rPr>
          <w:rFonts w:ascii="IRNazanin" w:hAnsi="IRNazanin" w:eastAsia="IRNazanin"/>
          <w:color w:val="111111"/>
          <w:sz w:val="28"/>
          <w:sz w:val="28"/>
          <w:szCs w:val="28"/>
          <w:rtl w:val="true"/>
          <w:lang w:bidi="fa-IR"/>
        </w:rPr>
        <w:t>اگر كسي عيب ديگري را نزد طبيب، بدون قصد تعييب و انتقاص بگويد، در عرف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ديگري را غيبت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گاهي براي طبيب، عرض حال مي‌نوشتند؛ چون أطبّا در دسترس نبودند، بيماران هم از مكان‌هاي دور اگر منتقل مي‌شدند، با توجّه به وسايل قديم ممكن بود آسيب بيشتر ببينند، لذا شرح حال بيمار را مي‌نوشتند و در قاروره‌اي</w:t>
      </w:r>
      <w:r>
        <w:rPr>
          <w:rStyle w:val="FootnoteAnchor"/>
          <w:rtl w:val="true"/>
        </w:rPr>
        <w:footnoteReference w:id="150"/>
      </w:r>
      <w:r>
        <w:rPr>
          <w:rFonts w:ascii="IRNazanin" w:hAnsi="IRNazanin" w:eastAsia="IRNazanin"/>
          <w:color w:val="111111"/>
          <w:sz w:val="28"/>
          <w:sz w:val="28"/>
          <w:szCs w:val="28"/>
          <w:rtl w:val="true"/>
          <w:lang w:bidi="fa-IR"/>
        </w:rPr>
        <w:t xml:space="preserve">خون يا ادرار بيمار را مي‌ريختند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جاي آزمايشات امروزي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طبيب با ديدن آن، بيماري را تشخيص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نزد طبيب رفت و از احوال بيمارش گفت بدون آن‌كه قصد انتقاص داشته باشد، حتّي اگر چيزهايي بگويد كه بيمار خوشش نيايد و عيب مستور باشد،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بواسير گرفته است، چنين كلامي نمي‌تواند غيبت باشد</w:t>
      </w:r>
      <w:r>
        <w:rPr>
          <w:rFonts w:eastAsia="IRNazanin" w:cs="IRNazanin"/>
          <w:color w:val="111111"/>
          <w:sz w:val="28"/>
          <w:szCs w:val="28"/>
          <w:rtl w:val="true"/>
          <w:lang w:bidi="fa-IR"/>
        </w:rPr>
        <w:t>.</w:t>
      </w:r>
    </w:p>
    <w:p>
      <w:pPr>
        <w:pStyle w:val="Heading4"/>
        <w:numPr>
          <w:ilvl w:val="3"/>
          <w:numId w:val="1"/>
        </w:numPr>
        <w:rPr/>
      </w:pPr>
      <w:bookmarkStart w:id="192" w:name="__RefHeading___Toc2770323_3804643083"/>
      <w:bookmarkStart w:id="193" w:name="_Toc72"/>
      <w:bookmarkEnd w:id="192"/>
      <w:r>
        <w:rPr>
          <w:rtl w:val="true"/>
        </w:rPr>
        <w:t>مناقشه در كلام شهيد ثاني</w:t>
      </w:r>
      <w:r>
        <w:rPr>
          <w:rtl w:val="true"/>
        </w:rPr>
        <w:t xml:space="preserve">- </w:t>
      </w:r>
      <w:r>
        <w:rPr>
          <w:rtl w:val="true"/>
        </w:rPr>
        <w:t xml:space="preserve">قدس سره </w:t>
      </w:r>
      <w:r>
        <w:rPr>
          <w:rtl w:val="true"/>
        </w:rPr>
        <w:t>-</w:t>
      </w:r>
      <w:bookmarkEnd w:id="193"/>
    </w:p>
    <w:p>
      <w:pPr>
        <w:pStyle w:val="Heading5"/>
        <w:numPr>
          <w:ilvl w:val="4"/>
          <w:numId w:val="1"/>
        </w:numPr>
        <w:rPr/>
      </w:pPr>
      <w:bookmarkStart w:id="194" w:name="__RefHeading___Toc2770325_3804643083"/>
      <w:bookmarkStart w:id="195" w:name="_Toc73"/>
      <w:bookmarkEnd w:id="194"/>
      <w:r>
        <w:rPr>
          <w:rtl w:val="true"/>
        </w:rPr>
        <w:t>اشاره</w:t>
      </w:r>
      <w:bookmarkEnd w:id="19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جناب شهيد ثاني و همراهان ايشان ـ در اين نظر ـ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انصافاً مي‌توانيد ملتزم شويد كسي كه عيب مخفي ديگري را بيان كند، حتّي نه به قصد انتقاص و حطّ شأن او بلكه به قصد دلسوزي يا براي اعلام اين‌كه من مطّلع هستم، چنين</w:t>
      </w:r>
      <w:bookmarkStart w:id="196" w:name="pg2359_23305"/>
    </w:p>
    <w:p>
      <w:pPr>
        <w:pStyle w:val="BookText"/>
        <w:rPr/>
      </w:pPr>
      <w:bookmarkEnd w:id="196"/>
      <w:r>
        <w:rPr>
          <w:rFonts w:ascii="IRNazanin" w:hAnsi="IRNazanin" w:eastAsia="IRNazanin"/>
          <w:color w:val="111111"/>
          <w:sz w:val="28"/>
          <w:sz w:val="28"/>
          <w:szCs w:val="28"/>
          <w:rtl w:val="true"/>
          <w:lang w:bidi="fa-IR"/>
        </w:rPr>
        <w:t>عملي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كسي مي‌تواند ملتزم به چنين قولي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اين‌كه مي‌داند چنين حرفي مساوي با حطّ شأن طرف و ريختن آبروي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توجيهات كه برخي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فلاني نمي‌كنم بلكه بثّ</w:t>
      </w:r>
      <w:r>
        <w:rPr>
          <w:rStyle w:val="FootnoteAnchor"/>
          <w:rtl w:val="true"/>
        </w:rPr>
        <w:footnoteReference w:id="151"/>
      </w:r>
      <w:r>
        <w:rPr>
          <w:rFonts w:ascii="IRNazanin" w:hAnsi="IRNazanin" w:eastAsia="IRNazanin"/>
          <w:color w:val="111111"/>
          <w:sz w:val="28"/>
          <w:sz w:val="28"/>
          <w:szCs w:val="28"/>
          <w:rtl w:val="true"/>
          <w:lang w:bidi="fa-IR"/>
        </w:rPr>
        <w:t>شكوي مي‌كنم يا حكايت مي‌كنم، آن را از شمول غيبت خارج نمي‌سازد؛ مثلاً اگر كسي در رفتار با فرزندش در خانه گرفتار مشكلاتي است و بدون اين‌كه قصد انتقاصي داشته باشد بثّ الشكوي مي‌كند، آيا بر اين عمل در صورتي كه مصداق تظلّم يا استشاره ـ كه از مستثنيات غيبت است ـ نباشد، غيبت صادق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اطلاق لغويين، اطلاق روايات و ذوق عرفي حكم مي‌كند بيان عيوب مخفي ديگران، حتّي بدون قصد انتقاص هم غيبت باشد و حتّي احتمال اين معنا هم داده نمي‌شود كه قصد انتقاص، واقعاً در مفهوم عرفي غيبت أخذ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همان‌گونه كه عدّه‌اي از بزرگان هم تصريح كرده‌اند، نمي‌توانيم قصد انتقاص را در غيبت شرط بدانيم</w:t>
      </w:r>
      <w:r>
        <w:rPr>
          <w:rFonts w:eastAsia="IRNazanin" w:cs="IRNazanin"/>
          <w:color w:val="111111"/>
          <w:sz w:val="28"/>
          <w:szCs w:val="28"/>
          <w:rtl w:val="true"/>
          <w:lang w:bidi="fa-IR"/>
        </w:rPr>
        <w:t>.</w:t>
      </w:r>
    </w:p>
    <w:p>
      <w:pPr>
        <w:pStyle w:val="Heading5"/>
        <w:numPr>
          <w:ilvl w:val="4"/>
          <w:numId w:val="1"/>
        </w:numPr>
        <w:rPr/>
      </w:pPr>
      <w:bookmarkStart w:id="197" w:name="__RefHeading___Toc2770327_3804643083"/>
      <w:bookmarkStart w:id="198" w:name="_Toc74"/>
      <w:bookmarkEnd w:id="197"/>
      <w:r>
        <w:rPr>
          <w:rtl w:val="true"/>
        </w:rPr>
        <w:t>آيا گفتن بيماري ديگران نزد پزشك، غيبت است؟</w:t>
      </w:r>
      <w:bookmarkEnd w:id="198"/>
    </w:p>
    <w:p>
      <w:pPr>
        <w:pStyle w:val="BookText"/>
        <w:rPr/>
      </w:pPr>
      <w:r>
        <w:rPr>
          <w:rFonts w:ascii="IRNazanin" w:hAnsi="IRNazanin" w:eastAsia="IRNazanin"/>
          <w:color w:val="111111"/>
          <w:sz w:val="28"/>
          <w:sz w:val="28"/>
          <w:szCs w:val="28"/>
          <w:rtl w:val="true"/>
          <w:lang w:bidi="fa-IR"/>
        </w:rPr>
        <w:t>سؤالي كه اين‌جا مطرح مي‌شود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كه نزد طبيب مي‌رود و به جهت مصلحت بيمار، عيوب و بيماري او را بازگو مي‌كند، واقعاً مرتكب غيبت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بايد بگوييم دو راه تخلّص از اين اشكال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مورد از مستثنات غيبت است؛ يعني در مفهوم غيبت</w:t>
      </w:r>
      <w:bookmarkStart w:id="199" w:name="pg2359_23306"/>
    </w:p>
    <w:p>
      <w:pPr>
        <w:pStyle w:val="BookText"/>
        <w:rPr/>
      </w:pPr>
      <w:bookmarkEnd w:id="199"/>
      <w:r>
        <w:rPr>
          <w:rFonts w:ascii="Amiri" w:hAnsi="Amiri" w:eastAsia="Amiri" w:cs="Amiri"/>
          <w:color w:val="111111"/>
          <w:sz w:val="28"/>
          <w:sz w:val="28"/>
          <w:szCs w:val="28"/>
          <w:rtl w:val="true"/>
          <w:lang w:bidi="ar-SA"/>
        </w:rPr>
        <w:t>داخل بوده ولي استثناء شده است؛ زيرا حرمت غيبت به مناسبات حكم و موضوع و يا به ادلّه‌اي كه ـ إن‌شاءالله ـ بعداً بيان خواهيم كرد، شامل مواردي نمي‌شود كه به جهت مصلحت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كسي مي‌تواند مدّعي شود كه از اوّل مفهوم غيبت ضيق بوده و شامل چنين مواردي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بايد توجّه داشت اين ضيّق بودن نسبت به جايي است كه غرض عقلايي در ذكر آن عيب باشد، نه اين‌كه قصد انتقاص عرفاً دخيل در مفهوم غيبت باشد، بلكه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عيب ديگران همه جا غيبت است مگر آن‌كه مصلحتي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مرحوم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تفسير شريف التبيان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فالغيبة ذكر العيب بظهر الغيب على وجه تمنع الحكمة منه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غيبت ذكر عيب در غياب كسي است به نحوي كه حكمت از آن منع مي‌كند؛ يعني اگر حكمت و مصلحتي در ذكر عيب باشد غيبت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قصد انتقاص به هيچ وجه مقوّم غيبت نبوده و دخيل در تعريف آن نيست، علي‌رغم اين‌كه بزرگاني مانند شهيد ثاني و حضرت امام و امثال اين بزرگان فرموده باشند</w:t>
      </w:r>
      <w:r>
        <w:rPr>
          <w:rFonts w:eastAsia="IRNazanin" w:cs="IRNazanin"/>
          <w:color w:val="111111"/>
          <w:sz w:val="28"/>
          <w:szCs w:val="28"/>
          <w:rtl w:val="true"/>
          <w:lang w:bidi="fa-IR"/>
        </w:rPr>
        <w:t>.</w:t>
      </w:r>
    </w:p>
    <w:p>
      <w:pPr>
        <w:pStyle w:val="Heading3"/>
        <w:numPr>
          <w:ilvl w:val="2"/>
          <w:numId w:val="1"/>
        </w:numPr>
        <w:rPr/>
      </w:pPr>
      <w:bookmarkStart w:id="200" w:name="__RefHeading___Toc2770329_3804643083"/>
      <w:bookmarkStart w:id="201" w:name="_Toc75"/>
      <w:bookmarkEnd w:id="200"/>
      <w:r>
        <w:rPr>
          <w:rtl w:val="true"/>
        </w:rPr>
        <w:t>امر دوم</w:t>
      </w:r>
      <w:r>
        <w:rPr>
          <w:rtl w:val="true"/>
        </w:rPr>
        <w:t xml:space="preserve">: </w:t>
      </w:r>
      <w:r>
        <w:rPr>
          <w:rtl w:val="true"/>
        </w:rPr>
        <w:t>آيا حديث نفس هم غيبت است؟</w:t>
      </w:r>
      <w:bookmarkEnd w:id="201"/>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غيبت تقوّم دارد به اين‌كه مخاطبي باشد و مورد خطابِ غيبت قرار گيرد؟ يا اين‌كه اگر كسي حديث نفس كند ـ حالا با زبان يا شبه زبان؛ مثلاً با قلم ـ باز هم غيبت است و حرام؟ مثلاً كسي</w:t>
      </w:r>
    </w:p>
    <w:p>
      <w:pPr>
        <w:pStyle w:val="BookText"/>
        <w:rPr/>
      </w:pPr>
      <w:r>
        <w:rPr>
          <w:rFonts w:ascii="IRNazanin" w:hAnsi="IRNazanin" w:eastAsia="IRNazanin"/>
          <w:color w:val="111111"/>
          <w:sz w:val="28"/>
          <w:sz w:val="28"/>
          <w:szCs w:val="28"/>
          <w:rtl w:val="true"/>
          <w:lang w:bidi="fa-IR"/>
        </w:rPr>
        <w:t>نشسته و در فكر خود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عجب آدم فاسق و فاجري است، ديگري چقدر مكّار و دو 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موارد هم مشمول نهي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لايَغْتَبْ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مي‌شود؟ يا اين‌كه براي تحقّق غيبت حتماً بايد به گوش كسي، بالفعل يا مثل بالفعل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جايي كه مي‌داند بعداً به گوش كسي مي‌رسد؛ مثلاً نوشته‌اي دارد كه منتشر مي‌شود و كسي آن را مي‌خواند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p>
    <w:p>
      <w:pPr>
        <w:pStyle w:val="BookText"/>
        <w:rPr/>
      </w:pPr>
      <w:r>
        <w:rPr>
          <w:rFonts w:ascii="IRNazanin" w:hAnsi="IRNazanin" w:eastAsia="IRNazanin"/>
          <w:color w:val="111111"/>
          <w:sz w:val="28"/>
          <w:sz w:val="28"/>
          <w:szCs w:val="28"/>
          <w:rtl w:val="true"/>
          <w:lang w:bidi="fa-IR"/>
        </w:rPr>
        <w:t>شايد بعضي بخواهند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اعم است و حتّي شامل حديث نفس هم مي‌شود؛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لذا حرام است، ولي در پاسخ اين نظر مي‌گوييم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مطالب قبل معلوم شد كه اين تعريف، مدركي نداشت و ما در تعريف غيبت، بيشتر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ملتزم به حرمت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لامحاله بدون مخاطب،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كشف بايد نزد مخاطب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پيش خودش عيوب ديگران را تكرار مي‌كند، حتّي اگر سِرّ ديگري باشد نمي‌گويند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او را افشا كرد يا كشف عيب ديگري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از ضعفِ مدرك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چشم‌پوشي كنيم، در دلالت هم مدّعا را اثبات نمي‌كند؛ زيرا ذكري كه در روايت هست ذكري است كه مخاطب داشته باشد، و إلا ذكري كه اصلاً مخاطب ندارد مراد نيست و لفظ، عرفاً از آن منصرف است</w:t>
      </w:r>
      <w:r>
        <w:rPr>
          <w:rFonts w:eastAsia="IRNazanin" w:cs="IRNazanin"/>
          <w:color w:val="111111"/>
          <w:sz w:val="28"/>
          <w:szCs w:val="28"/>
          <w:rtl w:val="true"/>
          <w:lang w:bidi="fa-IR"/>
        </w:rPr>
        <w:t>.</w:t>
      </w:r>
      <w:bookmarkStart w:id="202" w:name="pg2359_23308"/>
    </w:p>
    <w:p>
      <w:pPr>
        <w:pStyle w:val="Heading3"/>
        <w:numPr>
          <w:ilvl w:val="2"/>
          <w:numId w:val="1"/>
        </w:numPr>
        <w:rPr/>
      </w:pPr>
      <w:bookmarkStart w:id="203" w:name="__RefHeading___Toc2770331_3804643083"/>
      <w:bookmarkStart w:id="204" w:name="_Toc76"/>
      <w:bookmarkEnd w:id="202"/>
      <w:bookmarkEnd w:id="203"/>
      <w:r>
        <w:rPr>
          <w:rtl w:val="true"/>
        </w:rPr>
        <w:t>امر سوم</w:t>
      </w:r>
      <w:r>
        <w:rPr>
          <w:rtl w:val="true"/>
        </w:rPr>
        <w:t xml:space="preserve">: </w:t>
      </w:r>
      <w:r>
        <w:rPr>
          <w:rtl w:val="true"/>
        </w:rPr>
        <w:t>حكم غيبت مؤمن ميّت</w:t>
      </w:r>
      <w:bookmarkEnd w:id="204"/>
    </w:p>
    <w:p>
      <w:pPr>
        <w:pStyle w:val="BookText"/>
        <w:rPr/>
      </w:pPr>
      <w:r>
        <w:rPr>
          <w:rFonts w:ascii="IRNazanin" w:hAnsi="IRNazanin" w:eastAsia="IRNazanin"/>
          <w:color w:val="111111"/>
          <w:sz w:val="28"/>
          <w:sz w:val="28"/>
          <w:szCs w:val="28"/>
          <w:rtl w:val="true"/>
          <w:lang w:bidi="fa-IR"/>
        </w:rPr>
        <w:t>همان‌طور كه گفتيم، صبيّ مميّز و غير مميّز غيبت‌شان جايز نيست، در حرمت غيبت مؤمن هم فرقي نمي‌كند كه حيّ باشد يا ميّت و غيبت از ميّت مؤمن هم حرام است؛ چون با عروض موت، باز هم برادرِ مؤمن است، به علاوه در روايت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حُرْمَةُ الْمُسْلِمِ مَيِّتاً كَحُرْمَتِهِ وَ هُوَ حَيٌّ سَوَاءٌ</w:t>
      </w:r>
      <w:r>
        <w:rPr>
          <w:rFonts w:eastAsia="Amiri" w:cs="Amiri" w:ascii="Amiri" w:hAnsi="Amiri"/>
          <w:color w:val="111111"/>
          <w:sz w:val="28"/>
          <w:szCs w:val="28"/>
          <w:rtl w:val="true"/>
          <w:lang w:bidi="ar-SA"/>
        </w:rPr>
        <w:t>»</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حرمت مسلمان ميّت، همانند حرمت مسلمان زنده‌ي سالم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فقها از مثل اين روايات، احكام زيادي را استفاده كرده‌اند، از جمله آن‌كه در شرايط عادي نمي‌توان بدن ميّت را تشريح كرد يا به عورت او نگاه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غيبت هم مي‌توان با تمسّك به اطلاق اين روايت حكم به حرمت غيبت ميّت كرد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به مناسبت، مطلبي را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اموات، بعضي از بزرگان فرموده‌اند كه حديثي هست كه طريق آن را ابوهريره يا مثل او دانسته و معتقد به ضعف سند بلكه جعلي بودن روايت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أُذْكُرُوا مَوْتَاكُم بِالْخَيْر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مردگان‌تان را به خير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حقيقت آن است كه حديثي به اين لفظ، در مجامع حديثي از عامّه و خاصّه نيامده و آن‌چه از طريق عامّه نقل شده، اين عبارت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اُذْكُرُوا مَحَاسِنَ مَوْتَاكُم وَ كَفّوا عَن مَسَاوِيهِم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كه ترمذي و ابوداود و برخي ديگر آن را نقل كرده‌اند و بعضي هم در رابطه با معاويه و امثال او، به غلط از اين حديث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عامّه به غير صحيح بودن حديث از طريق خودشان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 در مجامع شيعه اين‌گونه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لَا يَقُولَ فِيهِ بَعْدَ مَوْتِهِ إِلَّا خَيْراً</w:t>
      </w:r>
      <w:r>
        <w:rPr>
          <w:rFonts w:eastAsia="IRNazanin" w:cs="IRNazanin"/>
          <w:color w:val="111111"/>
          <w:sz w:val="28"/>
          <w:szCs w:val="28"/>
          <w:rtl w:val="true"/>
          <w:lang w:bidi="fa-IR"/>
        </w:rPr>
        <w:t>»</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ردّ اين حديث، تحليلي ارائه داده بودند كه اين روايت از مجعولات اعوان و انصار معاويه است و دليل جعل اين روايت آن بوده كه درباره‌ي ابوسفيان و امثال او صحبت نشود و اعمال سوءشان مثل خودشان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اين روايت هيچ دلالتي بر عدم ذكر مَساوي افرادي مثل معاويه ندارد؛ زيرا ذكر خير، حقِّ برادر مؤمن است نه غير مؤمن و حتّي در عبارت سابق نيز فقره‌ي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اموات خودتان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اموات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 گفت كه اصل حديث حتماً جعل شده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وانگهي بر فرض هم كه اين تحليل درست باشد و بگوييم</w:t>
      </w:r>
      <w:bookmarkStart w:id="205" w:name="pg2359_23310"/>
    </w:p>
    <w:p>
      <w:pPr>
        <w:pStyle w:val="BookText"/>
        <w:rPr/>
      </w:pPr>
      <w:bookmarkEnd w:id="205"/>
      <w:r>
        <w:rPr>
          <w:rFonts w:ascii="Amiri" w:hAnsi="Amiri" w:eastAsia="Amiri" w:cs="Amiri"/>
          <w:color w:val="111111"/>
          <w:sz w:val="28"/>
          <w:sz w:val="28"/>
          <w:szCs w:val="28"/>
          <w:rtl w:val="true"/>
          <w:lang w:bidi="ar-SA"/>
        </w:rPr>
        <w:t>حديث شامل هر مرده‌اي هم مي‌شود، ولي قطعاً استثنا دارد و كساني كه مستحقّ لعن بودند و خداوند متعال هم در قرآن كريم آن‌ها را لعن فرموده است، از اين قاعده مستثنا مي‌باشند و به علاوه عمل معاويه‌ي ملعون نيز بر خلاف آن بوده است</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6" w:name="__RefHeading___Toc2770333_3804643083"/>
      <w:bookmarkStart w:id="207" w:name="_Toc77"/>
      <w:bookmarkEnd w:id="206"/>
      <w:r>
        <w:rPr>
          <w:rtl w:val="true"/>
        </w:rPr>
        <w:t>امر چهارم</w:t>
      </w:r>
      <w:r>
        <w:rPr>
          <w:rtl w:val="true"/>
        </w:rPr>
        <w:t xml:space="preserve">: </w:t>
      </w:r>
      <w:r>
        <w:rPr>
          <w:rtl w:val="true"/>
        </w:rPr>
        <w:t>حكم غيبت به كنايه</w:t>
      </w:r>
      <w:bookmarkEnd w:id="207"/>
    </w:p>
    <w:p>
      <w:pPr>
        <w:pStyle w:val="BookText"/>
        <w:rPr/>
      </w:pPr>
      <w:r>
        <w:rPr>
          <w:rFonts w:ascii="IRNazanin" w:hAnsi="IRNazanin" w:eastAsia="IRNazanin"/>
          <w:color w:val="111111"/>
          <w:sz w:val="28"/>
          <w:sz w:val="28"/>
          <w:szCs w:val="28"/>
          <w:rtl w:val="true"/>
          <w:lang w:bidi="fa-IR"/>
        </w:rPr>
        <w:t>گاهي غيبت بالمطابقه صورت مي‌گيرد، مانند آن‌كه در امور ديني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ـ نعوذ بالله ـ شارب الخمر است يا فلان گناه را انجام داده است و يا در امور دنيوي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مبتلا به بواسير است ـ در حالي‌كه دوست ندارد كسي بفهمد ـ يا فلان بيماري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گاهي بالملازمه يا بالكنايه از ديگري ياد مي‌كند؛ مثلاً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خيلي سابقه دارند، پنجاه سال است در حوزه مشغول هستند و حالا صمديه مي‌خوانند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قائلي بالملازمه به كودني يا تنبلي او اشاره مي‌كند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صورت هم حرام است و با غيبت بالمطابقه فرقي نمي‌كند؛ زيرا بيان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بنا شد غيبت حرام باشد، خداوند حرمت آن را مقيّد به حالت بالمطابقه نفرموده است، پس حتّي شامل كنايه، غمزه و اشاره هم مي‌شود؛ مثلاً كسي در مقام غيبت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فلاني خيلي فهيم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هم به علامت تأييد، سرش را تكان بدهد؛ يعني حرف تو را تصديق</w:t>
      </w:r>
      <w:bookmarkStart w:id="208" w:name="pg2359_23311"/>
    </w:p>
    <w:p>
      <w:pPr>
        <w:pStyle w:val="BookText"/>
        <w:rPr/>
      </w:pPr>
      <w:bookmarkEnd w:id="208"/>
      <w:r>
        <w:rPr>
          <w:rFonts w:ascii="Amiri" w:hAnsi="Amiri" w:eastAsia="Amiri" w:cs="Amiri"/>
          <w:color w:val="111111"/>
          <w:sz w:val="28"/>
          <w:sz w:val="28"/>
          <w:szCs w:val="28"/>
          <w:rtl w:val="true"/>
          <w:lang w:bidi="ar-SA"/>
        </w:rPr>
        <w:t>مي‌كنم، اين هم غيبت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شامل كتابت هم 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خلاصه اين‌كه هر دلالت مُفهمه‌اي كه صدق غيبت كند حرام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رواياتي هم در اثبات اين مطلب داريم، ولي با وجود اطلاق آيه‌ي شريفه نيازي به ذكر آن‌ها نيست</w:t>
      </w:r>
      <w:r>
        <w:rPr>
          <w:rFonts w:eastAsia="Amiri" w:cs="Amiri" w:ascii="Amiri" w:hAnsi="Amiri"/>
          <w:color w:val="111111"/>
          <w:sz w:val="28"/>
          <w:szCs w:val="28"/>
          <w:rtl w:val="true"/>
          <w:lang w:bidi="ar-SA"/>
        </w:rPr>
        <w:t>.</w:t>
      </w:r>
    </w:p>
    <w:p>
      <w:pPr>
        <w:pStyle w:val="Heading3"/>
        <w:numPr>
          <w:ilvl w:val="2"/>
          <w:numId w:val="1"/>
        </w:numPr>
        <w:rPr/>
      </w:pPr>
      <w:bookmarkStart w:id="209" w:name="__RefHeading___Toc2770335_3804643083"/>
      <w:bookmarkStart w:id="210" w:name="_Toc78"/>
      <w:bookmarkEnd w:id="209"/>
      <w:r>
        <w:rPr>
          <w:rtl w:val="true"/>
        </w:rPr>
        <w:t>امر پنجم</w:t>
      </w:r>
      <w:r>
        <w:rPr>
          <w:rtl w:val="true"/>
        </w:rPr>
        <w:t xml:space="preserve">: </w:t>
      </w:r>
      <w:r>
        <w:rPr>
          <w:rtl w:val="true"/>
        </w:rPr>
        <w:t>حرمت غيبت، اعم از ذكر عيوب ديني و دنيايي است</w:t>
      </w:r>
      <w:bookmarkEnd w:id="210"/>
    </w:p>
    <w:p>
      <w:pPr>
        <w:pStyle w:val="Heading4"/>
        <w:numPr>
          <w:ilvl w:val="3"/>
          <w:numId w:val="1"/>
        </w:numPr>
        <w:rPr/>
      </w:pPr>
      <w:bookmarkStart w:id="211" w:name="__RefHeading___Toc2770337_3804643083"/>
      <w:bookmarkStart w:id="212" w:name="_Toc79"/>
      <w:bookmarkEnd w:id="211"/>
      <w:r>
        <w:rPr>
          <w:rtl w:val="true"/>
        </w:rPr>
        <w:t>اشاره</w:t>
      </w:r>
      <w:bookmarkEnd w:id="212"/>
    </w:p>
    <w:p>
      <w:pPr>
        <w:pStyle w:val="BookText"/>
        <w:rPr/>
      </w:pPr>
      <w:r>
        <w:rPr>
          <w:rFonts w:ascii="IRNazanin" w:hAnsi="IRNazanin" w:eastAsia="IRNazanin"/>
          <w:color w:val="111111"/>
          <w:sz w:val="28"/>
          <w:sz w:val="28"/>
          <w:szCs w:val="28"/>
          <w:rtl w:val="true"/>
          <w:lang w:bidi="fa-IR"/>
        </w:rPr>
        <w:t>غيبت هم مي‌تواند در امر دنيا باشد و هم در امر دين، كما اين‌كه در برخي روايات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در مورد برادرش كاري را كه در دينش انجام نداده است بگويد</w:t>
      </w:r>
      <w:r>
        <w:rPr>
          <w:rStyle w:val="FootnoteAnchor"/>
          <w:rtl w:val="true"/>
        </w:rPr>
        <w:footnoteReference w:id="1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در غيبت بودن چنين مواردي مناقشه كرديم</w:t>
      </w:r>
      <w:r>
        <w:rPr>
          <w:rStyle w:val="FootnoteAnchor"/>
          <w:rtl w:val="true"/>
        </w:rPr>
        <w:footnoteReference w:id="157"/>
      </w:r>
      <w:r>
        <w:rPr>
          <w:rFonts w:ascii="IRNazanin" w:hAnsi="IRNazanin" w:eastAsia="IRNazanin"/>
          <w:color w:val="111111"/>
          <w:sz w:val="28"/>
          <w:sz w:val="28"/>
          <w:szCs w:val="28"/>
          <w:rtl w:val="true"/>
          <w:lang w:bidi="fa-IR"/>
        </w:rPr>
        <w:t>، ولي اين تعبير در روايات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روايات، بعد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ستره الله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كشف چيزهايي كه خداوند آن‌ها را بر او پوشانده است،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ممّا لم يقم عليه فيه 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گناهاني كه حد بر آن جاري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تعبير معلوم مي‌شود كه مورد غيبت از امور ديني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ذكر ديگران در غياب‌شان در امور دنيايي هم باشد مشمول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غيبت بر آن صادق است؛ مثلاً كسي گرفتار بيماري ناخوشايندي است و نمي‌خواهد ديگران بفهمند، بيان اين عيب نزد ديگران غيبت است</w:t>
      </w:r>
      <w:r>
        <w:rPr>
          <w:rFonts w:eastAsia="IRNazanin" w:cs="IRNazanin"/>
          <w:color w:val="111111"/>
          <w:sz w:val="28"/>
          <w:szCs w:val="28"/>
          <w:rtl w:val="true"/>
          <w:lang w:bidi="fa-IR"/>
        </w:rPr>
        <w:t>.</w:t>
      </w:r>
      <w:bookmarkStart w:id="213" w:name="pg2359_23312"/>
    </w:p>
    <w:p>
      <w:pPr>
        <w:pStyle w:val="BookText"/>
        <w:rPr/>
      </w:pPr>
      <w:bookmarkEnd w:id="213"/>
      <w:r>
        <w:rPr>
          <w:rFonts w:ascii="IRNazanin" w:hAnsi="IRNazanin" w:eastAsia="IRNazanin"/>
          <w:color w:val="111111"/>
          <w:sz w:val="28"/>
          <w:sz w:val="28"/>
          <w:szCs w:val="28"/>
          <w:rtl w:val="true"/>
          <w:lang w:bidi="fa-IR"/>
        </w:rPr>
        <w:t>پس در صدق غيبت فرقي نمي‌كند كه از امور ديني باشد يا دنيايي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كسي گمان نكند چون در بعضي روايات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أَمْراً قَدْ سَتَرَهُ اللَّهُ عَلَيْهِ لَمْ يُقَمْ عَلَيْهِ فِيهِ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غيبت مقيّد شده است به امور ديني، اين روايت، روايات مطلق و حتّي معناي عرفي غيبت را تقييد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اين توهّم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دو نوع روايات، مثبتين بوده و در اين مورد هيچ مُلزمي براي حمل يكي بر ديگري نداريم</w:t>
      </w:r>
      <w:r>
        <w:rPr>
          <w:rFonts w:eastAsia="IRNazanin" w:cs="IRNazanin"/>
          <w:color w:val="111111"/>
          <w:sz w:val="28"/>
          <w:szCs w:val="28"/>
          <w:rtl w:val="true"/>
          <w:lang w:bidi="fa-IR"/>
        </w:rPr>
        <w:t>.</w:t>
      </w:r>
    </w:p>
    <w:p>
      <w:pPr>
        <w:pStyle w:val="Heading4"/>
        <w:numPr>
          <w:ilvl w:val="3"/>
          <w:numId w:val="1"/>
        </w:numPr>
        <w:rPr/>
      </w:pPr>
      <w:bookmarkStart w:id="214" w:name="__RefHeading___Toc2770339_3804643083"/>
      <w:bookmarkStart w:id="215" w:name="_Toc80"/>
      <w:bookmarkEnd w:id="214"/>
      <w:r>
        <w:rPr>
          <w:rtl w:val="true"/>
        </w:rPr>
        <w:t>نحوه‌ي عمل در مثبتَين</w:t>
      </w:r>
      <w:bookmarkEnd w:id="215"/>
    </w:p>
    <w:p>
      <w:pPr>
        <w:pStyle w:val="BookText"/>
        <w:rPr/>
      </w:pPr>
      <w:r>
        <w:rPr>
          <w:rFonts w:ascii="IRNazanin" w:hAnsi="IRNazanin" w:eastAsia="IRNazanin"/>
          <w:color w:val="111111"/>
          <w:sz w:val="28"/>
          <w:sz w:val="28"/>
          <w:szCs w:val="28"/>
          <w:rtl w:val="true"/>
          <w:lang w:bidi="fa-IR"/>
        </w:rPr>
        <w:t>در مثبتين به دو نحوه عمل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مثبتين اگر مثلاً بيان اوّل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زيداً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بيان دوم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دو بيان هيچ تنافي با هم ندارند و نبايد عالم را بر زيد عالم حمل كنيم؛ زيرا زيد عالم، احد افراد بوده و اكرامش واجب است، كلّ عالم‌ها هم به اطلاق بيان دوم واجب الاكرام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ولي گاهي در مثبتين يقين داريم كه يك حكم بيشتر نيست و احكام انحلالي نيستند؛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اطلاق دو حكم، شمولي نيست بلكه اطلاق بدلي است و لازم نيست بيش از يك رقبة آزاد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از مثبتين، مطلق حمل بر مقيّد مي‌شود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نحن فيه از نوع اوّل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أَمْراً قَدْ سَتَرَهُ اللَّهُ عَلَيْهِ لَمْ يُقَمْ عَلَيْهِ فِيهِ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فرد بوده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كه حد ندارد و مربوط به امور دنيايي است فرد ديگري است، پس به هر دو</w:t>
      </w:r>
    </w:p>
    <w:p>
      <w:pPr>
        <w:pStyle w:val="BookText"/>
        <w:rPr/>
      </w:pPr>
      <w:r>
        <w:rPr>
          <w:rFonts w:ascii="Amiri" w:hAnsi="Amiri" w:eastAsia="Amiri" w:cs="Amiri"/>
          <w:color w:val="111111"/>
          <w:sz w:val="28"/>
          <w:sz w:val="28"/>
          <w:szCs w:val="28"/>
          <w:rtl w:val="true"/>
          <w:lang w:bidi="ar-SA"/>
        </w:rPr>
        <w:t>روايت عمل مي‌كنيم و لزومي براي حمل مطلق بر مقيّد نمي‌بينيم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معناي عرفي غيبت هم اعمّ از اين است كه در امور دنيايي باشد يا اخروي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تأييد اين شمول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المصرّح به في بعض الروايات عدم الفرق في ذلك على ما صرّح به غير واحد بين ما كان نقصاناً في بدنه أو نسبه أو خلقه أو فعله أو قوله أو دينه أو دنياه حتى في ثوبه أو داره أو دابته أو غير ذلك</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براي اثبات فرمايش خود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قد روي عن مولانا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ذلك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وجوه الغيبة تقع بذكر عيب في الخلق و الفعل و المعاملة و المذهب و الجهل و أشباهه</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 xml:space="preserve">و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اشاره‌ي به اين معنا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وجوه غيبت واقع مي‌شود در بيان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 از آن‌چه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خلق، فعل، معامله، مذهب، جهل و اشباه آن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همان‌طور كه بيان شد، در اثبات عموميّت غيبت نسبت به امور ديني و دنيايي، اطلاق آيه‌ي شريفه و معناي عرفي كافي است و نيازي به روايت نيست، مخصوصاً كه اين روايت سند تامّي ندارد</w:t>
      </w:r>
      <w:r>
        <w:rPr>
          <w:rFonts w:eastAsia="Amiri" w:cs="Amiri" w:ascii="Amiri" w:hAnsi="Amiri"/>
          <w:color w:val="111111"/>
          <w:sz w:val="28"/>
          <w:szCs w:val="28"/>
          <w:rtl w:val="true"/>
          <w:lang w:bidi="ar-SA"/>
        </w:rPr>
        <w:t>.</w:t>
      </w:r>
      <w:bookmarkStart w:id="216" w:name="pg2359_23314"/>
    </w:p>
    <w:p>
      <w:pPr>
        <w:pStyle w:val="Heading3"/>
        <w:numPr>
          <w:ilvl w:val="2"/>
          <w:numId w:val="1"/>
        </w:numPr>
        <w:rPr/>
      </w:pPr>
      <w:bookmarkStart w:id="217" w:name="__RefHeading___Toc2770341_3804643083"/>
      <w:bookmarkStart w:id="218" w:name="_Toc81"/>
      <w:bookmarkEnd w:id="216"/>
      <w:bookmarkEnd w:id="217"/>
      <w:r>
        <w:rPr>
          <w:rtl w:val="true"/>
        </w:rPr>
        <w:t>امر ششم</w:t>
      </w:r>
      <w:r>
        <w:rPr>
          <w:rtl w:val="true"/>
        </w:rPr>
        <w:t xml:space="preserve">: </w:t>
      </w:r>
      <w:r>
        <w:rPr>
          <w:rtl w:val="true"/>
        </w:rPr>
        <w:t>آيا كشف عيب مخفي شخص نامعيّن، غيبت است؟</w:t>
      </w:r>
      <w:bookmarkEnd w:id="218"/>
    </w:p>
    <w:p>
      <w:pPr>
        <w:pStyle w:val="Heading4"/>
        <w:numPr>
          <w:ilvl w:val="3"/>
          <w:numId w:val="1"/>
        </w:numPr>
        <w:rPr/>
      </w:pPr>
      <w:bookmarkStart w:id="219" w:name="__RefHeading___Toc2770343_3804643083"/>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 xml:space="preserve">شرط تحقّق غيبت آن است كه مغتاب، معيّن باشد تا كشف عيب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باشد، وگرنه اگر مربوط به جمعي ـ حتّي محصور و محدود ـ باشد به نحوي كه كشف عيب مستور شخص خاصّي نباشد، غيبت نيست؛ مثلاً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ده نفري كه ديروز در محفل ما بودند قمارباز يا رباخوار است، فرض هم اين باشد كه بيان عيب مخفي است، ولي چون معلوم نيست فرد مورد نظر كيست و در نتيجه كشف عيب كسي نشده است، لذا 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 عيب مستور احد لامعيّن غيبت نيست؛ زيرا احد لامعيّن كسي نيست كه غيبتش حرام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طريق اولي اگر بيان عيب مستور نسبت به جمع نامحدود باشد غيبت نيست؛ مثلاً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نفر در شهر قم آدم‌كش است</w:t>
      </w:r>
      <w:r>
        <w:rPr>
          <w:rFonts w:eastAsia="IRNazanin" w:cs="IRNazanin"/>
          <w:color w:val="111111"/>
          <w:sz w:val="28"/>
          <w:szCs w:val="28"/>
          <w:rtl w:val="true"/>
          <w:lang w:bidi="fa-IR"/>
        </w:rPr>
        <w:t>.</w:t>
      </w:r>
    </w:p>
    <w:p>
      <w:pPr>
        <w:pStyle w:val="Heading4"/>
        <w:numPr>
          <w:ilvl w:val="3"/>
          <w:numId w:val="1"/>
        </w:numPr>
        <w:rPr/>
      </w:pPr>
      <w:bookmarkStart w:id="221" w:name="__RefHeading___Toc2770345_3804643083"/>
      <w:bookmarkStart w:id="222" w:name="_Toc83"/>
      <w:bookmarkEnd w:id="221"/>
      <w:r>
        <w:rPr>
          <w:rtl w:val="true"/>
        </w:rPr>
        <w:t>اگر تعليل عيب موجب تعميم به ديگران شود، باعث تعدّد حرمت هم مي‌شود؟</w:t>
      </w:r>
      <w:bookmarkEnd w:id="22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نكته‌ي قابل توجّه اين است كه اگر در بيان عيب مستور، علّتي را ذكر كنند كه مي‌تواند معمِّم باشد و در حكم اين باشد كه بگويند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مَنْ كَانَ مُنْتَسَباً الي بَلْدَةِ فُلان، كَانَ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چنين تعبيري به جِد باشد و مفهوم عرفي‌اش اين باشد، در حقيقت همه‌ي آنان را غيبت كرده است؛ زيرا حكم به همه‌ي افراد منحل مي‌شود</w:t>
      </w:r>
      <w:r>
        <w:rPr>
          <w:rFonts w:eastAsia="IRNazanin" w:cs="IRNazanin"/>
          <w:color w:val="111111"/>
          <w:sz w:val="28"/>
          <w:szCs w:val="28"/>
          <w:rtl w:val="true"/>
          <w:lang w:bidi="fa-IR"/>
        </w:rPr>
        <w:t>:</w:t>
      </w:r>
      <w:bookmarkStart w:id="223" w:name="pg2359_23315"/>
    </w:p>
    <w:p>
      <w:pPr>
        <w:pStyle w:val="BookText"/>
        <w:rPr/>
      </w:pPr>
      <w:bookmarkEnd w:id="223"/>
      <w:r>
        <w:rPr>
          <w:rFonts w:ascii="IRNazanin" w:hAnsi="IRNazanin" w:eastAsia="IRNazanin"/>
          <w:color w:val="111111"/>
          <w:sz w:val="28"/>
          <w:sz w:val="28"/>
          <w:szCs w:val="28"/>
          <w:rtl w:val="true"/>
          <w:lang w:bidi="fa-IR"/>
        </w:rPr>
        <w:t>نسبت به برخي غيبت است، نسبت به برخي بهتان است و شايد هم نسبت به برخي حرام نباشد؛ چون وجود اين عيب در او ظاهر است و علني مرتكب اين عيب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كساني كه در محفل ما بود آدم بدي است؛ چون اهل فلان 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عرفي اين حرف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مَنْ كَانَ مُنْتَسَباً اليَ مَكَانٍ فُلان، كَانَ عَاصِيَاً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همه غيبت كرده است، البته در صورتي كه عيب مستور باشد نه اين‌كه عيب مشهور و معروفي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در كسي آن عيب نباشد نسبت به او تهمت و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چنين مواردي كه محل خاصّي عنوان مي‌شود، مخصوصاً اگر بزرگ باشد، نوعاً قرينه هست كه مراد، غالب افراد است يا كثيري از آن‌ها اين‌چنين هستند، در نتيجه آن عيب نمي‌تواند روي شخص خاصّي منطبق شود، پس 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ذكر عيب مستور شخص نامعيّن از جمعي محصور يا غير محصور مانعي ندارد، مادامي‌كه منجرّ به غيبت همه نشود</w:t>
      </w:r>
      <w:r>
        <w:rPr>
          <w:rFonts w:eastAsia="Amiri" w:cs="Amiri" w:ascii="Amiri" w:hAnsi="Amiri"/>
          <w:color w:val="111111"/>
          <w:sz w:val="28"/>
          <w:szCs w:val="28"/>
          <w:rtl w:val="true"/>
          <w:lang w:bidi="ar-SA"/>
        </w:rPr>
        <w:t>.</w:t>
      </w:r>
    </w:p>
    <w:p>
      <w:pPr>
        <w:pStyle w:val="Heading4"/>
        <w:numPr>
          <w:ilvl w:val="3"/>
          <w:numId w:val="1"/>
        </w:numPr>
        <w:rPr/>
      </w:pPr>
      <w:bookmarkStart w:id="224" w:name="__RefHeading___Toc2770347_3804643083"/>
      <w:bookmarkStart w:id="225" w:name="_Toc84"/>
      <w:bookmarkEnd w:id="224"/>
      <w:r>
        <w:rPr>
          <w:rtl w:val="true"/>
        </w:rPr>
        <w:t>حكم ذكر عيب مستور شخص نامعيّن، اگر موجب حطّ شأن جمعي شود</w:t>
      </w:r>
      <w:bookmarkEnd w:id="225"/>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گاهي در ذكر عيب مستور شخص نامعيّن از جمع محصور، هيچ كشف عيب مستوري نسبت به شخص خاصّي نيست؛ مثلاً ده نفر در اتاقي هستند و كسي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اين‌ها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هم احتمال دارد يكي از آن افراد، از اعدل عدول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عيب مستور شخص نامعيّن، نه نفعي براي كسي دارد و نه</w:t>
      </w:r>
    </w:p>
    <w:p>
      <w:pPr>
        <w:pStyle w:val="BookText"/>
        <w:rPr/>
      </w:pPr>
      <w:r>
        <w:rPr>
          <w:rFonts w:ascii="IRNazanin" w:hAnsi="IRNazanin" w:eastAsia="IRNazanin"/>
          <w:color w:val="111111"/>
          <w:sz w:val="28"/>
          <w:sz w:val="28"/>
          <w:szCs w:val="28"/>
          <w:rtl w:val="true"/>
          <w:lang w:bidi="fa-IR"/>
        </w:rPr>
        <w:t>ضرري براي هيچ‌كدام به شخصه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گاهي جماعت محصور به گونه‌اي است كه اگر نسبتي به يكي ـ نامعيّن ـ داده شود حطّ شأن همه مي‌شود؛ مثلاً ـ پنج نفر ـ همگي برادرند و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اين‌ها خيلي كذا و كذا است، ولي از اين نسبت، بالملازمه كشف مي‌شود كه منبت سوء يا تربيت غلط يا چيز ديگري كه مشترك بين همه‌ي برادران است علّت اين عيب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امثال اين موارد واقعاً در حدّ دلالت باشد غيبت است، آن‌هم غيبت همه‌ي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در حدّ دلالت نباشد ولي به نحوي است كه مابقي برادران ـ يا شركا ـ را در معرض سوءظن قرار مي‌دهد ـ هرچند از اين باب كه مردم احتمال دهند آن فرد ناسالم هماني باشد كه مثلاً با او در حال معامله هستند ـ در نتيجه از حسن‌ظنّي كه مردم بايد در مورد آن‌ها داشته باشند محروم گردند، در اين صورت نمي‌توان قائل به جواز اين مورد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صدق غيبت مشكل است؛ زيرا كشف ستري نسبت به شخص خاصّي نشده است، گرچه تحت عنوان ايذاء مؤمن، تعيير مؤمن و عناويني مانند اين، حرام خواهد بود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ذكر عيب مستور شخص نامعيّن نسبت به جمع محصور، از حيثي غيبت نيست، ولي اگر لوازمي داشته باشد كه مثلاً بقيّه‌ي افراد را از حُسن‌ظنّي كه مردم نسبت به آن‌ها داشته باشند محروم كند كار ناشايستي است و اگر در حدّي باشد كه آن‌ها را از حقوق‌شان محروم كند، تحت عناويني مانند ايذاء و تعيير، حرام است</w:t>
      </w:r>
      <w:r>
        <w:rPr>
          <w:rFonts w:eastAsia="IRNazanin" w:cs="IRNazanin"/>
          <w:color w:val="111111"/>
          <w:sz w:val="28"/>
          <w:szCs w:val="28"/>
          <w:rtl w:val="true"/>
          <w:lang w:bidi="fa-IR"/>
        </w:rPr>
        <w:t>.</w:t>
      </w:r>
      <w:bookmarkStart w:id="226" w:name="pg2359_23317"/>
    </w:p>
    <w:p>
      <w:pPr>
        <w:pStyle w:val="Heading3"/>
        <w:numPr>
          <w:ilvl w:val="2"/>
          <w:numId w:val="1"/>
        </w:numPr>
        <w:rPr/>
      </w:pPr>
      <w:bookmarkStart w:id="227" w:name="__RefHeading___Toc2770349_3804643083"/>
      <w:bookmarkStart w:id="228" w:name="_Toc85"/>
      <w:bookmarkEnd w:id="226"/>
      <w:bookmarkEnd w:id="227"/>
      <w:r>
        <w:rPr>
          <w:rtl w:val="true"/>
        </w:rPr>
        <w:t>امر هفتم</w:t>
      </w:r>
      <w:r>
        <w:rPr>
          <w:rtl w:val="true"/>
        </w:rPr>
        <w:t xml:space="preserve">: </w:t>
      </w:r>
      <w:r>
        <w:rPr>
          <w:rtl w:val="true"/>
        </w:rPr>
        <w:t>آيا ذكر عيب مستور كسي در حضور او غيبت است؟</w:t>
      </w:r>
      <w:bookmarkEnd w:id="228"/>
    </w:p>
    <w:p>
      <w:pPr>
        <w:pStyle w:val="BookText"/>
        <w:rPr/>
      </w:pPr>
      <w:r>
        <w:rPr>
          <w:rFonts w:ascii="IRNazanin" w:hAnsi="IRNazanin" w:eastAsia="IRNazanin"/>
          <w:color w:val="111111"/>
          <w:sz w:val="28"/>
          <w:sz w:val="28"/>
          <w:szCs w:val="28"/>
          <w:rtl w:val="true"/>
          <w:lang w:bidi="fa-IR"/>
        </w:rPr>
        <w:t>آيا قوام غيبت به آن است كه در غياب و خَلف انساني باشد يا اين‌كه در حضور طرف هم اگر عيب مستورش ذكر گردد غيبت است؟</w:t>
      </w:r>
    </w:p>
    <w:p>
      <w:pPr>
        <w:pStyle w:val="BookText"/>
        <w:rPr/>
      </w:pPr>
      <w:r>
        <w:rPr>
          <w:rFonts w:ascii="IRNazanin" w:hAnsi="IRNazanin" w:eastAsia="IRNazanin"/>
          <w:color w:val="111111"/>
          <w:sz w:val="28"/>
          <w:sz w:val="28"/>
          <w:szCs w:val="28"/>
          <w:rtl w:val="true"/>
          <w:lang w:bidi="fa-IR"/>
        </w:rPr>
        <w:t>برخي از فقهاي عظام تصريح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لامحاله تعريف غيبت با حضور مغتاب هم صادق است؛ مثلاً شخصي در حضور ديگري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فلان كار را كردي، برخي تصريح دارند اين هم غيبت است و احكام خاصّ آن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مطلب را مي‌فرمايد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خاصّ غيبت بر چنين مواردي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ممكن است به عنوان ديگري مانند ايذاء، حرام باشد و حتّي حرمتش بيشتر از غيبت باشد، ولي غيبت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مي‌رسد عنوان خاصّ غيبت مربوط به موردي باشد كه مغتاب حضور نداشته باشد؛ زيرا 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مادّه‌ي غيبت نهفته است كه مغتاب حاضر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ما احتمال داديم كه غيبت به اعتبار عيبِ نهفته باشد، ولي روشن‌ترين وجه، آن است كه به اعتبار عدم حضور مغتاب باشد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علاوه بر اين، لغويين هم عمدتاً 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ذكر كرده‌اند، كه مجموع اين‌ها منجرّ به اين نظر مي‌شود كه غيبت مخصوص مواقعي است كه مغتاب حاضر نباشد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نه اين‌كه اگر در حضور كسي عيبش را بگويند گناه نيست، بلكه ممكن است عنوان حرام ديگري بر آن مترتّب گردد، ولي تحت عنوان غيبت، حرام نيست و اگر هم احكام خاصّي براي غيبت باشد؛ مثلاً نذر كرده باشد اگر غيبت كرد مقداري پول صدقه بدهد، اين احكام بر آن مترتّب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اين‌كه شرط تحقّق غيبت، عدم حضور مغتاب است و اين‌كه حكم شديدتري دارد، به خاطر آن است كه وقتي مغتاب نيست قدرت دفاع از خود را هم ندارد و همان‌طور كه آيه‌ي شريفه تشبيه فرمود، مانند 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هم به اين وجه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هم مؤيّدي است بر شرطيّت عدم حضور مغتاب در صدق غيبت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 فرض، شرطيّت عدم حضور مغتاب را در تحقّق غيبت نتوانستيم استظهار كنيم، لااقل اين احتمال وجود دارد و همان‌طور كه در تعريف غيبت گفتيم، هنگام شك در مصداق غيبت بايد قدر متيقّن اخذ شود و قدر متيقّن جايي است كه مغتاب حاضر نباشد</w:t>
      </w:r>
      <w:r>
        <w:rPr>
          <w:rFonts w:eastAsia="IRNazanin" w:cs="IRNazanin"/>
          <w:color w:val="111111"/>
          <w:sz w:val="28"/>
          <w:szCs w:val="28"/>
          <w:rtl w:val="true"/>
          <w:lang w:bidi="fa-IR"/>
        </w:rPr>
        <w:t>.</w:t>
      </w:r>
      <w:bookmarkStart w:id="229" w:name="pg2359_23319"/>
    </w:p>
    <w:p>
      <w:pPr>
        <w:pStyle w:val="Heading3"/>
        <w:numPr>
          <w:ilvl w:val="2"/>
          <w:numId w:val="1"/>
        </w:numPr>
        <w:rPr/>
      </w:pPr>
      <w:bookmarkStart w:id="230" w:name="__RefHeading___Toc2770351_3804643083"/>
      <w:bookmarkStart w:id="231" w:name="_Toc86"/>
      <w:bookmarkEnd w:id="229"/>
      <w:bookmarkEnd w:id="230"/>
      <w:r>
        <w:rPr>
          <w:rtl w:val="true"/>
        </w:rPr>
        <w:t>امر هشتم</w:t>
      </w:r>
      <w:r>
        <w:rPr>
          <w:rtl w:val="true"/>
        </w:rPr>
        <w:t xml:space="preserve">: </w:t>
      </w:r>
      <w:r>
        <w:rPr>
          <w:rtl w:val="true"/>
        </w:rPr>
        <w:t>دواعي غيبت</w:t>
      </w:r>
      <w:bookmarkEnd w:id="231"/>
    </w:p>
    <w:p>
      <w:pPr>
        <w:pStyle w:val="Heading4"/>
        <w:numPr>
          <w:ilvl w:val="3"/>
          <w:numId w:val="1"/>
        </w:numPr>
        <w:rPr/>
      </w:pPr>
      <w:bookmarkStart w:id="232" w:name="__RefHeading___Toc2770353_3804643083"/>
      <w:bookmarkStart w:id="233" w:name="_Toc87"/>
      <w:bookmarkEnd w:id="232"/>
      <w:r>
        <w:rPr>
          <w:rtl w:val="true"/>
        </w:rPr>
        <w:t>اشاره</w:t>
      </w:r>
      <w:bookmarkEnd w:id="233"/>
    </w:p>
    <w:p>
      <w:pPr>
        <w:pStyle w:val="BookText"/>
        <w:rPr/>
      </w:pPr>
      <w:r>
        <w:rPr>
          <w:rFonts w:ascii="IRNazanin" w:hAnsi="IRNazanin" w:eastAsia="IRNazanin"/>
          <w:color w:val="111111"/>
          <w:sz w:val="28"/>
          <w:sz w:val="28"/>
          <w:szCs w:val="28"/>
          <w:rtl w:val="true"/>
          <w:lang w:bidi="fa-IR"/>
        </w:rPr>
        <w:t>جناب شيخ در روانكاوي انگيزه‌هاي اهل غيبت، روايتي را از مصباح الشريعة نقل مي‌فرمايد كه هم به بيان دواعي غيبت پرداخته و هم انواع غيبت را ذكر مي‌فرمايد</w:t>
      </w:r>
      <w:r>
        <w:rPr>
          <w:rFonts w:eastAsia="IRNazanin" w:cs="IRNazanin"/>
          <w:color w:val="111111"/>
          <w:sz w:val="28"/>
          <w:szCs w:val="28"/>
          <w:rtl w:val="true"/>
          <w:lang w:bidi="fa-IR"/>
        </w:rPr>
        <w:t>.</w:t>
      </w:r>
    </w:p>
    <w:p>
      <w:pPr>
        <w:pStyle w:val="Heading4"/>
        <w:numPr>
          <w:ilvl w:val="3"/>
          <w:numId w:val="1"/>
        </w:numPr>
        <w:rPr/>
      </w:pPr>
      <w:bookmarkStart w:id="234" w:name="__RefHeading___Toc2770355_3804643083"/>
      <w:bookmarkStart w:id="235" w:name="_Toc88"/>
      <w:bookmarkEnd w:id="234"/>
      <w:r>
        <w:rPr>
          <w:rtl w:val="true"/>
        </w:rPr>
        <w:t>دواعي غيبت در مصباح الشريعة</w:t>
      </w:r>
      <w:bookmarkEnd w:id="235"/>
    </w:p>
    <w:p>
      <w:pPr>
        <w:pStyle w:val="BookText"/>
        <w:rPr/>
      </w:pPr>
      <w:r>
        <w:rPr>
          <w:rFonts w:ascii="Amiri" w:hAnsi="Amiri" w:eastAsia="Amiri" w:cs="Amiri"/>
          <w:color w:val="111111"/>
          <w:sz w:val="28"/>
          <w:sz w:val="28"/>
          <w:szCs w:val="28"/>
          <w:rtl w:val="true"/>
          <w:lang w:bidi="ar-SA"/>
        </w:rPr>
        <w:t>أَصْلُ الْغِيبَةِ مُتَنَوِّعٌ بِعَشَرَةِ أَنْوَاعٍ شِفَاءِ غَيْظٍ وَ مُسَاعَدَةِ قَوْمٍ وَ تُهَمَةٍ وَ تَصْدِيقِ خَبَرٍ بِلَا كَشْفِهِ وَ سُوءِ ظَنٍّ وَ حَسَدٍ وَ سُخْرِيَّةٍ وَ تَعَجُّبٍ وَ تَبَرُّمٍ وَ تَزَيُّنٍ فَإِنْ أَرَدْتَ الْسْلَامَةَ فَاذْكُرِ الْخَالِقَ لَا الْمَخْلُوقَ فَيُصَيِّرُ لَكَ مَكَانَ الْغِيبَةِ عِبْرَةً وَ مَكَانَ الْإِثْمِ ثَوَاباً</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 xml:space="preserve">منشأ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دواعي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 نوع متنوّع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تسكين عصبانيت، كمك به گروهي، تهمت، راست پنداشتن خبري بدون بررسي آن، بدگماني، حسد، تمسخر، تعجّب، تبرّم</w:t>
      </w:r>
      <w:r>
        <w:rPr>
          <w:rStyle w:val="FootnoteAnchor"/>
          <w:rtl w:val="true"/>
        </w:rPr>
        <w:footnoteReference w:id="1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غصه خوردن براي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تزيّن</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 xml:space="preserve">اين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دواعي مهمّي است كه بسياري مبتلاي به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مواقعي لازم است كه مطالبي درباره‌ي بعضي گفته شود تا مردم از جهالت نجات يابند، ولي شخص بايد بداند براي چه مي‌گويد، آيا براي تزكيه‌ي نفس مي‌گويد، كه قبيح است، يا براي مصلحتي مي‌گويد، كه راجح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عين حال در برخي موارد، جايز و بلكه راجح است كه شخص از خود به اندازه‌ي نياز و بدون ارتكاب خلاف واقع، تعريف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ببينيد يوسف 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عزيز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اجْعَلْني عَلى خَزائِنِ الْأَرْضِ إِنِّي حَفيظٌ عَليم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بر خزانه‌هاى اين سرزمين بگمار كه من نگهبانى دانا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مانعي ندارد اگر جايي لازم شد، انسان توانايي‌هاي خود را بيان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بعض فقهاي عظام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مثلاً قدرت بر قضاوت داشته باشد و نظام اسلامي هم احتياج به قاضي داشت، نه تنها جايز يا راجح است، بلكه بر اين شخص واجب است خود را معرفي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مجتهدم و ـ با گردن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فكر مي‌كنم عادل هم هستم، مي‌توانيد از من براي قضاوت استفاده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نبايد حرص و ولع داشته باشد و هر زمان تكرار كند، بلكه تنها به اندازه‌ي انجام تكليف مي‌تواند بگويد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bookmarkStart w:id="236" w:name="pg2359_23320"/>
    </w:p>
    <w:p>
      <w:pPr>
        <w:pStyle w:val="BookText"/>
        <w:rPr/>
      </w:pPr>
      <w:bookmarkEnd w:id="236"/>
      <w:r>
        <w:rPr>
          <w:rFonts w:ascii="IRNazanin" w:hAnsi="IRNazanin" w:eastAsia="IRNazanin"/>
          <w:color w:val="111111"/>
          <w:sz w:val="28"/>
          <w:sz w:val="28"/>
          <w:szCs w:val="28"/>
          <w:rtl w:val="true"/>
          <w:lang w:bidi="fa-IR"/>
        </w:rPr>
        <w:t xml:space="preserve">اگر مي‌خواهي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آفات رهزن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بماني به ذكر خداوند بپرداز و خداوند را ياد كن نه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اگر ياد خداوند باشي نه 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 غيبت، پند نصيبت مي‌شود و به جاي گناه، ثواب</w:t>
      </w:r>
      <w:r>
        <w:rPr>
          <w:rFonts w:eastAsia="IRNazanin" w:cs="IRNazanin"/>
          <w:color w:val="111111"/>
          <w:sz w:val="28"/>
          <w:szCs w:val="28"/>
          <w:rtl w:val="true"/>
          <w:lang w:bidi="fa-IR"/>
        </w:rPr>
        <w:t>.</w:t>
      </w:r>
    </w:p>
    <w:p>
      <w:pPr>
        <w:pStyle w:val="Heading4"/>
        <w:numPr>
          <w:ilvl w:val="3"/>
          <w:numId w:val="1"/>
        </w:numPr>
        <w:rPr/>
      </w:pPr>
      <w:bookmarkStart w:id="237" w:name="__RefHeading___Toc2770357_3804643083"/>
      <w:bookmarkStart w:id="238" w:name="_Toc89"/>
      <w:bookmarkEnd w:id="237"/>
      <w:r>
        <w:rPr>
          <w:rtl w:val="true"/>
        </w:rPr>
        <w:t>بررسي اعتبار كتاب مصباح الشريعة</w:t>
      </w:r>
      <w:bookmarkEnd w:id="238"/>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عدّه‌اي اين كتاب را به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داده‌اند، ولي با توجّه به سبك و سياق اين روايات و روش اهل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است كه</w:t>
      </w:r>
    </w:p>
    <w:p>
      <w:pPr>
        <w:pStyle w:val="BookText"/>
        <w:rPr/>
      </w:pPr>
      <w:r>
        <w:rPr>
          <w:rFonts w:ascii="IRNazanin" w:hAnsi="IRNazanin" w:eastAsia="IRNazanin"/>
          <w:color w:val="111111"/>
          <w:sz w:val="28"/>
          <w:sz w:val="28"/>
          <w:szCs w:val="28"/>
          <w:rtl w:val="true"/>
          <w:lang w:bidi="fa-IR"/>
        </w:rPr>
        <w:t xml:space="preserve">تمامي مطالب اين كتاب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ممكن است برخي مطالب آن از حضرت باشد، ولي تقريباً اطمينان است كه تمامي كتاب از قلم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بيان مستقيم ايشان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كسي رواياتي را كه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اختيارش بوده يا خودش از حضرت شنيده جمع كرده، سپس با دسته‌بندي روايات نظمي به آن داده است، توضيحي هم در بعضي مواقع كه لازم مي‌ديده به آن افزوده است و اسم اين كتاب را مصباح الشريعة گذاشته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مطالب جالب، نفيس و خوبي در آن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حتّي جناب سيد بن طاوس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الامان خود، به كساني كه قصد مسافرت دارند توصيه مي‌فرمايد يكي از كتبي كه همراه خود داشته باشند اين كتاب باشد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يصحب معه كتاب مصباح الشريعة و مفتاح الحقيقة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كتاب لطيف شريف في التعريف بالتسليك إلى الله جل جلاله و الإقبال عليه و الظفر بالأسرار التي اشتملت عليه</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علّامه‌ي 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يكي از تحقيقات خود درباره‌ي اين كتاب مي‌فرمايد</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كتاب مصباح الشريعة فيه بعض ما يريب اللبيب الماهر و أسلوبه لا يشبه سائر كلمات الأئمة و آثارهم و روى الشيخ في مجالسه بعض أخباره هكذا أخبرنا جماعة عن أبي المفضل الشيباني بإسناده عن شقيق</w:t>
      </w:r>
    </w:p>
    <w:p>
      <w:pPr>
        <w:pStyle w:val="BookText"/>
        <w:rPr/>
      </w:pPr>
      <w:r>
        <w:rPr>
          <w:rFonts w:ascii="Amiri" w:hAnsi="Amiri" w:eastAsia="Amiri" w:cs="Amiri"/>
          <w:color w:val="111111"/>
          <w:sz w:val="28"/>
          <w:sz w:val="28"/>
          <w:szCs w:val="28"/>
          <w:rtl w:val="true"/>
          <w:lang w:bidi="ar-SA"/>
        </w:rPr>
        <w:t>البلخي عمّن أخبره من أهل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يدل على أنه كان عند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عصره و كان يأخذ منه و لكنه لا يثق به كل الوثوق و لم يثبت عنده كونه مرويا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سنده ينتهي إلى الصوفية و لذا اشتمل على كثير من اصطلاحاتهم و على الرواية عن مشايخهم و من يعتمدون عليه في رواياتهم و الله يعلم</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در كتاب مصباح الشريعة بعضي چيزهايي است كه لبيب ماهر را به شك مي‌اندازد و اسلوب اين كتاب، شيبه ساير كلمات و آثار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در كتاب مجالس خود بعضي از اخبار اين كتاب را اين‌گونه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جماعتي خبر دادند به ما از ابي المفضل الشيباني با اسنادش از شقيق البلخي از كسي كه خبر داد به او از اهل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مي‌كند كه اين كتاب در عصر شيخ و در اختيار او بوده و از آن اخذ روايت مي‌كرده است، ولي اعتماد كاملي به آن نداشته و براي ايشان ثابت نبوده كه اين كتاب مرويّ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سند اين كتاب به صوفيه منتهي مي‌شود و مشتمل بر بسياري از اصطلاحات صوفيه و نقل مطالب مشايخ آن‌ها و كساني كه اعتماد به روايات آنان دارند هست و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حقايق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 روايي مرحوم علامه‌ي مجلسي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عادي نبود، بلكه با</w:t>
      </w:r>
    </w:p>
    <w:p>
      <w:pPr>
        <w:pStyle w:val="BookText"/>
        <w:rPr/>
      </w:pPr>
      <w:r>
        <w:rPr>
          <w:rFonts w:ascii="IRNazanin" w:hAnsi="IRNazanin" w:eastAsia="IRNazanin"/>
          <w:color w:val="111111"/>
          <w:sz w:val="28"/>
          <w:sz w:val="28"/>
          <w:szCs w:val="28"/>
          <w:rtl w:val="true"/>
          <w:lang w:bidi="fa-IR"/>
        </w:rPr>
        <w:t>احاطه‌اي كه به اخبار داشته و شب و روز با روايات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كار داشته، آن‌هم با عمق و دقّت، سنداً و متناً و روحش آغشته به روايات بوده، آسان نيست كه بتوانيم از نظر دقيق ايشان بدون توجّه بگذريم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علامه‌ي مجلسي درباره‌ي ذيل دعاي عرفه</w:t>
      </w:r>
    </w:p>
    <w:p>
      <w:pPr>
        <w:pStyle w:val="BookText"/>
        <w:rPr/>
      </w:pPr>
      <w:r>
        <w:rPr>
          <w:rFonts w:ascii="Amiri" w:hAnsi="Amiri" w:eastAsia="Amiri" w:cs="Amiri"/>
          <w:color w:val="111111"/>
          <w:sz w:val="28"/>
          <w:sz w:val="28"/>
          <w:szCs w:val="28"/>
          <w:rtl w:val="true"/>
          <w:lang w:bidi="ar-SA"/>
        </w:rPr>
        <w:t>از جمله تذكّرات مرحوم مجلسي، تذكّر ايشان نسبت به ذيل دعاي عرفه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از نسخ، براي دعاي عرفه ذيلي با اين عبارات نقل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إِلَهِي أَنَا الْفَقِيرُ فِي غِنَايَ فَكَيْفَ لَا أَكُونُ فَقِيراً فِي فَقْرِي إِلَهِي أَنَا الْجَاهِلُ فِي عِلْمِي فَكَيْفَ لَا أَكُونُ جَهُولًا فِي جَهْلِي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يُسْتَدَلُّ عَلَيْكَ بِمَا هُوَ فِي وُجُودِهِ مُفْتَقِرٌ إِلَيْكَ أَ يَكُونُ لِغَيْرِكَ مِنَ الظُّهُورِ مَا لَيْسَ لَكَ حَتَّى يَكُونَ هُوَ الْمُظْهِرَ لَكَ مَتَى غِبْتَ حَتَّى تَحْتَاجَ إِلَى دَلِيلٍ يَدُلُّ عَلَيْكَ وَ مَتَى بَعُدْتَ حَتَّى تَكُونَ الْآثَارُ هِيَ الَّتِي تُوصِلُ إِلَيْكَ عَمِيَتْ عَيْنٌ لَا تَرَاكَ عَلَيْهَا رَقِيباً وَ خَسِرَتْ صَفْقَةُ عَبْدٍ لَمْ تَجْعَلْ لَهُ مِنْ حُبِّكَ نَصِيباً</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علامه‌ي مجلسي پيرامون اين ذيل مي‌فرمايد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قد أورد الكفعمي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هذا الدعاء في البلد الأمين و ابن طاوس في مصباح الزائر كما سبق ذكرهما و لكن ليس في آخره فيهما بقدر ورق تقريبا و هو من</w:t>
      </w:r>
    </w:p>
    <w:p>
      <w:pPr>
        <w:pStyle w:val="BookText"/>
        <w:rPr/>
      </w:pPr>
      <w:r>
        <w:rPr>
          <w:rFonts w:ascii="Amiri" w:hAnsi="Amiri" w:eastAsia="Amiri" w:cs="Amiri"/>
          <w:color w:val="111111"/>
          <w:sz w:val="28"/>
          <w:sz w:val="28"/>
          <w:szCs w:val="28"/>
          <w:rtl w:val="true"/>
          <w:lang w:bidi="ar-SA"/>
        </w:rPr>
        <w:t>قوله إلهي أنا الفقير في غناي إلى آخر هذا الدعاء و كذا لم يوجد هذه الورقة في بعض النسخ العتيقة من الإقبال أيضا و عبارات هذه الورقة لا تلائم سياق أدعية السادة المعصومين أيضا و إنما هي على وفق مذاق الصوفية و لذلك قد مال بعض الأفاضل إلى كون هذه الورقة من مزيدات بعض مشايخ الصوفية و من إلحاقاته و إدخالاته و بالجملة هذه الزيادة إما وقعت من بعضهم أولا في بعض الكتب و أخذ ابن طاوس عنه في الإقبال غفلة عن حقيقة الحال أو وقعت ثانيا من بعضهم في نفس كتاب الإقبال و لعل الثاني أظهر على ما أومأنا إليه من عدم وجدانها في بعض النسخ العتيقة و في مصباح الزائر و الله أعلم بحقائق الأحوال</w:t>
      </w:r>
      <w:r>
        <w:rPr>
          <w:rStyle w:val="FootnoteAnchor"/>
          <w:rtl w:val="true"/>
        </w:rPr>
        <w:footnoteReference w:id="166"/>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در كتاب البلد الامين آورده است و ابن طاوس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كتاب مصباح الزائر ـ همان‌طور كه ذكرشان گذشت ـ ولي در آخر اين دو كتاب تقريباً به مقدار يك صفحه از اين دعا نيست و آن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أنا الفقير في غناي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اين مقدار از دعا در بعضي نسخ قديمي اقبال يافت نشد و همچنين عبارات اين صفحه ملايمتي با سياق ادعيه‌ي</w:t>
      </w:r>
    </w:p>
    <w:p>
      <w:pPr>
        <w:pStyle w:val="BookText"/>
        <w:rPr/>
      </w:pPr>
      <w:r>
        <w:rPr>
          <w:rFonts w:ascii="IRNazanin" w:hAnsi="IRNazanin" w:eastAsia="IRNazanin"/>
          <w:color w:val="111111"/>
          <w:sz w:val="28"/>
          <w:sz w:val="28"/>
          <w:szCs w:val="28"/>
          <w:rtl w:val="true"/>
          <w:lang w:bidi="fa-IR"/>
        </w:rPr>
        <w:t>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و تنها موافق ذوق صوفيه است و لذا نظر بعضي از افاضل، مايل به اين است كه اين مقدار از دعا جزءِ چيزهايي است كه بزرگان صوفيه افزوده و به دعا الحاق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اين‌كه اين مقدار زائد، يا از اوّل توسط صوفيه در بعضي كتب واقع شده و جناب ابن طاوس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اوّليه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اقبال گرفته است در حالي‌كه به حقيقت حال غفلت داشته، يا اين‌كه بعض صوفيه در خودِ كتاب اقبال اضافه كرده‌اند و شايد وجه دوم اظهر باشد، با عنايت به توجّهي كه داديم مبني بر اين‌كه ما اين مطالب را در بعضي نسخ قديمي اقبال نيافتيم و همچنين در مصباح الزائر، و خداوند به حقايق احوال داناتر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معاصرين هم، آقا سيد محمّد حسين تهراني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انصافاً مردي متتبّع و دقيق و از قضا علاقمند به اين قبيل حرف‌هاي عارفانه بود</w:t>
      </w:r>
      <w:r>
        <w:rPr>
          <w:rStyle w:val="FootnoteAnchor"/>
          <w:rtl w:val="true"/>
        </w:rPr>
        <w:footnoteReference w:id="167"/>
      </w:r>
      <w:r>
        <w:rPr>
          <w:rFonts w:ascii="IRNazanin" w:hAnsi="IRNazanin" w:eastAsia="IRNazanin"/>
          <w:color w:val="111111"/>
          <w:sz w:val="28"/>
          <w:sz w:val="28"/>
          <w:szCs w:val="28"/>
          <w:rtl w:val="true"/>
          <w:lang w:bidi="fa-IR"/>
        </w:rPr>
        <w:t>و اين رقم مطالب را تحسين مي‌كرد، با تحقيق يافته كه اصل اين اضافات از كجاست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 مدّت‌ها پيش ديدم كه ايشان در جايي نوشته بود اين عبارات از يك عارف مصري است و كسي از آن خوشش آمده و آن را در حاشيه‌ي اقبال مي‌نويسد، بعد مستنسخ يا خوشش آمده و يا فكر كرده كه اين هم جزء متن است و آن را به متن اضافه كرده است</w:t>
      </w:r>
      <w:r>
        <w:rPr>
          <w:rFonts w:eastAsia="IRNazanin" w:cs="IRNazanin"/>
          <w:color w:val="111111"/>
          <w:sz w:val="28"/>
          <w:szCs w:val="28"/>
          <w:rtl w:val="true"/>
          <w:lang w:bidi="fa-IR"/>
        </w:rPr>
        <w:t>.</w:t>
      </w:r>
      <w:bookmarkStart w:id="239" w:name="pg2359_23326"/>
    </w:p>
    <w:p>
      <w:pPr>
        <w:pStyle w:val="BookText"/>
        <w:rPr/>
      </w:pPr>
      <w:bookmarkEnd w:id="239"/>
      <w:r>
        <w:rPr>
          <w:rFonts w:ascii="IRNazanin" w:hAnsi="IRNazanin" w:eastAsia="IRNazanin"/>
          <w:color w:val="111111"/>
          <w:sz w:val="28"/>
          <w:sz w:val="28"/>
          <w:szCs w:val="28"/>
          <w:rtl w:val="true"/>
          <w:lang w:bidi="fa-IR"/>
        </w:rPr>
        <w:t>البته اين عبارات زيباست و شايد مأخوذ از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ولي زيبايي و احتمال أخذ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نمي‌شود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مطالب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ايشان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 هر حال با توجّه به توضيحاتي كه بيان شد، نمي‌توانيم روايت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الشريعة را به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دهيم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سيّد بن طاوس هم به ضرس قاطع به امام نسبت نمي‌دهد بلكه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كه بيش از منقول بودن از حضرت را افاده نمي‌كند</w:t>
      </w:r>
      <w:r>
        <w:rPr>
          <w:rFonts w:eastAsia="Amiri" w:cs="Amiri" w:ascii="Amiri" w:hAnsi="Amiri"/>
          <w:color w:val="111111"/>
          <w:sz w:val="28"/>
          <w:szCs w:val="28"/>
          <w:rtl w:val="true"/>
          <w:lang w:bidi="ar-SA"/>
        </w:rPr>
        <w:t>.</w:t>
      </w:r>
    </w:p>
    <w:p>
      <w:pPr>
        <w:pStyle w:val="Heading4"/>
        <w:numPr>
          <w:ilvl w:val="3"/>
          <w:numId w:val="1"/>
        </w:numPr>
        <w:rPr/>
      </w:pPr>
      <w:bookmarkStart w:id="240" w:name="__RefHeading___Toc2770359_3804643083"/>
      <w:bookmarkStart w:id="241" w:name="_Toc90"/>
      <w:bookmarkEnd w:id="240"/>
      <w:r>
        <w:rPr>
          <w:rtl w:val="true"/>
        </w:rPr>
        <w:t>توضيحات شهيد ثاني</w:t>
      </w:r>
      <w:r>
        <w:rPr>
          <w:rtl w:val="true"/>
        </w:rPr>
        <w:t xml:space="preserve">- </w:t>
      </w:r>
      <w:r>
        <w:rPr>
          <w:rtl w:val="true"/>
        </w:rPr>
        <w:t xml:space="preserve">قدس سره </w:t>
      </w:r>
      <w:r>
        <w:rPr>
          <w:rtl w:val="true"/>
        </w:rPr>
        <w:t xml:space="preserve">- </w:t>
      </w:r>
      <w:r>
        <w:rPr>
          <w:rtl w:val="true"/>
        </w:rPr>
        <w:t>درباره‌ي دواعي غيبت</w:t>
      </w:r>
      <w:bookmarkEnd w:id="241"/>
    </w:p>
    <w:p>
      <w:pPr>
        <w:pStyle w:val="Heading5"/>
        <w:numPr>
          <w:ilvl w:val="4"/>
          <w:numId w:val="1"/>
        </w:numPr>
        <w:rPr/>
      </w:pPr>
      <w:bookmarkStart w:id="242" w:name="__RefHeading___Toc2770361_3804643083"/>
      <w:bookmarkStart w:id="243" w:name="_Toc91"/>
      <w:bookmarkEnd w:id="242"/>
      <w:r>
        <w:rPr>
          <w:rtl w:val="true"/>
        </w:rPr>
        <w:t>اشاره</w:t>
      </w:r>
      <w:bookmarkEnd w:id="243"/>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اين‌كه مراد از اين دواعي چيست، جناب شهيد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كشف الريبة</w:t>
      </w:r>
      <w:r>
        <w:rPr>
          <w:rStyle w:val="FootnoteAnchor"/>
          <w:rtl w:val="true"/>
        </w:rPr>
        <w:footnoteReference w:id="168"/>
      </w:r>
      <w:r>
        <w:rPr>
          <w:rFonts w:ascii="IRNazanin" w:hAnsi="IRNazanin" w:eastAsia="IRNazanin"/>
          <w:color w:val="111111"/>
          <w:sz w:val="28"/>
          <w:sz w:val="28"/>
          <w:szCs w:val="28"/>
          <w:rtl w:val="true"/>
          <w:lang w:bidi="fa-IR"/>
        </w:rPr>
        <w:t>با پرداختن به توضيح هر يك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نشير إليها مفصلةً</w:t>
      </w:r>
      <w:r>
        <w:rPr>
          <w:rFonts w:eastAsia="IRNazanin" w:cs="IRNazanin"/>
          <w:color w:val="111111"/>
          <w:sz w:val="28"/>
          <w:szCs w:val="28"/>
          <w:rtl w:val="true"/>
          <w:lang w:bidi="fa-IR"/>
        </w:rPr>
        <w:t>»</w:t>
      </w:r>
      <w:r>
        <w:rPr>
          <w:rStyle w:val="FootnoteAnchor"/>
          <w:rtl w:val="true"/>
        </w:rPr>
        <w:footnoteReference w:id="169"/>
      </w:r>
      <w:r>
        <w:rPr>
          <w:rFonts w:ascii="IRNazanin" w:hAnsi="IRNazanin" w:eastAsia="IRNazanin"/>
          <w:color w:val="111111"/>
          <w:sz w:val="28"/>
          <w:sz w:val="28"/>
          <w:szCs w:val="28"/>
          <w:rtl w:val="true"/>
          <w:lang w:bidi="fa-IR"/>
        </w:rPr>
        <w:t>ما به اين موارد ده‌گانه به صورت مفصّل اشاره مي‌كنيم</w:t>
      </w:r>
      <w:r>
        <w:rPr>
          <w:rFonts w:eastAsia="IRNazanin" w:cs="IRNazanin"/>
          <w:color w:val="111111"/>
          <w:sz w:val="28"/>
          <w:szCs w:val="28"/>
          <w:rtl w:val="true"/>
          <w:lang w:bidi="fa-IR"/>
        </w:rPr>
        <w:t>:</w:t>
      </w:r>
      <w:bookmarkStart w:id="244" w:name="pg2359_23327"/>
    </w:p>
    <w:p>
      <w:pPr>
        <w:pStyle w:val="Heading5"/>
        <w:numPr>
          <w:ilvl w:val="4"/>
          <w:numId w:val="1"/>
        </w:numPr>
        <w:rPr/>
      </w:pPr>
      <w:bookmarkStart w:id="245" w:name="__RefHeading___Toc2770363_3804643083"/>
      <w:bookmarkStart w:id="246" w:name="_Toc92"/>
      <w:bookmarkEnd w:id="244"/>
      <w:bookmarkEnd w:id="245"/>
      <w:r>
        <w:rPr/>
        <w:t>1</w:t>
      </w:r>
      <w:r>
        <w:rPr>
          <w:rtl w:val="true"/>
        </w:rPr>
        <w:t xml:space="preserve">. </w:t>
      </w:r>
      <w:r>
        <w:rPr>
          <w:rtl w:val="true"/>
        </w:rPr>
        <w:t xml:space="preserve">تشفّي الغيظ </w:t>
      </w:r>
      <w:r>
        <w:rPr>
          <w:rtl w:val="true"/>
        </w:rPr>
        <w:t>(</w:t>
      </w:r>
      <w:r>
        <w:rPr>
          <w:rtl w:val="true"/>
        </w:rPr>
        <w:t>تسكين عصبانيّت</w:t>
      </w:r>
      <w:r>
        <w:rPr>
          <w:rtl w:val="true"/>
        </w:rPr>
        <w:t>)</w:t>
      </w:r>
      <w:bookmarkEnd w:id="246"/>
    </w:p>
    <w:p>
      <w:pPr>
        <w:pStyle w:val="BookText"/>
        <w:rPr/>
      </w:pPr>
      <w:r>
        <w:rPr>
          <w:rFonts w:ascii="Amiri" w:hAnsi="Amiri" w:eastAsia="Amiri" w:cs="Amiri"/>
          <w:color w:val="111111"/>
          <w:sz w:val="28"/>
          <w:sz w:val="28"/>
          <w:szCs w:val="28"/>
          <w:rtl w:val="true"/>
          <w:lang w:bidi="ar-SA"/>
        </w:rPr>
        <w:t>الاوّل تشفّي الغيظ و ذلك إذا جرى سبب غضب به</w:t>
      </w:r>
      <w:r>
        <w:rPr>
          <w:rStyle w:val="FootnoteAnchor"/>
          <w:rtl w:val="true"/>
        </w:rPr>
        <w:footnoteReference w:id="170"/>
      </w:r>
      <w:r>
        <w:rPr>
          <w:rFonts w:ascii="Amiri" w:hAnsi="Amiri" w:eastAsia="Amiri" w:cs="Amiri"/>
          <w:color w:val="111111"/>
          <w:sz w:val="28"/>
          <w:sz w:val="28"/>
          <w:szCs w:val="28"/>
          <w:rtl w:val="true"/>
          <w:lang w:bidi="ar-SA"/>
        </w:rPr>
        <w:t>عليه، فإذا هاج غضبه يشفي بذكر مساويه؛</w:t>
      </w:r>
    </w:p>
    <w:p>
      <w:pPr>
        <w:pStyle w:val="BookText"/>
        <w:rPr/>
      </w:pPr>
      <w:r>
        <w:rPr>
          <w:rFonts w:ascii="IRNazanin" w:hAnsi="IRNazanin" w:eastAsia="IRNazanin"/>
          <w:color w:val="111111"/>
          <w:sz w:val="28"/>
          <w:sz w:val="28"/>
          <w:szCs w:val="28"/>
          <w:rtl w:val="true"/>
          <w:lang w:bidi="fa-IR"/>
        </w:rPr>
        <w:t xml:space="preserve">اوّلين مورد، تشفّي غيظ است و آن، زماني است كه به دليلي فرد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كند، پس وقتي غضب او اوج مي‌گيرد، با ذكر بدي‌هاي كسي كه عليه او غضب كرده است تشفّي مي‌يابد</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2770365_3804643083"/>
      <w:bookmarkStart w:id="248" w:name="_Toc93"/>
      <w:bookmarkEnd w:id="247"/>
      <w:r>
        <w:rPr/>
        <w:t>2</w:t>
      </w:r>
      <w:r>
        <w:rPr>
          <w:rtl w:val="true"/>
        </w:rPr>
        <w:t xml:space="preserve">. </w:t>
      </w:r>
      <w:r>
        <w:rPr>
          <w:rtl w:val="true"/>
        </w:rPr>
        <w:t xml:space="preserve">مساعدة قوم </w:t>
      </w:r>
      <w:r>
        <w:rPr>
          <w:rtl w:val="true"/>
        </w:rPr>
        <w:t>(</w:t>
      </w:r>
      <w:r>
        <w:rPr>
          <w:rtl w:val="true"/>
        </w:rPr>
        <w:t>همراهي با ديگران</w:t>
      </w:r>
      <w:r>
        <w:rPr>
          <w:rtl w:val="true"/>
        </w:rPr>
        <w:t>)</w:t>
      </w:r>
      <w:bookmarkEnd w:id="248"/>
    </w:p>
    <w:p>
      <w:pPr>
        <w:pStyle w:val="BookText"/>
        <w:rPr/>
      </w:pPr>
      <w:r>
        <w:rPr>
          <w:rFonts w:ascii="Amiri" w:hAnsi="Amiri" w:eastAsia="Amiri" w:cs="Amiri"/>
          <w:color w:val="111111"/>
          <w:sz w:val="28"/>
          <w:sz w:val="28"/>
          <w:szCs w:val="28"/>
          <w:rtl w:val="true"/>
          <w:lang w:bidi="ar-SA"/>
        </w:rPr>
        <w:t>الثاني موافقة الأقران و مجاملة الرفقاء و مساعدتهم على الكلام فإنهم إذا كانوا يتفكهون بذكر الأعراض فيرى أنه لو أنكر أو قطع المجلس استثقلوه و نفروا عنه فيساعدهم و يرى ذلك من حسن المعاشرة</w:t>
      </w:r>
      <w:r>
        <w:rPr>
          <w:rFonts w:eastAsia="Amiri" w:cs="Amiri" w:ascii="Amiri" w:hAnsi="Amiri"/>
          <w:color w:val="111111"/>
          <w:sz w:val="28"/>
          <w:szCs w:val="28"/>
          <w:rtl w:val="true"/>
          <w:lang w:bidi="ar-SA"/>
        </w:rPr>
        <w:t>...</w:t>
      </w:r>
      <w:r>
        <w:rPr>
          <w:rStyle w:val="FootnoteAnchor"/>
          <w:rtl w:val="true"/>
        </w:rPr>
        <w:footnoteReference w:id="172"/>
      </w:r>
      <w:r>
        <w:rPr>
          <w:rFonts w:ascii="IRNazanin" w:hAnsi="IRNazanin" w:eastAsia="IRNazanin"/>
          <w:color w:val="111111"/>
          <w:sz w:val="28"/>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همراهي همگنان و تسامح به نيكي با دوستان و همنوايي با سخنان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آن‌ها مشغول غيبت</w:t>
      </w:r>
      <w:bookmarkStart w:id="249" w:name="pg2359_23328"/>
    </w:p>
    <w:p>
      <w:pPr>
        <w:pStyle w:val="BookText"/>
        <w:rPr/>
      </w:pPr>
      <w:bookmarkEnd w:id="249"/>
      <w:r>
        <w:rPr>
          <w:rFonts w:ascii="IRNazanin" w:hAnsi="IRNazanin" w:eastAsia="IRNazanin"/>
          <w:color w:val="111111"/>
          <w:sz w:val="28"/>
          <w:sz w:val="28"/>
          <w:szCs w:val="28"/>
          <w:rtl w:val="true"/>
          <w:lang w:bidi="fa-IR"/>
        </w:rPr>
        <w:t>باشند اين شخص مي‌بيند كه در صورت انكارشان يا پايان دادن به مجلس غيبت، حضورش در مجلس را سنگين شمرده و او را از خود دفع مي‌كنند، پس با آنان همراهي مي‌كند و اين همراهي در غيبت را حُسن معاشرت به حساب مي‌آورد</w:t>
      </w:r>
      <w:r>
        <w:rPr>
          <w:rFonts w:eastAsia="IRNazanin" w:cs="IRNazanin"/>
          <w:color w:val="111111"/>
          <w:sz w:val="28"/>
          <w:szCs w:val="28"/>
          <w:rtl w:val="true"/>
          <w:lang w:bidi="fa-IR"/>
        </w:rPr>
        <w:t>.</w:t>
      </w:r>
    </w:p>
    <w:p>
      <w:pPr>
        <w:pStyle w:val="Heading5"/>
        <w:numPr>
          <w:ilvl w:val="4"/>
          <w:numId w:val="1"/>
        </w:numPr>
        <w:rPr/>
      </w:pPr>
      <w:bookmarkStart w:id="250" w:name="__RefHeading___Toc2770367_3804643083"/>
      <w:bookmarkStart w:id="251" w:name="_Toc94"/>
      <w:bookmarkEnd w:id="250"/>
      <w:r>
        <w:rPr/>
        <w:t>3</w:t>
      </w:r>
      <w:r>
        <w:rPr>
          <w:rtl w:val="true"/>
        </w:rPr>
        <w:t xml:space="preserve">. </w:t>
      </w:r>
      <w:r>
        <w:rPr>
          <w:rtl w:val="true"/>
        </w:rPr>
        <w:t xml:space="preserve">اسقاط اثر الشهادة عليه </w:t>
      </w:r>
      <w:r>
        <w:rPr>
          <w:rtl w:val="true"/>
        </w:rPr>
        <w:t>(</w:t>
      </w:r>
      <w:r>
        <w:rPr>
          <w:rtl w:val="true"/>
        </w:rPr>
        <w:t>پيشگيري از قبول شهادت ديگري</w:t>
      </w:r>
      <w:r>
        <w:rPr>
          <w:rtl w:val="true"/>
        </w:rPr>
        <w:t>)</w:t>
      </w:r>
      <w:bookmarkEnd w:id="251"/>
    </w:p>
    <w:p>
      <w:pPr>
        <w:pStyle w:val="BookText"/>
        <w:rPr/>
      </w:pPr>
      <w:r>
        <w:rPr>
          <w:rFonts w:ascii="Amiri" w:hAnsi="Amiri" w:eastAsia="Amiri" w:cs="Amiri"/>
          <w:color w:val="111111"/>
          <w:sz w:val="28"/>
          <w:sz w:val="28"/>
          <w:szCs w:val="28"/>
          <w:rtl w:val="true"/>
          <w:lang w:bidi="ar-SA"/>
        </w:rPr>
        <w:t>الثالث أن يستشعر من إنسان أنه سيقصده و يطول لسانه فيه أو يقبح حاله عند محتشم أو يشهد عليه بشهادة فيبادر قبل ذلك و يطعن فيه ليسقط أثر شهادته و فعله أو يبتدئ بذكر ما فيه صادقاً ليكذب عليه بعده؛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اين است كه كسي احساس مي‌كند ديگري بناست درباره‌ي او حرف بزند؛ مثلاً شهادتي عليه او بدهد يا حطّ شأن او كند، براي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حرفش را از بين ببرد خودش قبل از او شروع كرده و مورد طعن قرارش مي‌دهد تا حرف بعدي او بي‌اثر شود يا چيزهاي صدقي درباره‌ي او مي‌گويد تا بعد بتواند در مورد او دروغ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دروغي كه مي گويد مورد پذيرش قرار گيرد</w:t>
      </w:r>
      <w:r>
        <w:rPr>
          <w:rFonts w:eastAsia="IRNazanin" w:cs="IRNazanin"/>
          <w:color w:val="111111"/>
          <w:sz w:val="28"/>
          <w:szCs w:val="28"/>
          <w:rtl w:val="true"/>
          <w:lang w:bidi="fa-IR"/>
        </w:rPr>
        <w:t>).</w:t>
      </w:r>
      <w:bookmarkStart w:id="252" w:name="pg2359_23329"/>
    </w:p>
    <w:p>
      <w:pPr>
        <w:pStyle w:val="Heading5"/>
        <w:numPr>
          <w:ilvl w:val="4"/>
          <w:numId w:val="1"/>
        </w:numPr>
        <w:rPr/>
      </w:pPr>
      <w:bookmarkStart w:id="253" w:name="__RefHeading___Toc2770369_3804643083"/>
      <w:bookmarkStart w:id="254" w:name="_Toc95"/>
      <w:bookmarkEnd w:id="252"/>
      <w:bookmarkEnd w:id="253"/>
      <w:r>
        <w:rPr/>
        <w:t>4</w:t>
      </w:r>
      <w:r>
        <w:rPr>
          <w:rtl w:val="true"/>
        </w:rPr>
        <w:t xml:space="preserve">. </w:t>
      </w:r>
      <w:r>
        <w:rPr>
          <w:rtl w:val="true"/>
        </w:rPr>
        <w:t xml:space="preserve">تبرئة النفس </w:t>
      </w:r>
      <w:r>
        <w:rPr>
          <w:rtl w:val="true"/>
        </w:rPr>
        <w:t>(</w:t>
      </w:r>
      <w:r>
        <w:rPr>
          <w:rtl w:val="true"/>
        </w:rPr>
        <w:t>تبرئه‌ي خود با اتّهام به ديگري</w:t>
      </w:r>
      <w:r>
        <w:rPr>
          <w:rtl w:val="true"/>
        </w:rPr>
        <w:t>)</w:t>
      </w:r>
      <w:bookmarkEnd w:id="254"/>
    </w:p>
    <w:p>
      <w:pPr>
        <w:pStyle w:val="BookText"/>
        <w:rPr/>
      </w:pPr>
      <w:r>
        <w:rPr>
          <w:rFonts w:ascii="Amiri" w:hAnsi="Amiri" w:eastAsia="Amiri" w:cs="Amiri"/>
          <w:color w:val="111111"/>
          <w:sz w:val="28"/>
          <w:sz w:val="28"/>
          <w:szCs w:val="28"/>
          <w:rtl w:val="true"/>
          <w:lang w:bidi="ar-SA"/>
        </w:rPr>
        <w:t>الرابع أن ينسب إليه شي‌ء فيريد أن يتبرأ منه فيذكر الذي فعله و كان من حقّه أن يتبرأ نفسه و لا يذكر الذي فعله و لا ينسب غيره إليه أو يذكر غيره بأنه كان مشاركا له في الفعل ليمهد بذلك عذر نفسه في فعله؛</w:t>
      </w:r>
    </w:p>
    <w:p>
      <w:pPr>
        <w:pStyle w:val="BookText"/>
        <w:rPr/>
      </w:pPr>
      <w:r>
        <w:rPr>
          <w:rFonts w:ascii="IRNazanin" w:hAnsi="IRNazanin" w:eastAsia="IRNazanin"/>
          <w:color w:val="111111"/>
          <w:sz w:val="28"/>
          <w:sz w:val="28"/>
          <w:szCs w:val="28"/>
          <w:rtl w:val="true"/>
          <w:lang w:bidi="fa-IR"/>
        </w:rPr>
        <w:t>چهارم اين‌كه چيزي به فردي نسبت داده مي‌شود و او بخواهد خود را تبرئه كند؛ پس كسي را كه آن عمل را انجام داده ذكر مي‌كند، در حالي‌كه حق آن بود خودش را تبرئه مي‌كرد و حرفي از كسي كه آن كار را انجام داده نمي‌زد و آن عمل را به غير خودش نسبت نمي‌داد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فرد براى تخفيف جرم و عذرتراشى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نبودم فلاني هم بود</w:t>
      </w:r>
      <w:r>
        <w:rPr>
          <w:rFonts w:eastAsia="IRNazanin" w:cs="IRNazanin"/>
          <w:color w:val="111111"/>
          <w:sz w:val="28"/>
          <w:szCs w:val="28"/>
          <w:rtl w:val="true"/>
          <w:lang w:bidi="fa-IR"/>
        </w:rPr>
        <w:t>.</w:t>
      </w:r>
    </w:p>
    <w:p>
      <w:pPr>
        <w:pStyle w:val="Heading5"/>
        <w:numPr>
          <w:ilvl w:val="4"/>
          <w:numId w:val="1"/>
        </w:numPr>
        <w:rPr/>
      </w:pPr>
      <w:bookmarkStart w:id="255" w:name="__RefHeading___Toc2770371_3804643083"/>
      <w:bookmarkStart w:id="256" w:name="_Toc96"/>
      <w:bookmarkEnd w:id="255"/>
      <w:r>
        <w:rPr/>
        <w:t>5</w:t>
      </w:r>
      <w:r>
        <w:rPr>
          <w:rtl w:val="true"/>
        </w:rPr>
        <w:t xml:space="preserve">. </w:t>
      </w:r>
      <w:r>
        <w:rPr>
          <w:rtl w:val="true"/>
        </w:rPr>
        <w:t xml:space="preserve">ارادة التصنّع و المباهاة </w:t>
      </w:r>
      <w:r>
        <w:rPr>
          <w:rtl w:val="true"/>
        </w:rPr>
        <w:t>(</w:t>
      </w:r>
      <w:r>
        <w:rPr>
          <w:rtl w:val="true"/>
        </w:rPr>
        <w:t>خود را بَر ساختن و اظهار فخر كردن</w:t>
      </w:r>
      <w:r>
        <w:rPr>
          <w:rtl w:val="true"/>
        </w:rPr>
        <w:t>)</w:t>
      </w:r>
      <w:bookmarkEnd w:id="256"/>
    </w:p>
    <w:p>
      <w:pPr>
        <w:pStyle w:val="BookText"/>
        <w:rPr/>
      </w:pPr>
      <w:r>
        <w:rPr>
          <w:rFonts w:ascii="Amiri" w:hAnsi="Amiri" w:eastAsia="Amiri" w:cs="Amiri"/>
          <w:color w:val="111111"/>
          <w:sz w:val="28"/>
          <w:sz w:val="28"/>
          <w:szCs w:val="28"/>
          <w:rtl w:val="true"/>
          <w:lang w:bidi="ar-SA"/>
        </w:rPr>
        <w:t>الخامس إرادة التصنّع و المباهاة و هو أن يرفع نفسه بتنقيص غيره فيقول فلان جاهل و فهمه ركيك و كلامه ضعيف و غرضه أن يثبت في ضمن ذلك فضل نفسه و يريهم أنه أفضل منه أو يحذر أن يعظم مثل تعظيمه فيقدح فيه لذلك؛</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ظاهر سازي و مباهات و آن به اين نحو است كه با پايين آوردن و بدگويي از ديگرى خود را بالا برَد، پس مي‌گويد فلانى نادان و نفهم است و بيانش نارساست، و قصدش از</w:t>
      </w:r>
      <w:bookmarkStart w:id="257" w:name="pg2359_23330"/>
    </w:p>
    <w:p>
      <w:pPr>
        <w:pStyle w:val="BookText"/>
        <w:rPr/>
      </w:pPr>
      <w:bookmarkEnd w:id="257"/>
      <w:r>
        <w:rPr>
          <w:rFonts w:ascii="IRNazanin" w:hAnsi="IRNazanin" w:eastAsia="IRNazanin"/>
          <w:color w:val="111111"/>
          <w:sz w:val="28"/>
          <w:sz w:val="28"/>
          <w:szCs w:val="28"/>
          <w:rtl w:val="true"/>
          <w:lang w:bidi="fa-IR"/>
        </w:rPr>
        <w:t>اين بيان، آن است كه در اين ضمن، فضل و برتري خود را ثابت كند يا نشان دهد كه افضل از ديگري است تا مبادا آن شخص را هم‌درجه‌ي او بشمارند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اين دليل او را قدح مي‌كند</w:t>
      </w:r>
      <w:r>
        <w:rPr>
          <w:rFonts w:eastAsia="IRNazanin" w:cs="IRNazanin"/>
          <w:color w:val="111111"/>
          <w:sz w:val="28"/>
          <w:szCs w:val="28"/>
          <w:rtl w:val="true"/>
          <w:lang w:bidi="fa-IR"/>
        </w:rPr>
        <w:t>.</w:t>
      </w:r>
    </w:p>
    <w:p>
      <w:pPr>
        <w:pStyle w:val="Heading5"/>
        <w:numPr>
          <w:ilvl w:val="4"/>
          <w:numId w:val="1"/>
        </w:numPr>
        <w:rPr/>
      </w:pPr>
      <w:bookmarkStart w:id="258" w:name="__RefHeading___Toc2770373_3804643083"/>
      <w:bookmarkStart w:id="259" w:name="_Toc97"/>
      <w:bookmarkEnd w:id="258"/>
      <w:r>
        <w:rPr/>
        <w:t>6</w:t>
      </w:r>
      <w:r>
        <w:rPr>
          <w:rtl w:val="true"/>
        </w:rPr>
        <w:t xml:space="preserve">. </w:t>
      </w:r>
      <w:r>
        <w:rPr>
          <w:rtl w:val="true"/>
        </w:rPr>
        <w:t>الحسد</w:t>
      </w:r>
      <w:bookmarkEnd w:id="259"/>
    </w:p>
    <w:p>
      <w:pPr>
        <w:pStyle w:val="BookText"/>
        <w:rPr/>
      </w:pP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السابع اللعب و الهزل و المطايبة و تزجية الوقت بالضحك فيذكر غيره بما يضحك الناس على سبيل المحاكاة و التعجب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السخرية و الاستهزاء استحقارا له فإن ذلك قد يجري في الحضور فيجري أيضا في الغيبة و منشؤه التكبر و استصغار المستهزئ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و هو مأخذ دقيق ربما يقع فيه الخواص و أهل الحذر من مزال اللسان و هو أن يغتم بسبب ما يبتلى به أحد فيقول يا مسكين فلان قد غمني أمره و ما ابتلي به و يذكر سبب الغم فيكون صادقا في اغتمامه و يلهيه الغم عن الحذر عن ذكر اسمه فيذكره بما يكرهه فيصير به مغتابا فيكون غمه و رحمته خيرا و لكنه ساقه إلى شر من حيث لا يدري و الترحم و التغمم ممكن من دون ذكر اسمه و نسبته إلى ما يكره فيهيجه الشيطان على ذكر اسمه ليبطل به ثواب اغتمامه و ترحّمه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الغضب لله تعالى فإنه قد يغضب على منكر قارفه إنسان فيظهر غضبه و يذكر اسمه ليبطل به على غير وجه النهي عن المنكر و كان الواجب أن يظهر غضبه عليه على ذلك الوجه خاصة و هذا مما يقع فيه الخواص أيضا فإنهم يظنون أن الغضب إذا كان لله تعالى كان عذرا كيف كان و ليس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كشف الريبة، صص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حسادت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حسد به كسى كه مردم او را ثنا گفته به او احترام مي‌گذارند و دوستش دارند، تا مقام او را از بين</w:t>
      </w:r>
      <w:bookmarkStart w:id="260" w:name="pg2359_23331"/>
    </w:p>
    <w:p>
      <w:pPr>
        <w:pStyle w:val="BookText"/>
        <w:rPr/>
      </w:pPr>
      <w:bookmarkEnd w:id="260"/>
      <w:r>
        <w:rPr>
          <w:rFonts w:ascii="IRNazanin" w:hAnsi="IRNazanin" w:eastAsia="IRNazanin"/>
          <w:color w:val="111111"/>
          <w:sz w:val="28"/>
          <w:sz w:val="28"/>
          <w:szCs w:val="28"/>
          <w:rtl w:val="true"/>
          <w:lang w:bidi="fa-IR"/>
        </w:rPr>
        <w:t>ببرد و او را از چشم مردم بيندازد تا از احترام و ستايش او خوددارى كنند؛ چون احترام مردم از او و ستايش او، بر اين شخص گران است و اين حسد است كه همانند خشم و كينه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چه بسا بين يار نيكوكار و رفيقِ همدل هم اتفاق مي‌افتد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يعني كسي داراي نعمتي است كه ديگري چشم ديدنش را نداشته باشد، نه اين‌كه بخواهد او هم اين نعمت را داشته باشد؛ چرا كه اين غبطه است و اشكالي هم ندارد؛ مثلاً كسي بگويد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نعمت دنيوي يا اخروي را به فلان شخص دادي، هنيئاً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گوارايش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هم از آن نعمت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عيبي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حسد آن است كه كسي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نبايد آن نعمت را داشته باشد، حالا چه من داشته باشم يا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مي‌بيند كسي آبرويي نزد مردم دارد، براي آن‌كه حسدش را اعمال كند از او غيبت مي‌كند</w:t>
      </w:r>
      <w:r>
        <w:rPr>
          <w:rFonts w:eastAsia="IRNazanin" w:cs="IRNazanin"/>
          <w:color w:val="111111"/>
          <w:sz w:val="28"/>
          <w:szCs w:val="28"/>
          <w:rtl w:val="true"/>
          <w:lang w:bidi="fa-IR"/>
        </w:rPr>
        <w:t>.</w:t>
      </w:r>
    </w:p>
    <w:p>
      <w:pPr>
        <w:pStyle w:val="Heading5"/>
        <w:numPr>
          <w:ilvl w:val="4"/>
          <w:numId w:val="1"/>
        </w:numPr>
        <w:rPr/>
      </w:pPr>
      <w:bookmarkStart w:id="261" w:name="__RefHeading___Toc2770375_3804643083"/>
      <w:bookmarkStart w:id="262" w:name="_Toc98"/>
      <w:bookmarkEnd w:id="261"/>
      <w:r>
        <w:rPr/>
        <w:t>7</w:t>
      </w:r>
      <w:r>
        <w:rPr>
          <w:rtl w:val="true"/>
        </w:rPr>
        <w:t xml:space="preserve">. </w:t>
      </w:r>
      <w:r>
        <w:rPr>
          <w:rtl w:val="true"/>
        </w:rPr>
        <w:t xml:space="preserve">المطايبة و المحاكاة </w:t>
      </w:r>
      <w:r>
        <w:rPr>
          <w:rtl w:val="true"/>
        </w:rPr>
        <w:t>(</w:t>
      </w:r>
      <w:r>
        <w:rPr>
          <w:rtl w:val="true"/>
        </w:rPr>
        <w:t>شوخي و اداي ديگري را تقليد كردن</w:t>
      </w:r>
      <w:r>
        <w:rPr>
          <w:rtl w:val="true"/>
        </w:rPr>
        <w:t>)</w:t>
      </w:r>
      <w:bookmarkEnd w:id="262"/>
    </w:p>
    <w:p>
      <w:pPr>
        <w:pStyle w:val="BookText"/>
        <w:rPr/>
      </w:pPr>
      <w:r>
        <w:rPr>
          <w:rFonts w:ascii="IRNazanin" w:hAnsi="IRNazanin" w:eastAsia="IRNazanin"/>
          <w:color w:val="111111"/>
          <w:sz w:val="28"/>
          <w:sz w:val="28"/>
          <w:szCs w:val="28"/>
          <w:rtl w:val="true"/>
          <w:lang w:bidi="fa-IR"/>
        </w:rPr>
        <w:t>براى شوخى و اداي ديگران را تقليد كردن، عيب كسي را بگويد تا مردم بخندند</w:t>
      </w:r>
      <w:r>
        <w:rPr>
          <w:rFonts w:eastAsia="IRNazanin" w:cs="IRNazanin"/>
          <w:color w:val="111111"/>
          <w:sz w:val="28"/>
          <w:szCs w:val="28"/>
          <w:rtl w:val="true"/>
          <w:lang w:bidi="fa-IR"/>
        </w:rPr>
        <w:t>.</w:t>
      </w:r>
    </w:p>
    <w:p>
      <w:pPr>
        <w:pStyle w:val="Heading5"/>
        <w:numPr>
          <w:ilvl w:val="4"/>
          <w:numId w:val="1"/>
        </w:numPr>
        <w:rPr/>
      </w:pPr>
      <w:bookmarkStart w:id="263" w:name="__RefHeading___Toc2770377_3804643083"/>
      <w:bookmarkStart w:id="264" w:name="_Toc99"/>
      <w:bookmarkEnd w:id="263"/>
      <w:r>
        <w:rPr/>
        <w:t>8</w:t>
      </w:r>
      <w:r>
        <w:rPr>
          <w:rtl w:val="true"/>
        </w:rPr>
        <w:t xml:space="preserve">. </w:t>
      </w:r>
      <w:r>
        <w:rPr>
          <w:rtl w:val="true"/>
        </w:rPr>
        <w:t xml:space="preserve">السخرية </w:t>
      </w:r>
      <w:r>
        <w:rPr>
          <w:rtl w:val="true"/>
        </w:rPr>
        <w:t>(</w:t>
      </w:r>
      <w:r>
        <w:rPr>
          <w:rtl w:val="true"/>
        </w:rPr>
        <w:t>تمسخر</w:t>
      </w:r>
      <w:r>
        <w:rPr>
          <w:rtl w:val="true"/>
        </w:rPr>
        <w:t>)</w:t>
      </w:r>
      <w:bookmarkEnd w:id="26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مسخره كردن ديگرى و خوار شمردن او، كه چه بسا در حضور او هم انجام شود و سببش تكبّر و خُرد شمردن آن طرف است</w:t>
      </w:r>
      <w:r>
        <w:rPr>
          <w:rFonts w:eastAsia="IRNazanin" w:cs="IRNazanin"/>
          <w:color w:val="111111"/>
          <w:sz w:val="28"/>
          <w:szCs w:val="28"/>
          <w:rtl w:val="true"/>
          <w:lang w:bidi="fa-IR"/>
        </w:rPr>
        <w:t>.</w:t>
      </w:r>
      <w:bookmarkStart w:id="265" w:name="pg2359_23332"/>
    </w:p>
    <w:p>
      <w:pPr>
        <w:pStyle w:val="BookText"/>
        <w:rPr/>
      </w:pPr>
      <w:bookmarkEnd w:id="265"/>
      <w:r>
        <w:rPr>
          <w:rFonts w:ascii="IRNazanin" w:hAnsi="IRNazanin" w:eastAsia="IRNazanin"/>
          <w:color w:val="111111"/>
          <w:sz w:val="28"/>
          <w:sz w:val="28"/>
          <w:szCs w:val="28"/>
          <w:rtl w:val="true"/>
          <w:lang w:bidi="fa-IR"/>
        </w:rPr>
        <w:t>برخي خوششان مي‌آيد كه ديگران را مسخره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افراد كم نيستند و شايد في‌الجمله همه اين طبع را داشته باشند ولي كنترل مي‌كنند، امّا در برخي اين روحيه قوي است و با مسخره كردن غيبت مي‌كنند</w:t>
      </w:r>
      <w:r>
        <w:rPr>
          <w:rFonts w:eastAsia="IRNazanin" w:cs="IRNazanin"/>
          <w:color w:val="111111"/>
          <w:sz w:val="28"/>
          <w:szCs w:val="28"/>
          <w:rtl w:val="true"/>
          <w:lang w:bidi="fa-IR"/>
        </w:rPr>
        <w:t>.</w:t>
      </w:r>
    </w:p>
    <w:p>
      <w:pPr>
        <w:pStyle w:val="Heading5"/>
        <w:numPr>
          <w:ilvl w:val="4"/>
          <w:numId w:val="1"/>
        </w:numPr>
        <w:rPr/>
      </w:pPr>
      <w:bookmarkStart w:id="266" w:name="__RefHeading___Toc2770379_3804643083"/>
      <w:bookmarkStart w:id="267" w:name="_Toc100"/>
      <w:bookmarkEnd w:id="266"/>
      <w:r>
        <w:rPr/>
        <w:t>9</w:t>
      </w:r>
      <w:r>
        <w:rPr>
          <w:rtl w:val="true"/>
        </w:rPr>
        <w:t xml:space="preserve">. </w:t>
      </w:r>
      <w:r>
        <w:rPr>
          <w:rtl w:val="true"/>
        </w:rPr>
        <w:t xml:space="preserve">الترحمُّ و التغمُّم </w:t>
      </w:r>
      <w:r>
        <w:rPr>
          <w:rtl w:val="true"/>
        </w:rPr>
        <w:t>(</w:t>
      </w:r>
      <w:r>
        <w:rPr>
          <w:rtl w:val="true"/>
        </w:rPr>
        <w:t>دلسوزي</w:t>
      </w:r>
      <w:r>
        <w:rPr>
          <w:rtl w:val="true"/>
        </w:rPr>
        <w:t>)</w:t>
      </w:r>
      <w:bookmarkEnd w:id="267"/>
    </w:p>
    <w:p>
      <w:pPr>
        <w:pStyle w:val="BookText"/>
        <w:rPr/>
      </w:pPr>
      <w:r>
        <w:rPr>
          <w:rFonts w:ascii="IRNazanin" w:hAnsi="IRNazanin" w:eastAsia="IRNazanin"/>
          <w:color w:val="111111"/>
          <w:sz w:val="28"/>
          <w:sz w:val="28"/>
          <w:szCs w:val="28"/>
          <w:rtl w:val="true"/>
          <w:lang w:bidi="fa-IR"/>
        </w:rPr>
        <w:t>مورد نهم، مورد دقيقي است كه چه بسا خواص و اهل حذر از لغزش‌هاي زبان، بدان دچار شوند و آن اين است كه شخص به خاطر گرفتاري كسي مغموم شود و بگويد بيچاره فلاني چقدر به خاطر گرفتاري‌اش غمگينم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سبب غمگين بودنش را ذكر كند تا نشان دهد در اغتمامش صادق است و اين غمگين بودنش او را مشغول مي‌كند از حذر كردن از ذكر نامش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ذكر مي‌كند ديگري را به آن‌چه او را خوش نمي‌آيد و بدين وسيله مغتاب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ترحّمش خير بود، ولي من حيث لايعلم او را به سوي شرّ سوق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ترحّم و ناراحتي بدون ذكر نام طرف و نسبت‌دادنش به چيزي كه دوست نمي‌دارد،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شيطان او را تهييج به ذكر نامش مي‌كند تا ثواب اغتمام و ترحّمش را با اين كار باطل كند</w:t>
      </w:r>
      <w:r>
        <w:rPr>
          <w:rFonts w:eastAsia="IRNazanin" w:cs="IRNazanin"/>
          <w:color w:val="111111"/>
          <w:sz w:val="28"/>
          <w:szCs w:val="28"/>
          <w:rtl w:val="true"/>
          <w:lang w:bidi="fa-IR"/>
        </w:rPr>
        <w:t>.</w:t>
      </w:r>
    </w:p>
    <w:p>
      <w:pPr>
        <w:pStyle w:val="Heading5"/>
        <w:numPr>
          <w:ilvl w:val="4"/>
          <w:numId w:val="1"/>
        </w:numPr>
        <w:rPr/>
      </w:pPr>
      <w:bookmarkStart w:id="268" w:name="__RefHeading___Toc2770381_3804643083"/>
      <w:bookmarkStart w:id="269" w:name="_Toc101"/>
      <w:bookmarkEnd w:id="268"/>
      <w:r>
        <w:rPr/>
        <w:t>10</w:t>
      </w:r>
      <w:r>
        <w:rPr>
          <w:rtl w:val="true"/>
        </w:rPr>
        <w:t xml:space="preserve">. </w:t>
      </w:r>
      <w:r>
        <w:rPr>
          <w:rtl w:val="true"/>
        </w:rPr>
        <w:t xml:space="preserve">الغضب لله تعالي </w:t>
      </w:r>
      <w:r>
        <w:rPr>
          <w:rtl w:val="true"/>
        </w:rPr>
        <w:t>(</w:t>
      </w:r>
      <w:r>
        <w:rPr>
          <w:rtl w:val="true"/>
        </w:rPr>
        <w:t>غيرت ديني</w:t>
      </w:r>
      <w:r>
        <w:rPr>
          <w:rtl w:val="true"/>
        </w:rPr>
        <w:t>)</w:t>
      </w:r>
      <w:bookmarkEnd w:id="26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خشم براى خداوند او را به بدگويى از كسي مي‌كشاند كه گناهى كرده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حساب نهى از منكر، در حالي كه بايد اظهار خشم به وجه صحيح</w:t>
      </w:r>
    </w:p>
    <w:p>
      <w:pPr>
        <w:pStyle w:val="BookText"/>
        <w:rPr/>
      </w:pPr>
      <w:r>
        <w:rPr>
          <w:rFonts w:ascii="IRNazanin" w:hAnsi="IRNazanin" w:eastAsia="IRNazanin"/>
          <w:color w:val="111111"/>
          <w:sz w:val="28"/>
          <w:sz w:val="28"/>
          <w:szCs w:val="28"/>
          <w:rtl w:val="true"/>
          <w:lang w:bidi="fa-IR"/>
        </w:rPr>
        <w:t>براي خصوص نهي از منكر باشد و خواص هم دچار اين‌گونه غيبت مي‌شوند به گمان اين‌كه چون براى خداست معذورند و حال آن‌كه عُذري ندارند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مورد از دام‌هاي شيطان است كه شخص بدون اين‌كه غرض سوئي نسبت به ديگري داشته باشد، به جاي آن‌كه شخص گناه‌كار را به روش صحيح نهي از منكر كند مرتكب گناه غيبت مي‌شود و فكر مي‌كند عملش نوعي غيرت ديني است</w:t>
      </w:r>
      <w:r>
        <w:rPr>
          <w:rFonts w:eastAsia="IRNazanin" w:cs="IRNazanin"/>
          <w:color w:val="111111"/>
          <w:sz w:val="28"/>
          <w:szCs w:val="28"/>
          <w:rtl w:val="true"/>
          <w:lang w:bidi="fa-IR"/>
        </w:rPr>
        <w:t>.</w:t>
      </w:r>
      <w:bookmarkStart w:id="270" w:name="pg2359_23334"/>
    </w:p>
    <w:p>
      <w:pPr>
        <w:pStyle w:val="Heading2"/>
        <w:numPr>
          <w:ilvl w:val="1"/>
          <w:numId w:val="1"/>
        </w:numPr>
        <w:rPr/>
      </w:pPr>
      <w:bookmarkStart w:id="271" w:name="__RefHeading___Toc2770383_3804643083"/>
      <w:bookmarkStart w:id="272" w:name="_Toc102"/>
      <w:bookmarkEnd w:id="270"/>
      <w:bookmarkEnd w:id="271"/>
      <w:r>
        <w:rPr>
          <w:rtl w:val="true"/>
        </w:rPr>
        <w:t>كفّاره‌ي غيبت</w:t>
      </w:r>
      <w:bookmarkEnd w:id="27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73" w:name="__RefHeading___Toc2770385_3804643083"/>
      <w:bookmarkStart w:id="274" w:name="_Toc103"/>
      <w:bookmarkEnd w:id="273"/>
      <w:r>
        <w:rPr>
          <w:rtl w:val="true"/>
        </w:rPr>
        <w:t>اشاره</w:t>
      </w:r>
      <w:bookmarkStart w:id="275" w:name="pg2359_23336"/>
      <w:bookmarkEnd w:id="274"/>
    </w:p>
    <w:p>
      <w:pPr>
        <w:pStyle w:val="BookText"/>
        <w:rPr/>
      </w:pPr>
      <w:bookmarkEnd w:id="275"/>
      <w:r>
        <w:rPr>
          <w:rFonts w:ascii="IRNazanin" w:hAnsi="IRNazanin" w:eastAsia="IRNazanin"/>
          <w:color w:val="111111"/>
          <w:sz w:val="28"/>
          <w:sz w:val="28"/>
          <w:szCs w:val="28"/>
          <w:rtl w:val="true"/>
          <w:lang w:bidi="fa-IR"/>
        </w:rPr>
        <w:t xml:space="preserve">آيا غيبت از محرّماتي است كه علاوه بر توبه‌ي از عمل و نَدَم بر فعل، نياز به كفّاره هم دارد يا نه؟ همان‌گونه كه مي‌دانيد، بعضي از گناهان علاوه بر توبه از فعل قبلي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الندم علي الفعل و العزم علي عدم العود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به كفّاره هم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احتمال كفّاره براي غيبت، روايات متعدّدي است كه بعضي از علما به نوعي از آن‌ها چنين معنايي را استفاده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برخي وجوه اعتباري هم بر لزوم كفّاره ارائه شده است</w:t>
      </w:r>
      <w:r>
        <w:rPr>
          <w:rFonts w:eastAsia="IRNazanin" w:cs="IRNazanin"/>
          <w:color w:val="111111"/>
          <w:sz w:val="28"/>
          <w:szCs w:val="28"/>
          <w:rtl w:val="true"/>
          <w:lang w:bidi="fa-IR"/>
        </w:rPr>
        <w:t>.</w:t>
      </w:r>
    </w:p>
    <w:p>
      <w:pPr>
        <w:pStyle w:val="Heading3"/>
        <w:numPr>
          <w:ilvl w:val="2"/>
          <w:numId w:val="1"/>
        </w:numPr>
        <w:rPr/>
      </w:pPr>
      <w:bookmarkStart w:id="276" w:name="__RefHeading___Toc2770387_3804643083"/>
      <w:bookmarkStart w:id="277" w:name="_Toc104"/>
      <w:bookmarkEnd w:id="276"/>
      <w:r>
        <w:rPr>
          <w:rtl w:val="true"/>
        </w:rPr>
        <w:t>هفت احتمال در كفّاره‌ي غيبت</w:t>
      </w:r>
      <w:bookmarkEnd w:id="277"/>
    </w:p>
    <w:p>
      <w:pPr>
        <w:pStyle w:val="BookText"/>
        <w:rPr/>
      </w:pPr>
      <w:r>
        <w:rPr>
          <w:rFonts w:ascii="IRNazanin" w:hAnsi="IRNazanin" w:eastAsia="IRNazanin"/>
          <w:color w:val="111111"/>
          <w:sz w:val="28"/>
          <w:sz w:val="28"/>
          <w:szCs w:val="28"/>
          <w:rtl w:val="true"/>
          <w:lang w:bidi="fa-IR"/>
        </w:rPr>
        <w:t>بعضي از بزرگان احتمالاتي را كه در مورد كفّاره‌ي غيبت هست، بر حسب بعضي معيارهاي اعتباري يا روايات، احصا كرده‌اند كه مجموعاً هفت احتمال مي‌شود</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احتمال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مكلّفِ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علاوه بر</w:t>
      </w:r>
    </w:p>
    <w:p>
      <w:pPr>
        <w:pStyle w:val="BookText"/>
        <w:rPr/>
      </w:pPr>
      <w:r>
        <w:rPr>
          <w:rFonts w:ascii="IRNazanin" w:hAnsi="IRNazanin" w:eastAsia="IRNazanin"/>
          <w:color w:val="111111"/>
          <w:sz w:val="28"/>
          <w:sz w:val="28"/>
          <w:szCs w:val="28"/>
          <w:rtl w:val="true"/>
          <w:lang w:bidi="fa-IR"/>
        </w:rPr>
        <w:t xml:space="preserve">توبه به درگاه خداوند،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حلّيت كند مطلقاً؛ يعني چه به او دسترسي داشته باشد و چه دسترسي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دسترسي نداشت از او ساقط نمي‌شود، بلكه مانند دَيني است كه از ديگري بر ذمّه‌ي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احتمال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غيبت كننده لازم است براي غيبت شونده استغفار كند؛ مثلاً با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احتمال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دو مورد لازم است؛ يعني هم استغفار براي مغتاب و هم استحلال از او لازم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طلب حلّيت واجب است يا استغفار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 علي سبيل التخيير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به اطلاع غيبت شونده رسيد استحلال واجب است، و إلا كفّاره‌اش فقط استغفار براي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امكان استحلال باشد واجب است، ولي اگر چنين امكاني نبود كفّاره‌ي غيبت، تنها استغفار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امكان استحلال، يا به دليل موت غيبت شونده است يا بُعد مكاني او و يا به خاطر آن‌كه استحلال، مفسده به همراه دارد؛ يعني اگر به طرف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غيابت درباره‌ي تو فلان حرف بد را گفتم، تازه غضب او گُل مي‌كند و چه بسا دست به كارهاي خطرناكي بزند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استحلال لازم است و نه استغفار، بلكه تنها پشيماني و توبه ي فرد از گناهي كه مرتكب شده</w:t>
      </w:r>
      <w:bookmarkStart w:id="278" w:name="pg2359_23338"/>
    </w:p>
    <w:p>
      <w:pPr>
        <w:pStyle w:val="BookText"/>
        <w:rPr/>
      </w:pPr>
      <w:bookmarkEnd w:id="278"/>
      <w:r>
        <w:rPr>
          <w:rFonts w:ascii="IRNazanin" w:hAnsi="IRNazanin" w:eastAsia="IRNazanin"/>
          <w:color w:val="111111"/>
          <w:sz w:val="28"/>
          <w:sz w:val="28"/>
          <w:szCs w:val="28"/>
          <w:rtl w:val="true"/>
          <w:lang w:bidi="fa-IR"/>
        </w:rPr>
        <w:t>و استغفار براي خود لازم است؛ زيرا مرتكب هر گناهي بايد از ارتكاب گناه خود استغفار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استغفار از غيبت، علي ايّ حالٍ واجب است</w:t>
      </w:r>
    </w:p>
    <w:p>
      <w:pPr>
        <w:pStyle w:val="BookText"/>
        <w:rPr/>
      </w:pPr>
      <w:r>
        <w:rPr>
          <w:rFonts w:ascii="IRNazanin" w:hAnsi="IRNazanin" w:eastAsia="IRNazanin"/>
          <w:color w:val="111111"/>
          <w:sz w:val="28"/>
          <w:sz w:val="28"/>
          <w:szCs w:val="28"/>
          <w:rtl w:val="true"/>
          <w:lang w:bidi="fa-IR"/>
        </w:rPr>
        <w:t xml:space="preserve">ظاهر بيان عدّه‌اي از فقها لزوم استغفار غيبت كننده است براي خودش علي ايّ حالٍ؛ يعني فارغ از احتمالات هفت‌گانه،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خاطر گناهي كه مرتكب شده استغفار كند؛ چون حقّ انجام چنين گناه و تخلّفي را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صحيح بوده و جاي مناقشه نيست</w:t>
      </w:r>
      <w:r>
        <w:rPr>
          <w:rFonts w:eastAsia="IRNazanin" w:cs="IRNazanin"/>
          <w:color w:val="111111"/>
          <w:sz w:val="28"/>
          <w:szCs w:val="28"/>
          <w:rtl w:val="true"/>
          <w:lang w:bidi="fa-IR"/>
        </w:rPr>
        <w:t>.</w:t>
      </w:r>
    </w:p>
    <w:p>
      <w:pPr>
        <w:pStyle w:val="Heading3"/>
        <w:numPr>
          <w:ilvl w:val="2"/>
          <w:numId w:val="1"/>
        </w:numPr>
        <w:rPr/>
      </w:pPr>
      <w:bookmarkStart w:id="279" w:name="__RefHeading___Toc2770389_3804643083"/>
      <w:bookmarkStart w:id="280" w:name="_Toc105"/>
      <w:bookmarkEnd w:id="279"/>
      <w:r>
        <w:rPr>
          <w:rtl w:val="true"/>
        </w:rPr>
        <w:t>تأسيس اصل در كفّاره‌ي غيبت</w:t>
      </w:r>
      <w:bookmarkEnd w:id="280"/>
    </w:p>
    <w:p>
      <w:pPr>
        <w:pStyle w:val="Heading4"/>
        <w:numPr>
          <w:ilvl w:val="3"/>
          <w:numId w:val="1"/>
        </w:numPr>
        <w:rPr/>
      </w:pPr>
      <w:bookmarkStart w:id="281" w:name="__RefHeading___Toc2770391_3804643083"/>
      <w:bookmarkStart w:id="282" w:name="_Toc106"/>
      <w:bookmarkEnd w:id="281"/>
      <w:r>
        <w:rPr>
          <w:rtl w:val="true"/>
        </w:rPr>
        <w:t>اشاره</w:t>
      </w:r>
      <w:bookmarkEnd w:id="282"/>
    </w:p>
    <w:p>
      <w:pPr>
        <w:pStyle w:val="BookText"/>
        <w:rPr/>
      </w:pPr>
      <w:r>
        <w:rPr>
          <w:rFonts w:ascii="IRNazanin" w:hAnsi="IRNazanin" w:eastAsia="IRNazanin"/>
          <w:color w:val="111111"/>
          <w:sz w:val="28"/>
          <w:sz w:val="28"/>
          <w:szCs w:val="28"/>
          <w:rtl w:val="true"/>
          <w:lang w:bidi="fa-IR"/>
        </w:rPr>
        <w:t>قبل از بررسي احتمالات و دليل هر كدام، بهتر است اصل در بحث كفّاره‌ي غيبت را مشخص كنيم؛ يعني ببينيم اگر دليلي كه معتبر باشد، بر هيچ يك از احتمالات قائم نشد مقتضاي اصل چيست؟</w:t>
      </w:r>
    </w:p>
    <w:p>
      <w:pPr>
        <w:pStyle w:val="BookText"/>
        <w:rPr/>
      </w:pPr>
      <w:r>
        <w:rPr>
          <w:rFonts w:ascii="IRNazanin" w:hAnsi="IRNazanin" w:eastAsia="IRNazanin"/>
          <w:color w:val="111111"/>
          <w:sz w:val="28"/>
          <w:sz w:val="28"/>
          <w:szCs w:val="28"/>
          <w:rtl w:val="true"/>
          <w:lang w:bidi="fa-IR"/>
        </w:rPr>
        <w:t xml:space="preserve">آيا آن‌گونه كه بعضي محقّقين گفته‌اند، مقتضاي اصل، احتياط است و شخص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بايد استحلال كند و هم استغفار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اين‌كه مقتضاي اصل، عدم وجوب طلب حلّيت و عدم وجوب استعفار للمغتاب است؟ كما اين‌كه اين نظر هم موافق قول بعضي از محقّقين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ثمره‌ي اين اختلاف هم مهم است؛ زيرا اگر ادلّه‌ي احتمالات، تام نبود و ما اصل احتياط را پذيرفتيم،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بايد استحلال كند و هم استغفار 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اگر اصل برائت</w:t>
      </w:r>
      <w:bookmarkStart w:id="283" w:name="pg2359_23339"/>
    </w:p>
    <w:p>
      <w:pPr>
        <w:pStyle w:val="BookText"/>
        <w:rPr/>
      </w:pPr>
      <w:bookmarkEnd w:id="283"/>
      <w:r>
        <w:rPr>
          <w:rFonts w:ascii="IRNazanin" w:hAnsi="IRNazanin" w:eastAsia="IRNazanin"/>
          <w:color w:val="111111"/>
          <w:sz w:val="28"/>
          <w:sz w:val="28"/>
          <w:szCs w:val="28"/>
          <w:rtl w:val="true"/>
          <w:lang w:bidi="fa-IR"/>
        </w:rPr>
        <w:t xml:space="preserve">را قبول كرديم چيزي غير از توبه از گناهش به عهده‌ي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w:t>
      </w:r>
      <w:r>
        <w:rPr>
          <w:rFonts w:eastAsia="IRNazanin" w:cs="IRNazanin"/>
          <w:color w:val="111111"/>
          <w:sz w:val="28"/>
          <w:szCs w:val="28"/>
          <w:rtl w:val="true"/>
          <w:lang w:bidi="fa-IR"/>
        </w:rPr>
        <w:t>.</w:t>
      </w:r>
    </w:p>
    <w:p>
      <w:pPr>
        <w:pStyle w:val="Heading4"/>
        <w:numPr>
          <w:ilvl w:val="3"/>
          <w:numId w:val="1"/>
        </w:numPr>
        <w:rPr/>
      </w:pPr>
      <w:bookmarkStart w:id="284" w:name="__RefHeading___Toc2770393_3804643083"/>
      <w:bookmarkStart w:id="285" w:name="_Toc107"/>
      <w:bookmarkEnd w:id="284"/>
      <w:r>
        <w:rPr>
          <w:rtl w:val="true"/>
        </w:rPr>
        <w:t>قول به اصل احتياط در كفّاره‌ي غيبت</w:t>
      </w:r>
      <w:bookmarkEnd w:id="285"/>
    </w:p>
    <w:p>
      <w:pPr>
        <w:pStyle w:val="BookText"/>
        <w:rPr/>
      </w:pPr>
      <w:r>
        <w:rPr>
          <w:rFonts w:ascii="IRNazanin" w:hAnsi="IRNazanin" w:eastAsia="IRNazanin"/>
          <w:color w:val="111111"/>
          <w:sz w:val="28"/>
          <w:sz w:val="28"/>
          <w:szCs w:val="28"/>
          <w:rtl w:val="true"/>
          <w:lang w:bidi="fa-IR"/>
        </w:rPr>
        <w:t xml:space="preserve">غير واحدي از محقّقين معتقدند اصل حاكم در كفّاره‌ي غيبت، احتياط است؛ زيرا حقّي براي مؤمن به عهده‌ي مؤمن ديگر ثابت است و وقتي اين حق رعايت نشد شك مي‌كنيم آيا به صِرف توبه و استغفارِ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خودش، اين حق ساقط مي‌شود يا نه؟ استصحابِ حق، جاري است و با حكم به بقاي حق، مكلَّف بايد از عهده‌ي آن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ممكن است كسي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نيازي به جريان استصحاب هم نيست؛ زيرا حقّي بر عهده‌ي شخص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بود، با غيبت او اين حق رعايت نشد، آيا وي به صِرف استغفار و توبه از گناه غيبت، از عهده‌ي آن حق خارج مي‌شود؟ عقل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ذمّه‌ي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آن حق است</w:t>
      </w:r>
      <w:r>
        <w:rPr>
          <w:rFonts w:eastAsia="IRNazanin" w:cs="IRNazanin"/>
          <w:color w:val="111111"/>
          <w:sz w:val="28"/>
          <w:szCs w:val="28"/>
          <w:rtl w:val="true"/>
          <w:lang w:bidi="fa-IR"/>
        </w:rPr>
        <w:t>.</w:t>
      </w:r>
    </w:p>
    <w:p>
      <w:pPr>
        <w:pStyle w:val="Heading4"/>
        <w:numPr>
          <w:ilvl w:val="3"/>
          <w:numId w:val="1"/>
        </w:numPr>
        <w:rPr/>
      </w:pPr>
      <w:bookmarkStart w:id="286" w:name="__RefHeading___Toc2770395_3804643083"/>
      <w:bookmarkStart w:id="287" w:name="_Toc108"/>
      <w:bookmarkEnd w:id="286"/>
      <w:r>
        <w:rPr>
          <w:rtl w:val="true"/>
        </w:rPr>
        <w:t>مناقشه در ادلّه‌ي قائلين به اصل احتياط</w:t>
      </w:r>
      <w:bookmarkEnd w:id="287"/>
    </w:p>
    <w:p>
      <w:pPr>
        <w:pStyle w:val="BookText"/>
        <w:rPr/>
      </w:pPr>
      <w:r>
        <w:rPr>
          <w:rFonts w:ascii="Amiri" w:hAnsi="Amiri" w:eastAsia="Amiri" w:cs="Amiri"/>
          <w:color w:val="111111"/>
          <w:sz w:val="28"/>
          <w:sz w:val="28"/>
          <w:szCs w:val="28"/>
          <w:rtl w:val="true"/>
          <w:lang w:bidi="ar-SA"/>
        </w:rPr>
        <w:t>هر دو بيان فوق، ناقص است</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آن‌چه مسلّم است حرمت غيبت است و باز آن‌چه مسلّّم است اين‌كه اگر مسلماني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غيبت واقع شد، قطعاً حق او تضييع شده است، امّا آيا علاوه بر آن حق، حقّ ديگري هم دارد كه ما در صورت شك، استصحاب بقايش كنيم؟</w:t>
      </w:r>
    </w:p>
    <w:p>
      <w:pPr>
        <w:pStyle w:val="BookText"/>
        <w:rPr/>
      </w:pPr>
      <w:r>
        <w:rPr>
          <w:rFonts w:ascii="IRNazanin" w:hAnsi="IRNazanin" w:eastAsia="IRNazanin"/>
          <w:color w:val="111111"/>
          <w:sz w:val="28"/>
          <w:sz w:val="28"/>
          <w:szCs w:val="28"/>
          <w:rtl w:val="true"/>
          <w:lang w:bidi="fa-IR"/>
        </w:rPr>
        <w:t>اصلِ چنين حقّي ثابت نيست و استصحاب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لاتنقض اليقين بالشك ابداً</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هيچ‌گاه يقين را با شك نقض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يقيني بود حرمت غيبت و عصيان حقِّ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آن حق قطعاً ضايع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علاوه بر آن حق، حقّ ديگري هم داشته كه با وجود استغفار، هنوز شكّ در بقايش شده و نيازمند استصحاب براي بقايش باشد و در نتيجه استحلال لازم باشد؟ اين اوّلِ كلام است و ما اصلاً درباره‌ي ثبوت چنين حقّي بحث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سابقه‌ي چنين حقّي ثابت نيست، پس چگونه استصحاب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پاسخ بيان اوّل، جواب بيان دوم هم روشن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اشتغال يقيني نياز به برائت يقيني دارد، ولي چيزي كه قطعي است اشتغال ذمّه به عدم اغتياب مؤمن است، كه قطعاً توسط انسانِ عاصي نقض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ديگر از ابتدا مشكوك است؛ يعني اشتغال، يقيني نيست كه مستلزم برائت يقيني باشد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آن‌چه كه غير واحدي از اعاظم در وجوب احتياط فرمودند، صحيح نيست</w:t>
      </w:r>
      <w:r>
        <w:rPr>
          <w:rFonts w:eastAsia="IRNazanin" w:cs="IRNazanin"/>
          <w:color w:val="111111"/>
          <w:sz w:val="28"/>
          <w:szCs w:val="28"/>
          <w:rtl w:val="true"/>
          <w:lang w:bidi="fa-IR"/>
        </w:rPr>
        <w:t>.</w:t>
      </w:r>
      <w:bookmarkStart w:id="288" w:name="pg2359_23341"/>
    </w:p>
    <w:p>
      <w:pPr>
        <w:pStyle w:val="Heading4"/>
        <w:numPr>
          <w:ilvl w:val="3"/>
          <w:numId w:val="1"/>
        </w:numPr>
        <w:rPr/>
      </w:pPr>
      <w:bookmarkStart w:id="289" w:name="__RefHeading___Toc2770397_3804643083"/>
      <w:bookmarkStart w:id="290" w:name="_Toc109"/>
      <w:bookmarkEnd w:id="288"/>
      <w:bookmarkEnd w:id="289"/>
      <w:r>
        <w:rPr>
          <w:rtl w:val="true"/>
        </w:rPr>
        <w:t>سخن آخر در تأسيس اصل</w:t>
      </w:r>
      <w:bookmarkEnd w:id="290"/>
    </w:p>
    <w:p>
      <w:pPr>
        <w:pStyle w:val="BookText"/>
        <w:rPr/>
      </w:pPr>
      <w:r>
        <w:rPr>
          <w:rFonts w:ascii="IRNazanin" w:hAnsi="IRNazanin" w:eastAsia="IRNazanin"/>
          <w:color w:val="111111"/>
          <w:sz w:val="28"/>
          <w:sz w:val="28"/>
          <w:szCs w:val="28"/>
          <w:rtl w:val="true"/>
          <w:lang w:bidi="fa-IR"/>
        </w:rPr>
        <w:t>از نقض فرمايش كساني كه در بحث كفّاره‌ي غيبت قائل به اصل احتياط بودند، مبناي مختار روشن مي‌شود؛ زيرا هرگاه در اصل وجود هر يك از امور وضعي يا تكليفي شك شود، هم مي‌تواند استصحاب عدمش جاري گردد و هم ـ در امور تكليفي ـ ادلّه‌ي برائت بر آن حاكم است</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مي‌كنيم آيا بر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كه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استغفار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ـ از لحاظ وضعي ـ شك مي‌كنيم آيا علاوه بر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لايغتاب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ديگري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شده است؟ استصحاب عدم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حقّي جعل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اصلي را كه ما در بحث كفّاره‌ي غيبت تأسيس كرديم، اصل برائت و استصحاب عدم اشتغال ذمّه به تكليف زائد و استصحاب عدم ثبوت حقِّ زائد براي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2770399_3804643083"/>
      <w:bookmarkStart w:id="292" w:name="_Toc110"/>
      <w:bookmarkEnd w:id="291"/>
      <w:r>
        <w:rPr>
          <w:rtl w:val="true"/>
        </w:rPr>
        <w:t>ادلّه‌ي وجوب كفّاره در غيبت</w:t>
      </w:r>
      <w:bookmarkEnd w:id="292"/>
    </w:p>
    <w:p>
      <w:pPr>
        <w:pStyle w:val="Heading4"/>
        <w:numPr>
          <w:ilvl w:val="3"/>
          <w:numId w:val="1"/>
        </w:numPr>
        <w:rPr/>
      </w:pPr>
      <w:bookmarkStart w:id="293" w:name="__RefHeading___Toc2770401_3804643083"/>
      <w:bookmarkStart w:id="294" w:name="_Toc111"/>
      <w:bookmarkEnd w:id="293"/>
      <w:r>
        <w:rPr>
          <w:rtl w:val="true"/>
        </w:rPr>
        <w:t>اشاره</w:t>
      </w:r>
      <w:bookmarkEnd w:id="294"/>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دليل اعتباري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نشدن، از حقوق مردم و حقّ الناس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غيبت مي‌كند حقّ الناس را ضايع كرده است و وقتي حقّ</w:t>
      </w:r>
      <w:bookmarkStart w:id="295" w:name="pg2359_23342"/>
    </w:p>
    <w:p>
      <w:pPr>
        <w:pStyle w:val="BookText"/>
        <w:rPr/>
      </w:pPr>
      <w:bookmarkEnd w:id="295"/>
      <w:r>
        <w:rPr>
          <w:rFonts w:ascii="IRNazanin" w:hAnsi="IRNazanin" w:eastAsia="IRNazanin"/>
          <w:color w:val="111111"/>
          <w:sz w:val="28"/>
          <w:sz w:val="28"/>
          <w:szCs w:val="28"/>
          <w:rtl w:val="true"/>
          <w:lang w:bidi="fa-IR"/>
        </w:rPr>
        <w:t>الناسي ضايع شد، وِزر اين گناه ساقط نمي‌شود مگر به جبران آن و جبران آن به استحلال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ظلم است، ظلم هم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سلبُ ذِي حقٍّ حقّه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ديگري را سلب كردن، لامحاله ظالم بايد استحلال كند؛ چون حقّ ديگري را ضايع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روايي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اثبات وجوب كفّاره‌ي غيبت، نياز به اثبات يك صغري داريم و يك كبري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صغراي 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غيبت نشدن، حقّي است از حقوق مردم و تنها يك حكم ـ مثل حرمت اكل ميته يا شرب خمر ـ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كبراي 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حقّي از حقوق مردم اگر توسّط كسي ضايع شد بايد آن را جبران كند و جبران حقِّ ضايع شده توسط غيبت، از طريق استحلال است</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96" w:name="__RefHeading___Toc2770403_3804643083"/>
      <w:bookmarkStart w:id="297" w:name="_Toc112"/>
      <w:bookmarkEnd w:id="296"/>
      <w:r>
        <w:rPr>
          <w:rtl w:val="true"/>
        </w:rPr>
        <w:t>آيا ترك غيبت، حقِّ برادر مؤمن است؟</w:t>
      </w:r>
      <w:bookmarkEnd w:id="297"/>
    </w:p>
    <w:p>
      <w:p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للأخبار في أنّ من حق المؤمن على المؤمن أن لا يغتابه</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اخبار دلالت مي‌كند كه حقّ مؤمن بر مؤمن اين است كه غيبتش نشود؛ يعني اگر كسي ديگري را مورد غيبت قرار داد حقّي از او را ضايع كرده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تعدادي از رواياتي كه اين مضمون را افاده مي‌كند، ذكر مي‌كنيم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مسعدة بن صدقه</w:t>
      </w:r>
    </w:p>
    <w:p>
      <w:pPr>
        <w:pStyle w:val="BookText"/>
        <w:rPr/>
      </w:pPr>
      <w:r>
        <w:rPr>
          <w:rFonts w:ascii="Amiri" w:hAnsi="Amiri" w:eastAsia="Amiri" w:cs="Amiri"/>
          <w:color w:val="111111"/>
          <w:sz w:val="28"/>
          <w:sz w:val="28"/>
          <w:szCs w:val="28"/>
          <w:rtl w:val="true"/>
          <w:lang w:bidi="ar-SA"/>
        </w:rPr>
        <w:t>بِإِسْنَادِهِ</w:t>
      </w:r>
      <w:r>
        <w:rPr>
          <w:rStyle w:val="FootnoteAnchor"/>
          <w:rtl w:val="true"/>
        </w:rPr>
        <w:footnoteReference w:id="179"/>
      </w:r>
      <w:r>
        <w:rPr>
          <w:rFonts w:ascii="Amiri" w:hAnsi="Amiri" w:eastAsia="Amiri" w:cs="Amiri"/>
          <w:color w:val="111111"/>
          <w:sz w:val="28"/>
          <w:sz w:val="28"/>
          <w:szCs w:val="28"/>
          <w:rtl w:val="true"/>
          <w:lang w:bidi="ar-SA"/>
        </w:rPr>
        <w:t xml:space="preserve">عَنْ مَسْعَدَةَ بْنِ صَدَقَةَ عَنِ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لِلْمُؤْمِنِ عَلَى الْمُؤْمِنِ سَبْعَةُ حُقُوقٍ وَاجِبَةٍ مِنَ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لَهُ فِي غَيْبَتِهِ وَ الْوُدُّ لَهُ فِي صَدْرِهِ وَ الْمُوَاسَاةُ لَهُ فِي مَالِهِ وَ أَنْ يَحْرِمَ غِيبَتَهُ وَ أَنْ يَعُودَهُ فِي مَرَضِهِ وَ أَنْ يُشَيِّعَ جَنَازَتَهُ وَ أَنْ لَا يَقُولَ فِيهِ بَعْدَ مَوْتِهِ إِلَّا خَيْراً</w:t>
      </w:r>
      <w:r>
        <w:rPr>
          <w:rFonts w:eastAsia="Amiri" w:cs="Amiri" w:ascii="Amiri" w:hAnsi="Amiri"/>
          <w:color w:val="111111"/>
          <w:sz w:val="28"/>
          <w:szCs w:val="28"/>
          <w:rtl w:val="true"/>
          <w:lang w:bidi="ar-SA"/>
        </w:rPr>
        <w:t>»</w:t>
      </w:r>
      <w:r>
        <w:rPr>
          <w:rStyle w:val="FootnoteAnchor"/>
          <w:rtl w:val="true"/>
        </w:rPr>
        <w:footnoteReference w:id="180"/>
      </w:r>
    </w:p>
    <w:p>
      <w:pPr>
        <w:pStyle w:val="BookText"/>
        <w:rPr/>
      </w:pPr>
      <w:r>
        <w:rPr>
          <w:rFonts w:ascii="IRNazanin" w:hAnsi="IRNazanin" w:eastAsia="IRNazanin"/>
          <w:color w:val="111111"/>
          <w:sz w:val="28"/>
          <w:sz w:val="28"/>
          <w:szCs w:val="28"/>
          <w:rtl w:val="true"/>
          <w:lang w:bidi="fa-IR"/>
        </w:rPr>
        <w:t>مسعدة بن صدقة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مؤمن بر مؤمنِ ديگر هفت حق است كه از جانب خداوند عزّ و جلّ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در نبودش او را بزرگ بشمارد و در سينه‌اش محبّت او را داشته باشد و با او در مالش به مواسات عمل كند و غيبت او را حرام بداند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نبود او را حرمت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بيماري به عيادتش برود و جنازه‌اش را تشييع كند و بعد از مرگش جز خير درباره‌ي او نگويد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اين روايت تصريح شده است كه إجتناب از غيبت، از حقوق مردم است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حقّي براي مؤمن از حقوق اخلاقي است؛ چون در سياق عيادت از مريض، تشييع جنازه‌ي مؤمن، محبّت ديگران و مواسات در مال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را كه علم داريم حقِّ غير الزامي است صحيح مي‌فرماييد، ولي غيبت را مي‌دانيم كه حقِّ الزامي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اگر گفتيم چيزي حق است، حق اوّلاً و بالذات الزامي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روايت هم تصريح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حقوق واجبة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حقوقي كه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اين‌گونه مي‌توان اشكال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منظور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الرعايه بودن باشد تخصيص اكثرِ مستهجن لازم مي‌آيد؛ زيرا غير از يك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هيچ‌كدام از موارد مطرح شده لازم الرعايه نيست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مضمون، يكي دو روايت ديگر هم داريم</w:t>
      </w:r>
      <w:r>
        <w:rPr>
          <w:rStyle w:val="FootnoteAnchor"/>
          <w:rtl w:val="true"/>
        </w:rPr>
        <w:footnoteReference w:id="181"/>
      </w:r>
      <w:r>
        <w:rPr>
          <w:rFonts w:ascii="IRNazanin" w:hAnsi="IRNazanin" w:eastAsia="IRNazanin"/>
          <w:color w:val="111111"/>
          <w:sz w:val="28"/>
          <w:sz w:val="28"/>
          <w:szCs w:val="28"/>
          <w:rtl w:val="true"/>
          <w:lang w:bidi="fa-IR"/>
        </w:rPr>
        <w:t>كه چون سند آن‌ها هم به هارون بن مسلم از مسعدة بن صدقة مي‌رسد، كه از نظر ما تمام نيست، آن‌ها را ذكر نمي‌كنيم</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روايت علي بن طاهر صوري</w:t>
      </w:r>
    </w:p>
    <w:p>
      <w:pPr>
        <w:pStyle w:val="BookText"/>
        <w:rPr/>
      </w:pPr>
      <w:r>
        <w:rPr>
          <w:rFonts w:ascii="Amiri" w:hAnsi="Amiri" w:eastAsia="Amiri" w:cs="Amiri"/>
          <w:color w:val="111111"/>
          <w:sz w:val="28"/>
          <w:sz w:val="28"/>
          <w:szCs w:val="28"/>
          <w:rtl w:val="true"/>
          <w:lang w:bidi="ar-SA"/>
        </w:rPr>
        <w:t>الْبِحَارُ، عَنْ كِتَابِ قَضَاءِ حُقُوقِ الْمُؤْمِنِينَ لِلشَّيْخِ سَدِيدِ الدِّينِ أَبِي عَلِيِّ بْنِ طَاهِرٍ الصُّورِيِّ بِإِسْنَادِهِ</w:t>
      </w:r>
      <w:r>
        <w:rPr>
          <w:rStyle w:val="FootnoteAnchor"/>
          <w:rtl w:val="true"/>
        </w:rPr>
        <w:footnoteReference w:id="18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عَلَى الْمُؤْمِنِ؛ الْمَوَدَّةَ لَهُ فِي صَدْرِهِ وَ الْمُوَاسَاةَ لَهُ فِي مَالِهِ وَ النُّصْرَةَ لَهُ عَلَى مَنْ ظَلَمَهُ وَ إِنْ كَانَ فَيْ‌ءٌ لِلْمُسْلِمِينَ وَ كَانَ غَائِباً أَخَذَ لَهُ بِنَصِيبِهِ وَ إِذَا مَاتَ فَالزِّيَارَةُ إِلَى قَبْرِهِ وَ لَا يَظْلِمُهُ وَ لَا يَغُشُّهُ وَ لَا يَخُونُهُ وَ لَا يَخْذُلُهُ وَ لَا يَغْتَابُه</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نسبت به مؤمن ديگر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مؤمن بر مؤمن ديگر آن است كه در سينه‌اش محبّت او را داشته باشد و در مالش به مواسات عمل كند و به ياري او بشتابد عليه كسي‌كه مي‌خواهد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كند و اگر غنيمتي براي مسلمين بود و او غايب بود سهم او را برايش بگيرد و اگر از دنيا رفت به زيارت قبرش رود و به او ظلم نكند و نسبت به او غش نكند و خيانت به او نكند و او را وانگذارد و غيبتش نكند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عدم غيبت مؤمن، حقّي است بر گردن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ديگري را جناب شيخ با اين عبارت ذكر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حرمة عرض المسلم كحرمة دمه و ماله</w:t>
      </w:r>
      <w:r>
        <w:rPr>
          <w:rFonts w:eastAsia="IRNazanin" w:cs="IRNazanin"/>
          <w:color w:val="111111"/>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ولي ظاهراً با اين تعبير، روايتي نداشته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گاهي به حافظه‌ي خود اتّكال مي‌كرد و محصّل روايت را كه در ذهنش بود ذكر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كه جناب شيخ چشمش ضعيف بود و مي‌گويند از ربع بينايي چشم بهره‌مند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روايتي كه مناسب با اين تعبير شيخ است روايتي است كه ذكر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حسين بن سعيد اهوازي</w:t>
      </w:r>
    </w:p>
    <w:p>
      <w:pPr>
        <w:pStyle w:val="BookText"/>
        <w:rPr/>
      </w:pPr>
      <w:r>
        <w:rPr>
          <w:rFonts w:ascii="Amiri" w:hAnsi="Amiri" w:eastAsia="Amiri" w:cs="Amiri"/>
          <w:color w:val="111111"/>
          <w:sz w:val="28"/>
          <w:sz w:val="28"/>
          <w:szCs w:val="28"/>
          <w:rtl w:val="true"/>
          <w:lang w:bidi="ar-SA"/>
        </w:rPr>
        <w:t xml:space="preserve">الْحُسَيْنُ بْنُ سَعِيدٍ الْأَهْوَازِيُّ فِي كِتَابِ الْمُؤْمِنِ،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حَرَامٌ كُلُّهُ عِرْضُهُ وَ مَالُهُ وَ دَمُهُ</w:t>
      </w:r>
      <w:r>
        <w:rPr>
          <w:rFonts w:eastAsia="Amiri" w:cs="Amiri" w:ascii="Amiri" w:hAnsi="Amiri"/>
          <w:color w:val="111111"/>
          <w:sz w:val="28"/>
          <w:szCs w:val="28"/>
          <w:rtl w:val="true"/>
          <w:lang w:bidi="ar-SA"/>
        </w:rPr>
        <w:t>»</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حسين بن سعيد اهوازي در كتابش به نام المؤمن،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تمامش حرمت دارد؛ عرضش و مالش و خونش</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اين روايت همان‌گونه كه مشاهده مي‌شود، تعبير حق به كار نرفته است، مگر آن‌كه چيزي به معناي روايت ضميمه شود به اين نحو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دم مؤمن حق است و اگر كسي رعايت</w:t>
      </w:r>
    </w:p>
    <w:p>
      <w:pPr>
        <w:pStyle w:val="BookText"/>
        <w:rPr/>
      </w:pPr>
      <w:r>
        <w:rPr>
          <w:rFonts w:ascii="IRNazanin" w:hAnsi="IRNazanin" w:eastAsia="IRNazanin"/>
          <w:color w:val="111111"/>
          <w:sz w:val="28"/>
          <w:sz w:val="28"/>
          <w:szCs w:val="28"/>
          <w:rtl w:val="true"/>
          <w:lang w:bidi="fa-IR"/>
        </w:rPr>
        <w:t>نكرد حقّي به گردنش مي‌آيد و همان‌طور كه مال مؤمن حق است و اگر كسي رعايت نكرد حقّي به گردنش مي‌آيد، عِرض مؤمن هم 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چنين بياني آسان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اين‌كه روايت بالمطابقه دلالتي بر حق بودن عِرض مؤمن ندارد، بالالتزام هم مشكل است؛ زيرا ممكن است حقِّ تكليفي مراد باشد، نه حقِّ وضعي به آن معنايي كه در نظر مستدل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اين‌جا از چند روايت استفاده شد كه اجتناب از غيبت حقّي است كه بر هر مؤمني نسبت به مؤمن ديگر جعل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صغراي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نياز به اثبات كبراي بحث داريم؛ يعني اثبات اين‌كه اگر حقوق مؤمنين رعايت نشد فرد خاطي در حلّيت قرار نمي‌گيرد و ذمّه‌اش بريء نمي‌شود مگر به استرضاء و استحلال از كسي كه حقّش ضايع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براي اثبات اين كبري بايد به سراغ روايات برويم تا ببينيم آيا حقِّ عدم اغتياب، از حقوقي است كه براي برائت ذمّه از آن حتماً بايد از طريق استحلال و استرضاء عمل كرد؟</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ممكن است كسي از اين روايات استفاده كند كه حتّي اگر عدمِ اغتياب از حقوق مؤمن نباشد باز طلب حلّيت، يك حكم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مبتلاي به غيبت شد بايد طلب حلّيت كند؛ يعني مانعي ندارد كه شارع، حكمي جعل كرده باشد كه اگر كسي غيبتِ ديگري كرد، حتّي اگر اين غيبت كردن موجب ضايع شدن</w:t>
      </w:r>
      <w:bookmarkStart w:id="298" w:name="pg2359_23348"/>
    </w:p>
    <w:p>
      <w:pPr>
        <w:pStyle w:val="BookText"/>
        <w:rPr/>
      </w:pPr>
      <w:bookmarkEnd w:id="298"/>
      <w:r>
        <w:rPr>
          <w:rFonts w:ascii="IRNazanin" w:hAnsi="IRNazanin" w:eastAsia="IRNazanin"/>
          <w:color w:val="111111"/>
          <w:sz w:val="28"/>
          <w:sz w:val="28"/>
          <w:szCs w:val="28"/>
          <w:rtl w:val="true"/>
          <w:lang w:bidi="fa-IR"/>
        </w:rPr>
        <w:t xml:space="preserve">حقِّ ديگري نشود شارع دستور داده بايد بِرَوي بينيِ خود را به خاك بمالي و اين ذلّت را تحمّل كني و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رضايت 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حكمت اين حكم، آن باشد كه ديگر مرتكب چنين گناهي نشود و در واقع، حكمت حكم اين است كه نسبت به انجام غيبت در موارد آتي رادع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اين‌گونه نيست كه لزوم استحلال، متفرّع بر اين باشد كه عدم اغتياب مؤمن، حقّي براي او باشد و در نتيجه اين حق ساقط نمي‌شود مگر به استرضاء، بلكه ممكن است استرضاء و استحلال، يك وجوب مستقلّ تكليفي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روايات مناسب بحث را در ذيل بررسي مي‌كنيم</w:t>
      </w:r>
      <w:r>
        <w:rPr>
          <w:rFonts w:eastAsia="IRNazanin" w:cs="IRNazanin"/>
          <w:color w:val="111111"/>
          <w:sz w:val="28"/>
          <w:szCs w:val="28"/>
          <w:rtl w:val="true"/>
          <w:lang w:bidi="fa-IR"/>
        </w:rPr>
        <w:t>:</w:t>
      </w:r>
    </w:p>
    <w:p>
      <w:pPr>
        <w:pStyle w:val="Heading4"/>
        <w:numPr>
          <w:ilvl w:val="3"/>
          <w:numId w:val="1"/>
        </w:numPr>
        <w:rPr/>
      </w:pPr>
      <w:bookmarkStart w:id="299" w:name="__RefHeading___Toc2770405_3804643083"/>
      <w:bookmarkStart w:id="300" w:name="_Toc113"/>
      <w:bookmarkEnd w:id="299"/>
      <w:r>
        <w:rPr>
          <w:rtl w:val="true"/>
        </w:rPr>
        <w:t>روايات لزوم استرضاء و استحلال</w:t>
      </w:r>
      <w:bookmarkEnd w:id="30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روايات اين بخش را مي‌توان به چند دسته يا چند نوع 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دسته‌ي روايات از اين قرارند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ابي‌ذر</w:t>
      </w:r>
    </w:p>
    <w:p>
      <w:pPr>
        <w:pStyle w:val="BookText"/>
        <w:rPr/>
      </w:pPr>
      <w:r>
        <w:rPr>
          <w:rFonts w:ascii="Amiri" w:hAnsi="Amiri" w:eastAsia="Amiri" w:cs="Amiri"/>
          <w:color w:val="111111"/>
          <w:sz w:val="28"/>
          <w:sz w:val="28"/>
          <w:szCs w:val="28"/>
          <w:rtl w:val="true"/>
          <w:lang w:bidi="ar-SA"/>
        </w:rPr>
        <w:t>مُحَمَّدُ بْنُ الْحَسَنِ فِي الْمَجَالِسِ وَ الْأَخْبَارِ بِإِسْنَادِهِ عَنْ أَبِي ذَرٍّ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الْغِيبَةَ فَإِنَّ الْغِيبَةَ أَشَدُّ مِنَ الزِّنَا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ذَاكَ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الرَّجُلَ يَزْنِي فَيَتُوبُ إِلَى اللَّهِ فَيَتُوبُ اللَّهُ عَلَيْهِ وَ الْغِيبَةُ لَا تُغْفَرُ حَتَّى يَغْفِرَهَا صَاحِبُهَا</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در اين روايت،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مورد بخشايش الهي قرار نمي‌گيرد مگر بعد از آن‌كه غيبت شونده از گناه غيبت درگذرد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سند اين روايت تامّ نيست، ولي دلالتش بر لزوم استحلال و استرضاء بعد از ارتكاب غيبت، تامّ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قطب راوندي</w:t>
      </w:r>
    </w:p>
    <w:p>
      <w:pPr>
        <w:pStyle w:val="BookText"/>
        <w:rPr/>
      </w:pPr>
      <w:r>
        <w:rPr>
          <w:rFonts w:ascii="Amiri" w:hAnsi="Amiri" w:eastAsia="Amiri" w:cs="Amiri"/>
          <w:color w:val="111111"/>
          <w:sz w:val="28"/>
          <w:sz w:val="28"/>
          <w:szCs w:val="28"/>
          <w:rtl w:val="true"/>
          <w:lang w:bidi="ar-SA"/>
        </w:rPr>
        <w:t>الْقُطْبُ الرَّاوَنْدِيُّ فِي لُبِّ اللُّبَابِ،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عُقُوبَةُ الْغِيبَةِ أَشَدُّ مِنْ عُقُوبَةِ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صَاحِبَ الزِّنَا يَتُوبُ فَيَغْفِرُ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تُغْفَرُ الْغِيبَةُ إِلَّا أَنْ يُحَلِّلَهُ صَاحِبُهُ</w:t>
      </w:r>
      <w:r>
        <w:rPr>
          <w:rFonts w:eastAsia="Amiri" w:cs="Amiri" w:ascii="Amiri" w:hAnsi="Amiri"/>
          <w:color w:val="111111"/>
          <w:sz w:val="28"/>
          <w:szCs w:val="28"/>
          <w:rtl w:val="true"/>
          <w:lang w:bidi="ar-SA"/>
        </w:rPr>
        <w:t>»</w:t>
      </w:r>
      <w:r>
        <w:rPr>
          <w:rStyle w:val="FootnoteAnchor"/>
          <w:rtl w:val="true"/>
        </w:rPr>
        <w:footnoteReference w:id="188"/>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قطب راوندي در كتاب لُبّ اللباب از نبي اكرم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غيبت از عقوبت زنا شديدتر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يا رسول الله؟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زناكار توبه مي‌كند پس مورد آمرزش خداوند قرار مي‌گيرد، ولي غيبت آمرزيده نمي‌شود مگر آن‌كه غيبت شونده اعلام حلّيت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نفرموده است استحلال واجب است،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غيبت شونده حلال نكند غيبت كننده آمرزيده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شخص گناه‌كار بايد از گناه و مظلمه خارج شود، فرض هم اين است كه خروج از مظلمه، از طريق استحلال است؛ زيرا غيبت شونده كه اطلاعي از غيبت ندارد، پس حداقل، استحلال به عنوان مقدّمه‌ي تخلّص از عقوبت،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سند اين روايت هم ناتمام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دسته‌ي ديگري از روايات</w:t>
      </w:r>
    </w:p>
    <w:p>
      <w:pPr>
        <w:pStyle w:val="BookText"/>
        <w:rPr/>
      </w:pPr>
      <w:r>
        <w:rPr>
          <w:rFonts w:ascii="Amiri" w:hAnsi="Amiri" w:eastAsia="Amiri" w:cs="Amiri"/>
          <w:color w:val="111111"/>
          <w:sz w:val="28"/>
          <w:sz w:val="28"/>
          <w:szCs w:val="28"/>
          <w:rtl w:val="true"/>
          <w:lang w:bidi="ar-SA"/>
        </w:rPr>
        <w:t>ـ روايت جناب كراجكي</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الْكَرَاجُكِيُّ فِي كَنْزِ الْفَوَائِدِ عَنِ الْحُسَيْنِ بْنِ مُحَمَّدِ بْنِ عَلِيٍّ الصَّيْرَفِيِّ عَنْ مُحَمَّدِ بْنِ عَلِيٍّ الْجِعَابِيِّ عَنِ الْقَاسِمِ بْنِ مُحَمَّدِ بْنِ جَعْفَرٍ الْعَلَوِيِّ عَنْ أَبِيهِ عَنْ آبَائِهِ</w:t>
      </w:r>
      <w:r>
        <w:rPr>
          <w:rStyle w:val="FootnoteAnchor"/>
          <w:rtl w:val="true"/>
        </w:rPr>
        <w:footnoteReference w:id="189"/>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ثَلَاثُونَ حَقّاً لَا بَرَاءَةَ لَهُ مِنْهَا إِلَّا بِالْأَدَاءِ أَوِ الْعَفْوِ يَغْفِرُ زَلَّتَهُ وَ يَرْحَمُ عَبْرَتَهُ وَ يَسْتُرُ عَوْرَتَهُ وَ يُقِيلُ عَثْرَتَهُ وَ يَقْبَلُ مَعْذِرَتَهُ وَ يَرُدُّ غِيبَتَهُ وَ يُدِيمُ نَصِيحَتَهُ وَ يَحْفَظُ خُلَّتَهُ وَ يَرْعَى ذِمَّتَهُ وَ يَعُودُ مَرْضَتَهُ وَ يَشْهَدُ مَيْتَتَهُ وَ</w:t>
      </w:r>
    </w:p>
    <w:p>
      <w:pPr>
        <w:pStyle w:val="BookText"/>
        <w:rPr/>
      </w:pPr>
      <w:r>
        <w:rPr>
          <w:rFonts w:ascii="Amiri" w:hAnsi="Amiri" w:eastAsia="Amiri" w:cs="Amiri"/>
          <w:color w:val="111111"/>
          <w:sz w:val="28"/>
          <w:sz w:val="28"/>
          <w:szCs w:val="28"/>
          <w:rtl w:val="true"/>
          <w:lang w:bidi="ar-SA"/>
        </w:rPr>
        <w:t xml:space="preserve">يُجِيبُ دَعْوَتَهُ وَ يَقْبَلُ هَدِيَّتَهُ وَ يُكَافِئُ صِلَتَهُ وَ يَشْكُرُ نِعْمَتَهُ وَ يُحْسِنُ نُصْرَتَهُ وَ يَحْفَظُ حَلِيلَتَهُ وَ يَقْضِي حَاجَتَهُ وَ يَشْفَعُ مَسْأَلَتَهُ وَ يُسَمِّتُ عَطْسَتَهُ وَ يُرْشِدُ ضَالَّتَهُ وَ يَرُدُّ سَلَامَهُ وَ يُطَيِّبُ كَلَامَهُ وَ يُبِرُّ إِنْعَامَهُ وَ يُصَدِّقُ أَقْسَامَهُ وَ يُوَالِي 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يَنْصُرُهُ ظَالِماً وَ مَظْلُوماً فَأَمَّا نُصْرَتُهُ ظَالِماً فَيَرُدُّهُ عَنْ ظُلْمِهِ وَ أَمَّا نُصْرَتُهُ مَظْلُوماً فَيُعِينُهُ عَلَى أَخْذِ حَقِّهِ وَ لَا يُسْلِمُهُ وَ لَا يَخْذُلُهُ وَ يُحِبُّ لَهُ مِنَ الْخَيْرِ مَا يُحِبُّ لِنَفْسِهِ وَ يَكْرَهُ لَهُ مِنَ الشَّرِّ مَا يَكْرَهُ لِنَفْسِهِ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فَيُقْضَى لَهُ وَ عَلَيْهِ</w:t>
      </w:r>
      <w:r>
        <w:rPr>
          <w:rFonts w:eastAsia="Amiri" w:cs="Amiri" w:ascii="Amiri" w:hAnsi="Amiri"/>
          <w:color w:val="111111"/>
          <w:sz w:val="28"/>
          <w:szCs w:val="28"/>
          <w:rtl w:val="true"/>
          <w:lang w:bidi="ar-SA"/>
        </w:rPr>
        <w:t>»</w:t>
      </w:r>
      <w:r>
        <w:rPr>
          <w:rStyle w:val="FootnoteAnchor"/>
          <w:rtl w:val="true"/>
        </w:rPr>
        <w:footnoteReference w:id="190"/>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 برادر مسلمانش سى حق دارد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برىء نشود جز به أداى آن‌ها يا گذشت صاحب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لغزشش درگذرد و به اشكش رحم آورد و عورتش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عيبى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بپوشاند و لغزش او را ببخشايد و عذرش را بپذيرد و غيبت عليه او را رد كند و هميشه با او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 غلّ و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به معناي پند دادن نيست، به معناي صاف و پاك بودن با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دوستى او را حفظ كند و آن‌چه بر عهده گرفته است رعايت كند</w:t>
      </w:r>
    </w:p>
    <w:p>
      <w:pPr>
        <w:pStyle w:val="BookText"/>
        <w:rPr/>
      </w:pPr>
      <w:r>
        <w:rPr>
          <w:rFonts w:ascii="IRNazanin" w:hAnsi="IRNazanin" w:eastAsia="IRNazanin"/>
          <w:color w:val="111111"/>
          <w:sz w:val="28"/>
          <w:sz w:val="28"/>
          <w:szCs w:val="28"/>
          <w:rtl w:val="true"/>
          <w:lang w:bidi="fa-IR"/>
        </w:rPr>
        <w:t xml:space="preserve">و در بيماريش عيادتش كند و بر سر جنازه اش حضور يابد و دعوتش را بپذيرد و هديه‌اش را قبول كند و صله‌اش را عوض دهد و نعمتش را قدردانى كند و خوب ياريش كند و حرمت او را در مورد همسرش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همسرش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حاجتش را برآورد و درخواستش را به انجام رساند و عطسه‌اش را خير باشد گويد و چيزي از او گم شد راهنمايي‌اش كند و سلامش را جواب دهد و با او خوش سخن باشد و اگر انعامي كرد خوب آن را تحويل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به او انعام كرد خوب انعام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معناي اوّل به ذهن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قسَمي خورد تصديقش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قسمي در حقّ او خورد عملي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او را دوست بدارد و دشمنش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 در اين‌جا متفاوت است و در بعضي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يعادي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يعني با دشمنش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ياريش كند چه ظالم باشد و چه مظلوم، يارى او در ستمكاريش اين‌كه او را از ستم منع كند و در مظلومى او اين‌كه كمكش كند كه حقّش را بستاند، و او را تسليم دشمن نكند و واگذارش نكند به ترك يارى او و دوست بدارد برايش هر خيرى كه براى خود دوست مي دارد و نپسندد برايش هر بدى كه براى خود نمي پسندد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علي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شماها از حقّ برادرش چيزى كم گذارد، پس روز قيامت از او مطالبه شود و به نفع برادر</w:t>
      </w:r>
    </w:p>
    <w:p>
      <w:pPr>
        <w:pStyle w:val="BookText"/>
        <w:rPr/>
      </w:pPr>
      <w:r>
        <w:rPr>
          <w:rFonts w:ascii="IRNazanin" w:hAnsi="IRNazanin" w:eastAsia="IRNazanin"/>
          <w:color w:val="111111"/>
          <w:sz w:val="28"/>
          <w:sz w:val="28"/>
          <w:szCs w:val="28"/>
          <w:rtl w:val="true"/>
          <w:lang w:bidi="fa-IR"/>
        </w:rPr>
        <w:t>و عليه وي حكم صادر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استدلال به روايت</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اثبات صغري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اغتياب،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شما حقّي از حقوق برادر ديني خود را واگذارد روز قيامت از او مطالبه مي‌شود و وقتي مطالبه كردند، به نفعش حكم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غيبت ديگري كرد، براي اين‌كه روز قيامت از او مطالبه نشود بايد استحلال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بيان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غيبت را از حقوق برشمردند، حال اگر ردّ غيبت به اين معنا باشد كه اگر غيبت ديگري را شنيد در مقابلش بايستد، پس به طريق اولي عدم غيبت هم از حقوق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روايت 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از اين حقوق بريء الذمه نمي‌شود مگر به أداء يا عفو؛ يعني طرف مقابل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عفو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براي رسيدن به عفو برادر مؤمن، استحلال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 باز ممكن است كسي اشكال كند كه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مظلمه از بين نمي‌رود مگر به أداء يا عفو، ولي از كجا و به چه دليلي طلب حلّيت واجب باشد؟</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به اين اشكال هم مانند پاسخ به اشكال قبلي است؛ وقتي مي‌دانيم بايد از مظلمه‌ي ديگران خارج شد و طريقش هم جز از راه استحلال نيست، پس بايد استحلال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خودش عفو كرد مطلوب حاصل است، ولي اگر خودش عفو نكرد استحلال لازم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مواردي كه در روايت ذكر شده است، از مستحبات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تعداد كمي را مي‌توان از واجبات دانست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با كثرت موارد مستحب، نمي‌توان استفاده كرد كه روايت در اعمّ از وجوب و استحباب به كار رفته است؟ در نتيجه با اثبات اعم، نمي‌توان اثبات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اين‌كه روايت كُلاً در استحباب به كار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حاضر با روايت قبلي فرق دارد؛ زيرا بعضي موارد آن واقعاً واجب است، مثل ردّ سلام يا ستر عورت ديگران</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بعيد نيست اگر بگوييم معناي روايت آن است كه بايد هر حقّي را به حسب آن‌طوري كه ثابت است از عهده‌اش برآيند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اداي هر حقّي به حسب نوع ثبوت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حقّي واجب بود رعايتش و استحلال از آن هم واجب است، ولي اگر حقّي مستحب بود طلب عفو از صاحب حق هم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بعيد نيست معناي متفاهم عرفي از روايت، اين باشد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دلالت اين روايت تمام است، گرچه شيخ و برخي ديگر از بزرگان دلالت اين روايت را بر مطلب نپذيرفتند</w:t>
      </w:r>
      <w:r>
        <w:rPr>
          <w:rStyle w:val="FootnoteAnchor"/>
          <w:rtl w:val="true"/>
        </w:rPr>
        <w:footnoteReference w:id="1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سند روايت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عامّيه</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كانت لأخيه عنده مظلمة في عرض أو مال، فليستحللها منه، من قبل أن يأتي يوم، ليس هناك دينار و لا درهم، يؤخذ من حسناته فإن لم تكن له حسنات أخذ من سيئات صاحبه، فيزيد على سيئاته</w:t>
      </w:r>
      <w:r>
        <w:rPr>
          <w:rFonts w:eastAsia="Amiri" w:cs="Amiri" w:ascii="Amiri" w:hAnsi="Amiri"/>
          <w:color w:val="111111"/>
          <w:sz w:val="28"/>
          <w:szCs w:val="28"/>
          <w:rtl w:val="true"/>
          <w:lang w:bidi="ar-SA"/>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 xml:space="preserve">كسي كه در حقّ برادرش ظلمي در آبرو يا مالش مرتكب شده باشد، پس بايد طلب حلّيت كند قبل از آمدن روزي كه نه ديناري آن‌جاست و نه درهمي،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حسنات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نفع شخص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حسناتي نداشته باشد از بدي‌هاي طرف مقابل برداشته شده و به بدي‌هاي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روايت سند صحيحي ندارد و در مدارك عامّه نقل شده است و لذا قابل اعتماد نيست، ولي دلالتش خيلي روشن است؛ چون عِرض برادر مؤمن، شامل غيبت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غيبت كند عِرض ديگري را در معرض خطر قرار داده است، پس بايد استحلال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جامع الاخبار</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 الْأَخْبَارِ،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اغْتَابَ مُسْلِماً أَوْ مُسْلِمَةً، لَمْ يَقْبَلِ اللَّهُ تَعَالَى صَلَاتَهُ وَ لَا صِيَامَهُ أَرْبَعِينَ يَوْماً وَ لَيْلَةً إِلَّا أَنْ يَغْفِرَ لَهُ صَاحِبُهُ</w:t>
      </w:r>
      <w:r>
        <w:rPr>
          <w:rFonts w:eastAsia="Amiri" w:cs="Amiri" w:ascii="Amiri" w:hAnsi="Amiri"/>
          <w:color w:val="111111"/>
          <w:sz w:val="28"/>
          <w:szCs w:val="28"/>
          <w:rtl w:val="true"/>
          <w:lang w:bidi="ar-SA"/>
        </w:rPr>
        <w:t>»</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كسي كه غيبت مرد يا زن مسلماني كند، خداوند چهل شبانه روز نماز و روزه‌اش را نمي‌پذيرد، مگر آن‌كه غيبت شونده او را ببخشايد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 قائلند قطعاً مضمون اين روايت درست نيست؛ زيرا مي‌دانيم و يقين داريم نمازِ كسي كه غيبت كند درست است و با غيبت، نماز كسي باطل نمي‌شود</w:t>
      </w:r>
      <w:r>
        <w:rPr>
          <w:rStyle w:val="FootnoteAnchor"/>
          <w:rtl w:val="true"/>
        </w:rPr>
        <w:footnoteReference w:id="1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مضمون اين روايت با بقيّه‌ي روايات و همچنين مطالب قطعي مخالف بوده، علاوه بر آن‌كه سند هم ندارد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اين اشكال وارد نيست؛ زيرا روايت نمي‌فرمايد صلات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صلاتش مورد قبول واقع نمي‌شود و پذيرفته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پذيرفته شدن هم به اين معناست كه يك مرتبه‌ي پايين و حداقلي داريم كه همان صحت است و موجب سقوط تكليف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مراتب بالاتر يعني پذيرفتني كه خداوند در مقابل عمل، عنايت ويژه داشته باشد و رفعت مقام بدهد و حسنات زيادي به فرد بدهد، به اين معنا مانعي ندارد كه بگوييم كسي كه غيبت كند نمازش پذيرفته نمي‌شود؛ يعني آن رفعت مقام را درك نخواهد كرد مگر آن‌كه</w:t>
      </w:r>
    </w:p>
    <w:p>
      <w:pPr>
        <w:pStyle w:val="BookText"/>
        <w:rPr/>
      </w:pPr>
      <w:r>
        <w:rPr>
          <w:rFonts w:ascii="Amiri" w:hAnsi="Amiri" w:eastAsia="Amiri" w:cs="Amiri"/>
          <w:color w:val="111111"/>
          <w:sz w:val="28"/>
          <w:sz w:val="28"/>
          <w:szCs w:val="28"/>
          <w:rtl w:val="true"/>
          <w:lang w:bidi="ar-SA"/>
        </w:rPr>
        <w:t>طرف مقابل از او راضي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اشكالي كه بر استدلال به اين روايت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كه اگر غيبت شونده از عمل غيبت كننده راضي شد نمازِ غيبت كننده پذيرفته مي‌شود، ولي آيا واجب است كه حتماً استحلال كند؟ دلالتي بر وجوب استحلال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از اين روايت رجحان استحلال براي پذيرفته شدن نمازش و كسب مقامات بالاتر استفاده مي‌شود، ولي وجوب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انتقال حسنات در صورت عدم استحلال</w:t>
      </w:r>
    </w:p>
    <w:p>
      <w:pPr>
        <w:pStyle w:val="BookText"/>
        <w:rPr/>
      </w:pPr>
      <w:r>
        <w:rPr>
          <w:rFonts w:ascii="IRNazanin" w:hAnsi="IRNazanin" w:eastAsia="IRNazanin"/>
          <w:color w:val="111111"/>
          <w:sz w:val="28"/>
          <w:sz w:val="28"/>
          <w:szCs w:val="28"/>
          <w:rtl w:val="true"/>
          <w:lang w:bidi="fa-IR"/>
        </w:rPr>
        <w:t>برخي براي روايتي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غيبت ديگري كند حسناتش به شخص غيبت شده منتقل مي‌شود، ذيلي با اين عبارت، اضافه كرده‌اند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استحلّ رجعت إلي صاحبها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اگر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حلّيت كرد حسناتش كه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شده بود به صاحب اوّليه بازمي‌گردد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روايت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چنين امري واقعاً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اين‌چنين باشد به چه دليل شخص غيبت شده،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رضايت كند؟ مگر آن‌كه خداوند به واسطه‌ي عفو او ثواب بيشتري به او دهد، كه البته براي اين معنا شواهدي در روايات 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منابع حديثي، چنين ذيلي براي روايت نديديم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اصل روايت هم سند ندارد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ذيلي ثابت باشد دلالتي بر وجوب استحلال</w:t>
      </w:r>
    </w:p>
    <w:p>
      <w:pPr>
        <w:pStyle w:val="BookText"/>
        <w:rPr/>
      </w:pP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سيّئاتي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پرونده‌ي اعمال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برمي‌گردد، لزوم استحلال را در اين صورت مي‌پذيرفتيم، ولي چنين تعبيري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روايت، هم از جهت سند و هم از جهت دلالت قاصر از اثبات مدّعا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دعاي صحيفه‌ي سجّاديه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أَيُّمَا عَبْدٍ مِنْ عَبِيدِكَ أَدْرَكَهُ مِنِّي دَرَكٌ، أَوْ مَسَّهُ مِنْ نَاحِيَتِي أَذًى، أَوْ لَحِقَهُ بِي أَوْ بِسَبَبِي ظُلْمٌ فَفُتُّهُ</w:t>
      </w:r>
      <w:r>
        <w:rPr>
          <w:rStyle w:val="FootnoteAnchor"/>
          <w:rtl w:val="true"/>
        </w:rPr>
        <w:footnoteReference w:id="196"/>
      </w:r>
      <w:r>
        <w:rPr>
          <w:rFonts w:ascii="Amiri" w:hAnsi="Amiri" w:eastAsia="Amiri" w:cs="Amiri"/>
          <w:color w:val="111111"/>
          <w:sz w:val="28"/>
          <w:sz w:val="28"/>
          <w:szCs w:val="28"/>
          <w:rtl w:val="true"/>
          <w:lang w:bidi="ar-SA"/>
        </w:rPr>
        <w:t>بِحَقِّهِ، أَوْ سَبَقْتُهُ بِمَظْلِمَتِهِ، فَصَلِّ عَلَى مُحَمَّدٍ وَ آلِهِ، وَ أَرْضِهِ عَنِّي مِنْ وُجْدِكَ، وَ أَوْفِهِ حَقَّهُ مِنْ عِنْدِكَ ثُمَّ قِنِي مَا يُوجِبُ لَهُ حُكْمُكَ، وَ خَلِّصْنِي مِمَّا يَحْكُمُ بِهِ عَدْلُكَ، فَإِنَّ قُوَّتِي لَا تَسْتَقِلُّ بِنَقِمَتِكَ، وَ إِنَّ طَاقَتِي لَا تَنْهَضُ بِسُخْطِكَ</w:t>
      </w:r>
      <w:r>
        <w:rPr>
          <w:rFonts w:eastAsia="Amiri" w:cs="Amiri" w:ascii="Amiri" w:hAnsi="Amiri"/>
          <w:color w:val="111111"/>
          <w:sz w:val="28"/>
          <w:szCs w:val="28"/>
          <w:rtl w:val="true"/>
          <w:lang w:bidi="ar-SA"/>
        </w:rPr>
        <w:t>»</w:t>
      </w:r>
      <w:r>
        <w:rPr>
          <w:rStyle w:val="FootnoteAnchor"/>
          <w:rtl w:val="true"/>
        </w:rPr>
        <w:footnoteReference w:id="197"/>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از بندگانت كه از من عقوبت و شكنجه‌اى يافته يا از جانب من آزارى به او رسيده يا از من يا به وسيله‌ي من ستمى بر او رفته و حقّ او را ضايع كردم يا دادخواهى از حقّش را از ميان برده باشم،</w:t>
      </w:r>
      <w:r>
        <w:rPr>
          <w:rStyle w:val="FootnoteAnchor"/>
          <w:rtl w:val="true"/>
        </w:rPr>
        <w:footnoteReference w:id="198"/>
      </w:r>
      <w:r>
        <w:rPr>
          <w:rFonts w:ascii="IRNazanin" w:hAnsi="IRNazanin" w:eastAsia="IRNazanin"/>
          <w:color w:val="111111"/>
          <w:sz w:val="28"/>
          <w:sz w:val="28"/>
          <w:szCs w:val="28"/>
          <w:rtl w:val="true"/>
          <w:lang w:bidi="fa-IR"/>
        </w:rPr>
        <w:t>پس بر محمّد و آل او درود فرست و او را از توانگرى خود، از من خشنود ساز و از جانب خويش حقّ</w:t>
      </w:r>
    </w:p>
    <w:p>
      <w:pPr>
        <w:pStyle w:val="BookText"/>
        <w:rPr/>
      </w:pPr>
      <w:r>
        <w:rPr>
          <w:rFonts w:ascii="IRNazanin" w:hAnsi="IRNazanin" w:eastAsia="IRNazanin"/>
          <w:color w:val="111111"/>
          <w:sz w:val="28"/>
          <w:sz w:val="28"/>
          <w:szCs w:val="28"/>
          <w:rtl w:val="true"/>
          <w:lang w:bidi="fa-IR"/>
        </w:rPr>
        <w:t xml:space="preserve">او را بى‌كم و كاست عطا فرما، سپس مرا از چيزى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فرمان تو موجب آن مي‌شود نگهدار و از آن‌چه عدل تو به آن حكم مي‌كند رهايي ده؛ زيرا توانايى من از تحمّل انتقام و كيفر تو بر نمي‌آيد و نيروى من با خشم تو برابرى نتواند كرد</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دَرَكي و أذيّتي از ناحيه‌ي من نسبت به كسي شد و من نتوانستم حقّش را ادا كنم، تو از كرم خودت جبران نما و حقّ او را وفا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اگر انسان امكان جبران ظلم به ديگران را داشته باشد بايد در پي اداي آن برآيد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دعاي شريف، حرفي از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جبران حق براي هر ظلم و أذيّتي واجب است؟ بيان حضرت معناي وسيعي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أذيّت و ظلمي از دست من در رفت، ولي در اين‌كه كدام ظلم و أذيّت، جبران پذير است و بايد از آن استحلال كرد و كدام اين‌طور نيست، بياني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قسمت از دعاي صحيفه‌ي سجاديه قابل تمسّك براي اثبات وجوب استحلال از غيبت نيست، علي‌رغم آن‌كه برخي خيلي روي اين دليل تكيه كرده‌اند</w:t>
      </w:r>
      <w:r>
        <w:rPr>
          <w:rFonts w:eastAsia="IRNazanin" w:cs="IRNazanin"/>
          <w:color w:val="111111"/>
          <w:sz w:val="28"/>
          <w:szCs w:val="28"/>
          <w:rtl w:val="true"/>
          <w:lang w:bidi="fa-IR"/>
        </w:rPr>
        <w:t>.</w:t>
      </w:r>
      <w:bookmarkStart w:id="301" w:name="pg2359_23360"/>
    </w:p>
    <w:p>
      <w:pPr>
        <w:pStyle w:val="Heading4"/>
        <w:numPr>
          <w:ilvl w:val="3"/>
          <w:numId w:val="1"/>
        </w:numPr>
        <w:rPr/>
      </w:pPr>
      <w:bookmarkStart w:id="302" w:name="__RefHeading___Toc2770407_3804643083"/>
      <w:bookmarkStart w:id="303" w:name="_Toc114"/>
      <w:bookmarkEnd w:id="301"/>
      <w:bookmarkEnd w:id="302"/>
      <w:r>
        <w:rPr>
          <w:rtl w:val="true"/>
        </w:rPr>
        <w:t>اسلام دين رأفت نه خشونت</w:t>
      </w:r>
      <w:bookmarkEnd w:id="303"/>
    </w:p>
    <w:p>
      <w:pPr>
        <w:pStyle w:val="BookText"/>
        <w:rPr/>
      </w:pPr>
      <w:r>
        <w:rPr>
          <w:rFonts w:ascii="IRNazanin" w:hAnsi="IRNazanin" w:eastAsia="IRNazanin"/>
          <w:color w:val="111111"/>
          <w:sz w:val="28"/>
          <w:sz w:val="28"/>
          <w:szCs w:val="28"/>
          <w:rtl w:val="true"/>
          <w:lang w:bidi="fa-IR"/>
        </w:rPr>
        <w:t>در ابتداي اين دعا مطالب زيبايي آمده است كه هرچند ارتباطي با بحث كفّاره‌ي غيبت ندارد ولي ذكرش خالي از لطف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اين دعاي شريف از خداوند مي‌خواهد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عَلَى مُحَمَّدٍ وَ آلِهِ، وَ اكْسِرْ شَهْوَتِي عَنْ كُلِّ مَحْرَمٍ، وَ ازْوِ حِرْصِي عَنْ كُلِّ مَأْثَمٍ، وَ امْنَعْنِي عَنْ أَذَى كُلِّ مُؤْمِنٍ وَ مُؤْمِنَةٍ، وَ مُسْلِمٍ وَ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أَيُّمَا عَبْدٍ نَالَ مِنِّي مَا حَظَرْتَ عَلَيْهِ، وَ انْتَهَكَ مِنِّي مَا حَجَزْتَ عَلَيْهِ، فَمَضَى بِظُلَامَتِي مَيِّتاً، أَوْ حَصَلَتْ لِي قِبَلَهُ حَيّاً فَاغْفِرْ لَهُ مَا أَلَمَّ بِهِ مِنِّي، وَ اعْفُ لَهُ عَمَّا أَدْبَرَ بِهِ عَنِّي، وَ لَا تَقِفْهُ عَلَى مَا ارْتَكَبَ فِيَّ، وَ لَا تَكْشِفْهُ عَمَّا اكْتَسَبَ بِي، وَ اجْعَلْ مَا سَمَحْتُ بِهِ مِنَ الْعَفْوِ عَنْهُمْ، وَ تَبَرَّعْتُ بِهِ مِنَ الصَّدَقَةِ عَلَيْهِمْ أَزْكَى صَدَقَاتِ الْمُتَصَدِّقِينَ، وَ أَعْلَى صِلَاتِ الْمُتَقَرِّبِينَ وَ عَوِّضْنِي مِنْ عَفْوِي عَنْهُمْ عَفْوَكَ، وَ مِنْ دُعَائِي لَهُمْ رَحْمَتَكَ حَتَّى يَسْعَدَ كُلُّ وَاحِدٍ مِنَّا بِفَضْلِكَ، وَ يَنْجُوَ كُلٌّ مِنَّا بِمَنِّكَ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محمّد و آل او درود فرست و شهوت و خواهش مرا از هر حرام و منع شده‌اى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حرص و آزم را از هر گناهى دور گردان و مرا از آزار رساندن به هر مرد و زن با ايمان و هر مرد و زن مسلمان باز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بنده‌اى كه درباره‌ي من آن‌چه را بر او حرام كرده‌اى به‌جا آورده و پرده‌ي آن‌چه را كه بر او منع كرده‌اي دريده و حقّ مرا بُرده و مرده يا زنده است و حقّ من</w:t>
      </w:r>
    </w:p>
    <w:p>
      <w:pPr>
        <w:pStyle w:val="BookText"/>
        <w:rPr/>
      </w:pPr>
      <w:r>
        <w:rPr>
          <w:rFonts w:ascii="IRNazanin" w:hAnsi="IRNazanin" w:eastAsia="IRNazanin"/>
          <w:color w:val="111111"/>
          <w:sz w:val="28"/>
          <w:sz w:val="28"/>
          <w:szCs w:val="28"/>
          <w:rtl w:val="true"/>
          <w:lang w:bidi="fa-IR"/>
        </w:rPr>
        <w:t>نزد او به جا مانده باشد، پس او را در ستمى كه به من كرده است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حقّى كه از من برده در گذر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درباره‌ي من به‌جا آورده است آگاه مساز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سرزنش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اثر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روا داشته است رسوايش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عفو و گذشت از ايشان را كه به كار بردم و صدقه و بخششى را كه بر ايشان بخشيدم، پاكيزه‌ترين بخشش‌هاى بخشندگان و بالاترين عطاهاى تقرّب جويان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درگاه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 و مرا از عفو و گذشتم از ايشان، به عفوت و از دعا و درخواستم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درباره‌ي آمرزش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آنان به رحمتت 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هر يك از ما به وسيله‌ي احسان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نيك‌بخت شود و هر كدام از ما به سبب نعمتت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 به من و آمرزش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بدبختى رهايى يابد</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كه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دين خشونت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قصاص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نمي‌دانند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قصاص، زندگي است و در مقياس كلّ جامعه، عين رحمت و لطف بر بندگان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لَكُمْ فِي الْقِصاصِ حَياةٌ يا أُولِي الْأَلْبابِ</w:t>
      </w:r>
      <w:r>
        <w:rPr>
          <w:rFonts w:eastAsia="IRNazanin" w:cs="IRNazanin"/>
          <w:color w:val="111111"/>
          <w:sz w:val="28"/>
          <w:szCs w:val="28"/>
          <w:rtl w:val="true"/>
          <w:lang w:bidi="fa-IR"/>
        </w:rPr>
        <w:t>)</w:t>
      </w:r>
      <w:r>
        <w:rPr>
          <w:rStyle w:val="FootnoteAnchor"/>
          <w:rtl w:val="true"/>
        </w:rPr>
        <w:footnoteReference w:id="201"/>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راه عفو را باز گذاشته و به‌طور مناسب به آن ترغبت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عُفِيَ لَهُ مِنْ أَخيهِ شَيْ‌ءٌ فَاتِّباعٌ بِالْمَعْرُوفِ وَ أَداءٌ إِلَيْهِ بِإِحْسانٍ ذلِكَ تَخْفيفٌ مِنْ رَبِّكُمْ</w:t>
      </w:r>
    </w:p>
    <w:p>
      <w:pPr>
        <w:pStyle w:val="BookText"/>
        <w:rPr/>
      </w:pPr>
      <w:r>
        <w:rPr>
          <w:rFonts w:ascii="Amiri" w:hAnsi="Amiri" w:eastAsia="Amiri" w:cs="Amiri"/>
          <w:color w:val="111111"/>
          <w:sz w:val="28"/>
          <w:sz w:val="28"/>
          <w:szCs w:val="28"/>
          <w:rtl w:val="true"/>
          <w:lang w:bidi="ar-SA"/>
        </w:rPr>
        <w:t>وَ رَحْمَة</w:t>
      </w:r>
      <w:r>
        <w:rPr>
          <w:rFonts w:eastAsia="Amiri" w:cs="Amiri" w:ascii="Amiri" w:hAnsi="Amiri"/>
          <w:color w:val="111111"/>
          <w:sz w:val="28"/>
          <w:szCs w:val="28"/>
          <w:rtl w:val="true"/>
          <w:lang w:bidi="ar-SA"/>
        </w:rPr>
        <w:t>)</w:t>
      </w:r>
      <w:r>
        <w:rPr>
          <w:rStyle w:val="FootnoteAnchor"/>
          <w:rtl w:val="true"/>
        </w:rPr>
        <w:footnoteReference w:id="202"/>
      </w:r>
      <w:r>
        <w:rPr>
          <w:rFonts w:ascii="IRNazanin" w:hAnsi="IRNazanin" w:eastAsia="IRNazanin"/>
          <w:color w:val="111111"/>
          <w:sz w:val="28"/>
          <w:sz w:val="28"/>
          <w:szCs w:val="28"/>
          <w:rtl w:val="true"/>
          <w:lang w:bidi="fa-IR"/>
        </w:rPr>
        <w:t>و در جاي ديگر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تَصَدَّقَ بِهِ فَهُوَ كَفَّارَةٌ لَه</w:t>
      </w:r>
      <w:r>
        <w:rPr>
          <w:rFonts w:eastAsia="IRNazanin" w:cs="IRNazanin"/>
          <w:color w:val="111111"/>
          <w:sz w:val="28"/>
          <w:szCs w:val="28"/>
          <w:rtl w:val="true"/>
          <w:lang w:bidi="fa-IR"/>
        </w:rPr>
        <w:t>)</w:t>
      </w:r>
      <w:r>
        <w:rPr>
          <w:rStyle w:val="FootnoteAnchor"/>
          <w:rtl w:val="true"/>
        </w:rPr>
        <w:footnoteReference w:id="203"/>
      </w:r>
      <w:r>
        <w:rPr>
          <w:rFonts w:ascii="Amiri" w:hAnsi="Amiri" w:eastAsia="Amiri" w:cs="Amiri"/>
          <w:color w:val="111111"/>
          <w:sz w:val="28"/>
          <w:sz w:val="28"/>
          <w:szCs w:val="28"/>
          <w:rtl w:val="true"/>
          <w:lang w:bidi="ar-SA"/>
        </w:rPr>
        <w:t>و به‌طور كلّي قرآن كريم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تَعْفُوا أَقْرَبُ لِلتَّقْوى</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سندي صحيفه‌ي سجاديه</w:t>
      </w:r>
    </w:p>
    <w:p>
      <w:pPr>
        <w:pStyle w:val="BookText"/>
        <w:rPr/>
      </w:pPr>
      <w:r>
        <w:rPr>
          <w:rFonts w:ascii="Amiri" w:hAnsi="Amiri" w:eastAsia="Amiri" w:cs="Amiri"/>
          <w:color w:val="111111"/>
          <w:sz w:val="28"/>
          <w:sz w:val="28"/>
          <w:szCs w:val="28"/>
          <w:rtl w:val="true"/>
          <w:lang w:bidi="ar-SA"/>
        </w:rPr>
        <w:t>صاحب جواهر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امكان استفاده از صحيفه‌ي سجاديه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 اين صحيفه از 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قطعي است</w:t>
      </w:r>
      <w:r>
        <w:rPr>
          <w:rStyle w:val="FootnoteAnchor"/>
          <w:rtl w:val="true"/>
        </w:rPr>
        <w:footnoteReference w:id="2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انصافاً اين كلام، حرف حقّي است؛ زيرا آن‌قدر مضامين عالي، فاخر و بلندي دارد آن‌هم با اين حجم، كه اصلاً ممكن نيست از يك انسان عادي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 به اين‌كه قرائني هم وجود دارد كه اين مطالب شريف از حضرت صادر شده باشد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مناقشه‌اي كه ما بارها بيان كرديم، اين است كه چه بسا ممكن است گاهي كلمه‌اي يا نكته‌اي در روايتي باشد كه مفيد يك حكم شرعي باشد ولي ما اطمينان به صدورش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w:t>
      </w:r>
    </w:p>
    <w:p>
      <w:pPr>
        <w:pStyle w:val="BookText"/>
        <w:rPr/>
      </w:pPr>
      <w:r>
        <w:rPr>
          <w:rFonts w:ascii="IRNazanin" w:hAnsi="IRNazanin" w:eastAsia="IRNazanin"/>
          <w:color w:val="111111"/>
          <w:sz w:val="28"/>
          <w:sz w:val="28"/>
          <w:szCs w:val="28"/>
          <w:rtl w:val="true"/>
          <w:lang w:bidi="fa-IR"/>
        </w:rPr>
        <w:t xml:space="preserve">باشيم و اين هم منافاتي با صدور اين شاكله از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 البلاغه هم اين‌گونه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عبارات مرحوم شيخ در مكاسب ـ حداقل با استنباط برخي از بزرگان ـ اين است كه صحّت صحيفه‌ي سجاديه مفروغٌ عنه بوده و نيازي به بررسي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صاحب جواهر را هم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از بزرگان نيز همين نظر را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عبارتي دارند كه دقيقاً همان بيان ما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الغضّ عن أسناد الروايات و القرائن القائمة في متونها، و إلّا فأبواب المناقشة في الإسناد و الدلالة في كثير منها مفتوحة، حتّى في الصحيفة المباركة السجّاديّة، فإنّ سندها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علوّ مضمونها و فصاحتها و بلاغتها و إن توجب نحو وثوق على صدورها لكن لا توجبه في جميع فقراتها واحدة بعد واحدة حتّى تكون حجّة يستدلّ بها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تلقّي أصحابنا إيّاها بالقبول كتلقّيهم نهج البلاغة به لو ثبت في الفقه أيضا، إنّما هو على نحو الإجمال و هو غير ثابت في جميع الفقرات</w:t>
      </w:r>
      <w:r>
        <w:rPr>
          <w:rStyle w:val="FootnoteAnchor"/>
          <w:rtl w:val="true"/>
        </w:rPr>
        <w:footnoteReference w:id="206"/>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بيان شده، با چشم‌پوشي از سند روايات و قرائني است كه در متون روايات بوده است، و إلا در اسناد و</w:t>
      </w:r>
    </w:p>
    <w:p>
      <w:pPr>
        <w:pStyle w:val="BookText"/>
        <w:rPr/>
      </w:pPr>
      <w:r>
        <w:rPr>
          <w:rFonts w:ascii="IRNazanin" w:hAnsi="IRNazanin" w:eastAsia="IRNazanin"/>
          <w:color w:val="111111"/>
          <w:sz w:val="28"/>
          <w:sz w:val="28"/>
          <w:szCs w:val="28"/>
          <w:rtl w:val="true"/>
          <w:lang w:bidi="fa-IR"/>
        </w:rPr>
        <w:t>دلالت بسياري از روايات مناقشه وجود دارد، حتّي در مورد صحيفه‌ي مباركه‌ي سجاديه؛ چرا كه سند آن ضعيف است و علوّ مضامين آن و فصاحت و شيوايي آن گرچه موجب اطمينان به صدورش از جانب حضرت مي‌شود، ولي موجب نمي‌شود كه تمامي فقرات آن، يك به يك موثّق بوده و براي استدلال در فقه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تلقّي علماي شيعه به قبول آن، مانند تلقّي آنان است نسبت به 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وثاقت آن به نحو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تمامي فقراتش ثابت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دعاي روز دوشنبه</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الْبَلَدُ، وَ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جنة الأمان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الْمُلْحَقَاتُ، دُعَاءٌ آخَرُ لِلسَّجَّادِ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بِسْمِ اللَّهِ الرَّحْمنِ الرَّحِيمِ الْحَمْدُ لِلَّهِ الَّذِي لَمْ يُشْهِدْ أَحَداً حِينَ فَطَرَ السَّمَاوَاتِ وَ الْأَرْضَ وَ لَا اتَّخَذَ مُعِيناً حِينَ بَرَأَ النَّسَمَاتِ لَمْ يُشَارَكْ فِي الْإِلَهِيَّةِ وَ لَمْ يُظَاهَرْ فِي الْوَحْدَانِيَّةِ كَلَّتِ الْأَلْسُنُ عَنْ غَايَةِ صِفَتِهِ وَ الْعُقُولُ عَنْ كُنْهِ مَعْرِفَتِهِ وَ تَوَاضَعَتِ الْجَبَابِرَةُ لِهَيْبَتِهِ وَ عَنَتِ الْوُجُوهُ لِخَشْيَتِهِ وَ انْقَادَ كُلُّ عَظِيمٍ لِعَظَمَتِهِ فَلَهُ الْحَمْدُ مُتَوَاتِراً مُتَّسِقاً وَ مُتَوَالِياً مُسْتَوْسِقاً وَ صَلَوَاتُهُ عَلَى رَسُولِهِ أَبَداً وَ سَلَامُهُ دَائِماً سَرْمَداً اللَّهُمَّ اجْعَلْ أَوَّلَ يَوْمِي هَذَا صَلَاحاً وَ أَوْسَطَهُ نَجَاحاً وَ آخِرَهُ فَلَاحاً وَ أَعُوذُ بِكَ مِنْ يَوْمٍ أَوَّلُهُ فَزَعٌ وَ أَوْسَطُهُ جَزَعٌ وَ آخِرُهُ وَجَعٌ اللَّهُمَّ إِنِّي أَسْتَغْفِرُكَ لِكُلِّ نَذْرٍ نَذَرْتُهُ وَ كُلِّ وَعْدٍ وَعَدْتُهُ وَ كُلِّ عَهْدٍ</w:t>
      </w:r>
    </w:p>
    <w:p>
      <w:pPr>
        <w:pStyle w:val="BookText"/>
        <w:rPr/>
      </w:pPr>
      <w:r>
        <w:rPr>
          <w:rFonts w:ascii="Amiri" w:hAnsi="Amiri" w:eastAsia="Amiri" w:cs="Amiri"/>
          <w:color w:val="111111"/>
          <w:sz w:val="28"/>
          <w:sz w:val="28"/>
          <w:szCs w:val="28"/>
          <w:rtl w:val="true"/>
          <w:lang w:bidi="ar-SA"/>
        </w:rPr>
        <w:t>عَاهَدْتُهُ ثُمَّ لَمْ أَفِ بِهِ وَ أَسْأَلُكَ فِي حَمْلِ مَظَالِمِ الْعِبَادِ عَنَّا فَأَيُّمَا عَبْدٍ مِنْ عَبِيدِكَ أَوْ أَمَةٍ مِنْ إِمَائِكَ كَانَتْ لَهُ قِبَلِي مَظْلِمَةٌ ظَلَمْتُهَا إِيَّاهُ فِي نَفْسِهِ أَوْ فِي عِرْضِهِ أَوْ فِي مَالِهِ أَوْ فِي أَهْلِهِ وَ وَلَدِهِ أَوْ غِيبَةٌ اغْتَبْتُهُ بِهَا أَوْ تَحَامُلٌ عَلَيْهِ بِمَيْلٍ أَوْ هَوًى أَوْ أَنَفَةٍ أَوْ حَمِيَّةٍ أَوْ رِيَاءٍ أَوْ عَصَبِيَّةٍ غَائِباً كَانَ أَوْ شَاهِداً حَيّاً كَانَ أَوْ مَيِّتاً فَقَصُرَتْ يَدِي وَ ضَاقَ وُسْعِي عَنْ رَدِّهَا إِلَيْهِ وَ التَّحَلُّلِ مِنْهُ فَأَسْأَلُكَ يَا مَنْ يَمْلِكُ الْحَاجَاتِ وَ هِيَ مُسْتَجِيبَةٌ بِمَشِيَّتِهِ وَ مُسْرِعَةٌ إِلَى إِرَادَتِهِ أَنْ تُصَلِّيَ عَلَى مُحَمَّدٍ وَ آلِ مُحَمَّدٍ وَ أَنْ تُرْضِيَهُ عَنِّي بِمَ شِئْتَ وَ تَهَبَ لِي مِنْ عِنْدِكَ رَحْمَةً إِنَّهُ لَا تَنْقُصُكَ الْمَغْفِرَةُ وَ لَا تَضُرُّكَ الْمَوْهِبَةُ يَا أَرْحَمَ الرَّاحِمِينَ اللَّهُمَّ أَوْلِنِي فِي كُلِّ يَوْمِ إِثْنَيْنِ نِعْمَتَيْنِ مِنْكَ ثِنْتَيْنِ سَعَادَةً فِي أَوَّلِهِ بِطَاعَتِكَ وَ نِعْمَةً فِي آخِرِهِ بِمَغْفِرَتِكَ يَا مَنْ هُوَ الْإِلَهُ وَ لَا يَغْفِرُ الذُّنُوبَ سِوَاهُ</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اين دعا از 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كه آن را جزء ملحقات صحيفه هم 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بلد الامين و در مفاتيح هم براي دعاي روز دوشنبه آمده و به دعاي روز دوشنبه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مزيّت اين دعا از حيث متن براي استدلال، نسبت به دعاي قبل، آن است كه دقيقاً واژه‌ي غيبت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مناقشه‌اي كه براي استدلال به صحيفه ذكر شد، در اين‌جا وارد نيست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دعا حضرت در مورد هر ظلمي كه در حقِّ ديگران انجام داده است و هر حقّي كه از ديگران سلب كرده و هر غيبتي كه در حقّ هر مرد يا زني از بندگانش مرتكب شده و دستش از ردّ</w:t>
      </w:r>
    </w:p>
    <w:p>
      <w:pPr>
        <w:pStyle w:val="BookText"/>
        <w:rPr/>
      </w:pPr>
      <w:r>
        <w:rPr>
          <w:rFonts w:ascii="IRNazanin" w:hAnsi="IRNazanin" w:eastAsia="IRNazanin"/>
          <w:color w:val="111111"/>
          <w:sz w:val="28"/>
          <w:sz w:val="28"/>
          <w:szCs w:val="28"/>
          <w:rtl w:val="true"/>
          <w:lang w:bidi="fa-IR"/>
        </w:rPr>
        <w:t>آن حقوق يا طلب حلاليت، كوتاه و طاقتش تنگ شده است، از خداوند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حق را از جانب خود راضي كن و رحمت و مغفرتت را شامل من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از اين تعابير معلوم مي‌شود بايد براي غيبت تحلّل كرد؛ زيرا غيبت از حقوقي نيست كه قابل رد كردن باشد، پس تنها تحلّل مي‌ماند كه بايد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حقوق، قابل 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كسي را بردارند بايد به صاحبش رد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كسي بهتان زده شد بايد بگويد كه دروغ گفته است و به اين ترتيب، گناه تهمت را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غيبت يا لااقل يك نوع غيبت ـ بنابر قولي ـ چيزي است كه واقعيّت دارد و عيب پنهان است كه توسط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 مي‌شود، لذا براي ردّ غيبت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دروغ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راه پيش‌رو تحلّل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دليل</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اين دعا بر وجوب استحلال، خوب است و مشكلي ندارد، إلا اين‌كه متأسفانه سند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ما در صحيفه از ضعف سندي آن صرف نظر كنيم، ولي در اين‌جا نمي‌توانيم؛ زيرا از ملحقات صحيفه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خود اين دعا انصافاً دعاي با عظمتي است كه مضامين عالي در آن است و بعيد نيست كه همان اطمينان اجمالي به صدور كه نسبت به صحيفه بود، نسبت به اين دعا هم باشد، ولي اين‌كه تمام كلمات اين دعا از امام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مطمئن</w:t>
      </w:r>
      <w:bookmarkStart w:id="304" w:name="pg2359_23367"/>
    </w:p>
    <w:p>
      <w:pPr>
        <w:pStyle w:val="BookText"/>
        <w:rPr/>
      </w:pPr>
      <w:bookmarkEnd w:id="304"/>
      <w:r>
        <w:rPr>
          <w:rFonts w:ascii="Amiri" w:hAnsi="Amiri" w:eastAsia="Amiri" w:cs="Amiri"/>
          <w:color w:val="111111"/>
          <w:sz w:val="28"/>
          <w:sz w:val="28"/>
          <w:szCs w:val="28"/>
          <w:rtl w:val="true"/>
          <w:lang w:bidi="ar-SA"/>
        </w:rPr>
        <w:t>نيستيم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افراد مقدّس‌مآبي بودند كه وقتي ديدند مردم خيلي اهل غيبت هستند و از طرف ديگر، حضرت اين همه موارد را بيان كردند، پيش خود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براي جلوگيري از غيبت، عبارتي به دعا اضافه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اين موارد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هم ـ به حسب ظاهر ـ انگيزه‌ي شيطاني ندارند، بلكه گاهي با نيّت الهي دست به چنين تحريفات و اضافاتي مي‌زنند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فوق، حجّت نيست</w:t>
      </w:r>
      <w:r>
        <w:rPr>
          <w:rFonts w:eastAsia="IRNazanin" w:cs="IRNazanin"/>
          <w:color w:val="111111"/>
          <w:sz w:val="28"/>
          <w:szCs w:val="28"/>
          <w:rtl w:val="true"/>
          <w:lang w:bidi="fa-IR"/>
        </w:rPr>
        <w:t>.</w:t>
      </w:r>
    </w:p>
    <w:p>
      <w:pPr>
        <w:pStyle w:val="Heading4"/>
        <w:numPr>
          <w:ilvl w:val="3"/>
          <w:numId w:val="1"/>
        </w:numPr>
        <w:rPr/>
      </w:pPr>
      <w:bookmarkStart w:id="305" w:name="__RefHeading___Toc2770409_3804643083"/>
      <w:bookmarkStart w:id="306" w:name="_Toc115"/>
      <w:bookmarkEnd w:id="305"/>
      <w:r>
        <w:rPr>
          <w:rtl w:val="true"/>
        </w:rPr>
        <w:t>جمع‌بندي استدلال‌ها و پاسخ كلّي بر لزوم استحلال</w:t>
      </w:r>
      <w:bookmarkEnd w:id="306"/>
    </w:p>
    <w:p>
      <w:pPr>
        <w:pStyle w:val="BookText"/>
        <w:rPr/>
      </w:pPr>
      <w:r>
        <w:rPr>
          <w:rFonts w:ascii="IRNazanin" w:hAnsi="IRNazanin" w:eastAsia="IRNazanin"/>
          <w:color w:val="111111"/>
          <w:sz w:val="28"/>
          <w:sz w:val="28"/>
          <w:szCs w:val="28"/>
          <w:rtl w:val="true"/>
          <w:lang w:bidi="fa-IR"/>
        </w:rPr>
        <w:t xml:space="preserve">مطالب مطرح شده تمام آن چيزي بود كه مي‌توانست براي اثبات لزوم استحلال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اعتباري بود كه در ابتداي بحث مطرح شد به اين 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ظلم است و سلب حقِّ ديگران است، پس بايد براي خلاصي از اين ظلم، طرف مظلوم را راضي كرد</w:t>
      </w:r>
      <w:r>
        <w:rPr>
          <w:rFonts w:eastAsia="IRNazanin" w:cs="IRNazanin"/>
          <w:color w:val="111111"/>
          <w:sz w:val="28"/>
          <w:szCs w:val="28"/>
          <w:rtl w:val="true"/>
          <w:lang w:bidi="fa-IR"/>
        </w:rPr>
        <w:t>.</w:t>
      </w:r>
    </w:p>
    <w:p>
      <w:pPr>
        <w:pStyle w:val="Heading4"/>
        <w:numPr>
          <w:ilvl w:val="3"/>
          <w:numId w:val="1"/>
        </w:numPr>
        <w:rPr/>
      </w:pPr>
      <w:bookmarkStart w:id="307" w:name="__RefHeading___Toc2770411_3804643083"/>
      <w:bookmarkStart w:id="308" w:name="_Toc116"/>
      <w:bookmarkEnd w:id="307"/>
      <w:r>
        <w:rPr>
          <w:rtl w:val="true"/>
        </w:rPr>
        <w:t>مناقشه در وجه اعتباري</w:t>
      </w:r>
      <w:bookmarkEnd w:id="30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حتّي اگر قبول كنيم عَقلاً غيبت سلب حقِّ ديگري است، نمي‌توانيم بپذيريم كه اگر حقّي قابل رد نبود ـ هر حقّي كه باشد ـ لازم است طلب حلّيت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عقل اين است كه اگر حقّي از كسي ضايع شد و قابل رد بود بايد رد شود يا نهايتاً بايد طلب حلّيت كرد، ولي اگر حقّي قابل رد نبود ديگر دليلي بر لزوم حلّيت و استحلال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جواب، پاسخ ديگر استدلال‌ها هم روشن مي‌شود</w:t>
      </w:r>
      <w:r>
        <w:rPr>
          <w:rFonts w:eastAsia="IRNazanin" w:cs="IRNazanin"/>
          <w:color w:val="111111"/>
          <w:sz w:val="28"/>
          <w:szCs w:val="28"/>
          <w:rtl w:val="true"/>
          <w:lang w:bidi="fa-IR"/>
        </w:rPr>
        <w:t>.</w:t>
      </w:r>
      <w:bookmarkStart w:id="309" w:name="pg2359_23368"/>
    </w:p>
    <w:p>
      <w:pPr>
        <w:pStyle w:val="Heading4"/>
        <w:numPr>
          <w:ilvl w:val="3"/>
          <w:numId w:val="1"/>
        </w:numPr>
        <w:rPr/>
      </w:pPr>
      <w:bookmarkStart w:id="310" w:name="__RefHeading___Toc2770413_3804643083"/>
      <w:bookmarkStart w:id="311" w:name="_Toc117"/>
      <w:bookmarkEnd w:id="309"/>
      <w:bookmarkEnd w:id="310"/>
      <w:r>
        <w:rPr>
          <w:rtl w:val="true"/>
        </w:rPr>
        <w:t>مناقشه در استدلال به روايات</w:t>
      </w:r>
      <w:bookmarkEnd w:id="311"/>
    </w:p>
    <w:p>
      <w:pPr>
        <w:pStyle w:val="BookText"/>
        <w:rPr/>
      </w:pPr>
      <w:r>
        <w:rPr>
          <w:rFonts w:ascii="IRNazanin" w:hAnsi="IRNazanin" w:eastAsia="IRNazanin"/>
          <w:color w:val="111111"/>
          <w:sz w:val="28"/>
          <w:sz w:val="28"/>
          <w:szCs w:val="28"/>
          <w:rtl w:val="true"/>
          <w:lang w:bidi="fa-IR"/>
        </w:rPr>
        <w:t>رواياتي كه دلالت داشت اجتناب از غيبت مؤمن، حق است، مضاف بر ضعف سند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كبرايي نداريم كه هر حقّي از طرف مقابل ضايع شد، هرچند قابل رد نباشد لزوم استحلال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علاوه بر عدم وثوق به صدور روايات از معصوم ـ غير از يك مورد ـ دلالت روايات هم در حدّي نيست كه بتوانيم فتواي به وجوب استحلال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حُسن استحلال، به عنوان احتياط به جاي خود محفوظ است، ولي به حدّ وجوب نمي‌رسد</w:t>
      </w:r>
      <w:r>
        <w:rPr>
          <w:rFonts w:eastAsia="IRNazanin" w:cs="IRNazanin"/>
          <w:color w:val="111111"/>
          <w:sz w:val="28"/>
          <w:szCs w:val="28"/>
          <w:rtl w:val="true"/>
          <w:lang w:bidi="fa-IR"/>
        </w:rPr>
        <w:t>.</w:t>
      </w:r>
    </w:p>
    <w:p>
      <w:pPr>
        <w:pStyle w:val="Heading3"/>
        <w:numPr>
          <w:ilvl w:val="2"/>
          <w:numId w:val="1"/>
        </w:numPr>
        <w:rPr/>
      </w:pPr>
      <w:bookmarkStart w:id="312" w:name="__RefHeading___Toc2770415_3804643083"/>
      <w:bookmarkStart w:id="313" w:name="_Toc118"/>
      <w:bookmarkEnd w:id="312"/>
      <w:r>
        <w:rPr>
          <w:rtl w:val="true"/>
        </w:rPr>
        <w:t xml:space="preserve">آيا استغفار للمغتاب </w:t>
      </w:r>
      <w:r>
        <w:rPr>
          <w:rtl w:val="true"/>
        </w:rPr>
        <w:t>(</w:t>
      </w:r>
      <w:r>
        <w:rPr>
          <w:rtl w:val="true"/>
        </w:rPr>
        <w:t>بالفتح</w:t>
      </w:r>
      <w:r>
        <w:rPr>
          <w:rtl w:val="true"/>
        </w:rPr>
        <w:t xml:space="preserve">) </w:t>
      </w:r>
      <w:r>
        <w:rPr>
          <w:rtl w:val="true"/>
        </w:rPr>
        <w:t>واجب است؟</w:t>
      </w:r>
      <w:bookmarkEnd w:id="313"/>
    </w:p>
    <w:p>
      <w:pPr>
        <w:pStyle w:val="Heading4"/>
        <w:numPr>
          <w:ilvl w:val="3"/>
          <w:numId w:val="1"/>
        </w:numPr>
        <w:rPr/>
      </w:pPr>
      <w:bookmarkStart w:id="314" w:name="__RefHeading___Toc2770417_3804643083"/>
      <w:bookmarkStart w:id="315" w:name="_Toc119"/>
      <w:bookmarkEnd w:id="314"/>
      <w:r>
        <w:rPr>
          <w:rtl w:val="true"/>
        </w:rPr>
        <w:t>اشاره</w:t>
      </w:r>
      <w:bookmarkEnd w:id="315"/>
    </w:p>
    <w:p>
      <w:pPr>
        <w:pStyle w:val="BookText"/>
        <w:rPr/>
      </w:pPr>
      <w:r>
        <w:rPr>
          <w:rFonts w:ascii="IRNazanin" w:hAnsi="IRNazanin" w:eastAsia="IRNazanin"/>
          <w:color w:val="111111"/>
          <w:sz w:val="28"/>
          <w:sz w:val="28"/>
          <w:szCs w:val="28"/>
          <w:rtl w:val="true"/>
          <w:lang w:bidi="fa-IR"/>
        </w:rPr>
        <w:t xml:space="preserve">گفتيم لزوم استغفار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خودش و توبه از گناهش، مسلّم و مفروغٌ عنه است، امّا آيا استغفار 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 است؟ بعضي ـ مطابق آن‌چه كه نقل شده است ـ قائلند استغفار لازم است</w:t>
      </w:r>
      <w:r>
        <w:rPr>
          <w:rFonts w:eastAsia="IRNazanin" w:cs="IRNazanin"/>
          <w:color w:val="111111"/>
          <w:sz w:val="28"/>
          <w:szCs w:val="28"/>
          <w:rtl w:val="true"/>
          <w:lang w:bidi="fa-IR"/>
        </w:rPr>
        <w:t>.</w:t>
      </w:r>
    </w:p>
    <w:p>
      <w:pPr>
        <w:pStyle w:val="Heading4"/>
        <w:numPr>
          <w:ilvl w:val="3"/>
          <w:numId w:val="1"/>
        </w:numPr>
        <w:rPr/>
      </w:pPr>
      <w:bookmarkStart w:id="316" w:name="__RefHeading___Toc2770419_3804643083"/>
      <w:bookmarkStart w:id="317" w:name="_Toc120"/>
      <w:bookmarkEnd w:id="316"/>
      <w:r>
        <w:rPr>
          <w:rtl w:val="true"/>
        </w:rPr>
        <w:t>ادلّه‌ي وجوب استغفار براي مغتاب</w:t>
      </w:r>
      <w:bookmarkEnd w:id="317"/>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برخي براي وجوب استغفار للمغتاب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دعاي امام سجّاد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كرده‌اند، ولي اين دعا اصلاً دلالتي ندارد و ظاهراً اشتباهي از ايشان رخ داده است</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روايت حفص بن عمير</w:t>
      </w:r>
      <w:r>
        <w:rPr>
          <w:rStyle w:val="FootnoteAnchor"/>
          <w:rtl w:val="true"/>
        </w:rPr>
        <w:footnoteReference w:id="209"/>
      </w:r>
    </w:p>
    <w:p>
      <w:pPr>
        <w:pStyle w:val="BookText"/>
        <w:rPr/>
      </w:pPr>
      <w:r>
        <w:rPr>
          <w:rFonts w:ascii="Amiri" w:hAnsi="Amiri" w:eastAsia="Amiri" w:cs="Amiri"/>
          <w:color w:val="111111"/>
          <w:sz w:val="28"/>
          <w:sz w:val="28"/>
          <w:szCs w:val="28"/>
          <w:rtl w:val="true"/>
          <w:lang w:bidi="ar-SA"/>
        </w:rPr>
        <w:t>مُحَمَّدُ بْنُ يَعْقُوبَ عَنْ عِدَّةٍ مِنْ أَصْحَابِنَا عَنْ أَحْمَدَ بْنِ أَبِي عَبْدِ اللَّهِ</w:t>
      </w:r>
      <w:r>
        <w:rPr>
          <w:rStyle w:val="FootnoteAnchor"/>
          <w:rtl w:val="true"/>
        </w:rPr>
        <w:footnoteReference w:id="210"/>
      </w:r>
      <w:r>
        <w:rPr>
          <w:rFonts w:ascii="Amiri" w:hAnsi="Amiri" w:eastAsia="Amiri" w:cs="Amiri"/>
          <w:color w:val="111111"/>
          <w:sz w:val="28"/>
          <w:sz w:val="28"/>
          <w:szCs w:val="28"/>
          <w:rtl w:val="true"/>
          <w:lang w:bidi="ar-SA"/>
        </w:rPr>
        <w:t>عَنْ أَبِيهِ عَنْ هَارُونَ بْنِ الْجَهْمِ عَنْ حَفْصِ بْنِ عُمَيْرٍ</w:t>
      </w:r>
      <w:r>
        <w:rPr>
          <w:rStyle w:val="FootnoteAnchor"/>
          <w:rtl w:val="true"/>
        </w:rPr>
        <w:footnoteReference w:id="21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اللَّهَ لِمَنِ اغْتَبْتَهُ كُلَّمَا ذَكَرْتَهُ</w:t>
      </w:r>
      <w:r>
        <w:rPr>
          <w:rFonts w:eastAsia="Amiri" w:cs="Amiri" w:ascii="Amiri" w:hAnsi="Amiri"/>
          <w:color w:val="111111"/>
          <w:sz w:val="28"/>
          <w:szCs w:val="28"/>
          <w:rtl w:val="true"/>
          <w:lang w:bidi="ar-SA"/>
        </w:rPr>
        <w:t>»</w:t>
      </w:r>
      <w:r>
        <w:rPr>
          <w:rStyle w:val="FootnoteAnchor"/>
          <w:rtl w:val="true"/>
        </w:rPr>
        <w:footnoteReference w:id="2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اين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نبي مكرّم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 كفّاره‌ي غيبت چيست؟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كسي كه غيبت او را كردي به درگاه خداوند استغفار كني هر وقت كه يادت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غيبت كردن او يادت بيايد يا خود او يادت بيايد، ولي انسب حالت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روايت به صورت مطلق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غيبتي كه كردي بايد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كني، چه استحلال كرده باشي چه</w:t>
      </w:r>
    </w:p>
    <w:p>
      <w:pPr>
        <w:pStyle w:val="BookText"/>
        <w:rPr/>
      </w:pPr>
      <w:r>
        <w:rPr>
          <w:rFonts w:ascii="IRNazanin" w:hAnsi="IRNazanin" w:eastAsia="IRNazanin"/>
          <w:color w:val="111111"/>
          <w:sz w:val="28"/>
          <w:sz w:val="28"/>
          <w:szCs w:val="28"/>
          <w:rtl w:val="true"/>
          <w:lang w:bidi="fa-IR"/>
        </w:rPr>
        <w:t>نكرده باشي، چه غيبت به گوش او رسيده باشد و چه نرسيده باشد، چه زنده باشد و چه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آن‌هم با تعبير محكمي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استغفار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توجيه غير مقبول</w:t>
      </w:r>
    </w:p>
    <w:p>
      <w:pPr>
        <w:pStyle w:val="BookText"/>
        <w:rPr/>
      </w:pPr>
      <w:r>
        <w:rPr>
          <w:rFonts w:ascii="IRNazanin" w:hAnsi="IRNazanin" w:eastAsia="IRNazanin"/>
          <w:color w:val="111111"/>
          <w:sz w:val="28"/>
          <w:sz w:val="28"/>
          <w:szCs w:val="28"/>
          <w:rtl w:val="true"/>
          <w:lang w:bidi="fa-IR"/>
        </w:rPr>
        <w:t xml:space="preserve">بعضي خواسته‌اند توجيه كنند كه منظور روايت، استغفار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خودش و توبه از گناهش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توجيه درست نيست؛ زيرا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تستغفر الله لمن إغتبته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استغفار براي كسي كه غيبتش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دلالت روايت</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 روايت ناتمام است و لذا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التزام به وجوب استغفار براي مغتاب، آن‌هم با آن اطلاق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ذكرته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ـ خواه ضمير به اغتياب برگردد خواه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ـ بعيد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شديدتر از غيبت هم اين مقدار استغفار براي كسي كه در حقِّ او گناه شده، واجب نيست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رواياتي هست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شئون مؤمن اين است كه گناهش را فراموش نمي‌كند و هرگاه به ياد گناهش افتاد استغفار مي‌كند</w:t>
      </w:r>
      <w:r>
        <w:rPr>
          <w:rStyle w:val="FootnoteAnchor"/>
          <w:rtl w:val="true"/>
        </w:rPr>
        <w:footnoteReference w:id="213"/>
      </w:r>
      <w:r>
        <w:rPr>
          <w:rFonts w:ascii="Amiri" w:hAnsi="Amiri" w:eastAsia="Amiri" w:cs="Amiri"/>
          <w:color w:val="111111"/>
          <w:sz w:val="28"/>
          <w:sz w:val="28"/>
          <w:szCs w:val="28"/>
          <w:rtl w:val="true"/>
          <w:lang w:bidi="ar-SA"/>
        </w:rPr>
        <w:t>، بر خلاف غير مؤمن يا منافق يا كسي كه ايمانش ضعيف</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نمي‌توان معناي اين روايات را حمل بر وجوب كرد، نهايت اين‌كه حمل بر استحباب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با توجّه به ضعف سند و قرينه‌اي كه بيان شد، مي‌توانيم استغفار للمغتاب را بر اساس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راجح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بعضي از بزرگان در مقام اشكال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ضمير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برمي‌گردد، در نتيجه روايت معناي درستي ندارد؛ زيرا هيچ كس قائل به اين معنا نيست كه هر وقت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ياد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 بايد برايش استغفار كند</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ولي اين اشكال ناتمام است؛ زيرا هم مي‌توان مرجع ضمير را غيبت دانست و هم استغفار را حمل بر استحباب كرد كه در اين صورت هيچ مشكلي نخواهد بود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بعضي از نقل‌ها به جاي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 ذكرته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مطابق اين نقل، برخي استبعادات كه ذكر شد، منتفي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سند نقل ديگر،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دوم اين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جعفر بن عمر</w:t>
      </w:r>
    </w:p>
    <w:p>
      <w:pPr>
        <w:pStyle w:val="BookText"/>
        <w:rPr/>
      </w:pPr>
      <w:r>
        <w:rPr>
          <w:rFonts w:ascii="Amiri" w:hAnsi="Amiri" w:eastAsia="Amiri" w:cs="Amiri"/>
          <w:color w:val="111111"/>
          <w:sz w:val="28"/>
          <w:sz w:val="28"/>
          <w:szCs w:val="28"/>
          <w:rtl w:val="true"/>
          <w:lang w:bidi="ar-SA"/>
        </w:rPr>
        <w:t>مُحَمَّدُ بْنُ عَلِيِّ بْنِ الْحُسَيْنِ بِإِسْنَادِهِ عَنْ جَعْفَرِ بْنِ عُمَرَ</w:t>
      </w:r>
      <w:r>
        <w:rPr>
          <w:rStyle w:val="FootnoteAnchor"/>
          <w:rtl w:val="true"/>
        </w:rPr>
        <w:footnoteReference w:id="215"/>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كَفَّارَةُ الِاغْتِيَابِ؟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تَسْتَغْفِرُ لِمَنِ اغْتَبْتَهُ كَمَا ذَكَرْتَهُ</w:t>
      </w:r>
      <w:r>
        <w:rPr>
          <w:rFonts w:eastAsia="Amiri" w:cs="Amiri" w:ascii="Amiri" w:hAnsi="Amiri"/>
          <w:color w:val="111111"/>
          <w:sz w:val="28"/>
          <w:szCs w:val="28"/>
          <w:rtl w:val="true"/>
          <w:lang w:bidi="ar-SA"/>
        </w:rPr>
        <w:t>»</w:t>
      </w:r>
      <w:r>
        <w:rPr>
          <w:rStyle w:val="FootnoteAnchor"/>
          <w:rtl w:val="true"/>
        </w:rPr>
        <w:footnoteReference w:id="216"/>
      </w:r>
    </w:p>
    <w:p>
      <w:pPr>
        <w:pStyle w:val="BookText"/>
        <w:rPr/>
      </w:pPr>
      <w:r>
        <w:rPr>
          <w:rFonts w:ascii="IRNazanin" w:hAnsi="IRNazanin" w:eastAsia="IRNazanin"/>
          <w:color w:val="111111"/>
          <w:sz w:val="28"/>
          <w:sz w:val="28"/>
          <w:szCs w:val="28"/>
          <w:rtl w:val="true"/>
          <w:lang w:bidi="fa-IR"/>
        </w:rPr>
        <w:t>جناب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اسنادش از جعفر بن عمر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كفّاره‌ي غيبت چيست؟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استغفار كني براي كسي كه غيبت او كرده‌اي، همان‌گونه كه از او ياد كردي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سند اين روايت نيز ناتمام است</w:t>
      </w:r>
      <w:r>
        <w:rPr>
          <w:rStyle w:val="FootnoteAnchor"/>
          <w:rtl w:val="true"/>
        </w:rPr>
        <w:footnoteReference w:id="2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سندش تمام بود دلالت بر وجوب استغفار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جعفريات</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الْجَعْفَرِيَّاتُ، أَخْبَرَنَا مُحَمَّدٌ حَدَّثَنِي مُوسَى قَالَ حَدَّثَنَا أَبِي عَنْ أَبِيهِ عَنْ جَدِّهِ جَعْفَرِ بْنِ مُحَمَّدٍ عَنْ أَبِيهِ عَنْ جَدِّهِ عَلِيِّ بْنِ الْحُسَيْنِ عَنْ أَبِيهِ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ظَلَمَ أَحَداً فَعَابَهُ فَلْيَسْتَغْفِرِ اللَّهَ لَهُ كَمَا ذَكَرَهُ</w:t>
      </w:r>
    </w:p>
    <w:p>
      <w:pPr>
        <w:pStyle w:val="BookText"/>
        <w:rPr/>
      </w:pPr>
      <w:r>
        <w:rPr>
          <w:rFonts w:ascii="Amiri" w:hAnsi="Amiri" w:eastAsia="Amiri" w:cs="Amiri"/>
          <w:color w:val="111111"/>
          <w:sz w:val="28"/>
          <w:sz w:val="28"/>
          <w:szCs w:val="28"/>
          <w:rtl w:val="true"/>
          <w:lang w:bidi="ar-SA"/>
        </w:rPr>
        <w:t>فَإِنَّهُ كَفَّارَةٌ لَهُ</w:t>
      </w:r>
      <w:r>
        <w:rPr>
          <w:rFonts w:eastAsia="Amiri" w:cs="Amiri" w:ascii="Amiri" w:hAnsi="Amiri"/>
          <w:color w:val="111111"/>
          <w:sz w:val="28"/>
          <w:szCs w:val="28"/>
          <w:rtl w:val="true"/>
          <w:lang w:bidi="ar-SA"/>
        </w:rPr>
        <w:t>»</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به ديگري ظلم كرده، از او عيب‌جويي كند، پس بايد براي او از خداوند طلب مغفرت كند همان‌گونه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ياد كرده است، همانا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كفّاره‌ي عمل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دلالت روايت</w:t>
      </w:r>
    </w:p>
    <w:p>
      <w:pPr>
        <w:pStyle w:val="BookText"/>
        <w:rPr/>
      </w:pPr>
      <w:r>
        <w:rPr>
          <w:rFonts w:ascii="IRNazanin" w:hAnsi="IRNazanin" w:eastAsia="IRNazanin"/>
          <w:color w:val="111111"/>
          <w:sz w:val="28"/>
          <w:sz w:val="28"/>
          <w:szCs w:val="28"/>
          <w:rtl w:val="true"/>
          <w:lang w:bidi="fa-IR"/>
        </w:rPr>
        <w:t>اگر نگوييم عيب گرفتن از ديگران همان غيبت است، حداقل مي‌توانيم بگوييم شامل غيبت هم مي‌شود؛ زيرا غيبت يعني عيب ديگران را پشت‌سر آنان بازگو كردن، پس ظلم است، عيب گرفتن هم هست، در نتيجه غيبت كفّاره دارد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مناقشه در دليل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اين روايت از جعفريات است كه ناتمام است؛ زيرا همان‌گونه كه قبلاً بررسي كرديم، سند كتاب جعفريات به افرادي مي‌رسد كه نمي‌شناسيم و توثيق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براي مطلق عيب گرفتن يا مطلق ظلم كردن است كه استغفار را براي مظلوم واجب مي‌داند، در حالي‌كه ما كسي را نمي‌شناسيم قائل به وجوب استغفار براي مظلوم در هر ظلمي كه انسان نسبت به كسي انجام مي‌دهد باشد، مگر آن‌كه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استظهار شود كه مقصود، ظلم به ديگري از طريق عيب گرفتن است نه هر نوع ظلمي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سكوني</w:t>
      </w:r>
    </w:p>
    <w:p>
      <w:pPr>
        <w:pStyle w:val="BookText"/>
        <w:rPr/>
      </w:pPr>
      <w:r>
        <w:rPr>
          <w:rFonts w:ascii="Amiri" w:hAnsi="Amiri" w:eastAsia="Amiri" w:cs="Amiri"/>
          <w:color w:val="111111"/>
          <w:sz w:val="28"/>
          <w:sz w:val="28"/>
          <w:szCs w:val="28"/>
          <w:rtl w:val="true"/>
          <w:lang w:bidi="ar-SA"/>
        </w:rPr>
        <w:t xml:space="preserve">عَنْ عَلِيٍّ عَنْ أَبِيهِ عَنِ النَّوْفَلِيِّ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ظَلَمَ أَحَداً وَ فَاتَهُ فَلْيَسْتَغْفِرِ اللَّهَ لَهُ فَإِنَّهُ كَفَّارَةٌ لَهُ</w:t>
      </w:r>
      <w:r>
        <w:rPr>
          <w:rFonts w:eastAsia="Amiri" w:cs="Amiri" w:ascii="Amiri" w:hAnsi="Amiri"/>
          <w:color w:val="111111"/>
          <w:sz w:val="28"/>
          <w:szCs w:val="28"/>
          <w:rtl w:val="true"/>
          <w:lang w:bidi="ar-SA"/>
        </w:rPr>
        <w:t>»</w:t>
      </w:r>
      <w:r>
        <w:rPr>
          <w:rStyle w:val="FootnoteAnchor"/>
          <w:rtl w:val="true"/>
        </w:rPr>
        <w:footnoteReference w:id="219"/>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به ديگري ظلم كند و آن ظلم از او فوت شود</w:t>
      </w:r>
      <w:r>
        <w:rPr>
          <w:rStyle w:val="FootnoteAnchor"/>
          <w:rtl w:val="true"/>
        </w:rPr>
        <w:footnoteReference w:id="2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نتواند جبرانش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بايد براي مظلوم به درگاه الهي استغفار كند و اين كفّاره‌ي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w:t>
      </w:r>
    </w:p>
    <w:p>
      <w:pPr>
        <w:pStyle w:val="BookText"/>
        <w:rPr/>
      </w:pP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ظلم كرد بايد با استغفار جبرانش كند، و بنا شد غيبت هم ظلم باشد و چون قابل جبران و رد نيست پس بايد با استغفار، جبران اين ظلم كند و اين استغفار براي مغتاب كفّاره‌ي او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به نظر ما از لحاظ سند ناتمام است؛ زيرا نوفلي توثيق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بعضي به رواياتش عمل مي‌كنند، ولي وثاقتش براي ما ثابت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از لحاظ دلالت، اختصاص به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استدلال صحيح باشد بايد براي هر ظلمي كه امكان جبرانش نباشد، براي مظلوم استغفار كند؛ مثلاً اگر به ناموس كسي نگاه حرام كرد بايد براي او استغفار كند، در حالي‌كه ما براي ظلمِ غير باب غيبت سراغ نداريم احدي از فقها ملتزم به استغفارِ ظالم در حقِّ مظلوم شده باشند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نقص سند و عدم التزام احدي به اطلاق روايت، تمسّك به آن صحيح نيست</w:t>
      </w:r>
      <w:r>
        <w:rPr>
          <w:rFonts w:eastAsia="IRNazanin" w:cs="IRNazanin"/>
          <w:color w:val="111111"/>
          <w:sz w:val="28"/>
          <w:szCs w:val="28"/>
          <w:rtl w:val="true"/>
          <w:lang w:bidi="fa-IR"/>
        </w:rPr>
        <w:t>.</w:t>
      </w:r>
      <w:bookmarkStart w:id="318" w:name="pg2359_23376"/>
    </w:p>
    <w:p>
      <w:pPr>
        <w:pStyle w:val="BookText"/>
        <w:rPr/>
      </w:pPr>
      <w:bookmarkEnd w:id="318"/>
      <w:r>
        <w:rPr>
          <w:rFonts w:ascii="Amiri" w:hAnsi="Amiri" w:eastAsia="Amiri" w:cs="Amiri"/>
          <w:color w:val="111111"/>
          <w:sz w:val="28"/>
          <w:sz w:val="28"/>
          <w:szCs w:val="28"/>
          <w:rtl w:val="true"/>
          <w:lang w:bidi="ar-SA"/>
        </w:rPr>
        <w:t>مناقشه در مرجع ضمير</w:t>
      </w:r>
    </w:p>
    <w:p>
      <w:pPr>
        <w:pStyle w:val="BookText"/>
        <w:rPr/>
      </w:pPr>
      <w:r>
        <w:rPr>
          <w:rFonts w:ascii="IRNazanin" w:hAnsi="IRNazanin" w:eastAsia="IRNazanin"/>
          <w:color w:val="111111"/>
          <w:sz w:val="28"/>
          <w:sz w:val="28"/>
          <w:szCs w:val="28"/>
          <w:rtl w:val="true"/>
          <w:lang w:bidi="fa-IR"/>
        </w:rPr>
        <w:t xml:space="preserve">علاوه بر دو مناقشه‌ي فوق، مناقشه‌ي ديگر آن است كه مي‌توانيم مرجع ضمير فاعلي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را شخص مظلوم بدانيم؛ يعني اگر مظلوم فوت كرد پس بايد ظالم براي او استغفار كند و اين كفّاره‌ي او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دليل، اخصّ از مدّعا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مستدل در صدد بيان آن است كه استغفار براي مغتاب مطلقاً واجب است، ولي روايت با اين معنا وجوب استغفار را تنها براي حالت فوت مغتاب ثابت مي‌كند نه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ديگري هم از جعفريات هست كه چون سند صحيح ندارد و حجّت نيست ذكر نمي‌كنيم</w:t>
      </w:r>
      <w:r>
        <w:rPr>
          <w:rFonts w:eastAsia="IRNazanin" w:cs="IRNazanin"/>
          <w:color w:val="111111"/>
          <w:sz w:val="28"/>
          <w:szCs w:val="28"/>
          <w:rtl w:val="true"/>
          <w:lang w:bidi="fa-IR"/>
        </w:rPr>
        <w:t>.</w:t>
      </w:r>
    </w:p>
    <w:p>
      <w:pPr>
        <w:pStyle w:val="Heading4"/>
        <w:numPr>
          <w:ilvl w:val="3"/>
          <w:numId w:val="1"/>
        </w:numPr>
        <w:rPr/>
      </w:pPr>
      <w:bookmarkStart w:id="319" w:name="__RefHeading___Toc2770421_3804643083"/>
      <w:bookmarkStart w:id="320" w:name="_Toc121"/>
      <w:bookmarkEnd w:id="319"/>
      <w:r>
        <w:rPr>
          <w:rtl w:val="true"/>
        </w:rPr>
        <w:t>نتيجه‌ي بحث استغفار للمغتاب</w:t>
      </w:r>
      <w:bookmarkEnd w:id="32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وجود مناقشاتي كه در ادلّه‌ي وجوب استغفار للمغتاب بيان شد، نمي‌توانيم استغفار للمغتاب را واجب بدانيم</w:t>
      </w:r>
      <w:r>
        <w:rPr>
          <w:rFonts w:eastAsia="Amiri" w:cs="Amiri" w:ascii="Amiri" w:hAnsi="Amiri"/>
          <w:color w:val="111111"/>
          <w:sz w:val="28"/>
          <w:szCs w:val="28"/>
          <w:rtl w:val="true"/>
          <w:lang w:bidi="ar-SA"/>
        </w:rPr>
        <w:t>.</w:t>
      </w:r>
      <w:bookmarkStart w:id="321" w:name="pg2359_23377"/>
    </w:p>
    <w:p>
      <w:pPr>
        <w:pStyle w:val="Heading3"/>
        <w:numPr>
          <w:ilvl w:val="2"/>
          <w:numId w:val="1"/>
        </w:numPr>
        <w:rPr/>
      </w:pPr>
      <w:bookmarkStart w:id="322" w:name="__RefHeading___Toc2770423_3804643083"/>
      <w:bookmarkStart w:id="323" w:name="_Toc122"/>
      <w:bookmarkEnd w:id="321"/>
      <w:bookmarkEnd w:id="322"/>
      <w:r>
        <w:rPr>
          <w:rtl w:val="true"/>
        </w:rPr>
        <w:t>وجه جمع بين وجوب استحلال و وجوب استغفار للمغتاب چيست؟</w:t>
      </w:r>
      <w:bookmarkEnd w:id="323"/>
    </w:p>
    <w:p>
      <w:pPr>
        <w:pStyle w:val="BookText"/>
        <w:rPr/>
      </w:pPr>
      <w:r>
        <w:rPr>
          <w:rFonts w:ascii="Amiri" w:hAnsi="Amiri" w:eastAsia="Amiri" w:cs="Amiri"/>
          <w:color w:val="111111"/>
          <w:sz w:val="28"/>
          <w:sz w:val="28"/>
          <w:szCs w:val="28"/>
          <w:rtl w:val="true"/>
          <w:lang w:bidi="ar-SA"/>
        </w:rPr>
        <w:t xml:space="preserve">جناب شيخ در جمع بين اطلاقات وجوب استحلال و روايات وجوب استغفار، مانند 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كفّارة الاغتياب، أن تستغفر لمن اغتبته، كُلّما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اطلاقات وجوب استحلال را به نبوي تخصيص</w:t>
      </w:r>
      <w:r>
        <w:rPr>
          <w:rStyle w:val="FootnoteAnchor"/>
          <w:rtl w:val="true"/>
        </w:rPr>
        <w:footnoteReference w:id="222"/>
      </w:r>
      <w:r>
        <w:rPr>
          <w:rFonts w:ascii="Amiri" w:hAnsi="Amiri" w:eastAsia="Amiri" w:cs="Amiri"/>
          <w:color w:val="111111"/>
          <w:sz w:val="28"/>
          <w:sz w:val="28"/>
          <w:szCs w:val="28"/>
          <w:rtl w:val="true"/>
          <w:lang w:bidi="ar-SA"/>
        </w:rPr>
        <w:t>مي‌زنيم</w:t>
      </w:r>
      <w:r>
        <w:rPr>
          <w:rStyle w:val="FootnoteAnchor"/>
          <w:rtl w:val="true"/>
        </w:rPr>
        <w:footnoteReference w:id="2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نتيجه اگر كسي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كرد كافي است و ديگر طلب حلّيت از او لازم نيست</w:t>
      </w:r>
      <w:r>
        <w:rPr>
          <w:rFonts w:eastAsia="IRNazanin" w:cs="IRNazanin"/>
          <w:color w:val="111111"/>
          <w:sz w:val="28"/>
          <w:szCs w:val="28"/>
          <w:rtl w:val="true"/>
          <w:lang w:bidi="fa-IR"/>
        </w:rPr>
        <w:t>.</w:t>
      </w:r>
    </w:p>
    <w:p>
      <w:pPr>
        <w:pStyle w:val="Heading3"/>
        <w:numPr>
          <w:ilvl w:val="2"/>
          <w:numId w:val="1"/>
        </w:numPr>
        <w:rPr/>
      </w:pPr>
      <w:bookmarkStart w:id="324" w:name="__RefHeading___Toc2770425_3804643083"/>
      <w:bookmarkStart w:id="325" w:name="_Toc123"/>
      <w:bookmarkEnd w:id="324"/>
      <w:r>
        <w:rPr>
          <w:rtl w:val="true"/>
        </w:rPr>
        <w:t>توضيح كلام مرحوم شيخ</w:t>
      </w:r>
      <w:r>
        <w:rPr>
          <w:rtl w:val="true"/>
        </w:rPr>
        <w:t xml:space="preserve">- </w:t>
      </w:r>
      <w:r>
        <w:rPr>
          <w:rtl w:val="true"/>
        </w:rPr>
        <w:t xml:space="preserve">قدس سره </w:t>
      </w:r>
      <w:r>
        <w:rPr>
          <w:rtl w:val="true"/>
        </w:rPr>
        <w:t xml:space="preserve">- </w:t>
      </w:r>
      <w:r>
        <w:rPr>
          <w:rtl w:val="true"/>
        </w:rPr>
        <w:t>در وجه جمع</w:t>
      </w:r>
      <w:bookmarkEnd w:id="325"/>
    </w:p>
    <w:p>
      <w:pPr>
        <w:pStyle w:val="Heading4"/>
        <w:numPr>
          <w:ilvl w:val="3"/>
          <w:numId w:val="1"/>
        </w:numPr>
        <w:rPr/>
      </w:pPr>
      <w:bookmarkStart w:id="326" w:name="__RefHeading___Toc2770427_3804643083"/>
      <w:bookmarkStart w:id="327" w:name="_Toc124"/>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كلام شيخ در چگونگي وجه جمع،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اطلاقي كه تقييد مي‌خورد كدام است؟ تقييدش چگونه تقييدي است؟ خودِ ايشان بياني ارائه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نديديم كسي اين مسأله را خوب تبيين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براي روشن شدن فرمايش شيخ به توضيح آن مي‌پردازيم</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قاعده بايد مراد شيخ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ادلّه‌اي كه دالّ بر وجوب طلب حلّيت است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فليستحلّها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اطلاق دارد و ـ ما در</w:t>
      </w:r>
    </w:p>
    <w:p>
      <w:pPr>
        <w:pStyle w:val="BookText"/>
        <w:rPr/>
      </w:pPr>
      <w:r>
        <w:rPr>
          <w:rFonts w:ascii="IRNazanin" w:hAnsi="IRNazanin" w:eastAsia="IRNazanin"/>
          <w:color w:val="111111"/>
          <w:sz w:val="28"/>
          <w:sz w:val="28"/>
          <w:szCs w:val="28"/>
          <w:rtl w:val="true"/>
          <w:lang w:bidi="fa-IR"/>
        </w:rPr>
        <w:t>بحث اوامر گفتيم اطلاق منصرف به وجوب تعييني است</w:t>
      </w:r>
      <w:r>
        <w:rPr>
          <w:rStyle w:val="FootnoteAnchor"/>
          <w:rtl w:val="true"/>
        </w:rPr>
        <w:footnoteReference w:id="224"/>
      </w:r>
      <w:r>
        <w:rPr>
          <w:rFonts w:ascii="IRNazanin" w:hAnsi="IRNazanin" w:eastAsia="IRNazanin"/>
          <w:color w:val="111111"/>
          <w:sz w:val="28"/>
          <w:sz w:val="28"/>
          <w:szCs w:val="28"/>
          <w:rtl w:val="true"/>
          <w:lang w:bidi="fa-IR"/>
        </w:rPr>
        <w:t>، پس وجوب طلب حليّت هم تعييني است؛ مثلاً اگر اطلاقي داشتيم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جمعه بخوان، اطلاق اين امر اقتضا مي‌كند وجوبش تعييني باشد، كما اين‌كه اطلاقش اقتضا مي‌كند وجوبش تعيّني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كأنّ مرحوم شيخ مي‌خواهد بفرمايد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فليستحلّها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امري است مطلق، و چون مطلق است اقتضا مي‌كند وجوبش تعييني باشد؛ يعني در مقابلِ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تخييري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اين اطلاق كه مفيد تعيين است تقييدش مي‌كنيم، تقييد به چه معنا؟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مفيد وجوب تخييري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روايتي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تَسْتَغْفِرُ اللَّهَ لِمَنِ اغْتَبْتَهُ كُلَّمَا ذَكَرْتَهُ</w:t>
      </w:r>
      <w:r>
        <w:rPr>
          <w:rFonts w:eastAsia="IRNazanin" w:cs="IRNazanin"/>
          <w:color w:val="111111"/>
          <w:sz w:val="28"/>
          <w:szCs w:val="28"/>
          <w:rtl w:val="true"/>
          <w:lang w:bidi="fa-IR"/>
        </w:rPr>
        <w:t>»</w:t>
      </w:r>
      <w:r>
        <w:rPr>
          <w:rStyle w:val="FootnoteAnchor"/>
          <w:rtl w:val="true"/>
        </w:rPr>
        <w:footnoteReference w:id="225"/>
      </w:r>
      <w:r>
        <w:rPr>
          <w:rFonts w:ascii="Amiri" w:hAnsi="Amiri" w:eastAsia="Amiri" w:cs="Amiri"/>
          <w:color w:val="111111"/>
          <w:sz w:val="28"/>
          <w:sz w:val="28"/>
          <w:szCs w:val="28"/>
          <w:rtl w:val="true"/>
          <w:lang w:bidi="ar-SA"/>
        </w:rPr>
        <w:t>يا روايتي كه داشت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فَلْيَسْتَغْفِرِ اللَّهَ لَهُ فَإِنَّهُ كَفَّارَةٌ لَهُ</w:t>
      </w:r>
      <w:r>
        <w:rPr>
          <w:rFonts w:eastAsia="Amiri" w:cs="Amiri" w:ascii="Amiri" w:hAnsi="Amiri"/>
          <w:color w:val="111111"/>
          <w:sz w:val="28"/>
          <w:szCs w:val="28"/>
          <w:rtl w:val="true"/>
          <w:lang w:bidi="ar-SA"/>
        </w:rPr>
        <w:t>»</w:t>
      </w:r>
      <w:r>
        <w:rPr>
          <w:rStyle w:val="FootnoteAnchor"/>
          <w:rtl w:val="true"/>
        </w:rPr>
        <w:footnoteReference w:id="226"/>
      </w:r>
      <w:r>
        <w:rPr>
          <w:rFonts w:ascii="IRNazanin" w:hAnsi="IRNazanin" w:eastAsia="IRNazanin"/>
          <w:color w:val="111111"/>
          <w:sz w:val="28"/>
          <w:sz w:val="28"/>
          <w:szCs w:val="28"/>
          <w:rtl w:val="true"/>
          <w:lang w:bidi="fa-IR"/>
        </w:rPr>
        <w:t>مقيّد است و نتيجه‌ي نهايي اين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أحداً فليستحلّها أو يستغفر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كسي كه غيبت ديگري مي‌كند يا بايد طلب حلّيت كند و يا براي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و استغفار للمغتاب، مي‌شود دو عِدل وجوب تخييري؛ يعني راه برائت و تخلّص از گناه غيبت دوتاست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و استغفار براي مغتاب</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مطلب، از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كلام شيخ است فهميده</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فيكون الاستغفار طريقا أيضاً إلى البراءة</w:t>
      </w:r>
      <w:r>
        <w:rPr>
          <w:rFonts w:eastAsia="Amiri" w:cs="Amiri" w:ascii="Amiri" w:hAnsi="Amiri"/>
          <w:color w:val="111111"/>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پس استغفار للمغتاب نيز طريقي به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وجه جمع شيخ دليل احتمال تخيير است كه يكي از احتمالات هفت‌گانه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احتمال معقول در بحث كفّاره‌ي غيبت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احتمالات، فقط وجوب استحلال بود مطلقاً و يك احتمال هم تخيير بين استحلال يا استغفار للمغتاب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ارائه‌ي وجه جمع ديگري از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جناب شيخ خيلي مايل به استدلال فوق نبوده و با رفع يد از آن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كسي مدّعي شود لازم نيست چنين تقييدي انجام دهيم؛ زيرا كفّاره بودن استغفار للمغتاب، دالّ بر برائت ذمّه‌ي او نسبت به مغتاب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 چه ملازمه‌اي بين استغفار للمغتاب و برائت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براي برائت است ولي استغفار للمغتاب كفّاره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ـ مطابق برخي از روايات ـ وقتي از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كَفَّارَةُ الاغْتِيَاب؟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كفّاره‌ي اغتياب چيست؟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تَسْتَغْفِرَ لِمَنْ اِغْتَبْتَهُ كُلَّمَا ذَكَرْتَه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ذَكَرْتَه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اين‌كه براي مغتاب هرگاه يادش كرد استغفار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مساواتي بين كفّاره با برائت ذمّه از مغتاب وجود دارد؟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كفّاره براي اداي حقّ الهي است، مثل بعضي گناهان كه وقتي</w:t>
      </w:r>
      <w:bookmarkStart w:id="328" w:name="pg2359_23380"/>
    </w:p>
    <w:p>
      <w:pPr>
        <w:pStyle w:val="BookText"/>
        <w:rPr/>
      </w:pPr>
      <w:bookmarkEnd w:id="328"/>
      <w:r>
        <w:rPr>
          <w:rFonts w:ascii="IRNazanin" w:hAnsi="IRNazanin" w:eastAsia="IRNazanin"/>
          <w:color w:val="111111"/>
          <w:sz w:val="28"/>
          <w:sz w:val="28"/>
          <w:szCs w:val="28"/>
          <w:rtl w:val="true"/>
          <w:lang w:bidi="fa-IR"/>
        </w:rPr>
        <w:t>كسي مرتكب مي‌شود بايد به خاطرش كفّاره بدهد؛ مثلاً اگر كسي ديگري را به خطا كُشت بايد يك بنده‌ي مؤمن آزاد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قَتَلَ مُؤْمِناً خَطَأً فَتَحْرِيرُ رَقَبَةٍ مُؤْمِنَةٍ</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ولي آزاد كردن بنده جاي پرداخت ديه را نمي‌گيرد و ديه هم بايد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تحرير رقبه كفّاره‌اي است كه خداوند براي مصلحتي بر عهده‌ي مرتكب گذاشته است، هرچند گناهي هم صورت نگرفته بلكه خطا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در غيبت هم استغفار للمغتاب كفّاره‌اي به فرمان خداوند يا يك حقّ خدايي است و ربطي به برائت ذمّه‌ي غيبت كننده ندارد</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شارع مقدّس يك بار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غيبت ديگري كرده بايد طلب حلّيت كند، و يك بار هم در رابطه با حقِّ خداوند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كننده بايد كفّاره بدهد و كفّّاره‌اش استغفار براي مغتاب است</w:t>
      </w:r>
      <w:r>
        <w:rPr>
          <w:rFonts w:eastAsia="IRNazanin" w:cs="IRNazanin"/>
          <w:color w:val="111111"/>
          <w:sz w:val="28"/>
          <w:szCs w:val="28"/>
          <w:rtl w:val="true"/>
          <w:lang w:bidi="fa-IR"/>
        </w:rPr>
        <w:t>.</w:t>
      </w:r>
    </w:p>
    <w:p>
      <w:pPr>
        <w:pStyle w:val="Heading4"/>
        <w:numPr>
          <w:ilvl w:val="3"/>
          <w:numId w:val="1"/>
        </w:numPr>
        <w:rPr/>
      </w:pPr>
      <w:bookmarkStart w:id="329" w:name="__RefHeading___Toc2770429_3804643083"/>
      <w:bookmarkStart w:id="330" w:name="_Toc125"/>
      <w:bookmarkEnd w:id="329"/>
      <w:r>
        <w:rPr>
          <w:rtl w:val="true"/>
        </w:rPr>
        <w:t>استدراك جناب شيخ</w:t>
      </w:r>
      <w:r>
        <w:rPr>
          <w:rtl w:val="true"/>
        </w:rPr>
        <w:t xml:space="preserve">- </w:t>
      </w:r>
      <w:r>
        <w:rPr>
          <w:rtl w:val="true"/>
        </w:rPr>
        <w:t xml:space="preserve">قدس سره </w:t>
      </w:r>
      <w:r>
        <w:rPr>
          <w:rtl w:val="true"/>
        </w:rPr>
        <w:t>-</w:t>
      </w:r>
      <w:bookmarkEnd w:id="33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بعد از بيان اين مطالب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أن يدّعى ظهور السياق في البراءة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اين‌كه كسي مدّعي شود سياق عبارت، ظهور در برائت است؛ يعني وقتي شخص سائل از حضرت</w:t>
      </w:r>
      <w:bookmarkStart w:id="331" w:name="pg2359_23381"/>
    </w:p>
    <w:p>
      <w:pPr>
        <w:pStyle w:val="BookText"/>
        <w:rPr/>
      </w:pPr>
      <w:bookmarkEnd w:id="331"/>
      <w:r>
        <w:rPr>
          <w:rFonts w:ascii="IRNazanin" w:hAnsi="IRNazanin" w:eastAsia="IRNazanin"/>
          <w:color w:val="111111"/>
          <w:sz w:val="28"/>
          <w:sz w:val="28"/>
          <w:szCs w:val="28"/>
          <w:rtl w:val="true"/>
          <w:lang w:bidi="fa-IR"/>
        </w:rPr>
        <w:t>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 كفّاره‌ي غيبت چيست؟ و 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براي مغتاب استغفار كند، ظاهر اين عبارات دالّ بر اين مطلب است كه چه كند تا حقّ مغتاب تمام شود، نه اين‌كه كفّاره‌اي در رابطه با خداوند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شيخ نتيجه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 سياق را بپذيريم همان احتمال اوّل يعني وجوب تخييري و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يا استحلال واجب است يا استغفار للمغتاب، علي وجه التّخيير</w:t>
      </w:r>
      <w:r>
        <w:rPr>
          <w:rFonts w:eastAsia="IRNazanin" w:cs="IRNazanin"/>
          <w:color w:val="111111"/>
          <w:sz w:val="28"/>
          <w:szCs w:val="28"/>
          <w:rtl w:val="true"/>
          <w:lang w:bidi="fa-IR"/>
        </w:rPr>
        <w:t>.</w:t>
      </w:r>
    </w:p>
    <w:p>
      <w:pPr>
        <w:pStyle w:val="Heading4"/>
        <w:numPr>
          <w:ilvl w:val="3"/>
          <w:numId w:val="1"/>
        </w:numPr>
        <w:rPr/>
      </w:pPr>
      <w:bookmarkStart w:id="332" w:name="__RefHeading___Toc2770431_3804643083"/>
      <w:bookmarkStart w:id="333" w:name="_Toc126"/>
      <w:bookmarkEnd w:id="332"/>
      <w:r>
        <w:rPr>
          <w:rtl w:val="true"/>
        </w:rPr>
        <w:t>نقد و بررسي نظر شيخ</w:t>
      </w:r>
      <w:r>
        <w:rPr>
          <w:rtl w:val="true"/>
        </w:rPr>
        <w:t xml:space="preserve">- </w:t>
      </w:r>
      <w:r>
        <w:rPr>
          <w:rtl w:val="true"/>
        </w:rPr>
        <w:t xml:space="preserve">قدس سره </w:t>
      </w:r>
      <w:r>
        <w:rPr>
          <w:rtl w:val="true"/>
        </w:rPr>
        <w:t>-</w:t>
      </w:r>
      <w:bookmarkEnd w:id="333"/>
    </w:p>
    <w:p>
      <w:pPr>
        <w:pStyle w:val="BookText"/>
        <w:rPr/>
      </w:pPr>
      <w:r>
        <w:rPr>
          <w:rFonts w:ascii="IRNazanin" w:hAnsi="IRNazanin" w:eastAsia="IRNazanin"/>
          <w:color w:val="111111"/>
          <w:sz w:val="28"/>
          <w:sz w:val="28"/>
          <w:szCs w:val="28"/>
          <w:rtl w:val="true"/>
          <w:lang w:bidi="fa-IR"/>
        </w:rPr>
        <w:t xml:space="preserve">حقيقت اين است كه ما دليل صحيحي براي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ـ مطابق سياق روايت ـ در رابطه با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براي برائت ذمّه‌ي غيبت كننده است، باز هم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ندارد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وقتي روايتي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إغتبت، فاستحلّ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فاطلب الحلية من المغتاب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عنوان مثال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إغتبتَ يجب عليك الاستغفار للمغتاب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اين مورد، دو امر عطف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 اطلاق امر در يكي از اين دو خطاب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به تنهايي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اطلاق، اطلاق مقامي است؛ يعني مولا در مقام بيان بوده و چيز ديگري نفرموده است، پس معلوم مي‌شود تنها استحلال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در جاي ديگر و با بياني ديگر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فليستغفر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استغفار كند، اين</w:t>
      </w:r>
    </w:p>
    <w:p>
      <w:pPr>
        <w:pStyle w:val="BookText"/>
        <w:rPr/>
      </w:pPr>
      <w:r>
        <w:rPr>
          <w:rFonts w:ascii="Amiri" w:hAnsi="Amiri" w:eastAsia="Amiri" w:cs="Amiri"/>
          <w:color w:val="111111"/>
          <w:sz w:val="28"/>
          <w:sz w:val="28"/>
          <w:szCs w:val="28"/>
          <w:rtl w:val="true"/>
          <w:lang w:bidi="ar-SA"/>
        </w:rPr>
        <w:t>بيان هم ظهورش در وجوب است، آن‌هم وجوب تعييني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بين، رفع يد از اطلاق مقامي آسان‌تر از رفع يد از وجوب تعييني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سبب ذكر شده و دو مسبّب بر آن مترتّب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امر آن است كه اين سبب، مستتبع هر دو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لامحاله بايد جمع اين دو بيان،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يعني نتيجه اين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اغتبت فاستحلّ من المغتاب و إذا اغتبت، استغفر للمغتاب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هم استحلال واجب مي‌شود و هم استغفار براي مغتاب، هرچند كه هر دو مربوط به برائت ذمّه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چيزي كه مفيد كفايت استحلال بود اطلاق مقامي بود، ولي در مقابل اين اطلاق مقامي، نصّي مي‌آيد كه استغفار را واجب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اطلاق مقامي رفع يد مي‌كنيم و اطلاقات وجوب استحلال را به وجوب استغفار تقييد مي‌كنيم و هر كدام را جزء العلّه براي برائت ذمّه‌ي مغتاب از غيبت مي‌دانيم؛ زيرا عرف،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اسهل از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به نظر مي‌رسد اين جمع نسبت به جمعي كه جناب شيخ ارائه فرمود، اولي است</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والذي يسهّل الخطب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ما اصل اين مطالب را قبول نكرديم و نهايت امر اين است كه استحلال و استغفار للمغتاب، مطابق احتياط است يا اگر كسي قائل به تسامح در ادلّه‌ي سنن شد به نحوي كه بتوان اثبات استحباب كرد، 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و استغفار للمغتاب مستحب است، ولي ما نمي‌توانيم ملتزم شويم</w:t>
      </w:r>
      <w:r>
        <w:rPr>
          <w:rFonts w:eastAsia="IRNazanin" w:cs="IRNazanin"/>
          <w:color w:val="111111"/>
          <w:sz w:val="28"/>
          <w:szCs w:val="28"/>
          <w:rtl w:val="true"/>
          <w:lang w:bidi="fa-IR"/>
        </w:rPr>
        <w:t>.</w:t>
      </w:r>
      <w:bookmarkStart w:id="334" w:name="pg2359_23383"/>
    </w:p>
    <w:p>
      <w:pPr>
        <w:pStyle w:val="BookText"/>
        <w:rPr/>
      </w:pPr>
      <w:bookmarkEnd w:id="334"/>
      <w:r>
        <w:rPr>
          <w:rFonts w:ascii="IRNazanin" w:hAnsi="IRNazanin" w:eastAsia="IRNazanin"/>
          <w:color w:val="111111"/>
          <w:sz w:val="28"/>
          <w:sz w:val="28"/>
          <w:szCs w:val="28"/>
          <w:rtl w:val="true"/>
          <w:lang w:bidi="fa-IR"/>
        </w:rPr>
        <w:t>البته احتياط بسيار خوب است، مخصوصاً در استغفار كه هيچ مشكلي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جناب شيخ در پايان اين مطلب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غفر الله لمن اغتبناه و لمن اغتابنا بحقّ محمّد و آله الطاهرين صلوات الله عليهم أجمعين</w:t>
      </w:r>
      <w:r>
        <w:rPr>
          <w:rFonts w:eastAsia="IRNazanin" w:cs="IRNazanin"/>
          <w:color w:val="111111"/>
          <w:sz w:val="28"/>
          <w:szCs w:val="28"/>
          <w:rtl w:val="true"/>
          <w:lang w:bidi="fa-IR"/>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 اين‌جاي بحث، مدرك چهار احتمال از احتمالات هفتگانه درباره‌ي كفّاره‌ي غيبت را بررسي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مدرك سه احتمال ديگر هم بايد بررسي شود</w:t>
      </w:r>
      <w:r>
        <w:rPr>
          <w:rFonts w:eastAsia="IRNazanin" w:cs="IRNazanin"/>
          <w:color w:val="111111"/>
          <w:sz w:val="28"/>
          <w:szCs w:val="28"/>
          <w:rtl w:val="true"/>
          <w:lang w:bidi="fa-IR"/>
        </w:rPr>
        <w:t>.</w:t>
      </w:r>
    </w:p>
    <w:p>
      <w:pPr>
        <w:pStyle w:val="Heading3"/>
        <w:numPr>
          <w:ilvl w:val="2"/>
          <w:numId w:val="1"/>
        </w:numPr>
        <w:rPr/>
      </w:pPr>
      <w:bookmarkStart w:id="335" w:name="__RefHeading___Toc2770433_3804643083"/>
      <w:bookmarkStart w:id="336" w:name="_Toc127"/>
      <w:bookmarkEnd w:id="335"/>
      <w:r>
        <w:rPr>
          <w:rtl w:val="true"/>
        </w:rPr>
        <w:t>آيا اگر مغتاب از غيبت مطّلع شد، استحلال لازم است؟</w:t>
      </w:r>
      <w:bookmarkEnd w:id="336"/>
    </w:p>
    <w:p>
      <w:pPr>
        <w:pStyle w:val="Heading4"/>
        <w:numPr>
          <w:ilvl w:val="3"/>
          <w:numId w:val="1"/>
        </w:numPr>
        <w:rPr/>
      </w:pPr>
      <w:bookmarkStart w:id="337" w:name="__RefHeading___Toc2770435_3804643083"/>
      <w:bookmarkStart w:id="338" w:name="_Toc128"/>
      <w:bookmarkEnd w:id="337"/>
      <w:r>
        <w:rPr>
          <w:rtl w:val="true"/>
        </w:rPr>
        <w:t>اشاره</w:t>
      </w:r>
      <w:bookmarkEnd w:id="33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بسياري از علما با اين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استحلال در صورت اطلاع غيبت شونده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شهيد ثاني در كشف الريبة، مرحوم مجلسي، محقّق 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آن‌چه كه در متن تجريد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كه شارح تجريد است اعتراضي به اين نظر نكرده است، حتّي قوشجي كه شارح سنّي تجريد است اعتراضي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شايد نتوانيم اين قول را به اين دو نسبت دهيم؛ چون در مقام شرح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اين نظر، قائل دارد، ولي مهم اين است كه مدرك اين احتمال چيست؟</w:t>
      </w:r>
      <w:bookmarkStart w:id="339" w:name="pg2359_23384"/>
    </w:p>
    <w:p>
      <w:pPr>
        <w:pStyle w:val="Heading4"/>
        <w:numPr>
          <w:ilvl w:val="3"/>
          <w:numId w:val="1"/>
        </w:numPr>
        <w:rPr/>
      </w:pPr>
      <w:bookmarkStart w:id="340" w:name="__RefHeading___Toc2770437_3804643083"/>
      <w:bookmarkStart w:id="341" w:name="_Toc129"/>
      <w:bookmarkEnd w:id="339"/>
      <w:bookmarkEnd w:id="340"/>
      <w:r>
        <w:rPr>
          <w:rtl w:val="true"/>
        </w:rPr>
        <w:t>استدلال به روايت مصباح الشريعة</w:t>
      </w:r>
      <w:bookmarkEnd w:id="341"/>
    </w:p>
    <w:p>
      <w:pPr>
        <w:pStyle w:val="BookText"/>
        <w:rPr/>
      </w:pPr>
      <w:r>
        <w:rPr>
          <w:rFonts w:ascii="IRNazanin" w:hAnsi="IRNazanin" w:eastAsia="IRNazanin"/>
          <w:color w:val="111111"/>
          <w:sz w:val="28"/>
          <w:sz w:val="28"/>
          <w:szCs w:val="28"/>
          <w:rtl w:val="true"/>
          <w:lang w:bidi="fa-IR"/>
        </w:rPr>
        <w:t>ما مدركي براي اين احتمال پيدا نكرديم مگر همان روايت مصباح الشريعة كه مي‌فرمود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اغْتَبْتَ فَبَلَغَ الْمُغْتَابَ فَاسْتَحِلَّ مِنْهُ فَإِنْ لَمْ تَبْلُغْهُ وَ لَمْ تَلْحَقْهُ فَاسْتَغْفِرِ اللَّهَ لَه</w:t>
      </w:r>
      <w:r>
        <w:rPr>
          <w:rFonts w:eastAsia="Amiri" w:cs="Amiri" w:ascii="Amiri" w:hAnsi="Amiri"/>
          <w:color w:val="111111"/>
          <w:sz w:val="28"/>
          <w:szCs w:val="28"/>
          <w:rtl w:val="true"/>
          <w:lang w:bidi="ar-SA"/>
        </w:rPr>
        <w:t>»</w:t>
      </w:r>
      <w:r>
        <w:rPr>
          <w:rStyle w:val="FootnoteAnchor"/>
          <w:rtl w:val="true"/>
        </w:rPr>
        <w:footnoteReference w:id="231"/>
      </w:r>
    </w:p>
    <w:p>
      <w:pPr>
        <w:pStyle w:val="BookText"/>
        <w:rPr/>
      </w:pPr>
      <w:r>
        <w:rPr>
          <w:rFonts w:ascii="IRNazanin" w:hAnsi="IRNazanin" w:eastAsia="IRNazanin"/>
          <w:color w:val="111111"/>
          <w:sz w:val="28"/>
          <w:sz w:val="28"/>
          <w:szCs w:val="28"/>
          <w:rtl w:val="true"/>
          <w:lang w:bidi="fa-IR"/>
        </w:rPr>
        <w:t>اگر غيبت كردي و به گوش مغتاب رسيد طلب حلّيت كن، پس اگر به او نرسيد براي او استغفار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تفصيل بين بلوغ غيبت به مغتاب و عدم بلوغ است، كه در صورت اوّل، استحلال و در صورت دوم، استغفار للمغتاب واجب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البته ممكن است كساني استحساناتي براي اين تفصيل ذكر كنند، ولي استحسان مدرك فقهي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روايت مي‌تواند مدرك باشد كه گفتيم جز در مصباح الشريعة، دليل ديگري بر اين نظر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كتاب مصباح الشريعة هم كه قبلاً صحبت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انتساب اين كتاب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نيست و اصلاً معلوم نيست كه روايت باشد، چه رسد به اين‌كه روايت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ديدگاه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مصباح الشريعة</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بد نيست نظر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هم درباره‌ي اين كتاب بدانيم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در مكاسب محرمه‌ي خود مي‌فرمايد</w:t>
      </w:r>
      <w:r>
        <w:rPr>
          <w:rFonts w:eastAsia="Amiri" w:cs="Amiri" w:ascii="Amiri" w:hAnsi="Amiri"/>
          <w:color w:val="111111"/>
          <w:sz w:val="28"/>
          <w:szCs w:val="28"/>
          <w:rtl w:val="true"/>
          <w:lang w:bidi="ar-SA"/>
        </w:rPr>
        <w:t>:</w:t>
      </w:r>
      <w:bookmarkStart w:id="342" w:name="pg2359_23385"/>
    </w:p>
    <w:p>
      <w:pPr>
        <w:pStyle w:val="BookText"/>
        <w:rPr/>
      </w:pPr>
      <w:bookmarkEnd w:id="342"/>
      <w:r>
        <w:rPr>
          <w:rFonts w:ascii="Amiri" w:hAnsi="Amiri" w:eastAsia="Amiri" w:cs="Amiri"/>
          <w:color w:val="111111"/>
          <w:sz w:val="28"/>
          <w:sz w:val="28"/>
          <w:szCs w:val="28"/>
          <w:rtl w:val="true"/>
          <w:lang w:bidi="ar-SA"/>
        </w:rPr>
        <w:t>و أمّا رواية مصباح الشريعة الدالّة على التفصيل، بين وصول الغيبة إلى صاحبها و عدمه، فلا تصلح للاستناد إليها، لعدم ثبوت كونها رواية، فضلاً عن اعتبارها، بل لا يبعد أن يكون كتابه من استنباط بعض أهل العلم و الحال و من إنشاءاته</w:t>
      </w:r>
      <w:r>
        <w:rPr>
          <w:rStyle w:val="FootnoteAnchor"/>
          <w:rtl w:val="true"/>
        </w:rPr>
        <w:footnoteReference w:id="232"/>
      </w:r>
    </w:p>
    <w:p>
      <w:pPr>
        <w:pStyle w:val="BookText"/>
        <w:rPr/>
      </w:pPr>
      <w:r>
        <w:rPr>
          <w:rFonts w:ascii="IRNazanin" w:hAnsi="IRNazanin" w:eastAsia="IRNazanin"/>
          <w:color w:val="111111"/>
          <w:sz w:val="28"/>
          <w:sz w:val="28"/>
          <w:szCs w:val="28"/>
          <w:rtl w:val="true"/>
          <w:lang w:bidi="fa-IR"/>
        </w:rPr>
        <w:t xml:space="preserve">و امّا اين روايت مصباح الشريعه كه دلالت دارد بر تفصيل بين رسيدن غيبت به صاحب آن و عدم رسيدن آن، اصلاً صلاحيّت براي استناد ندارد؛ زيرا ثابت نيست كه اين، روايت باشد تا چه رسد به اين‌كه معتبر هم باشد، بلكه بعيد نيست كه اين كتاب، استنباط بعضي اهل علم و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عرفاني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انشائات‌شان باشد</w:t>
      </w:r>
      <w:r>
        <w:rPr>
          <w:rFonts w:eastAsia="IRNazanin" w:cs="IRNazanin"/>
          <w:color w:val="111111"/>
          <w:sz w:val="28"/>
          <w:szCs w:val="28"/>
          <w:rtl w:val="true"/>
          <w:lang w:bidi="fa-IR"/>
        </w:rPr>
        <w:t>.</w:t>
      </w:r>
    </w:p>
    <w:p>
      <w:pPr>
        <w:pStyle w:val="Heading3"/>
        <w:numPr>
          <w:ilvl w:val="2"/>
          <w:numId w:val="1"/>
        </w:numPr>
        <w:rPr/>
      </w:pPr>
      <w:bookmarkStart w:id="343" w:name="__RefHeading___Toc2770439_3804643083"/>
      <w:bookmarkStart w:id="344" w:name="_Toc130"/>
      <w:bookmarkEnd w:id="343"/>
      <w:r>
        <w:rPr>
          <w:rtl w:val="true"/>
        </w:rPr>
        <w:t>كلام شهيد ثاني</w:t>
      </w:r>
      <w:r>
        <w:rPr>
          <w:rtl w:val="true"/>
        </w:rPr>
        <w:t xml:space="preserve">- </w:t>
      </w:r>
      <w:r>
        <w:rPr>
          <w:rtl w:val="true"/>
        </w:rPr>
        <w:t xml:space="preserve">قدس سره </w:t>
      </w:r>
      <w:r>
        <w:rPr>
          <w:rtl w:val="true"/>
        </w:rPr>
        <w:t xml:space="preserve">- </w:t>
      </w:r>
      <w:r>
        <w:rPr>
          <w:rtl w:val="true"/>
        </w:rPr>
        <w:t>در وجه جمع</w:t>
      </w:r>
      <w:bookmarkEnd w:id="344"/>
    </w:p>
    <w:p>
      <w:pPr>
        <w:pStyle w:val="BookText"/>
        <w:rPr/>
      </w:pPr>
      <w:r>
        <w:rPr>
          <w:rFonts w:ascii="Amiri" w:hAnsi="Amiri" w:eastAsia="Amiri" w:cs="Amiri"/>
          <w:color w:val="111111"/>
          <w:sz w:val="28"/>
          <w:sz w:val="28"/>
          <w:szCs w:val="28"/>
          <w:rtl w:val="true"/>
          <w:lang w:bidi="ar-SA"/>
        </w:rPr>
        <w:t>شهيد 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احتمال را به همان احتمالي كه قبول كرده است ملحق مي‌داند؛ يعني ايشان اين قول را در موارد خاص قبول دارد و ملاك اصلي، لزوم طلب حلّيت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الجمع بينهما بحمل الاستغفار له على من لم تبلغ غيبته المغتاب، فينبغي له الاقتصار على الدعاء و الاستغفار لأنّ في محالّته إثارةً للفتنة و جلباً للضغائن و في حكم من لم تبلغه من لم يقدر على الوصول إليه</w:t>
      </w:r>
    </w:p>
    <w:p>
      <w:pPr>
        <w:pStyle w:val="BookText"/>
        <w:rPr/>
      </w:pPr>
      <w:r>
        <w:rPr>
          <w:rFonts w:ascii="Amiri" w:hAnsi="Amiri" w:eastAsia="Amiri" w:cs="Amiri"/>
          <w:color w:val="111111"/>
          <w:sz w:val="28"/>
          <w:sz w:val="28"/>
          <w:szCs w:val="28"/>
          <w:rtl w:val="true"/>
          <w:lang w:bidi="ar-SA"/>
        </w:rPr>
        <w:t>لموت أو غيبة، و حمل المحالّة على من يمكن التوصّل إليه مع بلوغه الغيبة</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جمع بين دو روايت نبوي اين‌گونه ممكن است كه اگر غيبت به مغتاب نرسيد استغفار للمغتاب واجب باشد، پس سزاوار است براي غيبت كننده كه اكتفا كند به دعا و استغفار؛ زيرا در طلب حلّيت، برانگيختن فتنه و ايجاد كينه است و كسي كه به دليل مرگ يا عدم حضور، قدرت بر شنيدن و اطلاع از غيبت را ندارد، در حكم كسي است كه غيبت به او نرسيده باشد و طلب حلّيت براي مواقعي است كه امكان دسترسي به كسي باشد و غيبت هم به او رسيده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بررسي اين احتمال</w:t>
      </w:r>
    </w:p>
    <w:p>
      <w:pPr>
        <w:pStyle w:val="BookText"/>
        <w:rPr/>
      </w:pPr>
      <w:r>
        <w:rPr>
          <w:rFonts w:ascii="IRNazanin" w:hAnsi="IRNazanin" w:eastAsia="IRNazanin"/>
          <w:color w:val="111111"/>
          <w:sz w:val="28"/>
          <w:sz w:val="28"/>
          <w:szCs w:val="28"/>
          <w:rtl w:val="true"/>
          <w:lang w:bidi="fa-IR"/>
        </w:rPr>
        <w:t xml:space="preserve">حمل اين 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استغفار در صورت عدم امكان استحلال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احتمال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استغفار در صورت عدم بلوغ غيبت به مغتاب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 و ما همان تفصيل پنجم را هم نپذيرفتيم، چه رسد به اين‌كه اين احتمال را حمل بر آن كنيم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 هر حال اگر بپذيريم استحلال، حقّ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طبق قاعده‌ي اوليه اگر مغتاب فوت شود ذمّه‌ي غيبت كننده با استغفار بريء نمي‌شود و اگر هم طلب حلّيت از ورّاثش را كافي ندانستيم، اين حق به عهده‌اش الي يوم القيامه باقي خواهد ماند، همانند بدهكاري كه دسترسي به طلبكار نداشته باشد</w:t>
      </w:r>
      <w:r>
        <w:rPr>
          <w:rFonts w:eastAsia="IRNazanin" w:cs="IRNazanin"/>
          <w:color w:val="111111"/>
          <w:sz w:val="28"/>
          <w:szCs w:val="28"/>
          <w:rtl w:val="true"/>
          <w:lang w:bidi="fa-IR"/>
        </w:rPr>
        <w:t>.</w:t>
      </w:r>
      <w:bookmarkStart w:id="345" w:name="pg2359_23387"/>
    </w:p>
    <w:p>
      <w:pPr>
        <w:pStyle w:val="BookText"/>
        <w:rPr/>
      </w:pPr>
      <w:bookmarkEnd w:id="345"/>
      <w:r>
        <w:rPr>
          <w:rFonts w:ascii="IRNazanin" w:hAnsi="IRNazanin" w:eastAsia="IRNazanin"/>
          <w:color w:val="111111"/>
          <w:sz w:val="28"/>
          <w:sz w:val="28"/>
          <w:szCs w:val="28"/>
          <w:rtl w:val="true"/>
          <w:lang w:bidi="fa-IR"/>
        </w:rPr>
        <w:t>پس اين احتمال هم منشأيي ندارد</w:t>
      </w:r>
      <w:r>
        <w:rPr>
          <w:rFonts w:eastAsia="IRNazanin" w:cs="IRNazanin"/>
          <w:color w:val="111111"/>
          <w:sz w:val="28"/>
          <w:szCs w:val="28"/>
          <w:rtl w:val="true"/>
          <w:lang w:bidi="fa-IR"/>
        </w:rPr>
        <w:t>.</w:t>
      </w:r>
    </w:p>
    <w:p>
      <w:pPr>
        <w:pStyle w:val="Heading3"/>
        <w:numPr>
          <w:ilvl w:val="2"/>
          <w:numId w:val="1"/>
        </w:numPr>
        <w:rPr/>
      </w:pPr>
      <w:bookmarkStart w:id="346" w:name="__RefHeading___Toc2770441_3804643083"/>
      <w:bookmarkStart w:id="347" w:name="_Toc131"/>
      <w:bookmarkEnd w:id="346"/>
      <w:r>
        <w:rPr>
          <w:rtl w:val="true"/>
        </w:rPr>
        <w:t>تنها وظيفه‌ي قطعي غيبت كننده</w:t>
      </w:r>
      <w:r>
        <w:rPr>
          <w:rtl w:val="true"/>
        </w:rPr>
        <w:t xml:space="preserve">: </w:t>
      </w:r>
      <w:r>
        <w:rPr>
          <w:rtl w:val="true"/>
        </w:rPr>
        <w:t>استغفار از گناه خود</w:t>
      </w:r>
      <w:bookmarkEnd w:id="347"/>
    </w:p>
    <w:p>
      <w:pPr>
        <w:pStyle w:val="BookText"/>
        <w:rPr/>
      </w:pPr>
      <w:r>
        <w:rPr>
          <w:rFonts w:ascii="IRNazanin" w:hAnsi="IRNazanin" w:eastAsia="IRNazanin"/>
          <w:color w:val="111111"/>
          <w:sz w:val="28"/>
          <w:sz w:val="28"/>
          <w:szCs w:val="28"/>
          <w:rtl w:val="true"/>
          <w:lang w:bidi="fa-IR"/>
        </w:rPr>
        <w:t>با مناقشه در احتمالات و عدم پذيرش آن‌ها، تنها احتمالي كه مي‌ماند احتمال آخر است؛ يعني كسي كه غيبت كرده، شرعاً بر او واجب است از گناه و حرامي كه انجام داده استغفار كند، همانند توبه از هر گناه ديگري كه شخص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آيات و روايات زيادي امر به توبه و استغفار به درگاه الهي مي‌كند، مانند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اسْتَغْفِرُوا رَبَّكُمْ ثُمَّ تُوبُوا إِلَيْهِ إِنَّ رَبِّي رَحِيمٌ وَدُودٌ</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پروردگار خود آمرزش بخواهيد، سپس به درگاه او توبه كنيد كه پروردگار من مهربان 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در وجوب استغفار للمغتاب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استحلال شك كرديم، مجراي برائت بوده و تكليفي به گردن ما نيست</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همان‌طور كه بيان شد، حُسن احتياط به جاي خود محفوظ بوده و چگونگي احتياط هم به جمع بين استحلال و استغفار است، مگر اين‌كه استحلال با امر ديگري معارَض و مزاحَم باشد؛ مثلاً اگر استحلال كند إثاره‌ي فتنه‌اي شود يا فسادي يا ايذايي صورت گيرد كه وضع بدتر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حالت، احتياط به استحلال، خلاف احتياط است</w:t>
      </w:r>
      <w:r>
        <w:rPr>
          <w:rFonts w:eastAsia="IRNazanin" w:cs="IRNazanin"/>
          <w:color w:val="111111"/>
          <w:sz w:val="28"/>
          <w:szCs w:val="28"/>
          <w:rtl w:val="true"/>
          <w:lang w:bidi="fa-IR"/>
        </w:rPr>
        <w:t>.</w:t>
      </w:r>
      <w:bookmarkStart w:id="348" w:name="pg2359_23389"/>
    </w:p>
    <w:p>
      <w:pPr>
        <w:pStyle w:val="Heading2"/>
        <w:numPr>
          <w:ilvl w:val="1"/>
          <w:numId w:val="1"/>
        </w:numPr>
        <w:rPr/>
      </w:pPr>
      <w:bookmarkStart w:id="349" w:name="__RefHeading___Toc2770443_3804643083"/>
      <w:bookmarkStart w:id="350" w:name="_Toc132"/>
      <w:bookmarkEnd w:id="348"/>
      <w:bookmarkEnd w:id="349"/>
      <w:r>
        <w:rPr>
          <w:rtl w:val="true"/>
        </w:rPr>
        <w:t>مستثنيات غيبت</w:t>
      </w:r>
      <w:bookmarkEnd w:id="350"/>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51" w:name="__RefHeading___Toc2770445_3804643083"/>
      <w:bookmarkStart w:id="352" w:name="_Toc133"/>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از قديم، چه دانشمندان مفسّر ما و چه فقهاي ما به نوعي درباره‌ي مستثنيات غيبت سخن گفته‌اند، البته گاهي به نحو كلّي و گاهي به صورت جزئي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همان‌گونه كه قبلاً اشاره كرديم</w:t>
      </w:r>
      <w:r>
        <w:rPr>
          <w:rStyle w:val="FootnoteAnchor"/>
          <w:rtl w:val="true"/>
        </w:rPr>
        <w:footnoteReference w:id="235"/>
      </w:r>
      <w:r>
        <w:rPr>
          <w:rFonts w:ascii="IRNazanin" w:hAnsi="IRNazanin" w:eastAsia="IRNazanin"/>
          <w:color w:val="111111"/>
          <w:sz w:val="28"/>
          <w:sz w:val="28"/>
          <w:szCs w:val="28"/>
          <w:rtl w:val="true"/>
          <w:lang w:bidi="fa-IR"/>
        </w:rPr>
        <w:t>ـ در تفسير تبيان سخني دارد كه محصّل كلام ايشان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يعني پشت‌سر كسي ذكر عيب او كني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وجه تمنع الحكمة منه</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به گونه‌اي كه حكمت، منع از آن مي‌كند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برخي ديگر از فقهاي 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هنگامي حرام است كه انتقاص مؤمن و هتك عِرض او باشد و براي مجلس گرم كردن، شوخي، تفكّه، خنداندن ديگران و سرگرمي غيبت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غيبت بر اساس غرض صحيحي باشد كه اين غرض صحيح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bookmarkStart w:id="353" w:name="pg2359_23392"/>
    </w:p>
    <w:p>
      <w:pPr>
        <w:pStyle w:val="BookText"/>
        <w:rPr/>
      </w:pPr>
      <w:bookmarkEnd w:id="353"/>
      <w:r>
        <w:rPr>
          <w:rFonts w:ascii="IRNazanin" w:hAnsi="IRNazanin" w:eastAsia="IRNazanin"/>
          <w:color w:val="111111"/>
          <w:sz w:val="28"/>
          <w:sz w:val="28"/>
          <w:szCs w:val="28"/>
          <w:rtl w:val="true"/>
          <w:lang w:bidi="fa-IR"/>
        </w:rPr>
        <w:t>شخص ثالثي برمي‌گردد، ديگر نمي‌توانيم غيبت را علي الاطلاق حرام بدانيم، بلكه بايد نسبت‌سنجي شود؛ يعني بايد ديد آيا مصلحت احترام مؤمن كه بناست مورد غيبت واقع شود، اعظم است يا مصلحتي كه مورد نظر است؟ اگر مصلحت مورد نظر اعظم بود ديگر غيبت حرام نيست و بايد أقوي المصلحتين را در نظر گرفت</w:t>
      </w:r>
      <w:r>
        <w:rPr>
          <w:rStyle w:val="FootnoteAnchor"/>
          <w:rtl w:val="true"/>
        </w:rPr>
        <w:footnoteReference w:id="2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4" w:name="__RefHeading___Toc2770447_3804643083"/>
      <w:bookmarkStart w:id="355" w:name="_Toc134"/>
      <w:bookmarkEnd w:id="354"/>
      <w:r>
        <w:rPr>
          <w:rtl w:val="true"/>
        </w:rPr>
        <w:t>نمونه‌هايي از برتري مصحلت غيبت بر مصلحت ترك آن</w:t>
      </w:r>
      <w:bookmarkEnd w:id="35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مستشير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مستشير يعني اين‌كه كسي با شما مشورت مي‌كند و شما مي‌خواهيد او را راهنمايي كنيد و به او مشاوره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كسي كه مورد ظلم واقع شده است مي‌تواند از ظالمِ بر خود،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جرح و تعديل هم فقها قائل به جواز غيبت هستند؛ يعني كسي مي‌خواهد</w:t>
      </w:r>
      <w:bookmarkStart w:id="356" w:name="pg2359_23393"/>
    </w:p>
    <w:p>
      <w:pPr>
        <w:pStyle w:val="BookText"/>
        <w:rPr/>
      </w:pPr>
      <w:bookmarkEnd w:id="356"/>
      <w:r>
        <w:rPr>
          <w:rFonts w:ascii="IRNazanin" w:hAnsi="IRNazanin" w:eastAsia="IRNazanin"/>
          <w:color w:val="111111"/>
          <w:sz w:val="28"/>
          <w:sz w:val="28"/>
          <w:szCs w:val="28"/>
          <w:rtl w:val="true"/>
          <w:lang w:bidi="fa-IR"/>
        </w:rPr>
        <w:t>در محكمه و دادگستري به عنوان عادل شهادت بدهد، ولي شما مي‌دانيد كه اين شخص،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غير مورد قضاوت و شهادت، غيبت از اين شخص جايز نيست، ولي به اين جهت غيبتش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نمونه‌ي ديگر، غيبت راوي فاسقي است كه اگر حقيقت گفته نشود روايات دروغش را به عنوان روايت صحيح در اختيار مردم قرار مي‌دهد و مردم ـ به خيال حكم شرعي ـ طبقش عمل مي‌كنند و فتوا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 فردي است كه خودش را در معرض مرجعيت قرار داده است در حالي‌كه شخصِ فاسقِ فاجري است كه اگر مقاليد فتوا و حكم در اختيارش افتد معلوم نيست چه حرام‌ها و چه بدعت‌هايي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از اين موارد، حتّي غيبت و ذكر عيوب ديگري واجب است</w:t>
      </w:r>
      <w:r>
        <w:rPr>
          <w:rFonts w:eastAsia="IRNazanin" w:cs="IRNazanin"/>
          <w:color w:val="111111"/>
          <w:sz w:val="28"/>
          <w:szCs w:val="28"/>
          <w:rtl w:val="true"/>
          <w:lang w:bidi="fa-IR"/>
        </w:rPr>
        <w:t>.</w:t>
      </w:r>
    </w:p>
    <w:p>
      <w:pPr>
        <w:pStyle w:val="Heading3"/>
        <w:numPr>
          <w:ilvl w:val="2"/>
          <w:numId w:val="1"/>
        </w:numPr>
        <w:rPr/>
      </w:pPr>
      <w:bookmarkStart w:id="357" w:name="__RefHeading___Toc2770449_3804643083"/>
      <w:bookmarkStart w:id="358" w:name="_Toc135"/>
      <w:bookmarkEnd w:id="357"/>
      <w:r>
        <w:rPr>
          <w:rtl w:val="true"/>
        </w:rPr>
        <w:t>پرهيز از افراط و تفريط</w:t>
      </w:r>
      <w:bookmarkEnd w:id="35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اين‌كه غيبت مي‌تواند مستثنياتي داشته باشد يا مصلحتي بر آن مترتّب گردد، نبايد در مسأله‌ي غيبت دچار افراط و تفريط شويم، بلكه بايد تلاش كنيم حدود شرعي آن را دقيق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اصلاً اعتنايي به حرمت غيبت ندارند و به راحتي مرتكب غيبت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بعضي هم دچار افراط مي‌شوند و هر صحبتي را عليه هر كسي به عنوان غيبتِ حرام تلقّي مي‌كنند و ديگران را به خاطر ارتكاب آن، توبيخ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به خاطر سوء فهم خود، به مسلماني نسبت حرام مي‌دهند، در حالي‌كه توجّه ندارند موردي را كه حرام مي‌دانند چه بسا از مستثنيات غيبت بوده و نه تنها جايز، بلكه حتّي مي‌تواند واجب باشد</w:t>
      </w:r>
      <w:r>
        <w:rPr>
          <w:rFonts w:eastAsia="IRNazanin" w:cs="IRNazanin"/>
          <w:color w:val="111111"/>
          <w:sz w:val="28"/>
          <w:szCs w:val="28"/>
          <w:rtl w:val="true"/>
          <w:lang w:bidi="fa-IR"/>
        </w:rPr>
        <w:t>.</w:t>
      </w:r>
      <w:bookmarkStart w:id="359" w:name="pg2359_23394"/>
    </w:p>
    <w:p>
      <w:pPr>
        <w:pStyle w:val="BookText"/>
        <w:rPr/>
      </w:pPr>
      <w:bookmarkEnd w:id="359"/>
      <w:r>
        <w:rPr>
          <w:rFonts w:ascii="IRNazanin" w:hAnsi="IRNazanin" w:eastAsia="IRNazanin"/>
          <w:color w:val="111111"/>
          <w:sz w:val="28"/>
          <w:sz w:val="28"/>
          <w:szCs w:val="28"/>
          <w:rtl w:val="true"/>
          <w:lang w:bidi="fa-IR"/>
        </w:rPr>
        <w:t>به عنوان مثال، در مجلسي در رابطه با بعضي مسائل سياسي و كساني كه از لحاظ ديني يا سياسي منحرف بودند بحث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كه خود را به تقدّس زده بود اعتراض كرد كه اين‌گونه حرف‌ها غيبت است، در حالي‌كه اگر اين‌گونه مطالب غيبت باشد بايد بگوييم ـ نعوذ بالله ـ اوّل غيبت كننده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جناب نجاشي، كشّي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مي‌باشند كه در كتب رجال‌شان درباره‌ي بعضي افراد كه از لحاظ علمي و سابقه داراي مقامات بالايي هستند،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كذّابٌ، وضّاعٌ، فاسدٌ و</w:t>
      </w:r>
      <w:r>
        <w:rPr>
          <w:rFonts w:eastAsia="IRNazanin" w:cs="IRNazanin"/>
          <w:color w:val="111111"/>
          <w:sz w:val="28"/>
          <w:szCs w:val="28"/>
          <w:rtl w:val="true"/>
          <w:lang w:bidi="fa-IR"/>
        </w:rPr>
        <w:t>... .</w:t>
      </w:r>
    </w:p>
    <w:p>
      <w:pPr>
        <w:pStyle w:val="Heading3"/>
        <w:numPr>
          <w:ilvl w:val="2"/>
          <w:numId w:val="1"/>
        </w:numPr>
        <w:rPr/>
      </w:pPr>
      <w:bookmarkStart w:id="360" w:name="__RefHeading___Toc2770451_3804643083"/>
      <w:bookmarkStart w:id="361" w:name="_Toc136"/>
      <w:bookmarkEnd w:id="360"/>
      <w:r>
        <w:rPr>
          <w:rtl w:val="true"/>
        </w:rPr>
        <w:t>قاعده و ملاك مرحوم شيخ</w:t>
      </w:r>
      <w:r>
        <w:rPr>
          <w:rtl w:val="true"/>
        </w:rPr>
        <w:t xml:space="preserve">- </w:t>
      </w:r>
      <w:r>
        <w:rPr>
          <w:rtl w:val="true"/>
        </w:rPr>
        <w:t xml:space="preserve">قدس سره </w:t>
      </w:r>
      <w:r>
        <w:rPr>
          <w:rtl w:val="true"/>
        </w:rPr>
        <w:t xml:space="preserve">- </w:t>
      </w:r>
      <w:r>
        <w:rPr>
          <w:rtl w:val="true"/>
        </w:rPr>
        <w:t>در موارد جواز غيبت</w:t>
      </w:r>
      <w:bookmarkEnd w:id="361"/>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مثال‌هايي كه بيان شد، جناب شيخ و عدّه‌اي از بزرگان نتيجه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موارد جواز غيبت قابل شمارش نيست، بلكه فقط مي‌توان ملاك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جواز هم اين است كه ببينيد مصلحت احترام مؤمن چه مقدار است؟ مصلحتي هم كه بناست با غيبت استيفا شود چه مقدار است؟ هر كدام كه اعظم از ديگري بود مطابق آن عمل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جواز، زياد و غير قابل شمارش است</w:t>
      </w:r>
      <w:r>
        <w:rPr>
          <w:rStyle w:val="FootnoteAnchor"/>
          <w:rtl w:val="true"/>
        </w:rPr>
        <w:footnoteReference w:id="2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به عنوان مستثناي از حرمت غيبت شمرده شده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مرحوم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نمونه، دوازده نوع را به عنوان مستثنيات غيبت ذكر مي‌فرمايد</w:t>
      </w:r>
      <w:r>
        <w:rPr>
          <w:rFonts w:eastAsia="IRNazanin" w:cs="IRNazanin"/>
          <w:color w:val="111111"/>
          <w:sz w:val="28"/>
          <w:szCs w:val="28"/>
          <w:rtl w:val="true"/>
          <w:lang w:bidi="fa-IR"/>
        </w:rPr>
        <w:t>.</w:t>
      </w:r>
      <w:bookmarkStart w:id="362" w:name="pg2359_23395"/>
    </w:p>
    <w:p>
      <w:pPr>
        <w:pStyle w:val="Heading3"/>
        <w:numPr>
          <w:ilvl w:val="2"/>
          <w:numId w:val="1"/>
        </w:numPr>
        <w:rPr/>
      </w:pPr>
      <w:bookmarkStart w:id="363" w:name="__RefHeading___Toc2770453_3804643083"/>
      <w:bookmarkStart w:id="364" w:name="_Toc137"/>
      <w:bookmarkEnd w:id="362"/>
      <w:bookmarkEnd w:id="363"/>
      <w:r>
        <w:rPr>
          <w:rtl w:val="true"/>
        </w:rPr>
        <w:t>دو قسم اصلي مستثنيات غيبت، از ديدگاه شيخ انصاري</w:t>
      </w:r>
      <w:r>
        <w:rPr>
          <w:rtl w:val="true"/>
        </w:rPr>
        <w:t xml:space="preserve">- </w:t>
      </w:r>
      <w:r>
        <w:rPr>
          <w:rtl w:val="true"/>
        </w:rPr>
        <w:t xml:space="preserve">قدس سره </w:t>
      </w:r>
      <w:r>
        <w:rPr>
          <w:rtl w:val="true"/>
        </w:rPr>
        <w:t>-</w:t>
      </w:r>
      <w:bookmarkEnd w:id="364"/>
    </w:p>
    <w:p>
      <w:pPr>
        <w:pStyle w:val="Heading4"/>
        <w:numPr>
          <w:ilvl w:val="3"/>
          <w:numId w:val="1"/>
        </w:numPr>
        <w:rPr/>
      </w:pPr>
      <w:bookmarkStart w:id="365" w:name="__RefHeading___Toc2770455_3804643083"/>
      <w:bookmarkStart w:id="366" w:name="_Toc138"/>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جناب شيخ در ابتداي بحث مستثنيات غيبت مي‌فرمايد مستثنيات غيبت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مستثنياتي كه از راه تخصيص به آن مي‌رسيم و مستثنياتي كه از راه تزاحم به آن مي‌رسيم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مستثنيات تخصيصي ـ بنابر اين‌كه چنين مستثنايي براي غيبت باشد ـ دو مورد را بيان مي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متجاهر به فسق و تظلّم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در نهايت، شيخ متمايل به اين نظر مي‌شوند كه غيبت متجاهر به فسق تخصّصاً از موضوع غيبت خارج است؛ چون موضوع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 جلباب الحياء عن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غيبت ندارد، نه اين‌كه غيبت بوده ولي حرام نباشد، بلكه موضوع غيبت مضيّق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تظلّم مظلوم هم شيخ در نهايت مي‌فرمايد احوط آن است كه از باب تزاحم است و از جمله‌ي همان ده موردي است كه بعداً مي‌شمارند</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كلام شيخ مبني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خروج تخصّصي غيبت متجاهر به فسق، از بحث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پذيرفتيم، ولي فرمايش ايشان در مورد تظلّم مظلوم و اين‌كه خروج آن از حرمت، از باب تزاحم است را نپذيرفته و ادلّه را براي تقييد اطلاقات غيبت، وافي مي‌دانيم</w:t>
      </w:r>
      <w:r>
        <w:rPr>
          <w:rFonts w:eastAsia="IRNazanin" w:cs="IRNazanin"/>
          <w:color w:val="111111"/>
          <w:sz w:val="28"/>
          <w:szCs w:val="28"/>
          <w:rtl w:val="true"/>
          <w:lang w:bidi="fa-IR"/>
        </w:rPr>
        <w:t>.</w:t>
      </w:r>
      <w:bookmarkStart w:id="367" w:name="pg2359_23396"/>
    </w:p>
    <w:p>
      <w:pPr>
        <w:pStyle w:val="Heading4"/>
        <w:numPr>
          <w:ilvl w:val="3"/>
          <w:numId w:val="1"/>
        </w:numPr>
        <w:rPr/>
      </w:pPr>
      <w:bookmarkStart w:id="368" w:name="__RefHeading___Toc2770457_3804643083"/>
      <w:bookmarkStart w:id="369" w:name="_Toc139"/>
      <w:bookmarkEnd w:id="367"/>
      <w:bookmarkEnd w:id="368"/>
      <w:r>
        <w:rPr>
          <w:rtl w:val="true"/>
        </w:rPr>
        <w:t>الف</w:t>
      </w:r>
      <w:r>
        <w:rPr>
          <w:rtl w:val="true"/>
        </w:rPr>
        <w:t xml:space="preserve">) </w:t>
      </w:r>
      <w:r>
        <w:rPr>
          <w:rtl w:val="true"/>
        </w:rPr>
        <w:t>عدم خروج غيبت از حرمت، به قاعده‌ي لاضرر يا لاحرج با توجّه به امتناني بودن اين دو قاعده</w:t>
      </w:r>
      <w:bookmarkEnd w:id="369"/>
    </w:p>
    <w:p>
      <w:pPr>
        <w:pStyle w:val="BookText"/>
        <w:rPr/>
      </w:pPr>
      <w:r>
        <w:rPr>
          <w:rFonts w:ascii="IRNazanin" w:hAnsi="IRNazanin" w:eastAsia="IRNazanin"/>
          <w:color w:val="111111"/>
          <w:sz w:val="28"/>
          <w:sz w:val="28"/>
          <w:szCs w:val="28"/>
          <w:rtl w:val="true"/>
          <w:lang w:bidi="fa-IR"/>
        </w:rPr>
        <w:t>از جمله موارد مجوّز غيبت، موردي است كه تحت قاعده‌ي لاضرر يا مصداق قاعده‌ي لاحرج باشد و در عين حال خلاف امتنان بر ديگران نيز نباشد، كه در اين صورت شايد مصداقي براي جواز غيبت به استناد اين دو قاعده نداشته باشيم مگر در متجاهر، ولي چون غيبت متجاهر بدون حرج و ضرر هم جايز است پس إعمال قاعده‌ي لاضرر و لاحرج در اين مبحث فايده‌اي ندارد</w:t>
      </w:r>
      <w:r>
        <w:rPr>
          <w:rFonts w:eastAsia="IRNazanin" w:cs="IRNazanin"/>
          <w:color w:val="111111"/>
          <w:sz w:val="28"/>
          <w:szCs w:val="28"/>
          <w:rtl w:val="true"/>
          <w:lang w:bidi="fa-IR"/>
        </w:rPr>
        <w:t>.</w:t>
      </w:r>
    </w:p>
    <w:p>
      <w:pPr>
        <w:pStyle w:val="Heading4"/>
        <w:numPr>
          <w:ilvl w:val="3"/>
          <w:numId w:val="1"/>
        </w:numPr>
        <w:rPr/>
      </w:pPr>
      <w:bookmarkStart w:id="370" w:name="__RefHeading___Toc2770459_3804643083"/>
      <w:bookmarkStart w:id="371" w:name="_Toc140"/>
      <w:bookmarkEnd w:id="370"/>
      <w:r>
        <w:rPr>
          <w:rtl w:val="true"/>
        </w:rPr>
        <w:t>ب</w:t>
      </w:r>
      <w:r>
        <w:rPr>
          <w:rtl w:val="true"/>
        </w:rPr>
        <w:t xml:space="preserve">) </w:t>
      </w:r>
      <w:r>
        <w:rPr>
          <w:rtl w:val="true"/>
        </w:rPr>
        <w:t>جواز غيبت، به ملاك تزاحم</w:t>
      </w:r>
      <w:bookmarkEnd w:id="371"/>
    </w:p>
    <w:p>
      <w:pPr>
        <w:pStyle w:val="BookText"/>
        <w:rPr/>
      </w:pPr>
      <w:r>
        <w:rPr>
          <w:rFonts w:ascii="IRNazanin" w:hAnsi="IRNazanin" w:eastAsia="IRNazanin"/>
          <w:color w:val="111111"/>
          <w:sz w:val="28"/>
          <w:sz w:val="28"/>
          <w:szCs w:val="28"/>
          <w:rtl w:val="true"/>
          <w:lang w:bidi="fa-IR"/>
        </w:rPr>
        <w:t>يكي از مجوزات غيبت ـ همان‌گونه كه شيخ فرموده است ـ ملاك تزاحم است؛ يعني اگر جايي مفسده‌ي غيبت نسبت به مصلحت لازمي كه بايد استيفا شود يا نسبت به هر ملاك ديگري مغلوب بود، مثل هر جاي ديگر كه تزاحم بين دو ملاك باشد بايد ملاك اقوي اخذ شود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مانند اين‌كه از سويي تصرّف در ملك غير، حرام است و از سوي ديگر انقاذ غريق مسلم،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جعل هم بين اين دو حكم تنافي نيست؛ زيرا قضاياي شرعيه بر سبيل قضاياي حقيقيه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شارع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قَادِرٌ عَلي إنْقَاذِ الغَريقِ، يَجِبُ عَلَيهِ إنقَاذُهُ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قَدَرتَ عَلي أنْ تَمتَنِعَ مِن التَصَرُفِ فِي أرضِ الغَيرِ، فَلاتَتَصَرّف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قدرت، اعمّ از قدرت تكويني و شرعي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در</w:t>
      </w:r>
    </w:p>
    <w:p>
      <w:pPr>
        <w:pStyle w:val="BookText"/>
        <w:rPr/>
      </w:pPr>
      <w:r>
        <w:rPr>
          <w:rFonts w:ascii="IRNazanin" w:hAnsi="IRNazanin" w:eastAsia="IRNazanin"/>
          <w:color w:val="111111"/>
          <w:sz w:val="28"/>
          <w:sz w:val="28"/>
          <w:szCs w:val="28"/>
          <w:rtl w:val="true"/>
          <w:lang w:bidi="fa-IR"/>
        </w:rPr>
        <w:t xml:space="preserve">لباب اين‌چنين هستند؛ چون بر سبيل قضاياي حقيقيه مي‌باشند كه اَوْلَش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قضيه‌ي شرطيه است و از جمله چيزهايي كه به قرينه‌ي لبيّه مأخوذ در قضاياي شرطيه مربوط به احكام است، قدرت مكلّف بر اتيان مكلّفٌ 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جايي به واسطه‌ي اشتغال به فعل مساوي يا أهم،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أعم از تكويني يا تشريعي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امتثال تكليف نبود، اصلاً حكم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شارع بفرمايد غيبت حرام است و در عين حال بفرمايد انقاذ جان مسلمان و حفظ جان او واجب است، اگر مكلّف توانست هر دو حكم را امتثال كند؛ يعني هم مسلماني را از كشته شدن نجات دهد و هم غيبت نكند، بايد هر دو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امكان امتثال هر دو برايش نباشد، مانند مواقعي كه غيبت مقدّمه‌ي انقاذ جان مسلم است ـ همان‌طور كه تصرّف در ارض غصبي مقدّمه‌ي انقاذ جان مسلماني باشد ـ در اين صورت، انقاذ جان مسلِم واجب است و حرمت غيبت برداشته مي‌شود، بلكه وجوب غيري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عقلي يا شرعي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پيدا مي‌كند؛ يعني غيبت كردن واجب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يك قاعده‌ي كلّي است و در همه جا مي‌تواند مورد استفاده قرار گيرد، فقط مهم اين است كه موارد تزاحم و أهمّيت ملاك عملي كه در مقابل غيبت است، نسبت به ملاك حرمت غيبت، خوب تشخيص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جا تزاحم بود و ملاك عملِ مقابل غيبت، أهمّ از ملاك حرمت غيبت بود غيبت مانعي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كبرايي را كه ما براي حالات تزاحم گفتيم، بر</w:t>
      </w:r>
    </w:p>
    <w:p>
      <w:pPr>
        <w:pStyle w:val="BookText"/>
        <w:rPr/>
      </w:pPr>
      <w:r>
        <w:rPr>
          <w:rFonts w:ascii="IRNazanin" w:hAnsi="IRNazanin" w:eastAsia="IRNazanin"/>
          <w:color w:val="111111"/>
          <w:sz w:val="28"/>
          <w:sz w:val="28"/>
          <w:szCs w:val="28"/>
          <w:rtl w:val="true"/>
          <w:lang w:bidi="fa-IR"/>
        </w:rPr>
        <w:t>مواردي تطبيق كرده و ده مورد را ذكر مي‌فرمايد و از آن‌جا كه بررسي اين موارد ده‌گانه داراي نكاتي است و فوايدي دارد ـ و معلوم نيست در جاي ديگر، توفيق بررسي آن‌ها را داشته باشيم ـ در اين بحث آن‌ها را ذكر و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كلامي را كه جناب شيخ انصاري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و ـ في‌الجمله ـ از برخي ديگر هم نقل كرده است، كلام مناسبي نيست؛ زيرا ما در مجوّز ارتكاب محرّم، يك قاعده‌ي كلّي داريم به نام قاعده‌ي تزاحم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دو وظيفه يا دو تكليف الزامي وجود دارد كه فرد در مقام عمل، قدرت اتيان هر دو را ندارد، در چنين مواردي اصطلاحاً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تكليف با يكديگر تزاحم پيدا مي‌كنند و در اين حالت، قواعد تزاحم حاكم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قواعد تزاحم اين است كه اگر ملاك احد الفعلين از ديگري برتر و اقوي بود بايد همان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يكي محتمل الأهميّه بود بايد محتمل الاهميّه اخذ شود، ولي اگر هر دو ملاك مساوي بود يا احتمال أهمّيت براي هر دو مساوي باشد، مكلّف در انتخاب هر كدام از دو فعل، مخيّر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قاعده‌ي كلّي تزاحم در مقام امتثال است و اختصاصي به بحث غيبت يا غير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نماز هم هست، نسبت به روزه هم هست، نسبت به حج هم هست و خلاصه نسبت به هر كار ديگري هست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بايد بررسي شود كه آيا همه‌ي اين موارد واقعاً استثنا بوده و تخصيصي براي حكم غيبت هستند؟ يا اين‌كه بعضي موارد آن</w:t>
      </w:r>
    </w:p>
    <w:p>
      <w:pPr>
        <w:pStyle w:val="BookText"/>
        <w:rPr/>
      </w:pPr>
      <w:r>
        <w:rPr>
          <w:rFonts w:ascii="Amiri" w:hAnsi="Amiri" w:eastAsia="Amiri" w:cs="Amiri"/>
          <w:color w:val="111111"/>
          <w:sz w:val="28"/>
          <w:sz w:val="28"/>
          <w:szCs w:val="28"/>
          <w:rtl w:val="true"/>
          <w:lang w:bidi="ar-SA"/>
        </w:rPr>
        <w:t xml:space="preserve">اصلاً استثنا نيست، بلكه تخصّصاً از مصداق غيبت خارج‌اند؟ يا اين‌كه خروج اين موارد از غيبت، نه 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نه موضوعاً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به تزاحم است؟</w:t>
      </w:r>
    </w:p>
    <w:p>
      <w:pPr>
        <w:pStyle w:val="BookText"/>
        <w:rPr/>
      </w:pPr>
      <w:r>
        <w:rPr>
          <w:rFonts w:ascii="IRNazanin" w:hAnsi="IRNazanin" w:eastAsia="IRNazanin"/>
          <w:color w:val="111111"/>
          <w:sz w:val="28"/>
          <w:sz w:val="28"/>
          <w:szCs w:val="28"/>
          <w:rtl w:val="true"/>
          <w:lang w:bidi="fa-IR"/>
        </w:rPr>
        <w:t>خروج تخصّصي آن است كه از اوّل، مفهوم شرعي غيبت داراي معناي ضيقي باشد كه بعضي افراد را شامل نشود، گرچه ممكن است از لحاظ لغت، مشمول غيبت باشد، ولي از لحاظ تحديد شرعي مشمول غيبت نمي‌شود تا آن را به تخصيص يا حكومت خارج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برخي از مستثنيات غيبت را نه خروج تخصيصي و نه تخصّصي مي‌داند، بلكه مي‌فرمايد خروج اين موارد از حكم غيبت، از باب تزاحم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كبراي اين مسأله كه در باب تزاحم بايد امر أهم را مقدّم داشت، يك امر عقلي است كه مورد فتواي فقهاست و قابل مناقشه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تشخيص صغراي مسأله و تشخيص اين‌كه مورد و موضوعش كدام است، در برخي موارد پيچيده است كه آيا مورد از موارد تزاحم است؟ و اگر از باب تزاحم است كدام يك أهم است تا مقدّم شود؟</w:t>
      </w:r>
    </w:p>
    <w:p>
      <w:pPr>
        <w:pStyle w:val="BookText"/>
        <w:rPr/>
      </w:pPr>
      <w:r>
        <w:rPr>
          <w:rFonts w:ascii="Amiri" w:hAnsi="Amiri" w:eastAsia="Amiri" w:cs="Amiri"/>
          <w:color w:val="111111"/>
          <w:sz w:val="28"/>
          <w:sz w:val="28"/>
          <w:szCs w:val="28"/>
          <w:rtl w:val="true"/>
          <w:lang w:bidi="ar-SA"/>
        </w:rPr>
        <w:t>أهمّيت حفظ نظام اسلامي با استفاده از قاعده‌ي تزاحم</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مطلبي از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 كه ايشان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حكومت اسلامي بر هر چيز ديگري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مبناي اين بيان هم قاعده‌ي تزاحم است؛ چون حفظ نظام اسلامي از بالاترين درجات</w:t>
      </w:r>
    </w:p>
    <w:p>
      <w:pPr>
        <w:pStyle w:val="BookText"/>
        <w:rPr/>
      </w:pPr>
      <w:r>
        <w:rPr>
          <w:rFonts w:ascii="IRNazanin" w:hAnsi="IRNazanin" w:eastAsia="IRNazanin"/>
          <w:color w:val="111111"/>
          <w:sz w:val="28"/>
          <w:sz w:val="28"/>
          <w:szCs w:val="28"/>
          <w:rtl w:val="true"/>
          <w:lang w:bidi="fa-IR"/>
        </w:rPr>
        <w:t>أهمّيت برخوردار است و هيچ چيز ديگري را نمي‌توان با آن مقايسه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تحف العقول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وِلَايَةِ وَالِي الْعَدْلِ وَ وُلَاتِهِ إِحْيَاءُ كُلِّ حَقٍّ وَ كُلِّ عَدْلٍ وَ إِمَاتَةُ كُلِّ ظُلْمٍ وَ جَوْرٍ وَ فَسَادٍ فَلِذَلِكَ كَانَ السَّاعِي فِي تَقْوِيَةِ سُلْطَانِهِ وَ الْمُعِينُ لَهُ عَلَى وِلَايَتِهِ سَاعِياً فِي طَاعَةِ اللَّهِ مُقَوِّياً لِدِينِهِ</w:t>
      </w:r>
      <w:r>
        <w:rPr>
          <w:rFonts w:eastAsia="Amiri" w:cs="Amiri" w:ascii="Amiri" w:hAnsi="Amiri"/>
          <w:color w:val="111111"/>
          <w:sz w:val="28"/>
          <w:szCs w:val="28"/>
          <w:rtl w:val="true"/>
          <w:lang w:bidi="ar-SA"/>
        </w:rPr>
        <w:t>»</w:t>
      </w:r>
      <w:r>
        <w:rPr>
          <w:rStyle w:val="FootnoteAnchor"/>
          <w:rtl w:val="true"/>
        </w:rPr>
        <w:footnoteReference w:id="240"/>
      </w:r>
    </w:p>
    <w:p>
      <w:pPr>
        <w:pStyle w:val="BookText"/>
        <w:rPr/>
      </w:pPr>
      <w:r>
        <w:rPr>
          <w:rFonts w:ascii="IRNazanin" w:hAnsi="IRNazanin" w:eastAsia="IRNazanin"/>
          <w:color w:val="111111"/>
          <w:sz w:val="28"/>
          <w:sz w:val="28"/>
          <w:szCs w:val="28"/>
          <w:rtl w:val="true"/>
          <w:lang w:bidi="fa-IR"/>
        </w:rPr>
        <w:t>در ولايت و سرپرستى والى عادل و مأمورانش، احياي هر حق و عدلى است و نابودى هر ستم و ناحقّي و فسادي است و از اين رو هر كه بكوشد در نيرومندى حكومتش و در امر ولايتش ياريش كند، كوشا در طاعت خداوند و نيروبخش دين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بين حفظ نظام اسلامي و عملي واجب تصادم به وجود آمد، مثلاً لازم شد از رفتن به حج جلوگيري شود، مانعي ندارد كه حج تعطيل شود؛ چون حفظ حكومت اسلامي حتّي از حفظ جان فردِ مسلمان هم بالاتر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خاطر در جنگ بين ايران و روس، چون براي جنگ نياز بود تا فقيهي إذن دهد، مرحوم كاشف الغطاء به فتحعلي شاه اجازه مي‌دهد تا براي دفاع از اسلام و جنگ با روس، تجهيز عِدّه و عُدّه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اين رابطه فروعي را ذكر مي‌فرمايد، از جمله</w:t>
      </w:r>
      <w:bookmarkStart w:id="372" w:name="pg2359_23401"/>
    </w:p>
    <w:p>
      <w:pPr>
        <w:pStyle w:val="BookText"/>
        <w:rPr/>
      </w:pPr>
      <w:bookmarkEnd w:id="372"/>
      <w:r>
        <w:rPr>
          <w:rFonts w:ascii="IRNazanin" w:hAnsi="IRNazanin" w:eastAsia="IRNazanin"/>
          <w:color w:val="111111"/>
          <w:sz w:val="28"/>
          <w:sz w:val="28"/>
          <w:szCs w:val="28"/>
          <w:rtl w:val="true"/>
          <w:lang w:bidi="fa-IR"/>
        </w:rPr>
        <w:t>اين‌كه اگر دفاع از مملكت اسلامي متوقّف شد بر استعمال آلات لهو و لعب حرام، چون حفظ بيضه‌ي اسلام و دفع كفر، أهم است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قاعده‌ي مورد پسند شيخ، همان تزاحم است كه يك قاعده‌ي كلّي عقلي عقلايي است كه جزء مسلّمات فقه است و اثرات زيادي 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عروة الوثقي ده‌ها فرع، از طهارت گرفته تا نماز و فروعات ديگر، بر قاعده‌ي تزاحم متفرّع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اين‌گونه هم نيست كه بدون ملاك باشد، بلكه از روي حساب بايد باشد و بحث تزاحم يكي از سنگين‌ترين بحث‌هاست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بحث تزاحم از قديم در ارتكاز فقها و اصوليين بوده است، ولي كسي كه واقعاً خوب آن را بررسي و نظام‌مند كرد ابتدا مرحوم نائيني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سپس ديگران به تبع ايشان ادامه دادند</w:t>
      </w:r>
      <w:r>
        <w:rPr>
          <w:rFonts w:eastAsia="IRNazanin" w:cs="IRNazanin"/>
          <w:color w:val="111111"/>
          <w:sz w:val="28"/>
          <w:szCs w:val="28"/>
          <w:rtl w:val="true"/>
          <w:lang w:bidi="fa-IR"/>
        </w:rPr>
        <w:t>.</w:t>
      </w:r>
    </w:p>
    <w:p>
      <w:pPr>
        <w:pStyle w:val="Heading3"/>
        <w:numPr>
          <w:ilvl w:val="2"/>
          <w:numId w:val="1"/>
        </w:numPr>
        <w:rPr/>
      </w:pPr>
      <w:bookmarkStart w:id="373" w:name="__RefHeading___Toc2770461_3804643083"/>
      <w:bookmarkStart w:id="374" w:name="_Toc141"/>
      <w:bookmarkEnd w:id="373"/>
      <w:r>
        <w:rPr>
          <w:rtl w:val="true"/>
        </w:rPr>
        <w:t>مناقشه در نحوه‌ي ورود شيخ</w:t>
      </w:r>
      <w:r>
        <w:rPr>
          <w:rtl w:val="true"/>
        </w:rPr>
        <w:t xml:space="preserve">- </w:t>
      </w:r>
      <w:r>
        <w:rPr>
          <w:rtl w:val="true"/>
        </w:rPr>
        <w:t xml:space="preserve">قدس سره </w:t>
      </w:r>
      <w:r>
        <w:rPr>
          <w:rtl w:val="true"/>
        </w:rPr>
        <w:t xml:space="preserve">- </w:t>
      </w:r>
      <w:r>
        <w:rPr>
          <w:rtl w:val="true"/>
        </w:rPr>
        <w:t>به بحث مستثنيات غيبت</w:t>
      </w:r>
      <w:bookmarkEnd w:id="374"/>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استثنائات غيبت، وارد بحث تزاحم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مناقشه‌ي ما بر نحوه‌ي ورود شيخ است؛ زيرا اين مطلب اختصاص به بحث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حرف را در مورد هر حرامي كه تا به حال بررسي كرديم،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قمار هم اين‌گونه است؛ مثلاً اگر براي كشف يا دفع يك توطئه‌ي بزرگ، يك مأمور اطلاعاتي ما مجبور شود با يك آمريكايي بنشيند و قمار بازي كند، ديگر قمار جايز مي‌شود؛ چون تزاحم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بحث ما از استثنائات غيبت، با شيوه‌ي جناب شيخ متفاوت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بحث ما در استثنائات غيبت اين است كه از اوّل، خود شارع تعبّداً اطلاق غيبت را مقيّد كرده و برخي موارد غيبت را استثنا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بحث ربا كه شارع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حرام است، بعد ـ بنابر قولي ـ رباي بين ولد و والد را استثنا 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 اين‌كه از باب عدم قدرت مكلّف در امتثالِ هر دو تكليف، برخي موارد غيبت جايز باشد، بلكه بحث ما در تخصيص مواردي از غيبت است نه 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تمايل دارد كه بفرمايد اكثر موارد مستثنيات غيبت، از باب تزاحم است</w:t>
      </w:r>
      <w:r>
        <w:rPr>
          <w:rStyle w:val="FootnoteAnchor"/>
          <w:rtl w:val="true"/>
        </w:rPr>
        <w:footnoteReference w:id="241"/>
      </w:r>
      <w:r>
        <w:rPr>
          <w:rFonts w:ascii="IRNazanin" w:hAnsi="IRNazanin" w:eastAsia="IRNazanin"/>
          <w:color w:val="111111"/>
          <w:sz w:val="28"/>
          <w:sz w:val="28"/>
          <w:szCs w:val="28"/>
          <w:rtl w:val="true"/>
          <w:lang w:bidi="fa-IR"/>
        </w:rPr>
        <w:t>نه از باب تخصيص يا تخصّص؛ چون اطلاق دليل غيبت، مستثنيات را هم شامل مي‌شود، ولي چون قدرت بر امتثال هر دو تكليف را ندارد ناچار بايد أهم را مقدّم بدارد كه در اين موارد، ارتكاب غيبت براي رسيدن به هدف أهم است، لذا حرمت آن برداشته مي‌شود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شيخ دو مورد از مستثنيات غيبت را از باب تزاحم ندانسته و آن دو را به دليل خاص، جزء مستثنيات غيبت مي‌داند</w:t>
      </w:r>
      <w:r>
        <w:rPr>
          <w:rStyle w:val="FootnoteAnchor"/>
          <w:rtl w:val="true"/>
        </w:rPr>
        <w:footnoteReference w:id="242"/>
      </w:r>
      <w:r>
        <w:rPr>
          <w:rFonts w:ascii="Amiri" w:hAnsi="Amiri" w:eastAsia="Amiri" w:cs="Amiri"/>
          <w:color w:val="111111"/>
          <w:sz w:val="28"/>
          <w:sz w:val="28"/>
          <w:szCs w:val="28"/>
          <w:rtl w:val="true"/>
          <w:lang w:bidi="ar-SA"/>
        </w:rPr>
        <w:t>كه به آن</w:t>
      </w:r>
      <w:bookmarkStart w:id="375" w:name="pg2359_23403"/>
    </w:p>
    <w:p>
      <w:pPr>
        <w:pStyle w:val="BookText"/>
        <w:rPr/>
      </w:pPr>
      <w:bookmarkEnd w:id="375"/>
      <w:r>
        <w:rPr>
          <w:rFonts w:ascii="IRNazanin" w:hAnsi="IRNazanin" w:eastAsia="IRNazanin"/>
          <w:color w:val="111111"/>
          <w:sz w:val="28"/>
          <w:sz w:val="28"/>
          <w:szCs w:val="28"/>
          <w:rtl w:val="true"/>
          <w:lang w:bidi="fa-IR"/>
        </w:rPr>
        <w:t>دو مورد اشاره كرده، سپس به بقيّه‌ي موارد مي‌پردازيم، إن‌شاء‌الله</w:t>
      </w:r>
      <w:r>
        <w:rPr>
          <w:rFonts w:eastAsia="IRNazanin" w:cs="IRNazanin"/>
          <w:color w:val="111111"/>
          <w:sz w:val="28"/>
          <w:szCs w:val="28"/>
          <w:rtl w:val="true"/>
          <w:lang w:bidi="fa-IR"/>
        </w:rPr>
        <w:t>.</w:t>
      </w:r>
    </w:p>
    <w:p>
      <w:pPr>
        <w:pStyle w:val="Heading3"/>
        <w:numPr>
          <w:ilvl w:val="2"/>
          <w:numId w:val="1"/>
        </w:numPr>
        <w:rPr/>
      </w:pPr>
      <w:bookmarkStart w:id="376" w:name="__RefHeading___Toc2770463_3804643083"/>
      <w:bookmarkStart w:id="377" w:name="_Toc142"/>
      <w:bookmarkEnd w:id="376"/>
      <w:r>
        <w:rPr>
          <w:rtl w:val="true"/>
        </w:rPr>
        <w:t>موارد استثنا</w:t>
      </w:r>
      <w:bookmarkEnd w:id="377"/>
    </w:p>
    <w:p>
      <w:pPr>
        <w:pStyle w:val="Heading4"/>
        <w:numPr>
          <w:ilvl w:val="3"/>
          <w:numId w:val="1"/>
        </w:numPr>
        <w:rPr/>
      </w:pPr>
      <w:bookmarkStart w:id="378" w:name="__RefHeading___Toc2770465_3804643083"/>
      <w:bookmarkStart w:id="379" w:name="_Toc143"/>
      <w:bookmarkEnd w:id="378"/>
      <w:r>
        <w:rPr>
          <w:rtl w:val="true"/>
        </w:rPr>
        <w:t>اشاره</w:t>
      </w:r>
      <w:bookmarkEnd w:id="379"/>
    </w:p>
    <w:p>
      <w:pPr>
        <w:pStyle w:val="BookText"/>
        <w:rPr/>
      </w:pPr>
      <w:r>
        <w:rPr>
          <w:rFonts w:ascii="Amiri" w:hAnsi="Amiri" w:eastAsia="Amiri" w:cs="Amiri"/>
          <w:color w:val="111111"/>
          <w:sz w:val="28"/>
          <w:sz w:val="28"/>
          <w:szCs w:val="28"/>
          <w:rtl w:val="true"/>
          <w:lang w:bidi="ar-SA"/>
        </w:rPr>
        <w:t>ابتدا مواردي را كه ادّعا شده است در خودِ لسان ادلّه به عنوان تخصيص حرمت غيبت ذكر شده، بررسي مي‌كنيم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اولين موردي را كه 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مي‌فرمايد، متجاهر به فسق است</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2770467_3804643083"/>
      <w:bookmarkStart w:id="381" w:name="_Toc144"/>
      <w:bookmarkEnd w:id="380"/>
      <w:r>
        <w:rPr/>
        <w:t>1</w:t>
      </w:r>
      <w:r>
        <w:rPr>
          <w:rtl w:val="true"/>
        </w:rPr>
        <w:t xml:space="preserve">. </w:t>
      </w:r>
      <w:r>
        <w:rPr>
          <w:rtl w:val="true"/>
        </w:rPr>
        <w:t>غيبت متجاهر به فسق</w:t>
      </w:r>
      <w:bookmarkEnd w:id="381"/>
    </w:p>
    <w:p>
      <w:pPr>
        <w:pStyle w:val="Heading5"/>
        <w:numPr>
          <w:ilvl w:val="4"/>
          <w:numId w:val="1"/>
        </w:numPr>
        <w:rPr/>
      </w:pPr>
      <w:bookmarkStart w:id="382" w:name="__RefHeading___Toc2770469_3804643083"/>
      <w:bookmarkStart w:id="383" w:name="_Toc145"/>
      <w:bookmarkEnd w:id="382"/>
      <w:r>
        <w:rPr>
          <w:rtl w:val="true"/>
        </w:rPr>
        <w:t>اشاره</w:t>
      </w:r>
      <w:bookmarkEnd w:id="383"/>
    </w:p>
    <w:p>
      <w:pPr>
        <w:pStyle w:val="BookText"/>
        <w:rPr/>
      </w:pPr>
      <w:r>
        <w:rPr>
          <w:rFonts w:ascii="IRNazanin" w:hAnsi="IRNazanin" w:eastAsia="IRNazanin"/>
          <w:color w:val="111111"/>
          <w:sz w:val="28"/>
          <w:sz w:val="28"/>
          <w:szCs w:val="28"/>
          <w:rtl w:val="true"/>
          <w:lang w:bidi="fa-IR"/>
        </w:rPr>
        <w:t>تجاهر به فسق يعني كسي آشكارا فسقي را انجام دهد؛ مثلاً زني سربرهنه و بدون حجاب شرعي وارد اماكن عمومي شود يا كسي علناً مرتكب شرب خمر شود يا به نامحرم نگاه كند يا ـ اگر قائل به حرمت تراشيدن ريش شديم ـ كسي سه تيغه كند و وارد كوچه و خيابان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در اين‌گونه موارد، حرام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بحثي را بعداً مطرح مي‌كنيم كه آيا غيبتِ اين افراد، در خصوص همين فعلِ حرام جايز است؟ يا درباره‌ي اين افراد، هر حرف و عيبي ذكر شود حرام نخواهد بود؟</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مبنايي كه ما انتخاب كرديم، معلوم است كه غيبت شخص متجاهر به فسق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بيش از آن، دليلي بر حرمت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مثلاً بي‌حجاب در خيابان حاضر مي‌شود، اگر ديگري عيب او را در غيابش نزد ديگران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ممكن است كسي كه غيبت او را مي‌شنود مطلب را نمي‌دانسته، ولي شأنيّت اين را كه بداند دارد؛ زيرا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علن مرتكب اين گناه شده است، در حالي‌كه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چيزي را كه نوع مردم نمي‌دانند و در معرض دانستن نيستند، كسي براي ديگري كشف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مطابق نظر ما غيبت متجاهر به فسق اصلاً غيبت نيست تا اين‌كه بعداً جزء استثنا قرار گيرد، و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ضيّق فم الركيّة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موضوع حرمت را شامل اين موارد ندانستيم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مطابق مبناي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يَكرَهُه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 xml:space="preserve">بخواهيم حكم كنيم، اگر در اين صورت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عمل يا صفتي باشد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كراهت دارد، باز هم غيبت متجاهر به فسق جايز است؛ زيرا كسي كه مثلاً بي‌حجاب بيرون مي‌آيد كراهتي از عملش ندارد، هرچند كساني عمل او را به ديگران بگويند كه مثلاً فلاني بي‌حجاب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كه خودش عملاً و علناً مرتكب چنين كاري مي‌شود، چه كراهتي مي‌تواند نسبت به عملش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افتخار هم مي‌كند كه من بي‌حجابم</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يَكرَهُه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كلامي كه زشت مي‌دارد بدانيم، ممكن است بعضي مواردش را زشت بدارد؛ چون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عيوب او را در مقام مذمّت و منقصت ذكر مي‌كند، ولي ـ</w:t>
      </w:r>
      <w:bookmarkStart w:id="384" w:name="pg2359_23405"/>
    </w:p>
    <w:p>
      <w:pPr>
        <w:pStyle w:val="BookText"/>
        <w:rPr/>
      </w:pPr>
      <w:bookmarkEnd w:id="384"/>
      <w:r>
        <w:rPr>
          <w:rFonts w:ascii="IRNazanin" w:hAnsi="IRNazanin" w:eastAsia="IRNazanin"/>
          <w:color w:val="111111"/>
          <w:sz w:val="28"/>
          <w:sz w:val="28"/>
          <w:szCs w:val="28"/>
          <w:rtl w:val="true"/>
          <w:lang w:bidi="fa-IR"/>
        </w:rPr>
        <w:t>به قول شيخ ـ ما دليلي نداريم كه چنين مذمّت بر فسقي،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مذمّت بر فسق حرام نيست</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5" w:name="__RefHeading___Toc2770471_3804643083"/>
      <w:bookmarkStart w:id="386" w:name="_Toc146"/>
      <w:bookmarkEnd w:id="385"/>
      <w:r>
        <w:rPr>
          <w:rtl w:val="true"/>
        </w:rPr>
        <w:t>ادّعاي مرحوم شيخ</w:t>
      </w:r>
      <w:r>
        <w:rPr>
          <w:rtl w:val="true"/>
        </w:rPr>
        <w:t xml:space="preserve">- </w:t>
      </w:r>
      <w:r>
        <w:rPr>
          <w:rtl w:val="true"/>
        </w:rPr>
        <w:t xml:space="preserve">قدس سره </w:t>
      </w:r>
      <w:r>
        <w:rPr>
          <w:rtl w:val="true"/>
        </w:rPr>
        <w:t xml:space="preserve">- </w:t>
      </w:r>
      <w:r>
        <w:rPr>
          <w:rtl w:val="true"/>
        </w:rPr>
        <w:t>در جواز لعن متجاهر به فسق و مناقشه در آن</w:t>
      </w:r>
      <w:bookmarkEnd w:id="386"/>
    </w:p>
    <w:p>
      <w:pPr>
        <w:pStyle w:val="BookText"/>
        <w:rPr/>
      </w:pPr>
      <w:r>
        <w:rPr>
          <w:rFonts w:ascii="Amiri" w:hAnsi="Amiri" w:eastAsia="Amiri" w:cs="Amiri"/>
          <w:color w:val="111111"/>
          <w:sz w:val="28"/>
          <w:sz w:val="28"/>
          <w:szCs w:val="28"/>
          <w:rtl w:val="true"/>
          <w:lang w:bidi="ar-SA"/>
        </w:rPr>
        <w:t>جناب شيخ بعد از اثبات جواز غيبت متجاهر به فسق، فرمايش عجيبي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لا يحرم لعنه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كما اين‌كه لعن او هم حرام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توضيحي درباره‌ي علّت جوازِ لعن متجاهرِ به فسق نمي‌دهند، ولي اين فرمايش ايشان قابل تصديق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هرچند علني گناهي انجام داد، مخصوصاً اگر آن گناه، كبيره نباشد، آيا لعن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ـ بنابر قول به حرمت تراشيدن محاسن ـ اگر كسي محاسن خود را تراشيد و در ملأ عام ظاهر شد آيا مي‌توان او را لعن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ملتزم به چنين فتوايي شد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چقدر فرق است بين اين فتواي شيخ و فتواي عدّه‌اي كه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w:t>
      </w:r>
      <w:r>
        <w:rPr>
          <w:rStyle w:val="FootnoteAnchor"/>
          <w:rtl w:val="true"/>
        </w:rPr>
        <w:footnoteReference w:id="246"/>
      </w:r>
      <w:r>
        <w:rPr>
          <w:rFonts w:ascii="Amiri" w:hAnsi="Amiri" w:eastAsia="Amiri" w:cs="Amiri"/>
          <w:color w:val="111111"/>
          <w:sz w:val="28"/>
          <w:sz w:val="28"/>
          <w:szCs w:val="28"/>
          <w:rtl w:val="true"/>
          <w:lang w:bidi="ar-SA"/>
        </w:rPr>
        <w:t>علني شرب خمر كند باز نمي‌شود لعنش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هم احتياط واجب در ترك لعن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بله، در مواردي كه مي‌دانيم خداوند ظالمين را لعن فرموده، آن‌هم ظلم خاصّي، لعن مانعي ندارد، ولي اين‌ها بحثش جداست و بحث مستقلّي مي‌طلبد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ترتيب نمي‌توان اطلاق جواز لعنِ متجاهر به فسق را پذيرفت آن‌گونه كه غيبت يا مذمّت متجاهر به فسق را مي‌پذيريم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هم داريم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بي‌مورد مؤمني را لعن كند آن لعن، به خود لاعن برمي‌گردد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 اللَّهِ بْنُ جَعْفَرٍ الْحِمْيَرِيُّ فِي قُرْبِ الْإِسْنَادِ عَنْ هَارُونَ بْنِ مُسْلِمٍ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اللَّعْنَةَ إِذَا خَرَجَتْ مِنْ صَاحِبِهَا تَرَدَّدَتْ بَيْنَهُ وَ بَيْنَ الَّذِي يُلْعَنُ، فَإِنْ وَجَدَتْ مَسَاغاً وَ إِلَّا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صَاحِبِهَا وَ كَانَ أَحَقَّ بِهَا، فَاحْذَرُوا أَنْ تَلْعَنُوا مُؤْمِناً فَيَحِلَّ بِكُمْ</w:t>
      </w:r>
      <w:r>
        <w:rPr>
          <w:rFonts w:eastAsia="Amiri" w:cs="Amiri" w:ascii="Amiri" w:hAnsi="Amiri"/>
          <w:color w:val="111111"/>
          <w:sz w:val="28"/>
          <w:szCs w:val="28"/>
          <w:rtl w:val="true"/>
          <w:lang w:bidi="ar-SA"/>
        </w:rPr>
        <w:t>»</w:t>
      </w:r>
      <w:r>
        <w:rPr>
          <w:rStyle w:val="FootnoteAnchor"/>
          <w:rtl w:val="true"/>
        </w:rPr>
        <w:footnoteReference w:id="247"/>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مسعدة بن صدقة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لعنتي از زبان كسي خارج مي‌شود، بين او و بين كسي كه مورد لعن واقع شده است مردد مي‌ماند، پس اگر ملعون را واجد لعن يافت بر او وارد مي‌شود و إلا به لعن كننده برمي‌گردد و او سزاوارتر است به لعن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كسي كه لعن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w:t>
      </w:r>
      <w:bookmarkStart w:id="387" w:name="pg2359_23407"/>
    </w:p>
    <w:p>
      <w:pPr>
        <w:pStyle w:val="BookText"/>
        <w:rPr/>
      </w:pPr>
      <w:bookmarkEnd w:id="387"/>
      <w:r>
        <w:rPr>
          <w:rFonts w:ascii="IRNazanin" w:hAnsi="IRNazanin" w:eastAsia="IRNazanin"/>
          <w:color w:val="111111"/>
          <w:sz w:val="28"/>
          <w:sz w:val="28"/>
          <w:szCs w:val="28"/>
          <w:rtl w:val="true"/>
          <w:lang w:bidi="fa-IR"/>
        </w:rPr>
        <w:t>لعن كردن مؤمن برحذر باشيد كه به خودتان برمي‌گردد</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اين تحذير شامل مؤمن غير عادل هم مي‌شود</w:t>
      </w:r>
      <w:r>
        <w:rPr>
          <w:rFonts w:eastAsia="Amiri" w:cs="Amiri" w:ascii="Amiri" w:hAnsi="Amiri"/>
          <w:color w:val="111111"/>
          <w:sz w:val="28"/>
          <w:szCs w:val="28"/>
          <w:rtl w:val="true"/>
          <w:lang w:bidi="ar-SA"/>
        </w:rPr>
        <w:t>.</w:t>
      </w:r>
    </w:p>
    <w:p>
      <w:pPr>
        <w:pStyle w:val="Heading5"/>
        <w:numPr>
          <w:ilvl w:val="4"/>
          <w:numId w:val="1"/>
        </w:numPr>
        <w:rPr/>
      </w:pPr>
      <w:bookmarkStart w:id="388" w:name="__RefHeading___Toc2770473_3804643083"/>
      <w:bookmarkStart w:id="389" w:name="_Toc147"/>
      <w:bookmarkEnd w:id="388"/>
      <w:r>
        <w:rPr>
          <w:rtl w:val="true"/>
        </w:rPr>
        <w:t>ادلّه‌ي جواز غيبت متجاهر به فسق</w:t>
      </w:r>
      <w:bookmarkEnd w:id="389"/>
    </w:p>
    <w:p>
      <w:pPr>
        <w:pStyle w:val="BookText"/>
        <w:rPr/>
      </w:pPr>
      <w:r>
        <w:rPr>
          <w:rFonts w:ascii="IRNazanin" w:hAnsi="IRNazanin" w:eastAsia="IRNazanin"/>
          <w:color w:val="111111"/>
          <w:sz w:val="28"/>
          <w:sz w:val="28"/>
          <w:szCs w:val="28"/>
          <w:rtl w:val="true"/>
          <w:lang w:bidi="fa-IR"/>
        </w:rPr>
        <w:t>گفتيم مطابق مبناي ما غيبت متجاهر به فسق اصلاً غيبت نيست تا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ببينيم آيا غيبت متجاهر به فسق، در لسان ادلّه استثنا شده است يا نه؟ ثمره‌ي بحث اين است كه اگر استثنا ثابت شود شايد بتوان استفاده كرد كه غيبت متجاهر به فسق مطلقاً عيبي ندارد حتّي در غير آن‌چه كه تجاهر به آن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حدّاقل ـ بنا به احتمالي ـ نسبت به آن‌چه كه تجاهر به آن مي‌كند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دونه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پايين‌تر از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ادلّه‌ي روايي كه متجاهر به فسق را از حرمت غيبت استثنا مي‌كند</w:t>
      </w:r>
    </w:p>
    <w:p>
      <w:pPr>
        <w:pStyle w:val="BookText"/>
        <w:rPr/>
      </w:pPr>
      <w:r>
        <w:rPr>
          <w:rFonts w:ascii="Amiri" w:hAnsi="Amiri" w:eastAsia="Amiri" w:cs="Amiri"/>
          <w:color w:val="111111"/>
          <w:sz w:val="28"/>
          <w:sz w:val="28"/>
          <w:szCs w:val="28"/>
          <w:rtl w:val="true"/>
          <w:lang w:bidi="ar-SA"/>
        </w:rPr>
        <w:t>امّا ادلّه‌ي روايي كه متجاهر به فسق را از دايره‌ي حرمت خارج مي‌كند از اين قرار است</w:t>
      </w:r>
      <w:r>
        <w:rPr>
          <w:rFonts w:eastAsia="Amiri" w:cs="Amiri" w:ascii="Amiri" w:hAnsi="Amiri"/>
          <w:color w:val="111111"/>
          <w:sz w:val="28"/>
          <w:szCs w:val="28"/>
          <w:rtl w:val="true"/>
          <w:lang w:bidi="ar-SA"/>
        </w:rPr>
        <w:t>:</w:t>
      </w:r>
    </w:p>
    <w:p>
      <w:pPr>
        <w:pStyle w:val="Heading5"/>
        <w:numPr>
          <w:ilvl w:val="4"/>
          <w:numId w:val="1"/>
        </w:numPr>
        <w:rPr/>
      </w:pPr>
      <w:bookmarkStart w:id="390" w:name="__RefHeading___Toc2770475_3804643083"/>
      <w:bookmarkStart w:id="391" w:name="_Toc148"/>
      <w:bookmarkEnd w:id="390"/>
      <w:r>
        <w:rPr>
          <w:rtl w:val="true"/>
        </w:rPr>
        <w:t>ـ روايت هارون بن جهم</w:t>
      </w:r>
      <w:bookmarkEnd w:id="391"/>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بْنِ الْحُسَيْنِ فِي الْمَجَالِسِ، عَنْ أَحْمَدَ بْنِ هَارُونَ عَنْ مُحَمَّدِ بْنِ عَبْدِ اللَّهِ عَنْ أَبِيهِ عَبْدِ اللَّهِ بْنِ جَعْفَرٍ الْحِمْيَرِيِّ عَنْ أَحْمَدَ بْنِ مُحَمَّدٍ الْبَرْقِيِّ عَنْ هَارُونَ بْنِ الْجَهْمِ عَنِ الصَّادِقِ، جَعْفَرِ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جَاهَرَ</w:t>
      </w:r>
    </w:p>
    <w:p>
      <w:pPr>
        <w:pStyle w:val="BookText"/>
        <w:rPr/>
      </w:pPr>
      <w:r>
        <w:rPr>
          <w:rFonts w:ascii="Amiri" w:hAnsi="Amiri" w:eastAsia="Amiri" w:cs="Amiri"/>
          <w:color w:val="111111"/>
          <w:sz w:val="28"/>
          <w:sz w:val="28"/>
          <w:szCs w:val="28"/>
          <w:rtl w:val="true"/>
          <w:lang w:bidi="ar-SA"/>
        </w:rPr>
        <w:t>الْفَاسِقُ بِفِسْقِهِ فَلَا حُرْمَةَ لَهُ وَ لَا غِيبَةَ</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هارون بن جهم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فاسق، اظهار فسقش كند، پس هيچ احترامي برايش نيست و غيبت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سند روايت</w:t>
      </w:r>
    </w:p>
    <w:p>
      <w:pPr>
        <w:pStyle w:val="BookText"/>
        <w:rPr/>
      </w:pPr>
      <w:r>
        <w:rPr>
          <w:rFonts w:ascii="Amiri" w:hAnsi="Amiri" w:eastAsia="Amiri" w:cs="Amiri"/>
          <w:color w:val="111111"/>
          <w:sz w:val="28"/>
          <w:sz w:val="28"/>
          <w:szCs w:val="28"/>
          <w:rtl w:val="true"/>
          <w:lang w:bidi="ar-SA"/>
        </w:rPr>
        <w:t>تنها مشكل اين روايت، نداشتن سند تامّ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IRNazanin" w:hAnsi="IRNazanin" w:eastAsia="IRNazanin"/>
          <w:color w:val="111111"/>
          <w:sz w:val="28"/>
          <w:sz w:val="28"/>
          <w:szCs w:val="28"/>
          <w:rtl w:val="true"/>
          <w:lang w:bidi="fa-IR"/>
        </w:rPr>
        <w:t xml:space="preserve">محمّد بن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مجالس، از احمد بن هارون ـ كه متأسفانه اين شخص توثيق ندارد و به همين خاطر، اين روايت معتبر و صحيح نيست ـ از محمّد بن عبدالله از پدرش، عبدالله بن جعفر 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و پسرش هر دو توثيق دارند، از احمد بن محمد برقي كه ايشان هم ثقه است، از هارون بن الجُهم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ايشان هم توثيق دارد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عدم توثيق احمد بن هارون، شبهه‌اي در اين‌جا وجود دارد و آن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طبقه‌ي احمد بن محمّد بن خالد برقي به هارون بن جهم نمي‌رسد و اين نقل نمي‌تواند بدون واسطه باشد</w:t>
      </w:r>
      <w:r>
        <w:rPr>
          <w:rStyle w:val="FootnoteAnchor"/>
          <w:rtl w:val="true"/>
        </w:rPr>
        <w:footnoteReference w:id="25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واسطه‌اي در اين‌جا بوده كه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حدس مي‌زنند واسطه، پدرش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اطمينان به اين وساطت داشتيم از</w:t>
      </w:r>
    </w:p>
    <w:p>
      <w:pPr>
        <w:pStyle w:val="BookText"/>
        <w:rPr/>
      </w:pPr>
      <w:r>
        <w:rPr>
          <w:rFonts w:ascii="Amiri" w:hAnsi="Amiri" w:eastAsia="Amiri" w:cs="Amiri"/>
          <w:color w:val="111111"/>
          <w:sz w:val="28"/>
          <w:sz w:val="28"/>
          <w:szCs w:val="28"/>
          <w:rtl w:val="true"/>
          <w:lang w:bidi="ar-SA"/>
        </w:rPr>
        <w:t>اين نظر سند مشكلي نداشت، ولي نمي‌توانيم اطميناني حاصل 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ابي البختري</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عَبْدُ اللَّهِ بْنُ جَعْفَرٍ الْحِمْيَرِيُّ فِي قُرْبِ الْإِسْنَادِ عَنِ السِّنْدِيِّ بْنِ مُحَمَّدٍ عَنْ أَبِي الْبَخْتَرِيِّ عَنْ جَعْفَرِ بْنِ مُحَمَّدٍ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لَيْسَ لَهُمْ حُرْمَةٌ صَاحِبُ هَوًى مُبْتَدِعٌ وَ الْإِمَامُ الْجَائِرُ وَ الْفَاسِقُ الْمُعْلِنُ بِالْفِسْقِ</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ابي البختري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مي‌كند كه ايشان به نقل از پدر بزرگوارشان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نفرند كه احترامي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 هواي نفسي كه اهل بدعت‌گذاري باشد، پيشوايي كه ستمگر باشد و فاسقي كه فسقش علني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اين روايت از اين جهت كه مي‌فرمايد متجاهر به فسق مطلقاً حرمت ندارد، از قبلي قوي‌تر است؛ زيرا به پيرو هواي بدعت‌گذار و امام جائر عطف شده است و ما قرائني داريم كه اين دو مورد، مخصوصاً اهل بدعت، هيچ‌گونه حرمتي ندارند، بلكه</w:t>
      </w:r>
    </w:p>
    <w:p>
      <w:pPr>
        <w:pStyle w:val="BookText"/>
        <w:rPr/>
      </w:pPr>
      <w:r>
        <w:rPr>
          <w:rFonts w:ascii="Amiri" w:hAnsi="Amiri" w:eastAsia="Amiri" w:cs="Amiri"/>
          <w:color w:val="111111"/>
          <w:sz w:val="28"/>
          <w:sz w:val="28"/>
          <w:szCs w:val="28"/>
          <w:rtl w:val="true"/>
          <w:lang w:bidi="ar-SA"/>
        </w:rPr>
        <w:t>دستور داريم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اكثروا الوقعية فيهم</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 xml:space="preserve">درباره‌ي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زياد حرف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معلِن به فسق هم هيچ حرمت و آبرويي ندارد كه لازم باشد رعايت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شيخ مفيد</w:t>
      </w:r>
    </w:p>
    <w:p>
      <w:pPr>
        <w:pStyle w:val="BookText"/>
        <w:rPr/>
      </w:pPr>
      <w:r>
        <w:rPr>
          <w:rFonts w:ascii="Amiri" w:hAnsi="Amiri" w:eastAsia="Amiri" w:cs="Amiri"/>
          <w:color w:val="111111"/>
          <w:sz w:val="28"/>
          <w:sz w:val="28"/>
          <w:szCs w:val="28"/>
          <w:rtl w:val="true"/>
          <w:lang w:bidi="ar-SA"/>
        </w:rPr>
        <w:t xml:space="preserve">الشَّيْخُ الْمُفِيدُ فِي الْإِخْتِصَاصِ، عَنِ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كسي كه جلباب حيا را بيندازد غيبت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 وي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الْقُطْبُ الرَّاوَنْدِيُّ فِي لُبِّ اللُّبَابِ،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مناقشه در دلالت روايت</w:t>
      </w:r>
    </w:p>
    <w:p>
      <w:pPr>
        <w:pStyle w:val="BookText"/>
        <w:rPr/>
      </w:pPr>
      <w:r>
        <w:rPr>
          <w:rFonts w:ascii="IRNazanin" w:hAnsi="IRNazanin" w:eastAsia="IRNazanin"/>
          <w:color w:val="111111"/>
          <w:sz w:val="28"/>
          <w:sz w:val="28"/>
          <w:szCs w:val="28"/>
          <w:rtl w:val="true"/>
          <w:lang w:bidi="fa-IR"/>
        </w:rPr>
        <w:t>مقصود از انداختن جلباب حيا اين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القي جلباب الحياء في كلّ شيء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آدمي لااُبالي است و در همه چيز بي‌حياست نه در يكي دو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نمي‌توانيم براي اثبات جواز غيبت متجاهر به فسق در ما نحن فيه از اين روايت استفاده كنيم؛ چرا كه ما در صدد اين مطلب هستيم كه اگر كسي حتّي يك گناه را علني انجام داد غيبت او جايز باشد، ولي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 كه هيچ ابايي و تحفّظي از ارتكاب گناه ندارند حرمتي براي آنان نيست، مانند برخي افراد لااُبالي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علاوه بر مشكل دلالي، سند اين روايت هم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ابن ابي يعفور</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 تُعْرَفُ عَدَالَةُ الرَّجُلِ بَيْنَ الْمُسْلِمِينَ حَتَّى تُقْبَلَ شَهَادَتُهُ لَهُمْ وَ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تَعْرِفُوهُ بِالسِّتْرِ وَ الْعَفَافِ وَ كَفِّ الْبَطْنِ وَ الْفَرْجِ وَ الْيَدِ وَ اللِّسَانِ وَ تُعْرَفُ بِاجْتِنَابِ الْكَبَائِرِ الَّتِي أَوْعَدَ اللَّهُ ـ عَزَّ وَ جَلَّ ـ عَلَيْهَا النَّارَ؛ مِنْ شُرْبِ الْخُمُورِ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الزِّنَا وَ الرِّبَا وَ عُقُوقِ الْوَالِدَيْنِ وَ الْفِرَارِ مِنَ الزَّحْفِ وَ غَيْرِ ذَلِكَ وَ الدَّلالَةُ عَلَى ذَلِكَ كُلِّهِ، أَنْ يَكُونَ سَاتِراً لِجَمِيعِ عُيُوبِهِ حَتَّى يَحْرُمَ عَلَى الْمُسْلِمِينَ مَا وَرَاءَ ذَلِكَ مِنْ عَثَرَاتِهِ وَ عُيُوبِهِ</w:t>
      </w:r>
    </w:p>
    <w:p>
      <w:pPr>
        <w:pStyle w:val="BookText"/>
        <w:rPr/>
      </w:pPr>
      <w:r>
        <w:rPr>
          <w:rFonts w:ascii="Amiri" w:hAnsi="Amiri" w:eastAsia="Amiri" w:cs="Amiri"/>
          <w:color w:val="111111"/>
          <w:sz w:val="28"/>
          <w:sz w:val="28"/>
          <w:szCs w:val="28"/>
          <w:rtl w:val="true"/>
          <w:lang w:bidi="ar-SA"/>
        </w:rPr>
        <w:t xml:space="preserve">وَ تَفْتِيشُ مَا وَرَاءَ ذَلِكَ وَ يَجِبَ عَلَيْهِمْ تَزْكِيَتُهُ وَ إِظْهَارُ عَدَالَتِهِ فِي النَّاسِ وَ يَكُونَ مَعَهُ التَّعَاهُدُ لِلصَّلَوَاتِ الْخَمْسِ إِذَا وَاظَبَ عَلَيْهِنَّ وَ حَفِظَ مَوَاقِيتَهُنَّ بِحُضُورِ جَمَاعَةٍ مِنَ الْمُسْلِمِينَ وَ أَنْ لَا يَتَخَلَّفَ عَنْ جَمَاعَتِهِمْ فِي مُصَلَّاهُمْ إِلَّا مِنْ عِلَّةٍ </w:t>
      </w:r>
      <w:r>
        <w:rPr>
          <w:rFonts w:eastAsia="Amiri" w:cs="Amiri" w:ascii="Amiri" w:hAnsi="Amiri"/>
          <w:color w:val="111111"/>
          <w:sz w:val="28"/>
          <w:szCs w:val="28"/>
          <w:rtl w:val="true"/>
          <w:lang w:bidi="ar-SA"/>
        </w:rPr>
        <w:t>...»</w:t>
      </w:r>
      <w:r>
        <w:rPr>
          <w:rStyle w:val="FootnoteAnchor"/>
          <w:rtl w:val="true"/>
        </w:rPr>
        <w:footnoteReference w:id="255"/>
      </w:r>
      <w:r>
        <w:rPr>
          <w:rFonts w:ascii="IRNazanin" w:hAnsi="IRNazanin" w:eastAsia="IRNazanin"/>
          <w:color w:val="111111"/>
          <w:sz w:val="28"/>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أبى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شخص، ميان مسلمانان با چه ميزان شناخته مى‌شود تا قبول شهادتش بر 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آن‌ها جايز باشد؟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نبودن عيبى كه منافى عدالت باشد و پاكدامنى و خوددارى در مقام خوردن و شهوت و دست دراز نكردن به مال غير و نگهدارى زبان از ناشايست و نابايست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اين‌ها همه شناخته مى‌شود به ترك كبائرى كه خداوند وعده‌ي آتش به</w:t>
      </w:r>
    </w:p>
    <w:p>
      <w:pPr>
        <w:pStyle w:val="BookText"/>
        <w:rPr/>
      </w:pPr>
      <w:r>
        <w:rPr>
          <w:rFonts w:ascii="IRNazanin" w:hAnsi="IRNazanin" w:eastAsia="IRNazanin"/>
          <w:color w:val="111111"/>
          <w:sz w:val="28"/>
          <w:sz w:val="28"/>
          <w:szCs w:val="28"/>
          <w:rtl w:val="true"/>
          <w:lang w:bidi="fa-IR"/>
        </w:rPr>
        <w:t xml:space="preserve">آن‌ها داده است، مثل شرابخوارى، عمل منافى عفّت، رباخوارى، آزار پدر و مادر، فرار از جبهه‌ي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اذن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كارهاى مانند اين‌ها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بر همه‌ي اين‌ها دلالت مي‌كند آن است كه از زشتى‌ها چنان خود را محفوظ نگهدارد كه بر مسلمانان حرام باشد پاره‌اى از لغزش‌ها و اشتباهاتش را در غياب او باز گويند و يا از باطنش تفتيش كنند و بر آن‌ها واجب باشد كه در همه جا از او دفاع كنند؛ يعنى اگر كسى نسبت ناروايى به او داد، از حقّش دفاع كنند و عدالتش را بر ديگران گوشزد كنند و او را متعهّد به حضور اوّل وقت در جماعت نمازهاى پنج‌گانه ببينند و جز در مواقع عذر، او را از نماز غايب نبينند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 ابن ابي يعفور</w:t>
      </w:r>
    </w:p>
    <w:p>
      <w:pPr>
        <w:pStyle w:val="BookText"/>
        <w:rPr/>
      </w:pPr>
      <w:r>
        <w:rPr>
          <w:rFonts w:ascii="Amiri" w:hAnsi="Amiri" w:eastAsia="Amiri" w:cs="Amiri"/>
          <w:color w:val="111111"/>
          <w:sz w:val="28"/>
          <w:sz w:val="28"/>
          <w:szCs w:val="28"/>
          <w:rtl w:val="true"/>
          <w:lang w:bidi="ar-SA"/>
        </w:rPr>
        <w:t>اين روايت در كلمات عدّه‌اي، به صحيحه‌ي ابن ابي يعفور معروف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عبدالله بن ابي يعفور شخصيت برجسته‌اي است و از اجلاء و ثقات است، ولي بايد در تمام مراتب سند روايت، افراد ثقه باشد تا آن را معتبر و صحيح بدانيم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هم از طريق مرحوم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شده است و هم جناب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دو كتاب تهذيب و استبصار آن را نقل كرده است و براي صحت روايت، حداقل يكي از اين دو طريق بايد صحيح باشد</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صدوق روايت را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 عبدالله بن ابي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مي‌دانيد كه جناب صدوق نمي‌تواند مستقيماً از ابن ابي يعفور نقل كند؛ زيرا بين اين دو، چند نسل فاصله است،</w:t>
      </w:r>
    </w:p>
    <w:p>
      <w:pPr>
        <w:pStyle w:val="BookText"/>
        <w:rPr/>
      </w:pPr>
      <w:r>
        <w:rPr>
          <w:rFonts w:ascii="IRNazanin" w:hAnsi="IRNazanin" w:eastAsia="IRNazanin"/>
          <w:color w:val="111111"/>
          <w:sz w:val="28"/>
          <w:sz w:val="28"/>
          <w:szCs w:val="28"/>
          <w:rtl w:val="true"/>
          <w:lang w:bidi="fa-IR"/>
        </w:rPr>
        <w:t>پس بايد به او سند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قبلاً بيان شد، مرحوم صدوق سند روايات را در آخر كتاب من لايحضره الفقيه، تحت عنوان مشيخه جمع و يك‌جا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مشيخه ترتيبي براي اسامي رُوات وجود ندارد و تبويب و نظم خاصّي ندارد، بلكه براي پيدا كردن يك اسم بايد از اوّل مشيخه را بررسي كرد تا به اسم مورد نظر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خويي در معجم رجال الحديث، متعرّض سند صدوق به راويان مي‌شود كه مثلاً براي فلان شخص در مشيخه‌ي صدوق سند ذكر شده است و سندش هم ـ مثلاً ـ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راه آساني است، ولي پذيرش نظر سيّد خويي در صحت سند، نيازمند اعتماد به قول و نظر ايشان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اردبيلي</w:t>
      </w:r>
      <w:r>
        <w:rPr>
          <w:rStyle w:val="FootnoteAnchor"/>
          <w:rtl w:val="true"/>
        </w:rPr>
        <w:footnoteReference w:id="256"/>
      </w:r>
      <w:r>
        <w:rPr>
          <w:rFonts w:ascii="IRNazanin" w:hAnsi="IRNazanin" w:eastAsia="IRNazanin"/>
          <w:color w:val="111111"/>
          <w:sz w:val="28"/>
          <w:sz w:val="28"/>
          <w:szCs w:val="28"/>
          <w:rtl w:val="true"/>
          <w:lang w:bidi="fa-IR"/>
        </w:rPr>
        <w:t>هم در كتاب رجالي خود همانند سيّد خويي عمل كرده است، ولي بهتر از اين دو، مجمع الرجال قُهپايي</w:t>
      </w:r>
      <w:r>
        <w:rPr>
          <w:rStyle w:val="FootnoteAnchor"/>
          <w:rtl w:val="true"/>
        </w:rPr>
        <w:footnoteReference w:id="257"/>
      </w:r>
      <w:r>
        <w:rPr>
          <w:rFonts w:ascii="IRNazanin" w:hAnsi="IRNazanin" w:eastAsia="IRNazanin"/>
          <w:color w:val="111111"/>
          <w:sz w:val="28"/>
          <w:sz w:val="28"/>
          <w:szCs w:val="28"/>
          <w:rtl w:val="true"/>
          <w:lang w:bidi="fa-IR"/>
        </w:rPr>
        <w:t>است كه تك‌تك سندها را ذكر كرده و تنها به ذكر اين‌كه سند صحيح است اكتفا نكرده، بلكه رُواتش را هم بررسي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كتاب مي‌توان آسان به اسناد جناب صدوق دسترسي پيدا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بعضي، از اين روايت ابن ابي يعفور تعبير به صحيحه كرده‌اند، انسان فكر مي‌كند كه سند صدوق به اين روايت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به سلسله سند مراجعه كرديم ديديم اين‌گونه نيست؛ زيرا در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يحيي العطار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كه گرچه عالم و عالم‌زاده است و پدرش هم توثيق دارد، ولي خودش توثيق خاص ندارد</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بن محمّد بن يحيي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مرد جليل القدري بوده، ولي نمي‌توانيم براي وثاقت راوي به صِرف اين‌كه مرد جليل القدري است اكتفا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برخي به خاطر كثرت نقلِ او و شيخِ اجازه بودن</w:t>
      </w:r>
      <w:r>
        <w:rPr>
          <w:rStyle w:val="FootnoteAnchor"/>
          <w:rtl w:val="true"/>
        </w:rPr>
        <w:footnoteReference w:id="259"/>
      </w:r>
      <w:r>
        <w:rPr>
          <w:rFonts w:ascii="IRNazanin" w:hAnsi="IRNazanin" w:eastAsia="IRNazanin"/>
          <w:color w:val="111111"/>
          <w:sz w:val="28"/>
          <w:sz w:val="28"/>
          <w:szCs w:val="28"/>
          <w:rtl w:val="true"/>
          <w:lang w:bidi="fa-IR"/>
        </w:rPr>
        <w:t>از او و بعضي قرائن ديگر، او را ثقه مي‌دانند و به همين دليل قائلند روايات ابن ابي يعفور صحيح است، ولي ما كه اين مبنا را قبول نداريم نمي‌توانيم از آن به صحيحه تعبير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رواياتي كه جناب صدوق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ظاهراً در نظر خودشان از سند محكمي برخوردار نيست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ايشان براي نقل روايت از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 ابن ابي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مي‌كند يا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عبدالله بن ابي</w:t>
      </w:r>
    </w:p>
    <w:p>
      <w:pPr>
        <w:pStyle w:val="BookText"/>
        <w:rPr/>
      </w:pPr>
      <w:r>
        <w:rPr>
          <w:rFonts w:ascii="IRNazanin" w:hAnsi="IRNazanin" w:eastAsia="IRNazanin"/>
          <w:color w:val="111111"/>
          <w:sz w:val="28"/>
          <w:sz w:val="28"/>
          <w:szCs w:val="28"/>
          <w:rtl w:val="true"/>
          <w:lang w:bidi="fa-IR"/>
        </w:rPr>
        <w:t>يعفور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ابتداي كلام خود را اين‌گونه مي‌آورد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عبدالله بن ابي يعفور ـ مثلاً ـ 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اين موارد شكّي نيست كه با همان سندي كه در مشيخه آورده،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زماني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عن عبدالله بن ابي يعفور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 از عبدالله بن ابي يعفور، اگر مقصودش همان سند مشيخه است چرا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 عبدُالله بن ابي يعفور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شبهه‌اي هست كه در اين موارد وقتي صدوق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روايت به همان سندي كه در مشيخه داده،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صدوق در اوّل مشيخه‌ي من لايحضر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كَانَ فِي هَذَا الكِتَابِ، عَنْ فُلانٍ،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تعبير، به ذهن نزديك مي‌كند كه حتّي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گفته باشد باز اين‌چنين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همان سندي است كه در مشيخه بيان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به هر حال اين شبهه وجود دارد كه سند اين قبيل روايات، غير از سندي باشد كه در مشيخه ذكر شده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ايّ حالٍ، به نظر ما سند اين روايت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عدّه‌ي زيادي از قديم و جديد، از آن به صحيحه تعبير كرده‌اند، ولي مطمئن هستيم كه بعضي از آقايان توجّه نداشتند و اگر توجّه مي‌كردند مي‌ديدند قول به صحّت روايت، با مبناي خودشان سازگاري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بعداً از مبناي خود رفع يد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نظر ما درباره‌ي سند جناب صدوق روشن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سند جناب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وسائل الشيعة، جلد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كتاب الشهادات، باب ما يعتبر في الشاهد من العدالة، حديث دوم، اين‌چنين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رواه الشيخ بإسناده عن محمّد بن احمد بن يحيي عن محمّد بن موسي عن الحسن بن علي عن أبيه عن علي بن عقبة عن موسي بن أكيل النميري عن ابن أبي يعفور</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اين حديث را شيخ طوسي از محمّد بن احمد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يحيي بن عمران الاشعري، صاحب كتاب نوادر الحكمة يا همان دبة الشبيب</w:t>
      </w:r>
      <w:r>
        <w:rPr>
          <w:rStyle w:val="FootnoteAnchor"/>
          <w:rtl w:val="true"/>
        </w:rPr>
        <w:footnoteReference w:id="2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مي‌فرمايد و البته چون محمّد بن احمد بن يحيي از لحاظ زماني خيلي مقدّم بر شيخ است، شيخ به ايشان سند دارد كه ظاهراً سند شيخ به محمّد بن احمد بن يحيي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از محمّد بن احمد بن يحيي تا ابن ابي يعفور هم بايد تمام باشد كه اين‌گونه نيست؛ زيرا بعدش محمّد بن موسي است كه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موسي بن عيسي الهمداني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توثيقي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بعد از محمّد بن موسي ثقه‌اند، ولي حضور يك ضعيف كافي</w:t>
      </w:r>
    </w:p>
    <w:p>
      <w:pPr>
        <w:pStyle w:val="BookText"/>
        <w:rPr/>
      </w:pPr>
      <w:r>
        <w:rPr>
          <w:rFonts w:ascii="IRNazanin" w:hAnsi="IRNazanin" w:eastAsia="IRNazanin"/>
          <w:color w:val="111111"/>
          <w:sz w:val="28"/>
          <w:sz w:val="28"/>
          <w:szCs w:val="28"/>
          <w:rtl w:val="true"/>
          <w:lang w:bidi="fa-IR"/>
        </w:rPr>
        <w:t>است كه روايت، قابل اعتماد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طريق شيخ طوسي هم تمام نيست، گرچه اين دو سند مي‌تواند هم‌ديگر را تعاضد و تقويت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سوي ديگر، روايت شيخ با روايت جناب صدوق تفاوت‌هايي دارد كه از حيث استنباط، بي‌تأثير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دلالت روايت</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عدالت شخص اين است كه ساتر جميع عيوبش باشد و اگر ساتر بود، نتيجه اين مي‌شود كه بر مسلمانان حرام است ماوراي اين‌ها يعني عيوبي كه پنهان است را اظهار كنند، بلكه بر مسلمانان واجب است او را بدون عيب دانسته و عدالتش را اظهار كنند و بگويند اين شخص،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مي‌توانند پشت‌سرش نماز بخوانند، شهادتش را بپذيرند و ديگر آثار عدالت را بر او بار كنند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از طريق حرمت تفتيش، وارد استدلال شده‌اند به اين بيان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شخص، ساتر عيوبش بود تفتيش او حرام است، پس اگر ستر منتفي شد حرمت تفتيش هم منتفي خواهد بود</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شيوه‌ي ورود شيخ به استدلال بوده كه برخي به استدلال</w:t>
      </w:r>
    </w:p>
    <w:p>
      <w:pPr>
        <w:pStyle w:val="BookText"/>
        <w:rPr/>
      </w:pPr>
      <w:r>
        <w:rPr>
          <w:rFonts w:ascii="IRNazanin" w:hAnsi="IRNazanin" w:eastAsia="IRNazanin"/>
          <w:color w:val="111111"/>
          <w:sz w:val="28"/>
          <w:sz w:val="28"/>
          <w:szCs w:val="28"/>
          <w:rtl w:val="true"/>
          <w:lang w:bidi="fa-IR"/>
        </w:rPr>
        <w:t>ايشان اشكال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ما استدلال را به نحو ديگري بيان مي‌كنيم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ضمن روايت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اين‌كه شخص، ساتر جميع عيوبش بود تا حدّي كه بيان ماوراء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ماوراي ظاهرش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و تزكيه‌ي او توسط مسلمانان و اظهار عدالتش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كلامي است كه در قوّه‌ي شرطيه است و اگر شرط منتفي شد؛ يعني شخص، ساتر عيوبش نبود و تجاهر به فسق داشت، مشروطش هم منتفي خواهد بود؛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اگر كسي ساتر عيوبش نبود و تجاهر به فسق داشت مسلمانان مي‌توانند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شخص عادل نيست و ذكر عيوبش حرام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مصاديق اين ذكر عيوب، غيبت است، پس غيبت چنين شخصي جايز است؛ زيرا خودش حرمتش را شكسته است و ديگر حرمتي براي خود قائل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گفتيم، معلوم مي‌شود اشكالي كه به بيان مرحوم شيخ وارد شده، ناتمام است؛ اشكالي كه بعضي اين‌گونه وارد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مُجاهِر به فسق و غير عفيف باشد تفتيش او و تجسّس درباره‌ي او جايز نيست، در حالي‌كه بر طبق معناي شما از روايت، تجسّس هم جايز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بيرون و دليل خارجي بدانيم كه تجسّس حرام بوده و جايز نيست،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عيوب پنهان، تجسّس جايز نيست، امّا اگر كسي در بين مردم عفيف نبوده و خودش ساتر عيوبش نباشد، تجسّس به اين معنا كه مواردي را كه مردم نمي‌دانند</w:t>
      </w:r>
    </w:p>
    <w:p>
      <w:pPr>
        <w:pStyle w:val="BookText"/>
        <w:rPr/>
      </w:pPr>
      <w:r>
        <w:rPr>
          <w:rFonts w:ascii="IRNazanin" w:hAnsi="IRNazanin" w:eastAsia="IRNazanin"/>
          <w:color w:val="111111"/>
          <w:sz w:val="28"/>
          <w:sz w:val="28"/>
          <w:szCs w:val="28"/>
          <w:rtl w:val="true"/>
          <w:lang w:bidi="fa-IR"/>
        </w:rPr>
        <w:t>ذكر كنيم جايز است و مانعي ندارد، نه تجسّسي كه واقعاً تجسّس باشد و كسي برود موارد پنهاني ديگران را بررسي و آشكار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pStyle w:val="BookText"/>
        <w:rPr/>
      </w:pPr>
      <w:r>
        <w:rPr>
          <w:rFonts w:ascii="IRNazanin" w:hAnsi="IRNazanin" w:eastAsia="IRNazanin"/>
          <w:color w:val="111111"/>
          <w:sz w:val="28"/>
          <w:sz w:val="28"/>
          <w:szCs w:val="28"/>
          <w:rtl w:val="true"/>
          <w:lang w:bidi="fa-IR"/>
        </w:rPr>
        <w:t>ما در بحث اصول، حتّي براي جملات شرطيه هم قبول نكرديم كه به تنهايي دالّ بر مفهوم باشد ـ مگر قرينه‌ي ويژه‌اي باشد كه به واسطه‌ي آن بر مفهوم دلالت كنند ـ فضلاً از جملاتِ در قوّه‌ي شرطيه و وصفيه و مغيّي به غايت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ابن ابي يعفور حتّي جمله‌ي شرطيه هم نيست، بلكه وقتي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شخص چگونه شناخته مي‌شود؟ حضرت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تَعْرِفُوهُ بِالسِّتْرِ وَ الْعَفَافِ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سَاتِراً لِجَمِيعِ عُيُوبِهِ حَتَّى يَحْرُمَ عَلَى الْمُسْلِمِينَ، مَا وَرَاءَ ذَلِكَ، مِنْ عَثَرَاتِهِ وَ عُيُوبِهِ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مستدل مي‌خواهد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كند كه اگر حرام نبود پس ذكر بقيّه‌ي چيزها 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استنباط چنين مفهومي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قبول نيست؛ زيرا ما اصل چنين مبنايي را كه اين عبارات، بدون قرينه مفهوم داشته باشند، قبول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مقدار را مي‌پذيريم كه اگر موارد مذكور منتفي شد ديگر عدالت اثبات نمي‌شود، امّا اگر عدالت ثابت نشد غيبت او هم جايز است؟ موارد ديگر مانند تفتيش هم جايز است؟ اين مطلبِ ديگري است كه از روايت، چيزي استفاده نمي‌شود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در بررسي سند روايت گفتيم، روايت ابن ابي يعفور دو نقل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طريق جناب صدوق ـ كه ذكر شد ـ و هم از طريق شيخ طوسي كه در دو كتاب تهذيب و استبصار نقل شده</w:t>
      </w:r>
    </w:p>
    <w:p>
      <w:pPr>
        <w:pStyle w:val="BookText"/>
        <w:rPr/>
      </w:pPr>
      <w:r>
        <w:rPr>
          <w:rFonts w:ascii="IRNazanin" w:hAnsi="IRNazanin" w:eastAsia="IRNazanin"/>
          <w:color w:val="111111"/>
          <w:sz w:val="28"/>
          <w:sz w:val="28"/>
          <w:szCs w:val="28"/>
          <w:rtl w:val="true"/>
          <w:lang w:bidi="fa-IR"/>
        </w:rPr>
        <w:t>است كه تفاوتي با نقل جناب صدوق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شيخ اين‌گونه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أَحْمَدَ بْنِ يَحْيَى عَنْ مُحَمَّدِ بْنِ مُوسَى عَنِ الْحَسَنِ بْنِ عَلِيٍّ عَنْ أَبِيهِ عَنْ عَلِيِّ بْنِ عُقْبَةَ عَنْ مُوسَى بْنِ أُكَيْلٍ النُّمَيْرِيِّ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تُعْرَفُ عَدَالَةُ الرَّجُلِ بَيْنَ الْمُسْلِمِينَ حَتَّى تُقْبَلَ شَهَادَتُهُ لَهُمْ وَ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أَنْ تَعْرِفُوهُ بِالسِّتْرِ وَ الْعَفَافِ وَ الْكَفِّ عَنِ الْبَطْنِ وَ الْفَرْجِ وَ الْيَدِ وَ اللِّسَانِ وَ يُعْرَفَ بِاجْتِنَابِ الْكَبَائِرِ الَّتِي أَوْعَدَ اللَّهُ عَلَيْهَا النَّارَ مِنْ شُرْبِ الْخَمْرِ وَ الزِّنَا وَ الرِّبَا وَ عُقُوقِ الْوَالِدَيْنِ وَ الْفِرَارِ مِنَ الزَّحْفِ وَ غَيْرِ ذَلِكَ وَ الدَّالُّ عَلَى ذَلِكَ كُلِّهِ وَ السَّاتِرُ لِجَمِيعِ عُيُوبِهِ حَتَّى يَحْرُمَ عَلَى الْمُسْلِمِينَ تَفْتِيشُ مَا وَرَاءَ ذَلِكَ مِنْ عَثَرَاتِهِ وَ غِيبَتُهُ وَ يَجِبَ عَلَيْهِمْ تَوَلِّيهِ وَ إِظْهَارُ عَدَالَتِهِ فِي النَّاسِ التَّعَاهُدُ لِلصَّلَوَاتِ الْخَمْسِ إِذَا وَاظَبَ عَلَيْهِنَّ وَ حَافَظَ مَوَاقِيتَهُنَّ بِإِحْضَارِ جَمَاعَةِ الْمُسْلِمِينَ وَ أَنْ لَا يَتَخَلَّفَ عَنْ جَمَاعَتِهِمْ وَ مُصَلَّاهُمْ إِلَّا مِنْ عِلَّةٍ وَ ذَلِكَ أَنَّ الصَّلَاةَ سِتْرٌ وَ كَفَّارَةٌ لِلذُّنُوبِ وَ لَوْ لَا ذَلِكَ لَمْ يَكُنْ لِأَحَدٍ أَنْ يَشْهَدَ عَلَى أَحَدٍ بِالصَّلَاحِ لِأَنَّ مَنْ لَمْ يُصَلِّ فَلَا صَلَاحَ لَهُ بَيْنَ الْمُسْلِمِينَ لِأَنَّ الْحُكْمَ جَرَى فِيهِ مِنَ اللَّهِ وَ مِنْ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بِالْحَرَقِ فِي جَوْفِ بَيْتِهِ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يُصَلِّ فِي الْمَسْجِدِ مَعَ الْمُسْلِمِينَ إِلَّا مِنْ عِلَّةٍ وَ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p>
    <w:p>
      <w:pPr>
        <w:pStyle w:val="BookText"/>
        <w:rPr/>
      </w:pPr>
      <w:r>
        <w:rPr>
          <w:rFonts w:ascii="Amiri" w:hAnsi="Amiri" w:eastAsia="Amiri" w:cs="Amiri"/>
          <w:color w:val="111111"/>
          <w:sz w:val="28"/>
          <w:sz w:val="28"/>
          <w:szCs w:val="28"/>
          <w:rtl w:val="true"/>
          <w:lang w:bidi="ar-SA"/>
        </w:rPr>
        <w:t>غِيبَةَ إِلَّا لِمَنْ صَلَّى فِي جَوْفِ بَيْتِهِ وَ رَغِبَ عَنْ جَمَاعَتِنَا وَ مَنْ رَغِبَ عَنْ جَمَاعَةِ الْمُسْلِمِينَ وَجَبَتْ غِيبَتُهُ وَ سَقَطَتْ بَيْنَهُمْ عَدَالَتُهُ وَ وَجَبَ هِجْرَانُهُ وَ إِذَا رُفِعَ إِلَى إِمَامِ الْمُسْلِمِينَ أَنْذَرَهُ وَ حَذَّرَهُ فَإِنْ حَضَرَ جَمَاعَةَ الْمُسْلِمِينَ وَ إِلَّا أَحْرَقَ عَلَيْهِ بَيْتَهُ وَ مَنْ لَزِمَ جَمَاعَتَهُمْ حَرُمَتْ عَلَيْهِمْ غِيبَتُهُ وَ ثَبَتَتْ عَدَالَتُهُ بَيْنَهُمْ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همان‌گونه كه ملاحظه مي‌فرماييد، در نقل جناب شيخ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اين‌چنين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الدّال علي ذلك كلّه و الساتر لجميع عيوبه حتّي يحرم علي المسلمين تفتيش ماوراء ذلك من عثراته و غيبته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نقل،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است و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مبتداي جمله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التعاهد للصلوات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صدر روايت در صدد بيان موضوع غيبت و تحديد آن نيست؛ زيرا در مقام بيان اين جهت نيست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ذيل روايت دلالت بر جواز غيبت متجاهر دارد،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غيبة الا لمن صلّي في بيته و رغب عن جماعتنا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غيبت نيست مگر براي كسي كه در خانه‌اش نماز بخواند و نسبت به جماعت، رغبت نداشته باشد و در جماعت مسلمين شركت نكند، سپس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رغب عن جماعة المسلمين، وجب</w:t>
      </w:r>
    </w:p>
    <w:p>
      <w:pPr>
        <w:pStyle w:val="BookText"/>
        <w:rPr/>
      </w:pPr>
      <w:r>
        <w:rPr>
          <w:rFonts w:ascii="Amiri" w:hAnsi="Amiri" w:eastAsia="Amiri" w:cs="Amiri"/>
          <w:color w:val="111111"/>
          <w:sz w:val="28"/>
          <w:sz w:val="28"/>
          <w:szCs w:val="28"/>
          <w:rtl w:val="true"/>
          <w:lang w:bidi="ar-SA"/>
        </w:rPr>
        <w:t>علي المسلمين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كسي كه از جماعت مسلمين إعراض كند بر مسلمانان واجب</w:t>
      </w:r>
      <w:r>
        <w:rPr>
          <w:rStyle w:val="FootnoteAnchor"/>
          <w:rtl w:val="true"/>
        </w:rPr>
        <w:footnoteReference w:id="264"/>
      </w:r>
      <w:r>
        <w:rPr>
          <w:rFonts w:ascii="Amiri" w:hAnsi="Amiri" w:eastAsia="Amiri" w:cs="Amiri"/>
          <w:color w:val="111111"/>
          <w:sz w:val="28"/>
          <w:sz w:val="28"/>
          <w:szCs w:val="28"/>
          <w:rtl w:val="true"/>
          <w:lang w:bidi="ar-SA"/>
        </w:rPr>
        <w:t>مي‌شود غيبت او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مي‌فرمايد كسي كه إعراض از جماعت مسلمين داشته باشد غيبتِ او جايز است، حال اگر هم بر فرض اين كارش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رغبت از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باشد، نهايت نتيجه‌اي كه مي‌توان گرفت اين‌كه اگر كسي از جماعت مسلمين رغبت داشته باشد غيبتش جايز است، امّا مرتكبينِ ساير گناهان چطور؟</w:t>
      </w:r>
    </w:p>
    <w:p>
      <w:pPr>
        <w:pStyle w:val="BookText"/>
        <w:rPr/>
      </w:pPr>
      <w:r>
        <w:rPr>
          <w:rFonts w:ascii="IRNazanin" w:hAnsi="IRNazanin" w:eastAsia="IRNazanin"/>
          <w:color w:val="111111"/>
          <w:sz w:val="28"/>
          <w:sz w:val="28"/>
          <w:szCs w:val="28"/>
          <w:rtl w:val="true"/>
          <w:lang w:bidi="fa-IR"/>
        </w:rPr>
        <w:t>در پاسخ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شبهه از طرف برخي مطرح شده و بر آن پافشاري هم دارند، امّا به نظر مي‌رسد پاسخ اين باشد كه بحث جماعت مسلمين به عنوان طريق عدالت ذكر شده است و ما با توجّه به مطالب قبل از آن احتمال نمي‌دهيم كه جماعت خصوصيتي داشته باشد كه فقط ترك آن موجب جواز غيبت شود و موارد ديگر چنين اثري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احتمال اين معنا را نمي‌دهد كه تارك جماعت جائز الغيبة باشد ولي مثلاً زني كه سربرهنه وارد خيابان مي‌شود غيبتش جايز نباشد</w:t>
      </w:r>
      <w:r>
        <w:rPr>
          <w:rFonts w:eastAsia="IRNazanin" w:cs="IRNazanin"/>
          <w:color w:val="111111"/>
          <w:sz w:val="28"/>
          <w:szCs w:val="28"/>
          <w:rtl w:val="true"/>
          <w:lang w:bidi="fa-IR"/>
        </w:rPr>
        <w:t>!</w:t>
      </w:r>
      <w:r>
        <w:rPr>
          <w:rStyle w:val="FootnoteAnchor"/>
          <w:rtl w:val="true"/>
        </w:rPr>
        <w:footnoteReference w:id="265"/>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استدلال</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بخواهيد از روايت چنين استفاده‌اي كنيد، در حقيقت مي‌گوييد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نمي‌توان عادل را غيبت كرد و غير عادل غيبتش جايز است؛ زيرا تمام اين مطالب در جواب اين سؤال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 تُعْرَفُ عَدَالَةُ الرَّجُل؟</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غيبت عادل جايز نيست</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اوصاف عادل حقيقي را نفرمود، بلكه براي عادل علامت تعبّدي گذاشت و مثلاً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جماعت حاضر شود يا غير مُظهر به فسقش باشد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روايت نفرمود عادل واقعي غيبت ندارد، كه شما اشكال كنيد اگر غير عادل بود غيبت او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عدالت واقعي، مطابق تصريح بعضي از روايات به اين سادگي پيدا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عدالت را چيزي غير از حُسن ظاهر بدانيم باز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عدالتي را كه مربوط به حسن ظاهر است نداشته باشد، بر طبق اين روايت غيبتش جايز است و در اين موارد ملتزم مي‌شويم كه غيبت غير 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مُجهِر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و مشكلي هم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نتيجه‌ي بررسي روايت ابن ابي يعفور</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نظر مي‌رسد با تقريبي كه ما ارائه داديم و روايت منقول از شيخ، دلالت بر مطلب تمام باشد، ولي ـ متأسفانه ـ سند روايت شيخ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فقراتي از روايت هم كه مهم بود، در روايت جناب صدوق نبود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روايت صدوق هم سند</w:t>
      </w:r>
    </w:p>
    <w:p>
      <w:pPr>
        <w:pStyle w:val="BookText"/>
        <w:rPr/>
      </w:pPr>
      <w:r>
        <w:rPr>
          <w:rFonts w:ascii="IRNazanin" w:hAnsi="IRNazanin" w:eastAsia="IRNazanin"/>
          <w:color w:val="111111"/>
          <w:sz w:val="28"/>
          <w:sz w:val="28"/>
          <w:szCs w:val="28"/>
          <w:rtl w:val="true"/>
          <w:lang w:bidi="fa-IR"/>
        </w:rPr>
        <w:t>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روايت ابن ابي يعفور جواز غيبت متجاهر به فسق ثابت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علقمه</w:t>
      </w:r>
    </w:p>
    <w:p>
      <w:pPr>
        <w:pStyle w:val="BookText"/>
        <w:rPr/>
      </w:pPr>
      <w:r>
        <w:rPr>
          <w:rFonts w:ascii="Amiri" w:hAnsi="Amiri" w:eastAsia="Amiri" w:cs="Amiri"/>
          <w:color w:val="111111"/>
          <w:sz w:val="28"/>
          <w:sz w:val="28"/>
          <w:szCs w:val="28"/>
          <w:rtl w:val="true"/>
          <w:lang w:bidi="ar-SA"/>
        </w:rPr>
        <w:t>عَنْ أَبِيهِ عَنْ عَلِيِّ بْنِ مُحَمَّدِ بْنِ قُتَيْبَةَ عَنْ حَمْدَانَ بْنِ سُلَيْمَانَ عَنْ نُوحِ بْنِ شُعَيْبٍ عَنْ مُحَمَّدِ بْنِ إِسْمَاعِيلَ عَنْ صَالِحِ بْنِ عُقْبَةَ عَنْ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قُلْتُ لَهُ يَا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عَمَّنْ تُقْبَلُ شَهَادَتُهُ وَ مَنْ لَا تُقْبَلُ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كَانَ عَلَى فِطْرَةِ الْإِسْلَامِ جَازَتْ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 تُقْبَلُ شَهَادَةُ مُقْتَرِفٍ بِالذُّنُوبِ؟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تُقْبَلْ شَهَادَةُ الْمُقْتَرِفِينَ لِلذُّنُوبِ لَمَا قُبِلَتْ إِلَّا شَهَادَةُ الْأَنْبِيَاءِ وَ الْأَوْصِيَاءِ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الْمَعْصُومُونَ دُونَ سَائِرِ الْخَلْقِ فَمَنْ لَمْ تَرَهُ بِعَيْنِكَ يَرْتَكِبُ ذَنْباً أَوْ لَمْ يَشْهَدْ عَلَيْهِ بِذَلِكَ شَاهِدَانِ فَهُوَ مِنْ أَهْلِ الْعَدَالَةِ وَ السَّتْرِ وَ شَهَادَتُهُ مَقْبُولَةٌ وَ إِنْ كَانَ فِي نَفْسِهِ مُذْنِباً وَ مَنِ اغْتَابَهُ بِمَا فِيهِ فَهُوَ خَارِجٌ مِنْ وَلَايَةِ اللَّهِ دَاخِلٌ فِي وَلَايَةِ الشَّيْطَانِ</w:t>
      </w:r>
      <w:r>
        <w:rPr>
          <w:rFonts w:eastAsia="Amiri" w:cs="Amiri" w:ascii="Amiri" w:hAnsi="Amiri"/>
          <w:color w:val="111111"/>
          <w:sz w:val="28"/>
          <w:szCs w:val="28"/>
          <w:rtl w:val="true"/>
          <w:lang w:bidi="ar-SA"/>
        </w:rPr>
        <w:t>»</w:t>
      </w:r>
      <w:r>
        <w:rPr>
          <w:rStyle w:val="FootnoteAnchor"/>
          <w:rtl w:val="true"/>
        </w:rPr>
        <w:footnoteReference w:id="268"/>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كسى كه شهادتش پذيرفته شود يا پذيرفته نشود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 فطرت اسلام باشد شهادتش</w:t>
      </w:r>
    </w:p>
    <w:p>
      <w:pPr>
        <w:pStyle w:val="BookText"/>
        <w:rPr/>
      </w:pPr>
      <w:r>
        <w:rPr>
          <w:rFonts w:ascii="IRNazanin" w:hAnsi="IRNazanin" w:eastAsia="IRNazanin"/>
          <w:color w:val="111111"/>
          <w:sz w:val="28"/>
          <w:sz w:val="28"/>
          <w:szCs w:val="28"/>
          <w:rtl w:val="true"/>
          <w:lang w:bidi="fa-IR"/>
        </w:rPr>
        <w:t>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شهادت گنهكاران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گنه‌كار پذيرفته نباشد، هيچ شهادتي پذيرفته نيست مگر شهادت انبيا و اوصيا كه معصومند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را كه با چشم خود نديدى گناه كند يا دو تن به گناه او شهادت داده باشند، از اهل عدالت و آبروست و شهادتش پذيرفته است اگرچه پيش خود گنهكار باشد، و هر كه او را به گناهى كه دارد غيبت كند از تحت ولايت خداوند خارج شده و در ولايت شيطان داخل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صدوق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بن بابويه</w:t>
      </w:r>
      <w:r>
        <w:rPr>
          <w:rFonts w:eastAsia="IRNazanin" w:cs="IRNazanin"/>
          <w:color w:val="111111"/>
          <w:sz w:val="28"/>
          <w:szCs w:val="28"/>
          <w:rtl w:val="true"/>
          <w:lang w:bidi="fa-IR"/>
        </w:rPr>
        <w:t>)</w:t>
      </w:r>
      <w:r>
        <w:rPr>
          <w:rStyle w:val="FootnoteAnchor"/>
          <w:rtl w:val="true"/>
        </w:rPr>
        <w:footnoteReference w:id="269"/>
      </w:r>
      <w:r>
        <w:rPr>
          <w:rFonts w:ascii="Amiri" w:hAnsi="Amiri" w:eastAsia="Amiri" w:cs="Amiri"/>
          <w:color w:val="111111"/>
          <w:sz w:val="28"/>
          <w:sz w:val="28"/>
          <w:szCs w:val="28"/>
          <w:rtl w:val="true"/>
          <w:lang w:bidi="ar-SA"/>
        </w:rPr>
        <w:t>از افرادي نقل مي‌كنند كه برخي مجهول هستند، از جمله علقمة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اسم علقمة در سند زيارت عاشورا آمده است و از حضرت سؤال كرد دعايي براي زيارت از نزديك و دعايي براي زيارت از دور به من تعليم فرماييد تا در روز عاشورا امام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آن زيارت كنم و حضرت زيارت عاشورا را به علقمة تعليم فرمودند</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بن عقبة هم</w:t>
      </w:r>
    </w:p>
    <w:p>
      <w:pPr>
        <w:pStyle w:val="BookText"/>
        <w:rPr/>
      </w:pPr>
      <w:r>
        <w:rPr>
          <w:rFonts w:ascii="IRNazanin" w:hAnsi="IRNazanin" w:eastAsia="IRNazanin"/>
          <w:color w:val="111111"/>
          <w:sz w:val="28"/>
          <w:sz w:val="28"/>
          <w:szCs w:val="28"/>
          <w:rtl w:val="true"/>
          <w:lang w:bidi="fa-IR"/>
        </w:rPr>
        <w:t>مجهول است، برخي ديگر هم مجهولند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تنها براي تأييد، دلالت روايت را بررسي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دلالت روايت علقمه، از ديدگاه شيخ انصاري</w:t>
      </w:r>
    </w:p>
    <w:p>
      <w:pPr>
        <w:pStyle w:val="BookText"/>
        <w:rPr/>
      </w:pPr>
      <w:r>
        <w:rPr>
          <w:rFonts w:ascii="IRNazanin" w:hAnsi="IRNazanin" w:eastAsia="IRNazanin"/>
          <w:color w:val="111111"/>
          <w:sz w:val="28"/>
          <w:sz w:val="28"/>
          <w:szCs w:val="28"/>
          <w:rtl w:val="true"/>
          <w:lang w:bidi="fa-IR"/>
        </w:rPr>
        <w:t>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دو مطلب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حرمت اغتياب و ديگر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كدام از اين دو امر به طريق لفّ و نشر، مترتّب بر ديگري است</w:t>
      </w:r>
      <w:r>
        <w:rPr>
          <w:rStyle w:val="FootnoteAnchor"/>
          <w:rtl w:val="true"/>
        </w:rPr>
        <w:footnoteReference w:id="2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اغتياب، مترتّب بر ستر است و قبول شهادت، مترتّب بر عدالت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 و نشر هم ظاهراً لفّ و نشرِ مرتّب است؛ زيرا در روايت ابتدا عدالت را بيان كرده است بعد ستر و در ادامه، قبول شهادت و سرِ آخر، حرمت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اين‌كه عدالت مربوط به قبول شهادت و ستر، متناسب با حرمت غيبت است، يك لفّ و نشر مرتّب ايجاد شده است</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جناب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حرمت اغتياب مترتّب بر ستر است و قبول شهادت مترتّب بر عدالت، در نتيجه مفهوم روايت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ستر منتفي شد حرمت اغتياب هم منتفي مي‌شود، كما اين‌كه اگر عدالت منتفي شد قبول شهادت هم منتفي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خود ايشان احتمال ديگري هم داده،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معناي روايت اين باشد كه اگر چشم، گناه شخص ديگر را نبيند و دو شاهد هم شهادت بر گناه او ندهند، در اين صورت دو نتيجه 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عدالت اين شخص ثابت است و هم شهادتش 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ارتكاب ذنب و عدم شهادت شاهدان بر گناه، دو اثر عدالت و قبول شهادت را به همراه خواهد داشت</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را اين‌گونه كه شيخ مي‌فرمايد، معنا كنيم و چنين مفهومي را از روايت اخذ كنيم، لازمه‌اي دارد كه قابل پذيرش نيست و آن اين‌كه اگر كسي گناه شخص ديگر را به چشم خود ديد غيبتش جايز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دو شاهد، شهادت بر گناه كسي دادند باز غيبتش جايز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از موارد قطعي غيبتِ حرام، جايي است كه شخصي گناه و عيب ديگري را ببيند و ديگران از آن گناه بي‌اطلاع باشند و شخص مطّلع، گناه مخفي و مستور را براي آنان ذكر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مصداق غيبت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اغتياب و قبول شهادت را ـ در اخذ به مفهوم ـ بر نديدن عيني گناه و شهادت ندادن دو شاهد مترتّب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قطعاً مي‌دانيم اگر كسي گناهي را از ديگري ديد مُجاز به غيبت نيست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 اشكال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براي فرار از اين محذور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غير مجاهر به فسق است قطعاً از مفهوم روايت خارج</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موردي كه چشم ديده است و گناه جهاراً انجام شده، داخل در حكم جواز غيبت مي‌ماند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ترتّب دو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اغتياب و قبول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ساتر و عادل بودن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ظاهر عبارات روايت است و كسي اشتباهاً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مبتدا نگيرد كه در نتيجه از جزا بودنش براي شرط،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إغْتَابَ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مبتدا باشد ديگر جزا براي شرط نبوده و در نتيجه جمله مفهوم نخواهد داشت</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مناقشه در بيانات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التزام به فرمايش شيخ انصافاً مشكل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روايت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لَمْ تَرَهُ بِعَيْنِكَ يَرْتَكِبُ ذَنْباً أَوْ لَمْ يَشْهَدْ عَلَيْهِ بِذَلِكَ شَاهِدَانِ فَهُوَ مِنْ أَهْلِ الْعَدَالَةِ وَ السَّتْرِ وَ شَهَادَتُهُ مَقْبُولَةٌ وَ إِنْ كَانَ فِي نَفْسِهِ مُذْنِباً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كسي كه با چشمت نديدي مرتكب گناهي شود، يا دو شاهد بر گناهش شهادت نداده باشند، پس او از اهل عدالت است و شهادتش مقبول، اگرچه في نفسه گناهكار باشد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اين‌جا جمله تمام باشد و اگر در ادامه مي‌فرمايد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اغْتَابَهُ بِمَا فِيهِ فَهُوَ خَارِجٌ مِنْ وَلَايَةِ اللَّهِ دَاخِلٌ فِي وَلَايَةِ الشَّيْطَانِ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مطلب جديدي است؛ يعني شخصي اگر كسي را غيبت كند از ولايت الهي خارج است، امّا اين‌كه اگر كسي اين ويژگي‌ها را نداشت ديگر عدالتش ثابت نيست يا غيبتش جايز است، عبارات روايت درباره‌ي آن بياني ندارد و اصلاً در مقام بيان آن نيست كه كيفيت حرمت غيبت را بگويد، بلكه فقط در مقام بيان شرط قبول شهادتِ چنين شخصي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روايت از جهت قبول شهادت، مفهوم دارد؛ چون در مقام تحديد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اين شرط مفقود شد، اين‌كه علاوه بر نپذيرفتن شهادتش غيبت او هم جايز باشد، چنين مفهومي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كسي كه شهادتش مقبول است، اگر ديگري غيبت او كند از ولايت خداوند خارج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چرا اين جمله جزاي شرط قبل باشد؟ در حالي‌كه در مقام بيان حرمت غيبت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اين‌كه مفهومي را كه جناب شيخ از جمله‌ي شرطيه استفاده كردند، مورد قبول ما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اين‌كه سند روايت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موثّقه‌ي سماعة بن مهران</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عَنْ عِدَّةٍ مِنْ أَصْحَابِنَا عَنْ أَحْمَدَ بْنِ مُحَمَّدِ بْنِ خَالِدٍ عَنْ عُثْمَانَ بْنِ عِيسَى عَنْ سَمَاعَةَ بْنِ مِهْرَانَ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عَامَلَ النَّاسَ فَلَمْ يَظْلِمْهُمْ وَ</w:t>
      </w:r>
    </w:p>
    <w:p>
      <w:pPr>
        <w:pStyle w:val="BookText"/>
        <w:rPr/>
      </w:pPr>
      <w:r>
        <w:rPr>
          <w:rFonts w:ascii="Amiri" w:hAnsi="Amiri" w:eastAsia="Amiri" w:cs="Amiri"/>
          <w:color w:val="111111"/>
          <w:sz w:val="28"/>
          <w:sz w:val="28"/>
          <w:szCs w:val="28"/>
          <w:rtl w:val="true"/>
          <w:lang w:bidi="ar-SA"/>
        </w:rPr>
        <w:t>حَدَّثَهُمْ فَلَمْ يَكْذِبْهُمْ وَ وَاعَدَهُمْ فَلَمْ يُخْلِفْهُمْ كَانَ مِمَّنْ حَرُمَتْ غِيبَتُهُ وَ كَمَلَتْ مُرُوَّتُهُ وَ ظَهَرَ عَدْلُهُ وَ وَجَبَتْ أُخُوَّتُهُ</w:t>
      </w:r>
      <w:r>
        <w:rPr>
          <w:rFonts w:eastAsia="Amiri" w:cs="Amiri" w:ascii="Amiri" w:hAnsi="Amiri"/>
          <w:color w:val="111111"/>
          <w:sz w:val="28"/>
          <w:szCs w:val="28"/>
          <w:rtl w:val="true"/>
          <w:lang w:bidi="ar-SA"/>
        </w:rPr>
        <w:t>»</w:t>
      </w:r>
      <w:r>
        <w:rPr>
          <w:rStyle w:val="FootnoteAnchor"/>
          <w:rtl w:val="true"/>
        </w:rPr>
        <w:footnoteReference w:id="275"/>
      </w:r>
    </w:p>
    <w:p>
      <w:pPr>
        <w:pStyle w:val="BookText"/>
        <w:rPr/>
      </w:pPr>
      <w:r>
        <w:rPr>
          <w:rFonts w:ascii="IRNazanin" w:hAnsi="IRNazanin" w:eastAsia="IRNazanin"/>
          <w:color w:val="111111"/>
          <w:sz w:val="28"/>
          <w:sz w:val="28"/>
          <w:szCs w:val="28"/>
          <w:rtl w:val="true"/>
          <w:lang w:bidi="fa-IR"/>
        </w:rPr>
        <w:t xml:space="preserve">كسي كه با مردم معامله مي‌كند، پس به آن‌ها ظلم نكند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مردم سخن مي‌گويد دروغ نگويد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وعده‌اي مي‌دهد خُلف وعده نكند، اين شخص كسي است كه غيبتش حرام است و مُروّتش كامل شده و عدالتش ظاهر و برادري با او لازم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اين روايت با اسانيد متعدّدي نقل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 كه ذكر كرديم، يكي از سندهاي اين روايت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كليني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عدّه‌اي</w:t>
      </w:r>
      <w:r>
        <w:rPr>
          <w:rStyle w:val="FootnoteAnchor"/>
          <w:rtl w:val="true"/>
        </w:rPr>
        <w:footnoteReference w:id="276"/>
      </w:r>
      <w:r>
        <w:rPr>
          <w:rFonts w:ascii="Amiri" w:hAnsi="Amiri" w:eastAsia="Amiri" w:cs="Amiri"/>
          <w:color w:val="111111"/>
          <w:sz w:val="28"/>
          <w:sz w:val="28"/>
          <w:szCs w:val="28"/>
          <w:rtl w:val="true"/>
          <w:lang w:bidi="ar-SA"/>
        </w:rPr>
        <w:t>از اصحاب ما از احمّد بن محمّد بن خالد و او از عثمان بن عيسي نقل 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بن عيسي گرچه از سران واقفه است، ولي از آن‌جايي كه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عبارت، علي بن أبي حمزه‌ي بطائني هم جزء كساني شمرده شده كه طايفه به اخبار او عمل كرده‌اند، در حالي‌كه در رجال تصريح كرده‌اند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كذابٌ ملعونٌ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علي بن أبي حمزه با وجود تصريح بر كذاب و ملعون بودنش ديگر نمي‌توانيم به اين كلام شيخ عمل كنيم، ولي منافاتي ندارد كه در مورد غيرِ علي بن أبي حمزه كلام شيخ را بپذيريم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طايفه به اخبار عدّه‌اي از جمله</w:t>
      </w:r>
    </w:p>
    <w:p>
      <w:pPr>
        <w:pStyle w:val="BookText"/>
        <w:rPr/>
      </w:pPr>
      <w:r>
        <w:rPr>
          <w:rFonts w:ascii="IRNazanin" w:hAnsi="IRNazanin" w:eastAsia="IRNazanin"/>
          <w:color w:val="111111"/>
          <w:sz w:val="28"/>
          <w:sz w:val="28"/>
          <w:szCs w:val="28"/>
          <w:rtl w:val="true"/>
          <w:lang w:bidi="fa-IR"/>
        </w:rPr>
        <w:t>عثمان بن عيسي عمل كرده‌اند، به همين خاطر مشهور او را توثيق كرده‌اند، امّا ما به خاطر كلام ديگري از شيخ در مورد عثمان بن عيسي در كتاب الغيبة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استبد بمال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طمعاً لحطام الدنيا</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در مورد ايشان مدتي توقّف كرده بوديم؛ زيرا پذيرفتن وثاقت كسي كه طمعاً لحطام الدنيا اموال موسي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غصب كرده و منكر امامت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وقتي به كتاب الغيبة‌ي شيخ 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كرده و رواياتي كه با همين مضمون نقل كرده را نگاه كرديم، ديديم استناد به آن روايات</w:t>
      </w:r>
      <w:r>
        <w:rPr>
          <w:rStyle w:val="FootnoteAnchor"/>
          <w:rtl w:val="true"/>
        </w:rPr>
        <w:footnoteReference w:id="279"/>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فَرَوَى مُحَمَّدُ بْنُ يَعْقُوبَ عَنْ مُحَمَّدِ بْنِ يَحْيَى الْعَطَّارِ عَنْ مُحَمَّدِ بْنِ أَحْمَدَ عَنْ مُحَمَّدِ بْنِ جُمْهُورٍ عَنْ أَحْمَدَ بْنِ الْفَضْلِ عَنْ يُونُسَ بْنِ عَبْدِ الرَّحْمَنِ قَالَ مَاتَ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مِنْ قُوَّامِهِ أَحَدٌ إِلَّا وَ عِنْدَهُ الْمَالُ الْكَثِيرُ وَ كَانَ ذَلِكَ سَبَبَ وَقْفِهِمْ وَ جَحْدِهِمْ مَوْتَهُ طَمَعاً فِي الْأَمْوَالِ كَانَ عِنْدَ زِيَادِ بْنِ مَرْوَانَ الْقَنْدِيِّ سَبْعُونَ أَلْفَ دِينَارٍ وَ عِنْدَ عَلِيِّ بْنِ أَبِي حَمْزَةَ ثَلَاثُونَ أَلْفَ دِينَارٍ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رَأَيْتُ ذَلِكَ وَ تَبَيَّنْتُ الْحَقَّ وَ عَرَفْتُ مِنْ أَمْرِ أَبِي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عَلِمْتُ تَكَلَّمْتُ وَ دَعَوْتُ النَّاسَ إِلَيْهِ فَبَعَثَا إِلَيَّ وَ قَالا مَا يَدْعُوكَ إِلَى هَذَا إِنْ كُنْتَ تُرِيدُ الْمَالَ فَنَحْنُ نُغْنِيكَ وَ ضَمِنَا لِى عَشَرَةَ آلَافِ دِينَارٍ وَ قَالا لِي كُفَّ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فَأَبَيْتُ وَ قُلْتُ لَهُمَا إِنَّا رُوِّينَا عَنِ الصَّادِقِينَ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كُنْتُ لِأَدَعَ الْجِهَادَ وَ أَمْرَ اللَّهِ عَلَى كُلِّ حَالٍ فَنَاصَبَانِي وَ أَضْمَرَا لِيَ الْعَدَاوَة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به خاطر بعضي از جمله محمد بن جمهور كه تضعيف شده،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تصريح به اسم عثمان بن عيسي نشده، گرچه به طور كلّي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من قوامه أحد إلا و </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مُحَمَّدُ بْنُ الْحَسَنِ بْنِ الْوَلِيدِ عَنِ الصَّفَّارِ وَ سَعْدِ بْنِ عَبْدِ اللَّه الْأَشْعَرِيِّ جَمِيعاً عَنْ يَعْقُوبَ بْنِ يَزِيدَ الْأَنْبَارِيِّ عَنْ بَعْضِ أَصْحَابِهِ قَالَ مَضَى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 زِيَادٍ الْقَنْدِيِّ سَبْعُونَ أَلْفَ دِينَارٍ وَ عِنْدَ عُثْمَانَ بْنِ عِيسَى الرَّوَّاسِيِّ ثَلَاثُونَ أَلْفَ دِينَارٍ وَ خَمْسُ جَوَارٍ وَ مَسْكَنُهُ بِمِصْرَ فَبَعَثَ إِلَيْهِمْ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احْمِلُوا مَا قِبَلَكُمْ مِنَ الْمَالِ وَ مَا كَانَ اجْتَمَعَ لِأَبِي عِنْدَكُمْ مِنْ أَثَاثٍ وَ جَوَارٍ فَإِنِّي وَارِثُهُ وَ قَائِمٌ مَقَامَهُ وَ قَدِ اقْتَسَمْنَا مِيرَاثَهُ وَ لَا عُذْرَ لَكُمْ فِي حَبْسِ مَا قَدِ اجْتَمَعَ لِي وَ لِوَارِثِهِ قِبَلَكُمْ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همان، ص</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مرسله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رَوَى عَلِيُّ بْنُ حُبْشِيِّ بْنِ قُونِيٍّ عَنِ الْحُسَيْنِ بْنِ أَحْمَدَ بْنِ الْحَسَنِ بْنِ عَلِيِّ بْنِ فَضَّالٍ قَالَ كُنْتُ أَرَى عِنْدَ عَمِّي عَلِيِّ بْنِ الْحَسَنِ بْنِ فَضَّالٍ شَيْخاً مِنْ أَهْلِ بَغْدَادَ وَ كَانَ يُهَازِلُ 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يَوْماً لَيْسَ فِي الدُّنْيَا شَرٌّ مِنْكُمْ يَا مَعْشَرَ الشِّيعَةِ أَوْ قَالَ الرَّافِضَةِ فَقَالَ لَهُ عَمِّي وَ لِمَ لَعَنَكَ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أَنَا زَوْجُ بِنْتِ أَحْمَدَ بْنِ أَبِي بِشْرٍ السَّرَّاجِ قَالَ لِي لَمَّا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عِنْدِي عَشَرَةُ آلَافِ دِينَارٍ وَدِيعَةً لِمُوسَى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فَدَفَعْتُ ابْنَهُ عَنْهَا بَعْدَ مَوْتِهِ وَ شَهِدْتُ أَنَّهُ لَمْ يَمُتْ فَاللَّهَ اللَّهَ خَلِّصُونِي مِنَ النَّارِ وَ سَلِّمُوهَا إِلَى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 اللَّهِ مَا أَخْرَجْنَا حَبَّةً وَ لَقَدْ تَرَكْنَاهُ يَصْلَى بِهَا فِي نَارِ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للطوسي، ص</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أَحْمَدَ بْنِ يَحْيَى الْأَشْعَرِيُّ عَنْ عَبْدِ اللَّهِ بْنِ مُحَمَّدٍ عَنِ الْخَشَّابِ عَنْ أَبِي دَاوُدَ قَالَ كُنْتُ أَنَا وَ عُيَيْنَةُ بَيَّاعُ الْقَصَبِ عِنْدَ عَلِيِّ بْنِ أَبِي حَمْزَةَ الْبَطَائِنِيِّ وَ كَانَ رَئِيسَ الْوَاقِفَةِ فَسَمِعْتُهُ يَقُولُ قَالَ لِي أَبُو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وَ أَصْحَابُكَ يَا عَلِيُّ أَشْبَاهُ الْحَمِيرِ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ابْنُ عُقْدَةَ عَنْ عَلِيِّ بْنِ الْحَسَنِ بْنِ فَضَّالٍ عَنْ مُحَمَّدِ بْنِ عُمَرَ بْنِ يَزِيدَ وَ عَلِيِّ بْنِ أَسْبَاطٍ جَمِيعاً قَالا قَالَ لَنَا عُثْمَانُ بْنُ عِيسَى الرَّوَّاسِيُّ حَدَّثَنِي زِيَادٌ الْقَنْدِيُّ وَ ابْنُ مُسْكَانَ قَالا كُنَّا عِنْدَ أَبِي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قَالَ يَدْخُلُ عَلَيْكُمُ السَّاعَةَ خَيْرُ أَهْلِ الْأَرْضِ فَدَخَلَ أَبُو الْحَسَنِ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صَبِيٌّ فَقُلْنَا خَيْرُ أَهْلِ الْأَرْضِ ثُمَّ دَنَا فَضَمَّهُ إِلَيْهِ فَقَبَّلَهُ وَ قَالَ يَا بُنَيَّ تَدْرِي مَا قَالَ ذَانِ قَالَ نَعَمْ يَا سَيِّدِي هَذَانِ يَشُكَّانِ فِيَّ قَالَ عَلِيُّ بْنُ أَسْبَاطٍ فَحَدَّثْتُ بِهَذَا الْحَدِيثِ الْحَسَنَ بْنَ مَحْبُوبٍ فَقَالَ بَتَرَ الْحَدِيثَ لَا وَ لَكِنْ حَدَّثَنِي عَلِيُّ بْنُ رِئَابٍ أَنَّ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لَهُمَا إِنْ جَحَدْتُمَاهُ حَقَّهُ أَوْ خُنْتُمَاهُ فَعَلَيْكُمَا لَعْنَةُ اللَّهِ وَ الْمَلَائِكَةِ وَ النَّاسِ أَجْمَعِينَ يَا زِيَادُ لَا تَنْجُبُ أَنْتَ وَ أَصْحَابُكَ أَبَداً قَالَ عَلِيُّ بْنُ رِئَابٍ فَلَقِيتُ زِيَادَ الْقَنْدِيِّ فَقُلْتُ لَهُ بَلَغَنِي أَنَّ أَبَا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لَكَ كَذَا وَ كَذَا فَقَالَ أَحْسَبُكَ قَدْ خُولِطْتَ فَمَرَّ وَ تَرَكَنِي فَلَمْ أُكَلِّمْهُ وَ لَا مَرَرْتُ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أَحْمَدُ بْنُ مُحَمَّدِ بْنِ يَحْيَى عَنْ أَبِيهِ عَنْ مُحَمَّدِ بْنِ الْحُسَيْنِ بْنِ أَبِي الْخَطَّابِ عَنْ صَفْوَانَ بْنِ يَحْيَى عَنْ إِبْرَاهِيمَ بْنِ يَحْيَى بْنِ أَبِي الْبِلَادِ قَالَ قَالَ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الشَّقِيُّ حَمْزَةُ بْنُ بَزِيعٍ قُلْتُ هُوَ ذَا هُوَ قَدْ قَدِمَ فَقَالَ يَزْعُمُ أَنَّ أَبِي حَيٌّ هُمُ الْيَوْمَ شُكَّاكٌ وَ لَا يَمُوتُونَ غَداً إِلَّا عَلَى الزَّنْدَقَةِ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مُحَمَّدُ بْنُ أَحْمَدَ بْنِ يَحْيَى عَنْ بَعْضِ أَصْحَابِنَا عَنْ مُحَمَّدِ بْنِ عِيسَى بْنِ عُبَيْدٍ عَنْ مُحَمَّدِ بْنِ سِنَانٍ قَالَ ذُكِرَ عَلِيُّ بْنُ أَبِي حَمْزَةَ عِنْدَ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فَلَعَنَهُ ثُمَّ قَالَ إِنَّ عَلِيَّ بْنَ أَبِي حَمْزَةَ أَرَادَ أَنْ لَا يُعْبَدَ اللَّهُ فِي سَمَائِهِ وَ أَرْضِهِ فَأَبَى اللَّهُ إِلَّا أَنْ يُتِمَّ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كَرِهَ الْمُشْرِكُونَ وَ لَوْ كَرِهَ اللَّعِينُ الْمُشْرِكُ قُلْتُ الْمُشْرِكُ قَالَ نَعَمْ وَ اللَّهِ وَ إِنْ رَغِمَ أَنْفُهُ كَذَلِكَ وَ هُوَ فِي كِتَابِ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يُرِيدُونَ أَنْ يُطْفِؤُا نُورَ اللَّهِ بِأَفْواهِهِمْ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جَرَتْ فِيهِ وَ فِي أَمْثَالِهِ أَنَّهُ أَرَادَ أَنْ يُطْفِئَ نُورَ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الغيبة للطوسي، 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قابل خدشه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لذا اين مقدار خباثت عثمان بن</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عيسي كه طمعاً لحطام الدنيا توقف كرده باشد براي ما ثابت نيست ـ</w:t>
      </w:r>
    </w:p>
    <w:p>
      <w:pPr>
        <w:pStyle w:val="BookText"/>
        <w:rPr/>
      </w:pPr>
      <w:r>
        <w:rPr>
          <w:rFonts w:ascii="IRNazanin" w:hAnsi="IRNazanin" w:eastAsia="IRNazanin"/>
          <w:color w:val="111111"/>
          <w:sz w:val="28"/>
          <w:sz w:val="28"/>
          <w:szCs w:val="28"/>
          <w:rtl w:val="true"/>
          <w:lang w:bidi="fa-IR"/>
        </w:rPr>
        <w:t>هرچند مسلّم است كه واقفي بوده و شايد به خاطر شبهه‌اي توقّف كرده باشد ـ بنابراين همان‌طوري كه مشهور به روايات عثمان بن عيسي عمل مي‌كنند ما هم به روايات عثمان بن عيسي عمل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توجيه غير وجيه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دليل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بعضي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اصحاب، روايات عثمان بن عيسي را قبول دارند به خاطر آن است كه او روايات را در هنگام استقامت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حرف، تنها يك حدس است و وجه جمعي بين دو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شأن او گفته‌اند بعداً توبه كرده و اموال را خدمت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فرستاده است، ولي راوي اين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 بن 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اعتمادي به خودش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خودِ اين حرف هم دلالتي بر وثاقت ندارد؛ زيرا نگفته است عثمان بن عيسي عادل شد، بلكه مي‌گويد توبه كرد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وجه دلالت روايت</w:t>
      </w:r>
    </w:p>
    <w:p>
      <w:pPr>
        <w:pStyle w:val="BookText"/>
        <w:rPr/>
      </w:pPr>
      <w:r>
        <w:rPr>
          <w:rFonts w:ascii="IRNazanin" w:hAnsi="IRNazanin" w:eastAsia="IRNazanin"/>
          <w:color w:val="111111"/>
          <w:sz w:val="28"/>
          <w:sz w:val="28"/>
          <w:szCs w:val="28"/>
          <w:rtl w:val="true"/>
          <w:lang w:bidi="fa-IR"/>
        </w:rPr>
        <w:t>روايت به صورت جمله‌ي شرطيه است؛ يعني كسي كه داراي صفات مذكورِ در روايت باشد غيبتش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يكي از موارد شرط شده نباشد غيبت فرد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مفهوم شرط است؛ يعني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انتفاي سنخ حكم هنگام انتفاي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كسي در حقّ مردم ظلم كرد يا دروغ گفت يا خلف وعده كرد ديگر غيبتش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معلوم است كه موارد مذكورِ در روايت، از باب مثال است و مثلاً كذب با تهمت يا بي‌حيايي فرقي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دلالت روايت</w:t>
      </w:r>
    </w:p>
    <w:p>
      <w:pPr>
        <w:pStyle w:val="BookText"/>
        <w:rPr/>
      </w:pPr>
      <w:r>
        <w:rPr>
          <w:rFonts w:ascii="Amiri" w:hAnsi="Amiri" w:eastAsia="Amiri" w:cs="Amiri"/>
          <w:color w:val="111111"/>
          <w:sz w:val="28"/>
          <w:sz w:val="28"/>
          <w:szCs w:val="28"/>
          <w:rtl w:val="true"/>
          <w:lang w:bidi="ar-SA"/>
        </w:rPr>
        <w:t>ما به اين استدلال دو اشكال داريم</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مطلق شرطيه قائل به ثبوت مفهوم نمي‌باشيم مگر قرائن خاصّه‌اي وجود داشته باشد، در اين روايت هدف اصلي بيان حدود حرمت غيبت نيست، بلكه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تحقّق يك مجموعه، يك مجموعه‌ي ديگر محقّق مي‌شود؛ يعني در كسي كه معاشرت با مردم دارد اگر ظلم، كذب و خلف وعد نباشد، براي اين فرد حرمت غيبت، كمال مروّت، ظهور عدالت و وجوب برادري 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مجموع اين امور چهارگانه مترتّب بر آن مجموعه‌ي سه‌گانه مي‌باشد كه البته با انتفاء مجموعه‌ي اوّل ـ كه با انتفاء هر يك از امور سه‌گانه منتفي مي‌شود ـ مجموعه‌ي دوم منتفي است و چون در مقام تحديد است و با</w:t>
      </w:r>
    </w:p>
    <w:p>
      <w:pPr>
        <w:pStyle w:val="BookText"/>
        <w:rPr/>
      </w:pPr>
      <w:r>
        <w:rPr>
          <w:rFonts w:ascii="IRNazanin" w:hAnsi="IRNazanin" w:eastAsia="IRNazanin"/>
          <w:color w:val="111111"/>
          <w:sz w:val="28"/>
          <w:sz w:val="28"/>
          <w:szCs w:val="28"/>
          <w:rtl w:val="true"/>
          <w:lang w:bidi="fa-IR"/>
        </w:rPr>
        <w:t>توجّه به برخي نكات ديگر، سنخ مجموعه‌ي دوم منتفي است، ولي نمي‌توان گفت با انتفاء هر يك از مجموعه‌ي اوّل يا حتّي كلّ مجموعه‌ي اوّل، تك‌تك مجموعه‌ي دوم از جمله حرمت غيبت و به خصوص سنخ حرمت غيبت، منتفي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قرينه‌اي در روايت هست كه با وجود آن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سنخ جزا منتفي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قرينه‌ي مورد نظر اين است كه يكي از موارد، خلف وعد بود؛ يعني شخص، مرتكب خلف وعد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بنابر مبناي مشهور، خلف وعد حرام نيست، چگونه بگوييم اگر كسي خلف وعد كرد غيبتش جايز است و از عدالت هم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اصلاً حرام نبوده و كسي كه خلف وعد كرده مرتكب حرامي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به معناي پيمان دوطرفه است، التزام به وجوب رعايت آن قريب است و از اين نظر، اشكال منتفي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به استدلال به اين روايت اشكال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روايت مفهوم داشته باشد، پس كسي كه مخفيانه هم گناه كرد عدالتش ساقط و غيبتش جايز مي‌شود؛ زيرا در روايت، مفروض نيست كه كسي ظلم به مردم يا دروغ يا خلف وعد را علني انجام دهد، بلكه روايت از اين حيث اطلاق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به روايت قبل هم شد و جناب شيخ در پاسخ به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غير متجاهر قطعاً از شمول</w:t>
      </w:r>
    </w:p>
    <w:p>
      <w:pPr>
        <w:pStyle w:val="BookText"/>
        <w:rPr/>
      </w:pPr>
      <w:r>
        <w:rPr>
          <w:rFonts w:ascii="IRNazanin" w:hAnsi="IRNazanin" w:eastAsia="IRNazanin"/>
          <w:color w:val="111111"/>
          <w:sz w:val="28"/>
          <w:sz w:val="28"/>
          <w:szCs w:val="28"/>
          <w:rtl w:val="true"/>
          <w:lang w:bidi="fa-IR"/>
        </w:rPr>
        <w:t>روايت خارج است و تنها مجاهر به فسق، تحت حكم روايت باقي مي‌ماند و بلكه گفته شده است اطلاق موثّقه از اين جهت با برخي روايات مثل روايت ابن ابي يعفور و روايت ابن الجهم مقيّد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وانگهي اساساً با تعبيري كه در روايت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عامل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توضيحي كه داديم روشن مي‌شود موضوعِ حكم، منطوقاً و مفهوماً كسي است كه با افراد متعدّدي معاشرت و معامله دارد و چنين فردي گناهش مخفي باقي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أسناد ديگري براي روايت</w:t>
      </w:r>
    </w:p>
    <w:p>
      <w:pPr>
        <w:pStyle w:val="BookText"/>
        <w:rPr/>
      </w:pPr>
      <w:r>
        <w:rPr>
          <w:rFonts w:ascii="IRNazanin" w:hAnsi="IRNazanin" w:eastAsia="IRNazanin"/>
          <w:color w:val="111111"/>
          <w:sz w:val="28"/>
          <w:sz w:val="28"/>
          <w:szCs w:val="28"/>
          <w:rtl w:val="true"/>
          <w:lang w:bidi="fa-IR"/>
        </w:rPr>
        <w:t>أسناد ديگري هم هست كه مي‌توانيم براي اين روايت ذكر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مهم نيست؛ چون ما دلالت روايت را تمام ندانستيم، ولي اگر كسي دلالت روايت را تمام بداند و سند را ناتمام، ضميمه شدن چند سند مي‌توانست به او كمك كند تا شايد به اطمينان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نمونه از آن اسناد را ذكر مي‌كنيم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خصال</w:t>
      </w:r>
    </w:p>
    <w:p>
      <w:pPr>
        <w:pStyle w:val="BookText"/>
        <w:rPr/>
      </w:pPr>
      <w:r>
        <w:rPr>
          <w:rFonts w:ascii="IRNazanin" w:hAnsi="IRNazanin" w:eastAsia="IRNazanin"/>
          <w:color w:val="111111"/>
          <w:sz w:val="28"/>
          <w:sz w:val="28"/>
          <w:szCs w:val="28"/>
          <w:rtl w:val="true"/>
          <w:lang w:bidi="fa-IR"/>
        </w:rPr>
        <w:t>سند ديگري كه براي اين روايت وجود دارد سند جناب صدوق در خصال است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الْخِصَالِ عَنْ أَحْمَدَ بْنِ إِبْرَاهِيمَ بْنِ بَكْرٍ عَنْ زَيْدِ بْنِ مُحَمَّدٍ عَنْ عَبْدِ اللَّهِ بْنِ أَحْمَدَ بْنِ عَامِرٍ الطَّائِيِّ عَنْ أَبِيهِ عَنِ الرِّضَا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عَامَلَ النَّاسَ فَلَمْ يَظْلِمْهُمْ وَحَدَّثَهُمْ فَلَمْ يَكْذِبْهُمْ وَ وَعَدَهُمْ فَلَمْ يُخْلِفْهُمْ فَهُوَ مِمَّنْ كَمَلَتْ مُرُوءَتُهُ</w:t>
      </w:r>
    </w:p>
    <w:p>
      <w:pPr>
        <w:pStyle w:val="BookText"/>
        <w:rPr/>
      </w:pPr>
      <w:r>
        <w:rPr>
          <w:rFonts w:ascii="Amiri" w:hAnsi="Amiri" w:eastAsia="Amiri" w:cs="Amiri"/>
          <w:color w:val="111111"/>
          <w:sz w:val="28"/>
          <w:sz w:val="28"/>
          <w:szCs w:val="28"/>
          <w:rtl w:val="true"/>
          <w:lang w:bidi="ar-SA"/>
        </w:rPr>
        <w:t>وَ ظَهَرَتْ عَدَالَتُهُ وَ وَجَبَتْ أُخُوَّتُهُ وَ حَرُمَتْ غِيبَتُهُ</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در اين نقل، چند تفاوت غير جوهري با روايت سماعة بن مهران وجود دارد، 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ولي روايت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سند، اشخاص مجهول وجود دارد و حجيّتي ندارد</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ـ روايت عبدالله بن سنان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عَلِيِّ بْنِ مُوسَى الْكُمُنْذَانِيِّ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الكُمَندَاني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ابْنِ أَبِي عُمَيْرٍ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مَنْ كُنَّ فِيهِ أَوْجَبَتْ لَهُ أَرْبَعاً عَلَى النَّاسِ مَنْ إِذَا حَدَّثَهُمْ لَمْ يَكْذِبْهُمْ وَ إِذَا وَعَدَهُمْ لَمْ يُخْلِفْهُمْ وَ إِذَا خَالَطَهُمْ لَمْ يَظْلِمْهُمْ وَجَبَ أَنْ يُظْهِرُوا فِي النَّاسِ عَدَالَتَهُ وَ تَظْهَرَ فِيهِمْ مُرُوءَتُهُ وَ أَنْ تَحْرُمَ عَلَيْهِمْ غِيبَتُهُ وَ أَنْ تَجِبَ عَلَيْهِمْ أُخُوَّتُهُ</w:t>
      </w:r>
      <w:r>
        <w:rPr>
          <w:rFonts w:eastAsia="Amiri" w:cs="Amiri" w:ascii="Amiri" w:hAnsi="Amiri"/>
          <w:color w:val="111111"/>
          <w:sz w:val="28"/>
          <w:szCs w:val="28"/>
          <w:rtl w:val="true"/>
          <w:lang w:bidi="ar-SA"/>
        </w:rPr>
        <w:t>»</w:t>
      </w:r>
      <w:r>
        <w:rPr>
          <w:rStyle w:val="FootnoteAnchor"/>
          <w:rtl w:val="true"/>
        </w:rPr>
        <w:footnoteReference w:id="282"/>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چيز است كه اگر در كسي باشد چهار چيز را به نفع او بر عهدي مردم مي‌گذارد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مردم سخن مي‌گويد، دروغ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كند، خلف وعده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w:t>
      </w:r>
    </w:p>
    <w:p>
      <w:pPr>
        <w:pStyle w:val="BookText"/>
        <w:rPr/>
      </w:pPr>
      <w:r>
        <w:rPr>
          <w:rFonts w:ascii="IRNazanin" w:hAnsi="IRNazanin" w:eastAsia="IRNazanin"/>
          <w:color w:val="111111"/>
          <w:sz w:val="28"/>
          <w:sz w:val="28"/>
          <w:szCs w:val="28"/>
          <w:rtl w:val="true"/>
          <w:lang w:bidi="fa-IR"/>
        </w:rPr>
        <w:t>مردم است به آن‌ها ظلم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اين سه مورد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واجب است عدالت اين شخص را بين مردم اظهار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بگويند اين شخص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مروت او را اظهار كنند، غيبت او را حرام بدانند و اين‌كه برادري او بر مردم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جناب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علي بن بابويه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 بزرگوار خود علي بن بابويه، از علي بن موسي الكمنداني</w:t>
      </w:r>
      <w:r>
        <w:rPr>
          <w:rStyle w:val="FootnoteAnchor"/>
          <w:rtl w:val="true"/>
        </w:rPr>
        <w:footnoteReference w:id="28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موسي الكمنداني جزء عدّه‌ي جناب كليني است كه از احمد بن محمّد بن عيسي اشعري نقل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جناب كليني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از عدّه‌اي از اصحاب ما از احمد بن محمّد بن خالد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برخي موارد هم از سهل بن زياد يا افرادي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علامه‌ي حلّي در كتاب خلاصه در فايده‌ي سوم، اين مطلب را توضيح داده است</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 بن موسي الكمنداني جزء عدّه‌ي</w:t>
      </w:r>
    </w:p>
    <w:p>
      <w:pPr>
        <w:pStyle w:val="BookText"/>
        <w:rPr/>
      </w:pPr>
      <w:r>
        <w:rPr>
          <w:rFonts w:ascii="IRNazanin" w:hAnsi="IRNazanin" w:eastAsia="IRNazanin"/>
          <w:color w:val="111111"/>
          <w:sz w:val="28"/>
          <w:sz w:val="28"/>
          <w:szCs w:val="28"/>
          <w:rtl w:val="true"/>
          <w:lang w:bidi="fa-IR"/>
        </w:rPr>
        <w:t>كليني در نقل از احمد بن محمّد بن عيسي اشعري قمي است و علي القاعده بايد شخص جليل القدري هم باشد، ولي ما ـ هر چه جستجو كرديم ـ چيزي در وثاقتش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به قول او اعتماد كنيم و به همين خاطر، روايت از نظر سند ناتمام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افرادِ بعد از او احمد بن محمّد از ابن ابي عمير از عبدالله بن سنان هستند كه مشكلي ندارند، ولي در مجموع، روايت سند صحيح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استدلال</w:t>
      </w:r>
    </w:p>
    <w:p>
      <w:pPr>
        <w:pStyle w:val="BookText"/>
        <w:rPr/>
      </w:pPr>
      <w:r>
        <w:rPr>
          <w:rFonts w:ascii="IRNazanin" w:hAnsi="IRNazanin" w:eastAsia="IRNazanin"/>
          <w:color w:val="111111"/>
          <w:sz w:val="28"/>
          <w:sz w:val="28"/>
          <w:szCs w:val="28"/>
          <w:rtl w:val="true"/>
          <w:lang w:bidi="fa-IR"/>
        </w:rPr>
        <w:t>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سه شرط مذكور رعايت شود چهار امر بر مردم واجب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جمله‌ي شرطيه مفهوم داشته و مفهومش آن است كه اگر هر يك از سه شرط منتفي شد جزا هم منتفي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موارد جزا كه با انتفاي شرط منتفي مي‌شود حرمت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يكي از موارد سه‌گانه را انجام ندهد غيبتش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استدلال</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مناقشه‌ي ما در اين روايت هم مانند روايات قبلي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بپذيريم، با انتفاي هر يك از اين موارد، ديگر مجموعه‌ي جزا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اين‌كه تك‌تك موارد جزا باقي نباشد نيازمند دليل است كه دليلي بر اين مطلب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 به اين‌كه روايت سند صحيح ندارد</w:t>
      </w:r>
      <w:r>
        <w:rPr>
          <w:rFonts w:eastAsia="IRNazanin" w:cs="IRNazanin"/>
          <w:color w:val="111111"/>
          <w:sz w:val="28"/>
          <w:szCs w:val="28"/>
          <w:rtl w:val="true"/>
          <w:lang w:bidi="fa-IR"/>
        </w:rPr>
        <w:t>.</w:t>
      </w:r>
      <w:bookmarkStart w:id="392" w:name="pg2359_23442"/>
    </w:p>
    <w:p>
      <w:pPr>
        <w:pStyle w:val="BookText"/>
        <w:rPr/>
      </w:pPr>
      <w:bookmarkEnd w:id="392"/>
      <w:r>
        <w:rPr>
          <w:rFonts w:ascii="Amiri" w:hAnsi="Amiri" w:eastAsia="Amiri" w:cs="Amiri"/>
          <w:color w:val="111111"/>
          <w:sz w:val="28"/>
          <w:sz w:val="28"/>
          <w:szCs w:val="28"/>
          <w:rtl w:val="true"/>
          <w:lang w:bidi="ar-SA"/>
        </w:rPr>
        <w:t>استفاده‌ي مفهوم عدالت از مجموع روايات</w:t>
      </w:r>
    </w:p>
    <w:p>
      <w:pPr>
        <w:pStyle w:val="BookText"/>
        <w:rPr/>
      </w:pPr>
      <w:r>
        <w:rPr>
          <w:rFonts w:ascii="IRNazanin" w:hAnsi="IRNazanin" w:eastAsia="IRNazanin"/>
          <w:color w:val="111111"/>
          <w:sz w:val="28"/>
          <w:sz w:val="28"/>
          <w:szCs w:val="28"/>
          <w:rtl w:val="true"/>
          <w:lang w:bidi="fa-IR"/>
        </w:rPr>
        <w:t>از مجموع اين روايات استفاده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ظاهر خوبي داشته و مرتكب گناه علني نشود، محكوم به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كه براي ثبوت عدالت كسي زواياي مخفي زندگي او هم بررسي شود، بلكه همين اندازه كه هرگاه در مجامع عمومي ظاهر مي‌شود كسي بدي از او نديده باشد، مي‌توان حكم به عدالتش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برخي از روايات، حضور در جماعت مسلمين را هم شرط در حصول عدالت مي‌دانند</w:t>
      </w:r>
      <w:r>
        <w:rPr>
          <w:rFonts w:eastAsia="IRNazanin" w:cs="IRNazanin"/>
          <w:color w:val="111111"/>
          <w:sz w:val="28"/>
          <w:szCs w:val="28"/>
          <w:rtl w:val="true"/>
          <w:lang w:bidi="fa-IR"/>
        </w:rPr>
        <w:t>.</w:t>
      </w:r>
    </w:p>
    <w:p>
      <w:pPr>
        <w:pStyle w:val="Heading5"/>
        <w:numPr>
          <w:ilvl w:val="4"/>
          <w:numId w:val="1"/>
        </w:numPr>
        <w:rPr/>
      </w:pPr>
      <w:bookmarkStart w:id="393" w:name="__RefHeading___Toc2770477_3804643083"/>
      <w:bookmarkStart w:id="394" w:name="_Toc149"/>
      <w:bookmarkEnd w:id="393"/>
      <w:r>
        <w:rPr>
          <w:rtl w:val="true"/>
        </w:rPr>
        <w:t>نتيجه‌ي نهايي در حكم غيبت متجاهر به فسق</w:t>
      </w:r>
      <w:bookmarkEnd w:id="394"/>
    </w:p>
    <w:p>
      <w:pPr>
        <w:pStyle w:val="BookText"/>
        <w:rPr/>
      </w:pPr>
      <w:r>
        <w:rPr>
          <w:rFonts w:ascii="IRNazanin" w:hAnsi="IRNazanin" w:eastAsia="IRNazanin"/>
          <w:color w:val="111111"/>
          <w:sz w:val="28"/>
          <w:sz w:val="28"/>
          <w:szCs w:val="28"/>
          <w:rtl w:val="true"/>
          <w:lang w:bidi="fa-IR"/>
        </w:rPr>
        <w:t>با بررسي رواياتي كه براي اثبات جواز غيبت متجاهر به فسق مطرح شده بود، معلوم شد كه روايت تامّ السند و تامّ الدلاله‌اي براي اثبات اين مسأله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روايات هم به حدّي نيست كه ما با اطلاق بعضي از آن‌ها يقين كنيم غيبت متجاهر به فسق علي الاطلاق جايز است، گرچه اطمينان به جواز في‌الجمله‌ي آن، مورد اذعان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همان‌طور كه قبلاً ذكر شد، از طريق قصور ادلّه‌ي حرمت غيبت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متجاهر به فسق، حرام نيست؛ زيرا گفتيم معناي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ما كان مستوراً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ادلّه‌ي حرمت غيبت، از اين حيث اطلاقي نداشتيم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احتياج به دليلي كه با آن، غيبت متجاهر به فسق را استثنا كنيم، نداريم</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 هم در نهايت به همين مطلب مي‌رسد و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حقيقت اين مورد، استثنا نيست، بلكه تعيين موضوع غيبت است براي حكم حرمت</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ثمره‌ي اختلاف در دليل جواز غيبت متجاهر به فسق</w:t>
      </w:r>
    </w:p>
    <w:p>
      <w:pPr>
        <w:pStyle w:val="BookText"/>
        <w:rPr/>
      </w:pPr>
      <w:r>
        <w:rPr>
          <w:rFonts w:ascii="IRNazanin" w:hAnsi="IRNazanin" w:eastAsia="IRNazanin"/>
          <w:color w:val="111111"/>
          <w:sz w:val="28"/>
          <w:sz w:val="28"/>
          <w:szCs w:val="28"/>
          <w:rtl w:val="true"/>
          <w:lang w:bidi="fa-IR"/>
        </w:rPr>
        <w:t xml:space="preserve">بين مبنايي كه ما قائل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اساساً غيبت موضوعاً شامل شخص متجاهر به فسق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مبناي ديگر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خاصّه، غيبت شخص متجاهر به فسق را استتثنا كرده است، تفاوت‌هايي وجود دارد كه ـ إن‌شاءالله ـ در مسائل آينده مطرح خواهيم كرد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مختار ما در بحث غيبت متجاهر به فسق اين شد كه از اوّل، مقتضي براي حرمت غيبت وجود ندارد، ولي اگر مقتضي وجود داشت ديگر دليل تامّي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حيث دلالت و 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استثناي علي الاطلاقِ متجاهر به فسق از حرمت غيبت نداريم، مگر آن‌چه از موثّقه‌ي سماعه گذشت</w:t>
      </w:r>
      <w:r>
        <w:rPr>
          <w:rFonts w:eastAsia="IRNazanin" w:cs="IRNazanin"/>
          <w:color w:val="111111"/>
          <w:sz w:val="28"/>
          <w:szCs w:val="28"/>
          <w:rtl w:val="true"/>
          <w:lang w:bidi="fa-IR"/>
        </w:rPr>
        <w:t>.</w:t>
      </w:r>
      <w:bookmarkStart w:id="395" w:name="pg2359_23444"/>
    </w:p>
    <w:p>
      <w:pPr>
        <w:pStyle w:val="Heading5"/>
        <w:numPr>
          <w:ilvl w:val="4"/>
          <w:numId w:val="1"/>
        </w:numPr>
        <w:rPr/>
      </w:pPr>
      <w:bookmarkStart w:id="396" w:name="__RefHeading___Toc2770479_3804643083"/>
      <w:bookmarkStart w:id="397" w:name="_Toc150"/>
      <w:bookmarkEnd w:id="395"/>
      <w:bookmarkEnd w:id="396"/>
      <w:r>
        <w:rPr>
          <w:rtl w:val="true"/>
        </w:rPr>
        <w:t>آيا جواز غيبت متجاهر به فسق، مشروط به غرض صحيح است؟</w:t>
      </w:r>
      <w:bookmarkEnd w:id="397"/>
    </w:p>
    <w:p>
      <w:pPr>
        <w:pStyle w:val="BookText"/>
        <w:rPr/>
      </w:pPr>
      <w:r>
        <w:rPr>
          <w:rFonts w:ascii="IRNazanin" w:hAnsi="IRNazanin" w:eastAsia="IRNazanin"/>
          <w:color w:val="111111"/>
          <w:sz w:val="28"/>
          <w:sz w:val="28"/>
          <w:szCs w:val="28"/>
          <w:rtl w:val="true"/>
          <w:lang w:bidi="fa-IR"/>
        </w:rPr>
        <w:t>جناب شيخ فرعي را مطرح مي‌فرمايد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گفتيم غيبت متجاهر به فسق جايز است، آيا ـ چنان‌كه بعضي قائلند ـ فقط جايي غيبت متجاهر به فسق جايز است كه غرض صحيحي بر غيبت مترتّب باشد؟ مثلاً غرض از غيبت اين باشد كه شخص متجاهر به فسق از كار قبيحش مرتدع شود يا مردم به او اعتماد نكنند، يا اين‌كه بدون غرض صحيح هم غيبت متجاهر به فسق جايز است؟</w:t>
      </w:r>
    </w:p>
    <w:p>
      <w:pPr>
        <w:pStyle w:val="BookText"/>
        <w:rPr/>
      </w:pPr>
      <w:r>
        <w:rPr>
          <w:rFonts w:ascii="Amiri" w:hAnsi="Amiri" w:eastAsia="Amiri" w:cs="Amiri"/>
          <w:color w:val="111111"/>
          <w:sz w:val="28"/>
          <w:sz w:val="28"/>
          <w:szCs w:val="28"/>
          <w:rtl w:val="true"/>
          <w:lang w:bidi="ar-SA"/>
        </w:rPr>
        <w:t>جناب 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مقتضاي اطلاق روايات، جواز غيبت متجاهر به فسق است حتّي بدون قصد صحيح</w:t>
      </w:r>
      <w:r>
        <w:rPr>
          <w:rStyle w:val="FootnoteAnchor"/>
          <w:rtl w:val="true"/>
        </w:rPr>
        <w:footnoteReference w:id="2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درست مي‌فرمايد، البته اگر روايات تام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از آن‌ها اطلاق داشت كه غيبت متجاهر به فسق جايز است هرچند قصد غرض صحيحي هم در كار نباشد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طبق مبناي عدم تماميّت مقتضي براي حرمت غيبت متجاهر به فسق نيز اصلاً نسبت به شخص متجاهر، مصداق غيبت محقّق نمي‌شود؛ يعني ثابت نيست كه اين مورد،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غرض صحيحي باشد چه نباشد فرقي نمي‌كند و حرام نيست</w:t>
      </w:r>
      <w:r>
        <w:rPr>
          <w:rFonts w:eastAsia="IRNazanin" w:cs="IRNazanin"/>
          <w:color w:val="111111"/>
          <w:sz w:val="28"/>
          <w:szCs w:val="28"/>
          <w:rtl w:val="true"/>
          <w:lang w:bidi="fa-IR"/>
        </w:rPr>
        <w:t>.</w:t>
      </w:r>
      <w:bookmarkStart w:id="398" w:name="pg2359_23445"/>
    </w:p>
    <w:p>
      <w:pPr>
        <w:pStyle w:val="Heading5"/>
        <w:numPr>
          <w:ilvl w:val="4"/>
          <w:numId w:val="1"/>
        </w:numPr>
        <w:rPr/>
      </w:pPr>
      <w:bookmarkStart w:id="399" w:name="__RefHeading___Toc2770481_3804643083"/>
      <w:bookmarkStart w:id="400" w:name="_Toc151"/>
      <w:bookmarkEnd w:id="398"/>
      <w:bookmarkEnd w:id="399"/>
      <w:r>
        <w:rPr>
          <w:rtl w:val="true"/>
        </w:rPr>
        <w:t>آيا غيبت متجاهر در غير موردي كه تجاهر به آن دارد، جايز است؟</w:t>
      </w:r>
      <w:bookmarkEnd w:id="400"/>
    </w:p>
    <w:p>
      <w:pPr>
        <w:pStyle w:val="BookText"/>
        <w:rPr/>
      </w:pPr>
      <w:r>
        <w:rPr>
          <w:rFonts w:ascii="IRNazanin" w:hAnsi="IRNazanin" w:eastAsia="IRNazanin"/>
          <w:color w:val="111111"/>
          <w:sz w:val="28"/>
          <w:sz w:val="28"/>
          <w:szCs w:val="28"/>
          <w:rtl w:val="true"/>
          <w:lang w:bidi="fa-IR"/>
        </w:rPr>
        <w:t>جناب شيخ فرع ديگري را مطرح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غيبت متجاهر به فسق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ما تجاهر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است؟ بر فرض، زني سر برهنه و بدون حجاب وارد خيابان مي‌شود، دروغگو و تاركة الصلاة هم هست، ولي كسي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دروغگويي و ترك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اطلاعي ندارد و فقط سربرهنگي او علني است و همه مي‌بينند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 مي‌تواند در غياب او به ديگران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زن، هم سربرهنه و بي‌حجاب است، هم دروغگوست و هم تارك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بحث، دو مبنا و به تبع آن دو فتوا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مانند شهيد ثاني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غيبت، مقصور به همان گناهي كه تجاهر به آن شده مي‌باشد و در غير آن، غيبت فرد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عدّه‌اي جواز غيبتِ شخص متجاهر به فسق را اعمّ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تجاهر به و غير ما تجاهر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مسأله بر طبق مبنايي كه انتخاب مي‌شود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مبناي ما در اين بحث، اخباري باشد كه به عنوان سندِ استثنا ذكر شد، اطلاق بعض از آن روايات، مفيد اين معنا است كه شخص متجاهر به فسق اصلاً حرمتي ندارد، بنابراين مي‌توان بقيّه‌ي گناهانش را هم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تهمت او جايز نيست، امّا ذكر گناهان ديگرش مانعي ندارد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اگر ادلّه‌ي استثنا را ناتمام دانستيم بايد ببينيم موضوع غيبت</w:t>
      </w:r>
      <w:bookmarkStart w:id="401" w:name="pg2359_23446"/>
    </w:p>
    <w:p>
      <w:pPr>
        <w:pStyle w:val="BookText"/>
        <w:rPr/>
      </w:pPr>
      <w:bookmarkEnd w:id="401"/>
      <w:r>
        <w:rPr>
          <w:rFonts w:ascii="IRNazanin" w:hAnsi="IRNazanin" w:eastAsia="IRNazanin"/>
          <w:color w:val="111111"/>
          <w:sz w:val="28"/>
          <w:sz w:val="28"/>
          <w:szCs w:val="28"/>
          <w:rtl w:val="true"/>
          <w:lang w:bidi="fa-IR"/>
        </w:rPr>
        <w:t xml:space="preserve">چيست و حدِّ غيبت چه مقدار است؟ مبناي انتخابي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ابراز امر مستور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زني علاوه بر بي‌حجابي، دروغ هم مي‌گويد و علي الفرض، دروغگويي او مستور است، به چه دليل بر فرض عدم تماميّت ادلّه‌ي استثنا غيبتش به دروغگويي جايز باشد؟ بلكه اين مورد، مصداق غيبت و حرام است؛ چون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402" w:name="__RefHeading___Toc2770483_3804643083"/>
      <w:bookmarkStart w:id="403" w:name="_Toc152"/>
      <w:bookmarkEnd w:id="402"/>
      <w:r>
        <w:rPr>
          <w:rtl w:val="true"/>
        </w:rPr>
        <w:t xml:space="preserve">آيا غيبت گناهانِ </w:t>
      </w:r>
      <w:r>
        <w:rPr>
          <w:rtl w:val="true"/>
        </w:rPr>
        <w:t>«</w:t>
      </w:r>
      <w:r>
        <w:rPr>
          <w:rtl w:val="true"/>
        </w:rPr>
        <w:t>دون ما تجاهر به</w:t>
      </w:r>
      <w:r>
        <w:rPr>
          <w:rtl w:val="true"/>
        </w:rPr>
        <w:t xml:space="preserve">» </w:t>
      </w:r>
      <w:r>
        <w:rPr>
          <w:rtl w:val="true"/>
        </w:rPr>
        <w:t>بالاولويه جايز است؟</w:t>
      </w:r>
      <w:bookmarkEnd w:id="403"/>
    </w:p>
    <w:p>
      <w:pPr>
        <w:pStyle w:val="Heading6"/>
        <w:numPr>
          <w:ilvl w:val="5"/>
          <w:numId w:val="1"/>
        </w:numPr>
        <w:rPr/>
      </w:pPr>
      <w:bookmarkStart w:id="404" w:name="__RefHeading___Toc2770485_3804643083"/>
      <w:bookmarkStart w:id="405" w:name="_Toc153"/>
      <w:bookmarkEnd w:id="404"/>
      <w:r>
        <w:rPr>
          <w:rtl w:val="true"/>
        </w:rPr>
        <w:t>اشاره</w:t>
      </w:r>
      <w:bookmarkEnd w:id="405"/>
    </w:p>
    <w:p>
      <w:pPr>
        <w:pStyle w:val="BookText"/>
        <w:rPr/>
      </w:pPr>
      <w:r>
        <w:rPr>
          <w:rFonts w:ascii="Amiri" w:hAnsi="Amiri" w:eastAsia="Amiri" w:cs="Amiri"/>
          <w:color w:val="111111"/>
          <w:sz w:val="28"/>
          <w:sz w:val="28"/>
          <w:szCs w:val="28"/>
          <w:rtl w:val="true"/>
          <w:lang w:bidi="ar-SA"/>
        </w:rPr>
        <w:t>مرحوم شيخ در ادامه‌ي بحث غيبت متجاهر به فسق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إلحاق ما يتستّر به بما يتجاهر فيه إذا كان دونه في القبح فمن تجاهر باللواط ـ العياذ بالله ـ جاز اغتيابه بالتعرض للنساء الأجنبيات و من تجاهر بقطع الطرق جاز اغتيابه بالسرقة و من تجاهر بكونه جلاد السلطان يقتل الناس و ينكلهم جاز اغتيابه بشرب الخمر و من تجاهر بالقبائح المعروفة جاز اغتيابه بكل قبيح و لعل هذا هو المراد بمن ألقى جلباب الحياء لا من تجاهر بمعصية خاصة و عد مستورا بالنسبة إلى غيرها كبعض عمال الظلمة</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گناهي آسان‌تر و از حيث ملاك، پايين‌تر از</w:t>
      </w:r>
    </w:p>
    <w:p>
      <w:pPr>
        <w:pStyle w:val="BookText"/>
        <w:rPr/>
      </w:pPr>
      <w:r>
        <w:rPr>
          <w:rFonts w:ascii="IRNazanin" w:hAnsi="IRNazanin" w:eastAsia="IRNazanin"/>
          <w:color w:val="111111"/>
          <w:sz w:val="28"/>
          <w:sz w:val="28"/>
          <w:szCs w:val="28"/>
          <w:rtl w:val="true"/>
          <w:lang w:bidi="fa-IR"/>
        </w:rPr>
        <w:t>گناهي باشد كه متجاهر به فسق، آن را ابراز مي‌كند و مستور باشد، مي‌توان آن گناه مخفي را درباره‌ي شخص متجاهر ذكر كرد و اين غيبتِ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مقصود شيخ اين است كه گاهي شخص متجاهر به فسق، گناهان مستوري هم دارد ولي گناه مستورش اعظم از گناه آشكارش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چشم‌چران است و ـ نعوذ بالله ـ زناكار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چشم‌چراني او آشكار است ولي زناكاري‌اش مستور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 شيخ در اين مورد حرفي ندارد كه ذكر زناكاري او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قضيه عكس اين حالت بود؛ يعني ـ نعوذ بالله ـ زناكار علني بود و ابايي از شناخته شدن به اين عمل نداشت و از طرف ديگر چشم‌چران هم بود، شيخ مي‌فرمايد هرچند گناه چشم‌چراني او مخفي باشد، ولي چون از گناه علني پايين‌تر است غيبتش جايز است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مثال‌هاي متعدّدي ذكر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كسي جلاد شاه بود كه رسماً آدم مي‌كُشد و ابايي هم از آشكار شدن مسأله ندارد، علاوه بر اين شراب‌خوار هم هست ولي مخفيانه شراب مي‌خورد، شيخ مي‌فرمايد مانعي ندارد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كه جلاد است شراب‌خوار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انگار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فتوايي را كه در بحث غيبت متجاهر به فسق انتخاب كنيد بايد ملتزم به اين مسأله باشيد</w:t>
      </w:r>
      <w:r>
        <w:rPr>
          <w:rFonts w:eastAsia="IRNazanin" w:cs="IRNazanin"/>
          <w:color w:val="111111"/>
          <w:sz w:val="28"/>
          <w:szCs w:val="28"/>
          <w:rtl w:val="true"/>
          <w:lang w:bidi="fa-IR"/>
        </w:rPr>
        <w:t>.</w:t>
      </w:r>
      <w:bookmarkStart w:id="406" w:name="pg2359_23448"/>
    </w:p>
    <w:p>
      <w:pPr>
        <w:pStyle w:val="Heading6"/>
        <w:numPr>
          <w:ilvl w:val="5"/>
          <w:numId w:val="1"/>
        </w:numPr>
        <w:rPr/>
      </w:pPr>
      <w:bookmarkStart w:id="407" w:name="__RefHeading___Toc2770487_3804643083"/>
      <w:bookmarkStart w:id="408" w:name="_Toc154"/>
      <w:bookmarkEnd w:id="406"/>
      <w:bookmarkEnd w:id="407"/>
      <w:r>
        <w:rPr>
          <w:rtl w:val="true"/>
        </w:rPr>
        <w:t>نقد و بررسي فتواي شيخ</w:t>
      </w:r>
      <w:r>
        <w:rPr>
          <w:rtl w:val="true"/>
        </w:rPr>
        <w:t xml:space="preserve">- </w:t>
      </w:r>
      <w:r>
        <w:rPr>
          <w:rtl w:val="true"/>
        </w:rPr>
        <w:t xml:space="preserve">قدس سره </w:t>
      </w:r>
      <w:r>
        <w:rPr>
          <w:rtl w:val="true"/>
        </w:rPr>
        <w:t xml:space="preserve">- </w:t>
      </w:r>
      <w:r>
        <w:rPr>
          <w:rtl w:val="true"/>
        </w:rPr>
        <w:t xml:space="preserve">در جواز غيبت </w:t>
      </w:r>
      <w:r>
        <w:rPr>
          <w:rtl w:val="true"/>
        </w:rPr>
        <w:t>«</w:t>
      </w:r>
      <w:r>
        <w:rPr>
          <w:rtl w:val="true"/>
        </w:rPr>
        <w:t>دون ما تجاهر به</w:t>
      </w:r>
      <w:r>
        <w:rPr>
          <w:rtl w:val="true"/>
        </w:rPr>
        <w:t>»</w:t>
      </w:r>
      <w:bookmarkEnd w:id="408"/>
    </w:p>
    <w:p>
      <w:pPr>
        <w:pStyle w:val="BookText"/>
        <w:rPr/>
      </w:pPr>
      <w:r>
        <w:rPr>
          <w:rFonts w:ascii="IRNazanin" w:hAnsi="IRNazanin" w:eastAsia="IRNazanin"/>
          <w:color w:val="111111"/>
          <w:sz w:val="28"/>
          <w:sz w:val="28"/>
          <w:szCs w:val="28"/>
          <w:rtl w:val="true"/>
          <w:lang w:bidi="fa-IR"/>
        </w:rPr>
        <w:t>پذيرش اين حرف مرحوم شيخ، به اطلاقش مشكل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گناه جهريِ شخص متجاهر به گونه‌اي است كه گناه پايين‌تر كه مستور است از مقدّمات آن گناه بزرگ است و معلوم است كه براي انجام گناه بزرگ، اين گناه را هم انجام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كه زناكار است معلوم است كه نگاه به نامحرم هم مي‌كند يا كسي كه مرتكب گناه بزرگي مثل كشتن انسان بي‌گناه مي‌شود معلوم است كه از انجام گناهان كوچك‌تر إبايي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اين‌گونه باشد و معلوم بود كه ذكر گناهان كوچك او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پس مانعي ندارد؛ چون اصلاً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فرمايش شيخ متين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اولويتي بين دو گناهِ آشكار و مستور نباشد و واقعاً بالاولويه معلوم نباشد كه مرتكب گناه علني، فلان گناه مستور را هم انجام مي‌دهد و گناه مستور از مقدّمات يا ملازمات گناه آشكار نباشد بلكه هر كدام يك گناه جداگانه بود، بنا به عدم تماميّت ادلّه‌ي استثنا ديگر نمي‌توان گفت غيبتِ گناه مستور جايز است، هرچند گناه مستور أهمّيت كمتري نسبت به گناه آشكار داشته باشد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زني كه بدون حجاب در منظر ديگران حاضر مي‌شود يا حتّي با نامحرم دست 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مصافحه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گناه بزرگي است و از سوي ديگر گناه كوچك تري هم دارد، بر فرض دروغ هم مي‌گويد ولي دروغگويي خود را مي‌پوشاند، اگر كسي بگويد</w:t>
      </w:r>
      <w:bookmarkStart w:id="409" w:name="pg2359_23449"/>
    </w:p>
    <w:p>
      <w:pPr>
        <w:pStyle w:val="BookText"/>
        <w:rPr/>
      </w:pPr>
      <w:bookmarkEnd w:id="409"/>
      <w:r>
        <w:rPr>
          <w:rFonts w:ascii="IRNazanin" w:hAnsi="IRNazanin" w:eastAsia="IRNazanin"/>
          <w:color w:val="111111"/>
          <w:sz w:val="28"/>
          <w:sz w:val="28"/>
          <w:szCs w:val="28"/>
          <w:rtl w:val="true"/>
          <w:lang w:bidi="fa-IR"/>
        </w:rPr>
        <w:t xml:space="preserve">اين زن دروغگوست،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 و ادلّه‌ي حرمت غيبت شامل اين مورد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 فرضِ اين‌كه ادلّه‌ي استثنا را تمام ندانيم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بنابر اين مبنا فقط گناهاني كه اجهار به آن دارد و آن‌ها كه بالاولويه معلوم است و گناهاني كه ملازم يا در طريق گناه بزرگ‌تر باشد، غيبت آن‌ها جايز است و غيبتِ مابقي اگر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حرام است</w:t>
      </w:r>
      <w:r>
        <w:rPr>
          <w:rFonts w:eastAsia="IRNazanin" w:cs="IRNazanin"/>
          <w:color w:val="111111"/>
          <w:sz w:val="28"/>
          <w:szCs w:val="28"/>
          <w:rtl w:val="true"/>
          <w:lang w:bidi="fa-IR"/>
        </w:rPr>
        <w:t>.</w:t>
      </w:r>
    </w:p>
    <w:p>
      <w:pPr>
        <w:pStyle w:val="Heading5"/>
        <w:numPr>
          <w:ilvl w:val="4"/>
          <w:numId w:val="1"/>
        </w:numPr>
        <w:rPr/>
      </w:pPr>
      <w:bookmarkStart w:id="410" w:name="__RefHeading___Toc2770489_3804643083"/>
      <w:bookmarkStart w:id="411" w:name="_Toc155"/>
      <w:bookmarkEnd w:id="410"/>
      <w:r>
        <w:rPr>
          <w:rtl w:val="true"/>
        </w:rPr>
        <w:t>سخن مرحوم شيخ</w:t>
      </w:r>
      <w:r>
        <w:rPr>
          <w:rtl w:val="true"/>
        </w:rPr>
        <w:t xml:space="preserve">- </w:t>
      </w:r>
      <w:r>
        <w:rPr>
          <w:rtl w:val="true"/>
        </w:rPr>
        <w:t xml:space="preserve">قدس سره </w:t>
      </w:r>
      <w:r>
        <w:rPr>
          <w:rtl w:val="true"/>
        </w:rPr>
        <w:t xml:space="preserve">- </w:t>
      </w:r>
      <w:r>
        <w:rPr>
          <w:rtl w:val="true"/>
        </w:rPr>
        <w:t>در غيبت مرتكبين قبايح معروفه</w:t>
      </w:r>
      <w:bookmarkEnd w:id="411"/>
    </w:p>
    <w:p>
      <w:pPr>
        <w:pStyle w:val="Heading6"/>
        <w:numPr>
          <w:ilvl w:val="5"/>
          <w:numId w:val="1"/>
        </w:numPr>
        <w:rPr/>
      </w:pPr>
      <w:bookmarkStart w:id="412" w:name="__RefHeading___Toc2770491_3804643083"/>
      <w:bookmarkStart w:id="413" w:name="_Toc156"/>
      <w:bookmarkEnd w:id="412"/>
      <w:r>
        <w:rPr>
          <w:rtl w:val="true"/>
        </w:rPr>
        <w:t>اشاره</w:t>
      </w:r>
      <w:bookmarkEnd w:id="413"/>
    </w:p>
    <w:p>
      <w:pPr>
        <w:pStyle w:val="BookText"/>
        <w:rPr/>
      </w:pPr>
      <w:r>
        <w:rPr>
          <w:rFonts w:ascii="Amiri" w:hAnsi="Amiri" w:eastAsia="Amiri" w:cs="Amiri"/>
          <w:color w:val="111111"/>
          <w:sz w:val="28"/>
          <w:sz w:val="28"/>
          <w:szCs w:val="28"/>
          <w:rtl w:val="true"/>
          <w:lang w:bidi="ar-SA"/>
        </w:rPr>
        <w:t>شيخ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تجاهر بالقبائح المعروفة، جاز اغتيابه بكل قبيح</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معياري كه ارائه شد مبني بر جواز غيبت در مورد گناهان پايين‌تر، نسبت به مرتكبين گناهان بزرگ‌تر صحيح باشد، پس مي‌توان قاعده‌اي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كه آشكارا مرتكب قبايح معروفه مانند زنا، لواط، مساحقه و امثال اين قبايح شود، در هر قبيحي غيبت او جايز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لعل هذا هو المراد بمن ألقى جلباب الحياء لا من تجاهر بمعصية خاصة و عدّ مستورا بالنسبة إلى غيرها كبعض عمّال الظلمة</w:t>
      </w:r>
      <w:r>
        <w:rPr>
          <w:rStyle w:val="FootnoteAnchor"/>
          <w:rtl w:val="true"/>
        </w:rPr>
        <w:footnoteReference w:id="2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بعيد نيست مراد از رواياتي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جلباب حيا را انداخته باشد هيچ حرمتي براي او نيست،</w:t>
      </w:r>
      <w:bookmarkStart w:id="414" w:name="pg2359_23450"/>
    </w:p>
    <w:p>
      <w:pPr>
        <w:pStyle w:val="BookText"/>
        <w:rPr/>
      </w:pPr>
      <w:bookmarkEnd w:id="414"/>
      <w:r>
        <w:rPr>
          <w:rFonts w:ascii="IRNazanin" w:hAnsi="IRNazanin" w:eastAsia="IRNazanin"/>
          <w:color w:val="111111"/>
          <w:sz w:val="28"/>
          <w:sz w:val="28"/>
          <w:szCs w:val="28"/>
          <w:rtl w:val="true"/>
          <w:lang w:bidi="fa-IR"/>
        </w:rPr>
        <w:t xml:space="preserve">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مرتكبين قبايح معروفه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مقصود از انداختن جلباب حيا اين نيست كه كسي زماني گناه خاصّي را انجام داده باشد، بلكه يعني آشكارا مرتكب قبايح معروفه باشد؛ يعني كسي كه بي‌حيا است و از انجام گناهان ابايي ندارد</w:t>
      </w:r>
      <w:r>
        <w:rPr>
          <w:rFonts w:eastAsia="IRNazanin" w:cs="IRNazanin"/>
          <w:color w:val="111111"/>
          <w:sz w:val="28"/>
          <w:szCs w:val="28"/>
          <w:rtl w:val="true"/>
          <w:lang w:bidi="fa-IR"/>
        </w:rPr>
        <w:t>.</w:t>
      </w:r>
    </w:p>
    <w:p>
      <w:pPr>
        <w:pStyle w:val="Heading6"/>
        <w:numPr>
          <w:ilvl w:val="5"/>
          <w:numId w:val="1"/>
        </w:numPr>
        <w:rPr/>
      </w:pPr>
      <w:bookmarkStart w:id="415" w:name="__RefHeading___Toc2770493_3804643083"/>
      <w:bookmarkStart w:id="416" w:name="_Toc157"/>
      <w:bookmarkEnd w:id="415"/>
      <w:r>
        <w:rPr>
          <w:rtl w:val="true"/>
        </w:rPr>
        <w:t>مناقشه در ديدگاه شيخ</w:t>
      </w:r>
      <w:r>
        <w:rPr>
          <w:rtl w:val="true"/>
        </w:rPr>
        <w:t xml:space="preserve">- </w:t>
      </w:r>
      <w:r>
        <w:rPr>
          <w:rtl w:val="true"/>
        </w:rPr>
        <w:t xml:space="preserve">قدس سره </w:t>
      </w:r>
      <w:r>
        <w:rPr>
          <w:rtl w:val="true"/>
        </w:rPr>
        <w:t>-</w:t>
      </w:r>
      <w:bookmarkEnd w:id="416"/>
    </w:p>
    <w:p>
      <w:pPr>
        <w:pStyle w:val="BookText"/>
        <w:rPr/>
      </w:pPr>
      <w:r>
        <w:rPr>
          <w:rFonts w:ascii="Amiri" w:hAnsi="Amiri" w:eastAsia="Amiri" w:cs="Amiri"/>
          <w:color w:val="111111"/>
          <w:sz w:val="28"/>
          <w:sz w:val="28"/>
          <w:szCs w:val="28"/>
          <w:rtl w:val="true"/>
          <w:lang w:bidi="ar-SA"/>
        </w:rPr>
        <w:t xml:space="preserve">بر طبق مبناي عدم تماميّت ادلّه‌ي استثنا و اين‌كه 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غيبت مجاهر به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نباشد، قاعده‌اي كه جناب شيخ مي‌فرمايد، صحيح نيست</w:t>
      </w:r>
      <w:r>
        <w:rPr>
          <w:rFonts w:eastAsia="Amiri" w:cs="Amiri" w:ascii="Amiri" w:hAnsi="Amiri"/>
          <w:color w:val="111111"/>
          <w:sz w:val="28"/>
          <w:szCs w:val="28"/>
          <w:rtl w:val="true"/>
          <w:lang w:bidi="ar-SA"/>
        </w:rPr>
        <w:t>.</w:t>
      </w:r>
    </w:p>
    <w:p>
      <w:pPr>
        <w:pStyle w:val="Heading5"/>
        <w:numPr>
          <w:ilvl w:val="4"/>
          <w:numId w:val="1"/>
        </w:numPr>
        <w:rPr/>
      </w:pPr>
      <w:bookmarkStart w:id="417" w:name="__RefHeading___Toc2770495_3804643083"/>
      <w:bookmarkStart w:id="418" w:name="_Toc158"/>
      <w:bookmarkEnd w:id="417"/>
      <w:r>
        <w:rPr>
          <w:rtl w:val="true"/>
        </w:rPr>
        <w:t>حكم غيبت كسي كه در مكاني متجاهر و در مكان ديگر متستّر است، براي اهل مكان تستّر؟</w:t>
      </w:r>
      <w:bookmarkEnd w:id="418"/>
    </w:p>
    <w:p>
      <w:pPr>
        <w:pStyle w:val="BookText"/>
        <w:rPr/>
      </w:pPr>
      <w:r>
        <w:rPr>
          <w:rFonts w:ascii="IRNazanin" w:hAnsi="IRNazanin" w:eastAsia="IRNazanin"/>
          <w:color w:val="111111"/>
          <w:sz w:val="28"/>
          <w:sz w:val="28"/>
          <w:szCs w:val="28"/>
          <w:rtl w:val="true"/>
          <w:lang w:bidi="fa-IR"/>
        </w:rPr>
        <w:t>برخي به اصطلاح، دو زيست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برخي خانم‌ها وقتي به شهر و ديار خودشان مي‌رسند حجاب دارند، ولي وقتي به جاي ديگري مثل اروپا يا حتّي تهران مي‌روند حجاب را كنار مي‌گذارند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اجهار به گناه كرده و در جاي ديگر، تستّر به گناه دارند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جناب شيخ براي اين فرض، دو وجه را مورد اشاره قرار داده و يكي را ارجح مي شمارد</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رواياتي كه مي‌فرمود متجاهر به فسق حرمت ندارد، شامل اين مورد هم مي‌شود؛ زيرا معناي تجاهر به فسق اين نيست كه همه‌ي افراد بفهمند، بلكه به معناي آن است كه صدق كند كه اين گناه،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گناه آشكار، گناهي است كه علي الاطلاق آشكار است نه در جاي خاصّي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محيطي كه هست و زندگي مي‌كند آشكار باشد امّا در مكان ديگر، گناهش پنهان بود، ديگر مصداق متجاهر نبوده و غيبتش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و بررسي هر دو وجه</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ما ادلّه‌ي روايي را تام بدانيم بعيد نيست كه بتوانيم از بعضي ادلّه استفاده كنيم همين اندازه كه تستّر ندارد و في‌الجمله گناهش آشكار مي‌شود كافي است در اين‌كه غيبتش جايز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ادلّه را از حيث سند يا دلالت تام ندانستيم، به ناچار بايد بر طبق قاعده محاسبه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اگر در محيطي كه رعايت مي‌كند و آشكارا گناه نمي‌كند ذكر گناه او موجب ريختن آبرويش شود، بعيد نيست مصداق غيبتِ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اطمينان نمي‌گوييم، ولي أقرب به ذهن و اظهر اين است كه غيبت صدق مي‌كند؛ زيرا به هر حال، غيبت كننده چيزي را كه مستور بوده است آشكار كرده، در نتيجه حرمتي كه پيش ديگران داشته ضايع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طبق اين مبنا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الاحوط وجوباً غيبت چنين افرادي جايز نيست، البته به شرط اين‌كه غيبت موجب آبروريزي و رسوايي شخص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به نوعي در متجاهر به فسق هم وجود دارد؛ مثلاً وقتي زني در محلّه‌ي خودش بي‌حجاب باشد ولي در محلّه‌ي ديگر اصلاً او را نديده باشند، پس ذكر بي‌حجابي او در محلّه‌ي دوم بايد مصداق غيبت باشد، در حالي‌كه اين‌چنين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اين‌گونه نيست؛ به خاطر اين‌كه وقتي مي‌گوييم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اظهار عيب آشكار غيبت نيست، نه به اين معنا كه بر همه آشكار باشد حتّي كساني كه او را نديده‌اند، بلكه ـ به تناسب حكم و موضوع و ذوق عرفي و استظهار عرفي ـ بدين معناست كه آن عيب، شأناً براي همه آشكار است؛ يعني كساني كه در معرض ديدن بودند آن عيب را مشاهده كردند، ديگران هم اگر در معرض قرار بگيرند اين عيب را مي‌بينند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تعبير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متجاهر به فسق به فلان مكان نرفته است، ولي اگر مي‌خواست به آن مكان برود از اين‌كه در آن‌جا هم آشكارا مرتكب گناه شود إبايي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هم از گناه در آن محل إبا داشته باشد، ولي به نحوي است كه عادتاً ممكن است اتفاق افتد كه كسي از جاي ديگر هم او را در مكان اوّل در حال ارتكاب گناه به  طور آشكار ببيند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مسأله‌ي اجهار در مكاني و تستّر در مكان ديگر، اين‌گونه نيست؛ زيرا شخص، يك نوع تستّري نسبت به مردم دارد كه اگر</w:t>
      </w:r>
      <w:bookmarkStart w:id="419" w:name="pg2359_23453"/>
    </w:p>
    <w:p>
      <w:pPr>
        <w:pStyle w:val="BookText"/>
        <w:rPr/>
      </w:pPr>
      <w:bookmarkEnd w:id="419"/>
      <w:r>
        <w:rPr>
          <w:rFonts w:ascii="IRNazanin" w:hAnsi="IRNazanin" w:eastAsia="IRNazanin"/>
          <w:color w:val="111111"/>
          <w:sz w:val="28"/>
          <w:sz w:val="28"/>
          <w:szCs w:val="28"/>
          <w:rtl w:val="true"/>
          <w:lang w:bidi="fa-IR"/>
        </w:rPr>
        <w:t>كسي گناهش را در مكان تستّرش ذكر كند او را رسوا كرده است، ولي در متجاهر به فسق اگر كسي گناهش را نزد ديگران گفت، او رسوايش نكرده، بلكه متجاهر به گناه، خودش نفس خود را رسوا كرده است و در حقيقت معناي تستّر آن است كه شخص به گونه‌اي رفتار كند كه نوع افرادي كه با او معاشرت دارند متوجّه گناه او نشوند، نه اين‌كه هيچ كس متوجّه نشود</w:t>
      </w:r>
      <w:r>
        <w:rPr>
          <w:rFonts w:eastAsia="IRNazanin" w:cs="IRNazanin"/>
          <w:color w:val="111111"/>
          <w:sz w:val="28"/>
          <w:szCs w:val="28"/>
          <w:rtl w:val="true"/>
          <w:lang w:bidi="fa-IR"/>
        </w:rPr>
        <w:t>.</w:t>
      </w:r>
    </w:p>
    <w:p>
      <w:pPr>
        <w:pStyle w:val="Heading5"/>
        <w:numPr>
          <w:ilvl w:val="4"/>
          <w:numId w:val="1"/>
        </w:numPr>
        <w:rPr/>
      </w:pPr>
      <w:bookmarkStart w:id="420" w:name="__RefHeading___Toc2770497_3804643083"/>
      <w:bookmarkStart w:id="421" w:name="_Toc159"/>
      <w:bookmarkEnd w:id="420"/>
      <w:r>
        <w:rPr>
          <w:rtl w:val="true"/>
        </w:rPr>
        <w:t>تحقّق تجاهر از منظر مرحوم شيخ</w:t>
      </w:r>
      <w:r>
        <w:rPr>
          <w:rtl w:val="true"/>
        </w:rPr>
        <w:t xml:space="preserve">- </w:t>
      </w:r>
      <w:r>
        <w:rPr>
          <w:rtl w:val="true"/>
        </w:rPr>
        <w:t xml:space="preserve">قدس سره </w:t>
      </w:r>
      <w:r>
        <w:rPr>
          <w:rtl w:val="true"/>
        </w:rPr>
        <w:t xml:space="preserve">- </w:t>
      </w:r>
      <w:r>
        <w:rPr>
          <w:rtl w:val="true"/>
        </w:rPr>
        <w:t>در صورت عدم ارائه‌ي محملي براي فسق</w:t>
      </w:r>
      <w:bookmarkEnd w:id="421"/>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متجاهر به قبيح كسي است كه تجاهر به فعل قبيح مي‌كند بدون اين‌كه براي عمل قبيح خود محملي اظهار كند كه مسوّغ انجام آن قبيح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محمل ظاهرالفساد باشد باز متجاهر است</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از عمّال ظلمه است و همه مي‌دانند كه چنين كاري حرام است، ولي استثنائاتي هم دارد؛ مثلاً اگر كسي براي حفظ دماء مسلمين يا براي حفظ جان خود كه در معرض خطر است مشغول چنين كاري شود كارش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كسي كه از عمّال ظلمه است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به خاطر يكي از آن اغراض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برخي بدانند كه</w:t>
      </w:r>
    </w:p>
    <w:p>
      <w:pPr>
        <w:pStyle w:val="BookText"/>
        <w:rPr/>
      </w:pPr>
      <w:r>
        <w:rPr>
          <w:rFonts w:ascii="IRNazanin" w:hAnsi="IRNazanin" w:eastAsia="IRNazanin"/>
          <w:color w:val="111111"/>
          <w:sz w:val="28"/>
          <w:sz w:val="28"/>
          <w:szCs w:val="28"/>
          <w:rtl w:val="true"/>
          <w:lang w:bidi="fa-IR"/>
        </w:rPr>
        <w:t xml:space="preserve">دروغ مي‌گويد و براي جاه طلبي چنين كاري را انجام مي‌دهد، ولي كسي نمي‌تواند بگويد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وجه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كاري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فلاني عامل ظلمه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گونه اي كه تنقيص فقط مربوط به خود ظلمه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 بودن او واضح و آشكار است، ولي نمي‌توان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كار حرام را انجام مي‌دهد؛ چون حرمتش معلوم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مثالي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شراب مي‌خورد و هيچ عذري هم اعلام نمي‌كند، متجاهر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گاهي كسي شراب مي‌خورد، علني هم مرتكب اين عمل مي‌شود ولي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بيماريي دارم كه جز شراب، دوايي ندارد يا كسي گوشت حرامي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گوشت 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مي‌خورد ولي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بيماري من، دارويي جز اين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غيبت متجاهر به فسق را جايز مي‌دانيم، متجاهري كه براي گناهش عذري اعلام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عذرش واقعي و چه غير واقعي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او جايز نيست؛ زيرا اعلام مي‌كند كه من به نحو حرام انجام نمي‌دهم، هرچند بدانيم دروغ مي‌گويد و براي فرار از آبروريزي چنين بهانه‌اي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اين شخص به عنوان گناه، مخفي است، گرچه به عنوان مثلاً خوردن شراب يا گوشت مار، علني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كسي در مقام غيبتِ او بگويد فلاني آن كار حرام را انجام مي‌دهد، خودش گناه كرده است؛ چون او به عنوان حرمت، اجهار به گناه نمي‌كند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ممكن است اين مورد، داخل در استثنائات ديگر غيبت شود؛ مثلاً تنها راه امر به معروف و نهي از منكر نسبت به او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كلام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بعيد نيست مطلب همان‌گونه باشد كه مرحوم شيخ مي‌فرمايد؛ زيرا اگر ادلّه‌ي خاصّه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القي جلباب الحياء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جواز غيبت متجاهر به فسق باشد، اين شخص جلباب حيا را نيانداخته است، بلكه با زحمت سعي مي‌كند محملي براي گناه خويش بتراشد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اين ادلّه را تمام ندانيم و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بدانيم، اين شخص با عذري كه ابراز مي‌كند در واقع گناهش را مستور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اظهر آن است كه فرمايش مرحوم شيخ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استثنا</w:t>
      </w:r>
    </w:p>
    <w:p>
      <w:pPr>
        <w:pStyle w:val="BookText"/>
        <w:rPr/>
      </w:pPr>
      <w:r>
        <w:rPr>
          <w:rFonts w:ascii="IRNazanin" w:hAnsi="IRNazanin" w:eastAsia="IRNazanin"/>
          <w:color w:val="111111"/>
          <w:sz w:val="28"/>
          <w:sz w:val="28"/>
          <w:szCs w:val="28"/>
          <w:rtl w:val="true"/>
          <w:lang w:bidi="fa-IR"/>
        </w:rPr>
        <w:t>جناب شيخ استثنايي براي مسأله‌ي قبل قائل شده و در آن‌جا غيبت را جايز مي‌شمارد و آن زماني است كه شخص متجاهر به فسق، محملي كه براي عذر كار خويش ارائه مي‌دهد واضح الفساد بوده و كسي آن را نپذيرد</w:t>
      </w:r>
      <w:r>
        <w:rPr>
          <w:rStyle w:val="FootnoteAnchor"/>
          <w:rtl w:val="true"/>
        </w:rPr>
        <w:footnoteReference w:id="2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در زمان طاغوت ساواكي مي‌شد و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ساواكي شدم تا به روحانيون كمك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كسي همراه فتنه‌گران مي‌شد به اين بهانه كه مي‌خواهم كنترلشان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معلوم است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او مي‌شوند و از هزاران نفر مثل او سواري مي‌گيرند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ايشان در استثنا فرموده، صحيح است؛ زيرا اين</w:t>
      </w:r>
      <w:bookmarkStart w:id="422" w:name="pg2359_23456"/>
    </w:p>
    <w:p>
      <w:pPr>
        <w:pStyle w:val="BookText"/>
        <w:rPr/>
      </w:pPr>
      <w:bookmarkEnd w:id="422"/>
      <w:r>
        <w:rPr>
          <w:rFonts w:ascii="Amiri" w:hAnsi="Amiri" w:eastAsia="Amiri" w:cs="Amiri"/>
          <w:color w:val="111111"/>
          <w:sz w:val="28"/>
          <w:sz w:val="28"/>
          <w:szCs w:val="28"/>
          <w:rtl w:val="true"/>
          <w:lang w:bidi="ar-SA"/>
        </w:rPr>
        <w:t xml:space="preserve">موارد، 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به علاوه مشمول ادلّه‌ي استثنا نيز مي‌باشد</w:t>
      </w:r>
      <w:r>
        <w:rPr>
          <w:rFonts w:eastAsia="Amiri" w:cs="Amiri" w:ascii="Amiri" w:hAnsi="Amiri"/>
          <w:color w:val="111111"/>
          <w:sz w:val="28"/>
          <w:szCs w:val="28"/>
          <w:rtl w:val="true"/>
          <w:lang w:bidi="ar-SA"/>
        </w:rPr>
        <w:t>.</w:t>
      </w:r>
    </w:p>
    <w:p>
      <w:pPr>
        <w:pStyle w:val="Heading4"/>
        <w:numPr>
          <w:ilvl w:val="3"/>
          <w:numId w:val="1"/>
        </w:numPr>
        <w:rPr/>
      </w:pPr>
      <w:bookmarkStart w:id="423" w:name="__RefHeading___Toc2770499_3804643083"/>
      <w:bookmarkStart w:id="424" w:name="_Toc160"/>
      <w:bookmarkEnd w:id="423"/>
      <w:r>
        <w:rPr/>
        <w:t>2</w:t>
      </w:r>
      <w:r>
        <w:rPr>
          <w:rtl w:val="true"/>
        </w:rPr>
        <w:t xml:space="preserve">. </w:t>
      </w:r>
      <w:r>
        <w:rPr>
          <w:rtl w:val="true"/>
        </w:rPr>
        <w:t xml:space="preserve">غيبت ظالم در مقام تظلّم </w:t>
      </w:r>
      <w:r>
        <w:rPr>
          <w:rtl w:val="true"/>
        </w:rPr>
        <w:t>(</w:t>
      </w:r>
      <w:r>
        <w:rPr>
          <w:rtl w:val="true"/>
        </w:rPr>
        <w:t>انتصار مظلوم</w:t>
      </w:r>
      <w:r>
        <w:rPr>
          <w:rtl w:val="true"/>
        </w:rPr>
        <w:t>)</w:t>
      </w:r>
      <w:bookmarkEnd w:id="424"/>
    </w:p>
    <w:p>
      <w:pPr>
        <w:pStyle w:val="Heading5"/>
        <w:numPr>
          <w:ilvl w:val="4"/>
          <w:numId w:val="1"/>
        </w:numPr>
        <w:rPr/>
      </w:pPr>
      <w:bookmarkStart w:id="425" w:name="__RefHeading___Toc2770501_3804643083"/>
      <w:bookmarkStart w:id="426" w:name="_Toc161"/>
      <w:bookmarkEnd w:id="425"/>
      <w:r>
        <w:rPr>
          <w:rtl w:val="true"/>
        </w:rPr>
        <w:t>اشاره</w:t>
      </w:r>
      <w:bookmarkEnd w:id="426"/>
    </w:p>
    <w:p>
      <w:pPr>
        <w:pStyle w:val="BookText"/>
        <w:rPr/>
      </w:pPr>
      <w:r>
        <w:rPr>
          <w:rFonts w:ascii="IRNazanin" w:hAnsi="IRNazanin" w:eastAsia="IRNazanin"/>
          <w:color w:val="111111"/>
          <w:sz w:val="28"/>
          <w:sz w:val="28"/>
          <w:szCs w:val="28"/>
          <w:rtl w:val="true"/>
          <w:lang w:bidi="fa-IR"/>
        </w:rPr>
        <w:t>آيا كسي كه مظلوم واقع شد مي‌تواند از ظالم غيبت كند؟ جناب شيخ در ابتداي اين بحث، تعبيري دارد كه نيازمند توضيح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تظلّم المظلوم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تظلّم به معناي دادخواهي باشد ظاهر اين عبارت مي‌رساند كه شيخ از اوّل، بحث را مضيّق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تضييق مورد قبول خودِ شيخ نيست، بلكه مقصود ايشان غيبت مظلوم از ظالم است، خواه به عنوان تظلّم باشد خواه به عناوين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 بود جناب شيخ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مظلوم از ظالمي كه در حقّ او ظلم كرده، جايز است؟</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عامّه و خاصّه، غيبت مظلوم از ظالم را ـ في‌الجمله ـ از مستثنيات غيبت ذكر كرده‌اند، هرچند ظالم، متستّر به ظلمش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شوهري كه در خانه همسرش را مورد اذيّت و آزار قرار مي‌دهد، كارفرمايي كه به كارگرش ظلم مي‌كند و كسي هم از اين ظلم با خبر نيست، اربابي كه به رعيّتش ظلم مي‌كند، در مثل اين موارد، مظلوم مي‌تواند غيبتِ ظالم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حدود و شرايط اين استثنا بايد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عمده‌ي ادلّه‌اي كه براي اين استثنا مطرح شده، سه آيه از آيات قرآن كريم است</w:t>
      </w:r>
      <w:r>
        <w:rPr>
          <w:rFonts w:eastAsia="IRNazanin" w:cs="IRNazanin"/>
          <w:color w:val="111111"/>
          <w:sz w:val="28"/>
          <w:szCs w:val="28"/>
          <w:rtl w:val="true"/>
          <w:lang w:bidi="fa-IR"/>
        </w:rPr>
        <w:t>.</w:t>
      </w:r>
      <w:bookmarkStart w:id="427" w:name="pg2359_23457"/>
    </w:p>
    <w:p>
      <w:pPr>
        <w:pStyle w:val="Heading5"/>
        <w:numPr>
          <w:ilvl w:val="4"/>
          <w:numId w:val="1"/>
        </w:numPr>
        <w:rPr/>
      </w:pPr>
      <w:bookmarkStart w:id="428" w:name="__RefHeading___Toc2770503_3804643083"/>
      <w:bookmarkStart w:id="429" w:name="_Toc162"/>
      <w:bookmarkEnd w:id="427"/>
      <w:bookmarkEnd w:id="428"/>
      <w:r>
        <w:rPr>
          <w:rtl w:val="true"/>
        </w:rPr>
        <w:t>آياتي كه براي جواز غيبت مظلوم از ظالم، به آن استدلال شده است</w:t>
      </w:r>
      <w:bookmarkEnd w:id="429"/>
    </w:p>
    <w:p>
      <w:pPr>
        <w:pStyle w:val="Heading6"/>
        <w:numPr>
          <w:ilvl w:val="5"/>
          <w:numId w:val="1"/>
        </w:numPr>
        <w:rPr/>
      </w:pPr>
      <w:bookmarkStart w:id="430" w:name="__RefHeading___Toc2770505_3804643083"/>
      <w:bookmarkStart w:id="431" w:name="_Toc163"/>
      <w:bookmarkEnd w:id="430"/>
      <w:r>
        <w:rPr>
          <w:rtl w:val="true"/>
        </w:rPr>
        <w:t>الف</w:t>
      </w:r>
      <w:r>
        <w:rPr>
          <w:rtl w:val="true"/>
        </w:rPr>
        <w:t xml:space="preserve">) </w:t>
      </w:r>
      <w:r>
        <w:rPr>
          <w:rtl w:val="true"/>
        </w:rPr>
        <w:t>آيه‌ي نفي سبيل براي كسي كه در مقام انتصار است</w:t>
      </w:r>
      <w:bookmarkEnd w:id="431"/>
    </w:p>
    <w:p>
      <w:pPr>
        <w:pStyle w:val="Heading6"/>
        <w:numPr>
          <w:ilvl w:val="5"/>
          <w:numId w:val="1"/>
        </w:numPr>
        <w:rPr/>
      </w:pPr>
      <w:bookmarkStart w:id="432" w:name="__RefHeading___Toc2770507_3804643083"/>
      <w:bookmarkStart w:id="433" w:name="_Toc164"/>
      <w:bookmarkEnd w:id="432"/>
      <w:r>
        <w:rPr>
          <w:rtl w:val="true"/>
        </w:rPr>
        <w:t>اشاره</w:t>
      </w:r>
      <w:bookmarkEnd w:id="4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لَمَنِ انْتَصَرَ بَعْدَ ظُلْمِهِ فَأُولئِكَ ما عَلَيْهِمْ مِنْ 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w:t>
      </w:r>
      <w:r>
        <w:rPr>
          <w:rStyle w:val="FootnoteAnchor"/>
          <w:rtl w:val="true"/>
        </w:rPr>
        <w:footnoteReference w:id="29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پس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يارى جويد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انتقام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راهي بر ايشان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تنها بر كسانى است كه به مردم ستم مى‌كنند و در زمين به ناحق ظلم روا مي‌دارند، آنان عذابى دردناك خواهند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معناي آيه‌ي شريفه</w:t>
      </w:r>
    </w:p>
    <w:p>
      <w:pPr>
        <w:pStyle w:val="BookText"/>
        <w:rPr/>
      </w:pPr>
      <w:r>
        <w:rPr>
          <w:rFonts w:ascii="IRNazanin" w:hAnsi="IRNazanin" w:eastAsia="IRNazanin"/>
          <w:color w:val="111111"/>
          <w:sz w:val="28"/>
          <w:sz w:val="28"/>
          <w:szCs w:val="28"/>
          <w:rtl w:val="true"/>
          <w:lang w:bidi="fa-IR"/>
        </w:rPr>
        <w:t xml:space="preserve">انتصار از مادّه‌ي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انتصار را به معناي انتقام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ديگر انتصار را به معناي طلب پيروزي مي‌دانند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طلب پيروزي، اقرب به اصل مادّه بوده و اخصّ از انتقام است و انتقام داراي معناي اوسع از طلب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قدر متيقّن از انتصار، طلب پيروزي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معناي آيات اين‌گونه مي‌شود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كساني كه طلب پيروزي كنند بعد از آن‌كه مظلوم واقع شدند، سبيلي بر آن‌ها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گناهي انجام نداده‌اند و مؤاخذه</w:t>
      </w:r>
      <w:bookmarkStart w:id="434" w:name="pg2359_23458"/>
    </w:p>
    <w:p>
      <w:pPr>
        <w:pStyle w:val="BookText"/>
        <w:rPr/>
      </w:pPr>
      <w:bookmarkEnd w:id="434"/>
      <w:r>
        <w:rPr>
          <w:rFonts w:ascii="IRNazanin" w:hAnsi="IRNazanin" w:eastAsia="IRNazanin"/>
          <w:color w:val="111111"/>
          <w:sz w:val="28"/>
          <w:sz w:val="28"/>
          <w:szCs w:val="28"/>
          <w:rtl w:val="true"/>
          <w:lang w:bidi="fa-IR"/>
        </w:rPr>
        <w:t>هم نمي‌شوند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اين صورت چه كسي مؤاخذه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و مؤاخذه بر كساني است كه بدون حق، به مردم ظلم مي‌كنند</w:t>
      </w:r>
      <w:r>
        <w:rPr>
          <w:rFonts w:eastAsia="IRNazanin" w:cs="IRNazanin"/>
          <w:color w:val="111111"/>
          <w:sz w:val="28"/>
          <w:szCs w:val="28"/>
          <w:rtl w:val="true"/>
          <w:lang w:bidi="fa-IR"/>
        </w:rPr>
        <w:t>.)</w:t>
      </w:r>
    </w:p>
    <w:p>
      <w:pPr>
        <w:pStyle w:val="Heading6"/>
        <w:numPr>
          <w:ilvl w:val="5"/>
          <w:numId w:val="1"/>
        </w:numPr>
        <w:rPr/>
      </w:pPr>
      <w:bookmarkStart w:id="435" w:name="__RefHeading___Toc2770509_3804643083"/>
      <w:bookmarkStart w:id="436" w:name="_Toc165"/>
      <w:bookmarkEnd w:id="435"/>
      <w:r>
        <w:rPr>
          <w:rtl w:val="true"/>
        </w:rPr>
        <w:t>وجه استدلال به آيه‌ي شريفه</w:t>
      </w:r>
      <w:bookmarkEnd w:id="436"/>
    </w:p>
    <w:p>
      <w:pPr>
        <w:pStyle w:val="BookText"/>
        <w:rPr/>
      </w:pPr>
      <w:r>
        <w:rPr>
          <w:rFonts w:ascii="IRNazanin" w:hAnsi="IRNazanin" w:eastAsia="IRNazanin"/>
          <w:color w:val="111111"/>
          <w:sz w:val="28"/>
          <w:sz w:val="28"/>
          <w:szCs w:val="28"/>
          <w:rtl w:val="true"/>
          <w:lang w:bidi="fa-IR"/>
        </w:rPr>
        <w:t>آيه‌ي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كساني كه مظلوم واقع شدند، اگر انتصار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كنند مانعي ندارد و هيچ راه ملامت و مؤاخذه‌اي بر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كسي كه مظلوم واقع شده است غيبت كند، غيبتش مصداقي از مصاديق انتصار و طلب پيروزي است؛ يعني در صدد به دست آوردن نصرت و رفع ظلم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عملش حرمتي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آيه‌ي ديگري هم به همين مضمون داريم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انتَصَرُواْ مِن بَعْدِ مَا ظُلِمُوا</w:t>
      </w:r>
      <w:r>
        <w:rPr>
          <w:rFonts w:eastAsia="Amiri" w:cs="Amiri" w:ascii="Amiri" w:hAnsi="Amiri"/>
          <w:color w:val="111111"/>
          <w:sz w:val="28"/>
          <w:szCs w:val="28"/>
          <w:rtl w:val="true"/>
          <w:lang w:bidi="ar-SA"/>
        </w:rPr>
        <w:t>)</w:t>
      </w:r>
      <w:r>
        <w:rPr>
          <w:rStyle w:val="FootnoteAnchor"/>
          <w:rtl w:val="true"/>
        </w:rPr>
        <w:footnoteReference w:id="2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آن‌كه مورد ستم قرار گرفته‌اند، يارى خواسته‌اند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استدلال</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در مقام بيان انتقام و مقابله به مثل است؛ يعني اگر كسي را زدند او هم زد، 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را شتم كردند او هم شتم كرد، مانعي ندارد يا اگر غيبتش كردند او هم غيبت كرد، عيبي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آيه‌ي شريفه، مفاد آيه‌اي است كه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295"/>
      </w:r>
    </w:p>
    <w:p>
      <w:pPr>
        <w:pStyle w:val="BookText"/>
        <w:rPr/>
      </w:pPr>
      <w:r>
        <w:rPr>
          <w:rFonts w:ascii="Amiri" w:hAnsi="Amiri" w:eastAsia="Amiri" w:cs="Amiri"/>
          <w:color w:val="111111"/>
          <w:sz w:val="28"/>
          <w:sz w:val="28"/>
          <w:szCs w:val="28"/>
          <w:rtl w:val="true"/>
          <w:lang w:bidi="ar-SA"/>
        </w:rPr>
        <w:t>يا آيه‌ا‌ي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اشكال</w:t>
      </w:r>
    </w:p>
    <w:p>
      <w:pPr>
        <w:pStyle w:val="BookText"/>
        <w:rPr/>
      </w:pPr>
      <w:r>
        <w:rPr>
          <w:rFonts w:ascii="IRNazanin" w:hAnsi="IRNazanin" w:eastAsia="IRNazanin"/>
          <w:color w:val="111111"/>
          <w:sz w:val="28"/>
          <w:sz w:val="28"/>
          <w:szCs w:val="28"/>
          <w:rtl w:val="true"/>
          <w:lang w:bidi="fa-IR"/>
        </w:rPr>
        <w:t>انصافاً اين اشكال ناتمام است و آيه در صدد بيان مقابله نيست، بلكه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بعد از مظلوم واقع شدن انتصار كند سبيلي بر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چه ربطي به قضيه‌ي مقابله به مثل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انتصار را به معناي انتقام بگيريم باز هم به معناي مقابله به مثل نيست؛ زيرا نمي‌فرمايد انتقامِ به مثل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علي‌رغم اين‌كه برخي از أعلام، آن را ذكر كرده و برخي هم از ايشان تبعيت كرده‌اند، وجهي براي اين اشكال نمي‌بينيم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دلالت آيه‌ي شريفه را بر تجويز غيبت مظلوم از ظالم قبول داريم ولي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انتصار به معناي انتقام باشد، غيبت ظالم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غيبتي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چون غيبت هم يك نوع انتقام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چون مطمئن نيستيم كه انتصار به معناي انتقام باشد بلكه بيشتر موافق با معناي طلب نصرت و پيروزي هستيم، فقط غيبتي را كه در طريق طلب نصرت باشد جايز مي‌دانيم؛ يعني غيبتي كه طلب نصرت، بر آن صادق باشد و با آن به دنبال پيروزي بر خصم و دفع</w:t>
      </w:r>
      <w:bookmarkStart w:id="437" w:name="pg2359_23460"/>
    </w:p>
    <w:p>
      <w:pPr>
        <w:pStyle w:val="BookText"/>
        <w:rPr/>
      </w:pPr>
      <w:bookmarkEnd w:id="437"/>
      <w:r>
        <w:rPr>
          <w:rFonts w:ascii="IRNazanin" w:hAnsi="IRNazanin" w:eastAsia="IRNazanin"/>
          <w:color w:val="111111"/>
          <w:sz w:val="28"/>
          <w:sz w:val="28"/>
          <w:szCs w:val="28"/>
          <w:rtl w:val="true"/>
          <w:lang w:bidi="fa-IR"/>
        </w:rPr>
        <w:t>ظلمِ ظالم مي‌رود؛ زيرا در آيه‌ي شريفه چگونگي انتصار و شيوه‌ي آن مقيّد نشده است، غيبت هم يكي از راه‌هاي انتصار است، پس غيبتي كه مصداق انتصار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ظالمي حقّ ديگري را 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مظلوم حكايت اين ظلم را براي ديگران نگويد، ظالم در پي اصلاح كار خود بر نمي‌آيد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مظلوم به ديگران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كه مي‌بينيد انگشتر در دستش است و نماز جماعت حاضر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مرا غصب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غيبت براي غير مقام انتصار باشد ـ مثلاً براي تفكّه بود ـ يا اگر غيبت بي‌تأثير است، با اين آيه‌ي شريفه نمي‌توانيم قائل به جواز چنين غيبتي باشيم؛ زيرا آيه تنها غيبت در طريق انتصار را جايز مي‌داند</w:t>
      </w:r>
      <w:r>
        <w:rPr>
          <w:rFonts w:eastAsia="IRNazanin" w:cs="IRNazanin"/>
          <w:color w:val="111111"/>
          <w:sz w:val="28"/>
          <w:szCs w:val="28"/>
          <w:rtl w:val="true"/>
          <w:lang w:bidi="fa-IR"/>
        </w:rPr>
        <w:t>.</w:t>
      </w:r>
    </w:p>
    <w:p>
      <w:pPr>
        <w:pStyle w:val="Heading6"/>
        <w:numPr>
          <w:ilvl w:val="5"/>
          <w:numId w:val="1"/>
        </w:numPr>
        <w:rPr/>
      </w:pPr>
      <w:bookmarkStart w:id="438" w:name="__RefHeading___Toc2770511_3804643083"/>
      <w:bookmarkStart w:id="439" w:name="_Toc166"/>
      <w:bookmarkEnd w:id="438"/>
      <w:r>
        <w:rPr>
          <w:rtl w:val="true"/>
        </w:rPr>
        <w:t>ب</w:t>
      </w:r>
      <w:r>
        <w:rPr>
          <w:rtl w:val="true"/>
        </w:rPr>
        <w:t xml:space="preserve">) </w:t>
      </w:r>
      <w:r>
        <w:rPr>
          <w:rtl w:val="true"/>
        </w:rPr>
        <w:t>آيه‌ي جواز جهر به قول براي مظلوم</w:t>
      </w:r>
      <w:bookmarkEnd w:id="439"/>
    </w:p>
    <w:p>
      <w:pPr>
        <w:pStyle w:val="Heading6"/>
        <w:numPr>
          <w:ilvl w:val="5"/>
          <w:numId w:val="1"/>
        </w:numPr>
        <w:rPr/>
      </w:pPr>
      <w:bookmarkStart w:id="440" w:name="__RefHeading___Toc2770513_3804643083"/>
      <w:bookmarkStart w:id="441" w:name="_Toc167"/>
      <w:bookmarkEnd w:id="440"/>
      <w:r>
        <w:rPr>
          <w:rtl w:val="true"/>
        </w:rPr>
        <w:t>اشاره</w:t>
      </w:r>
      <w:bookmarkEnd w:id="4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 وَ كانَ اللَّهُ سَميعاً عَليما</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بانگ برداشتن به بدزبانى را دوست ندارد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 او ستم رفته باشد و خداوند شنواىِ داناست</w:t>
      </w:r>
      <w:r>
        <w:rPr>
          <w:rFonts w:eastAsia="IRNazanin" w:cs="IRNazanin"/>
          <w:color w:val="111111"/>
          <w:sz w:val="28"/>
          <w:szCs w:val="28"/>
          <w:rtl w:val="true"/>
          <w:lang w:bidi="fa-IR"/>
        </w:rPr>
        <w:t>.</w:t>
      </w:r>
      <w:bookmarkStart w:id="442" w:name="pg2359_23461"/>
    </w:p>
    <w:p>
      <w:pPr>
        <w:pStyle w:val="Heading6"/>
        <w:numPr>
          <w:ilvl w:val="5"/>
          <w:numId w:val="1"/>
        </w:numPr>
        <w:rPr/>
      </w:pPr>
      <w:bookmarkStart w:id="443" w:name="__RefHeading___Toc2770515_3804643083"/>
      <w:bookmarkStart w:id="444" w:name="_Toc168"/>
      <w:bookmarkEnd w:id="442"/>
      <w:bookmarkEnd w:id="443"/>
      <w:r>
        <w:rPr>
          <w:rtl w:val="true"/>
        </w:rPr>
        <w:t>وجه استدلال به آيه‌ي شريفه</w:t>
      </w:r>
      <w:bookmarkEnd w:id="444"/>
    </w:p>
    <w:p>
      <w:pPr>
        <w:pStyle w:val="BookText"/>
        <w:rPr/>
      </w:pPr>
      <w:r>
        <w:rPr>
          <w:rFonts w:ascii="IRNazanin" w:hAnsi="IRNazanin" w:eastAsia="IRNazanin"/>
          <w:color w:val="111111"/>
          <w:sz w:val="28"/>
          <w:sz w:val="28"/>
          <w:szCs w:val="28"/>
          <w:rtl w:val="true"/>
          <w:lang w:bidi="fa-IR"/>
        </w:rPr>
        <w:t>آيه‌ي شريفه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دوست نمي‌دارد كسي سوء من القول را اجهاراً ذكر كند مگر آن‌كه مظلوم واقع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مي‌دانيم اگر مظلومي از ظالم غيبت كند ـ با صرف نظر از تجويز مثل اين آيات ـ غيبتش سوء من القول و حرام است، ولي ظاهر اين آيه‌ي شريفه مي‌فرمايد اگر مظلوم آشكارا زبان به غيبت ظالم بگشايد عيبي ندارد و نسبت به او، دوست نداشتن قولش از سوي خداوند جاري نيست، بلكه جواز جاري است و جواز غيبتِ مستفاد از اين آيه مطلق است؛ يعني مقيّد به اين نيست كه در طريق نصرت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مظلومي حتّي براي تشفّي، از ظالم غيبت كند جايز است؛ چون ما دليلي براي تقييد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خداوند خواسته است با جواز غيبت ظالم، وسيله‌ي مرتدع شدن ظالم از ظلمش را فراهم كند كه با دانستن اين حكم، يا از اوّل مرتكب ظلم نشود و يا دست از استمرار ظلم بردارد، و يا بدين وسيله خواسته مظلوم دچار مشكل روحي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معناي دو آيه با هم تنافي دارد؛ زيرا يكي جواز غيبت را مقيّد به انتصار كرده و ديگري مطلقاً حكم به جواز غيبت ظالم داده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هيچ تنافي بين اين دو آيه‌ي شريفه وجود ندارد؛ زيرا آيه‌ي اوّل حدّي از جواز غيبت را بيان فرموده كه در مقام انتصار باشد و آيه‌ي بعد، مطلب بيشتري را افاده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آيه مثبتين بوده و لزومي براي حمل يكي بر ديگري نيست؛ چون با</w:t>
      </w:r>
    </w:p>
    <w:p>
      <w:pPr>
        <w:pStyle w:val="BookText"/>
        <w:rPr/>
      </w:pPr>
      <w:r>
        <w:rPr>
          <w:rFonts w:ascii="IRNazanin" w:hAnsi="IRNazanin" w:eastAsia="IRNazanin"/>
          <w:color w:val="111111"/>
          <w:sz w:val="28"/>
          <w:sz w:val="28"/>
          <w:szCs w:val="28"/>
          <w:rtl w:val="true"/>
          <w:lang w:bidi="fa-IR"/>
        </w:rPr>
        <w:t>هم تنافي ندارند، پس هر دو را اخذ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نظر ما دلالت آيه‌ي شريفه تمام است و مفاد آن اعمّ از مفاد آيه‌ي قبل است؛ زيرا اعمّ از اين است كه در طريق انتصار باشد يا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شيخ هم با استفاده‌ي از اين آيه‌ي شريفه، غيبت مظلوم از ظالم را جايز مي‌داند</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مطالب غير ضروري 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مرحوم شيخ براي تأييد مفاد آيه‌ي شريفه رواياتي را ذكر مي‌فرمايد كه ما قبلاً آن‌ها را ذكر كرديم، از جمله روايتي كه درباره‌ي ضيافت 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أَضَافَ قَوْماً فَأَسَاءَ ضِيَافَتَهُمْ، فَهُوَ مِمَّنْ ظَلَمَ، فَلَا جُنَاحَ عَلَيْهِمْ، فِيمَا قَالُوا فِيهِ</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كسي كه گروهي را ضيافت كند و بد پذيرايي كند، از كساني است كه ظلم كرده است، پس هرچه درباره‌ي او بگويند، مانعي ندارد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چند وجه اعتباري و يك روايت عاميّه هم ذكر مي‌كنند</w:t>
      </w:r>
      <w:r>
        <w:rPr>
          <w:rStyle w:val="FootnoteAnchor"/>
          <w:rtl w:val="true"/>
        </w:rPr>
        <w:footnoteReference w:id="300"/>
      </w:r>
      <w:r>
        <w:rPr>
          <w:rFonts w:ascii="IRNazanin" w:hAnsi="IRNazanin" w:eastAsia="IRNazanin"/>
          <w:color w:val="111111"/>
          <w:sz w:val="28"/>
          <w:sz w:val="28"/>
          <w:szCs w:val="28"/>
          <w:rtl w:val="true"/>
          <w:lang w:bidi="fa-IR"/>
        </w:rPr>
        <w:t>كه چون روايت ضيافت، سندش ناتمام است و دلالتش هم</w:t>
      </w:r>
      <w:bookmarkStart w:id="445" w:name="pg2359_23463"/>
    </w:p>
    <w:p>
      <w:pPr>
        <w:pStyle w:val="BookText"/>
        <w:rPr/>
      </w:pPr>
      <w:bookmarkEnd w:id="445"/>
      <w:r>
        <w:rPr>
          <w:rFonts w:ascii="IRNazanin" w:hAnsi="IRNazanin" w:eastAsia="IRNazanin"/>
          <w:color w:val="111111"/>
          <w:sz w:val="28"/>
          <w:sz w:val="28"/>
          <w:szCs w:val="28"/>
          <w:rtl w:val="true"/>
          <w:lang w:bidi="fa-IR"/>
        </w:rPr>
        <w:t>في‌الجمله است و از سوي ديگر، دلالت آيات شريفه ـ با تقريبي كه ارائه داديم ـ تمام بوده و نيازي به تأييد ندارد، لذا ما از ذكر اين مؤيّدات صرف نظر مي‌كنيم و به ادامه‌ي بحث مي‌پردازيم</w:t>
      </w:r>
      <w:r>
        <w:rPr>
          <w:rFonts w:eastAsia="IRNazanin" w:cs="IRNazanin"/>
          <w:color w:val="111111"/>
          <w:sz w:val="28"/>
          <w:szCs w:val="28"/>
          <w:rtl w:val="true"/>
          <w:lang w:bidi="fa-IR"/>
        </w:rPr>
        <w:t>.</w:t>
      </w:r>
    </w:p>
    <w:p>
      <w:pPr>
        <w:pStyle w:val="Heading5"/>
        <w:numPr>
          <w:ilvl w:val="4"/>
          <w:numId w:val="1"/>
        </w:numPr>
        <w:rPr/>
      </w:pPr>
      <w:bookmarkStart w:id="446" w:name="__RefHeading___Toc2770517_3804643083"/>
      <w:bookmarkStart w:id="447" w:name="_Toc169"/>
      <w:bookmarkEnd w:id="446"/>
      <w:r>
        <w:rPr>
          <w:rtl w:val="true"/>
        </w:rPr>
        <w:t>فروعات جواز غيبت در مقام تظلّم</w:t>
      </w:r>
      <w:bookmarkEnd w:id="447"/>
    </w:p>
    <w:p>
      <w:pPr>
        <w:pStyle w:val="Heading6"/>
        <w:numPr>
          <w:ilvl w:val="5"/>
          <w:numId w:val="1"/>
        </w:numPr>
        <w:rPr/>
      </w:pPr>
      <w:bookmarkStart w:id="448" w:name="__RefHeading___Toc2770519_3804643083"/>
      <w:bookmarkStart w:id="449" w:name="_Toc170"/>
      <w:bookmarkEnd w:id="448"/>
      <w:r>
        <w:rPr>
          <w:rtl w:val="true"/>
        </w:rPr>
        <w:t>فرع اوّل</w:t>
      </w:r>
      <w:r>
        <w:rPr>
          <w:rtl w:val="true"/>
        </w:rPr>
        <w:t xml:space="preserve">: </w:t>
      </w:r>
      <w:r>
        <w:rPr>
          <w:rtl w:val="true"/>
        </w:rPr>
        <w:t>جواز غيبت ظالم حتّي در غير مورد ظلم</w:t>
      </w:r>
      <w:bookmarkEnd w:id="449"/>
    </w:p>
    <w:p>
      <w:pPr>
        <w:pStyle w:val="BookText"/>
        <w:rPr/>
      </w:pPr>
      <w:r>
        <w:rPr>
          <w:rFonts w:ascii="IRNazanin" w:hAnsi="IRNazanin" w:eastAsia="IRNazanin"/>
          <w:color w:val="111111"/>
          <w:sz w:val="28"/>
          <w:sz w:val="28"/>
          <w:szCs w:val="28"/>
          <w:rtl w:val="true"/>
          <w:lang w:bidi="fa-IR"/>
        </w:rPr>
        <w:t>مظلومي كه براي او غيبت ظالم جايز است، حتّي در غير مورد ظلم هم مي‌تواند از ظالم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ظالمي شراب‌خوار يا قمارباز است، هرچند كه اين اعمال را در خفا انجام دهد شخص مظلوم مي‌تواند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ظالم، شراب‌خوار يا قمارباز هم هست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فرع، بالاشاره از عبارات شيخ استفاده مي‌شود و ظاهراً ايشان هيچ شكّي در صحّت اين مطلب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غيبتي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در غير مورد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طريق انتصار باشد، اطلاق آيه‌ي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انتصار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انتصار هم كه نمي‌توان عين طرف مقابل رفتار كرد؛ اگر جنگ شد و يك طرف منجنيق داشت و ديگري مثلاً گَُرز داشت، نمي‌توان گفت حالا كه اين گرز دارد و او منجنيق، پس نبايد از گرز استفاده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عرفي طلب نصرت و پيروزي اين است كه غير از آن‌چه كه مقطوع است شرعاً جايز نيست، مي‌تواند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چيزهايي است كه مي‌دانيم شارع مقدس اجازه نداده است؛ فرضاً نسبت لواط يا زنا از چيزهايي است كه شارع، راضي به بيان آن‌ها نيست و اين عدم رضايت شارع، گاهي از مجموع احكام به دست مي‌آيد و گاهي بالخصوص مورد نهي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موارد خاص را نبايد گفت، ولي مابقي موارد مانعي از ذكر آن‌ها از سوي شخص مظلوم نيست و اگر غيبت در غير مورد ظلم، در طريق انتصار نباشد باز مي‌توان به اطلاق آيه‌ي مباركه‌ي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 وَ كانَ اللَّهُ سَميعاً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جست؛ زيرا آيه‌ي شريفه علي الاطلاق تجويز جهر به قول سوء در حقّ مظلوم مي‌فرمايد و اختصاصي به خصوص مورد ظلم ندارد و تا ظالم دست از ظلم برنداشته و جبران نكرده باشد چنين جهر به قول سوئي جايز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استثنائات مذكور نيز به جاي خود باقي است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ديگري كه مهم است اين‌كه اگر انتصار به غيبت يا حتّي امور</w:t>
      </w:r>
    </w:p>
    <w:p>
      <w:pPr>
        <w:pStyle w:val="BookText"/>
        <w:rPr/>
      </w:pP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ظلم بيشتر بر ظالم گردد، جايز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بدهكاري كه به موقع، بدهي خود را نمي‌پردازد و مماطله</w:t>
      </w:r>
      <w:r>
        <w:rPr>
          <w:rStyle w:val="FootnoteAnchor"/>
          <w:rtl w:val="true"/>
        </w:rPr>
        <w:footnoteReference w:id="301"/>
      </w:r>
      <w:r>
        <w:rPr>
          <w:rFonts w:ascii="IRNazanin" w:hAnsi="IRNazanin" w:eastAsia="IRNazanin"/>
          <w:color w:val="111111"/>
          <w:sz w:val="28"/>
          <w:sz w:val="28"/>
          <w:szCs w:val="28"/>
          <w:rtl w:val="true"/>
          <w:lang w:bidi="fa-IR"/>
        </w:rPr>
        <w:t>مي‌كند ظالم بوده، مطابق آيه‌ي شريفه مي‌توان غيبتش كرد، ولي اگر غيبتي از او شود كه موجب آبروريزي زيادي از او گردد به نحوي كه عرفاً اين غيبت را ظلمي بيشتر از ظلم او ببينند، در اين صورت چنين غيبتي جايز نخواهد بود؛ زيرا خداوند متعال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جَزاءُ سَيِّئَةٍ سَيِّئَةٌ مِثْلُها</w:t>
      </w:r>
      <w:r>
        <w:rPr>
          <w:rFonts w:eastAsia="Amiri" w:cs="Amiri" w:ascii="Amiri" w:hAnsi="Amiri"/>
          <w:color w:val="111111"/>
          <w:sz w:val="28"/>
          <w:szCs w:val="28"/>
          <w:rtl w:val="true"/>
          <w:lang w:bidi="ar-SA"/>
        </w:rPr>
        <w:t>)</w:t>
      </w:r>
      <w:r>
        <w:rPr>
          <w:rStyle w:val="FootnoteAnchor"/>
          <w:rtl w:val="true"/>
        </w:rPr>
        <w:footnoteReference w:id="302"/>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كيفر بدي، بديي همانند آن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در آيه‌ي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هر كس بر شما تعدّى كرد، همان‌گونه كه بر شما تعدّى كرده بر او تعدّى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آيه‌ي ديگر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تَعْتَدُوا إِنَّ اللَّهَ لا يُحِبُّ الْمُعْتَدينَ</w:t>
      </w:r>
      <w:r>
        <w:rPr>
          <w:rFonts w:eastAsia="Amiri" w:cs="Amiri" w:ascii="Amiri" w:hAnsi="Amiri"/>
          <w:color w:val="111111"/>
          <w:sz w:val="28"/>
          <w:szCs w:val="28"/>
          <w:rtl w:val="true"/>
          <w:lang w:bidi="ar-SA"/>
        </w:rPr>
        <w:t>)</w:t>
      </w:r>
      <w:r>
        <w:rPr>
          <w:rStyle w:val="FootnoteAnchor"/>
          <w:rtl w:val="true"/>
        </w:rPr>
        <w:footnoteReference w:id="30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از حدّ مگذريد كه خدا از حدّ گذرندگان را دوست نمى‌دارد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نمي‌توان مرتكب ظلم بيشتري شد؛ چرا كه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 و خداوند، ما را از آن نهي كرده است، مگر</w:t>
      </w:r>
      <w:bookmarkStart w:id="450" w:name="pg2359_23466"/>
    </w:p>
    <w:p>
      <w:pPr>
        <w:pStyle w:val="BookText"/>
        <w:rPr/>
      </w:pPr>
      <w:bookmarkEnd w:id="450"/>
      <w:r>
        <w:rPr>
          <w:rFonts w:ascii="IRNazanin" w:hAnsi="IRNazanin" w:eastAsia="IRNazanin"/>
          <w:color w:val="111111"/>
          <w:sz w:val="28"/>
          <w:sz w:val="28"/>
          <w:szCs w:val="28"/>
          <w:rtl w:val="true"/>
          <w:lang w:bidi="fa-IR"/>
        </w:rPr>
        <w:t>آن‌كه مظلوم راه ديگري نداشته باشد و در مقام دفاع از مال يا نفس يا عِرض خود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ظالمي در حال ارتكاب ظلم كمتري است ولي مظلوم در مقام دفاع چاره‌اي از وارد آوردن ضربه‌ي بيشتري ندارد، اين امر براي او جايز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از مال و جان، مطلق است مگر جايي كه استثنا شده، كه در محل خودش بيان شده است</w:t>
      </w:r>
      <w:r>
        <w:rPr>
          <w:rFonts w:eastAsia="IRNazanin" w:cs="IRNazanin"/>
          <w:color w:val="111111"/>
          <w:sz w:val="28"/>
          <w:szCs w:val="28"/>
          <w:rtl w:val="true"/>
          <w:lang w:bidi="fa-IR"/>
        </w:rPr>
        <w:t>.</w:t>
      </w:r>
    </w:p>
    <w:p>
      <w:pPr>
        <w:pStyle w:val="Heading6"/>
        <w:numPr>
          <w:ilvl w:val="5"/>
          <w:numId w:val="1"/>
        </w:numPr>
        <w:rPr/>
      </w:pPr>
      <w:bookmarkStart w:id="451" w:name="__RefHeading___Toc2770521_3804643083"/>
      <w:bookmarkStart w:id="452" w:name="_Toc171"/>
      <w:bookmarkEnd w:id="451"/>
      <w:r>
        <w:rPr>
          <w:rtl w:val="true"/>
        </w:rPr>
        <w:t>فرع دوم</w:t>
      </w:r>
      <w:r>
        <w:rPr>
          <w:rtl w:val="true"/>
        </w:rPr>
        <w:t xml:space="preserve">: </w:t>
      </w:r>
      <w:r>
        <w:rPr>
          <w:rtl w:val="true"/>
        </w:rPr>
        <w:t>آيا غيبت از ظالم نزد هر كسي جايز است؟</w:t>
      </w:r>
      <w:bookmarkEnd w:id="452"/>
    </w:p>
    <w:p>
      <w:pPr>
        <w:pStyle w:val="BookText"/>
        <w:rPr/>
      </w:pPr>
      <w:r>
        <w:rPr>
          <w:rFonts w:ascii="IRNazanin" w:hAnsi="IRNazanin" w:eastAsia="IRNazanin"/>
          <w:color w:val="111111"/>
          <w:sz w:val="28"/>
          <w:sz w:val="28"/>
          <w:szCs w:val="28"/>
          <w:rtl w:val="true"/>
          <w:lang w:bidi="fa-IR"/>
        </w:rPr>
        <w:t xml:space="preserve">آيا جواز غيبت ظالم، مطلق است؟ يعني مظلوم نزد هر كسي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حتّي كساني كه هيچ قدرتي در جلوگيري از ظلمِ ظالم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مي‌تواند از ظالم غيبت كند؟ يا اين‌كه فقط نزد كساني مي‌تواند غيبت كند كه اميد است آنان مانع ظلم ظالم شوند؟</w:t>
      </w:r>
    </w:p>
    <w:p>
      <w:pPr>
        <w:pStyle w:val="BookText"/>
        <w:rPr/>
      </w:pP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كشف الريبة حكم جواز غيبت از ظالم را مقيّد كرده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من يرجو منه ازالة الظلم عنه بسببه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كساني كه اميد است به وسيله‌ي آنان، ازاله‌ي ظلمِ ظالم شود؛ مثلاً غيبت، در حضور انسان بزرگي يا قوم و خويشي باشد كه در ظالم نفوذ داشته و يا جمعي كه ظالم از آن‌ها حيا مي‌كند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شهيد ثاني در تعليل اين قيد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عمومي در آيه‌ي شريفه نيست، مؤيّداتي هم كه ذكر شد و آن‌چه كه در تفسير آيه آمده بود حجّت نيست، پس فقط در حدّي كه اميد است ازاله‌ي ظلم شود جايز است</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مقابل، مرحوم كاشف 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 هر كسي مي‌توان غيبت ظالم كرد و مقيّد به افراد خاص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قدرت ازاله‌ي ظلم را داشته 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نظر ما حداقل آيه‌ي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يُحِبُّ اللَّهُ الْجَهْرَ بِالسُّوءِ مِنَ الْقَوْلِ إِلاَّ مَنْ ظُلِمَ وَ كانَ اللَّهُ سَميعاً عَليما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دارد؛ چه، كسي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يرجو منه ازالة الظلم عنه بسببه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ديگران را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دليلي هم نداريم كه اين جواز را منحصر كنيم، حتّي مناسبت حكم و موضوع هم چنين حصري را افاده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نفس اين‌كه مظلوم مي‌تواند پيش هر كسي داد بزند و از ظلمي كه به او رفته است و از ظالم صحبت كند، حكمتي داشته باشد كه يا موجب تشفّي مظلوم گردد و يا موجب ردع ظالم از ظلمش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ظالم مي‌بيند بناست آبرويش برود، مرتدع شده و از اوّل مرتكب ظلم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مصلحت در جعل جواز براي غيبت است مطلقاً</w:t>
      </w:r>
      <w:r>
        <w:rPr>
          <w:rFonts w:eastAsia="IRNazanin" w:cs="IRNazanin"/>
          <w:color w:val="111111"/>
          <w:sz w:val="28"/>
          <w:szCs w:val="28"/>
          <w:rtl w:val="true"/>
          <w:lang w:bidi="fa-IR"/>
        </w:rPr>
        <w:t>.</w:t>
      </w:r>
      <w:bookmarkStart w:id="453" w:name="pg2359_23468"/>
    </w:p>
    <w:p>
      <w:pPr>
        <w:pStyle w:val="BookText"/>
        <w:rPr/>
      </w:pPr>
      <w:bookmarkEnd w:id="453"/>
      <w:r>
        <w:rPr>
          <w:rFonts w:ascii="IRNazanin" w:hAnsi="IRNazanin" w:eastAsia="IRNazanin"/>
          <w:color w:val="111111"/>
          <w:sz w:val="28"/>
          <w:sz w:val="28"/>
          <w:szCs w:val="28"/>
          <w:rtl w:val="true"/>
          <w:lang w:bidi="fa-IR"/>
        </w:rPr>
        <w:t>امّا قول شهيد ثاني كه فرمود عمومي در آيه نيست،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عمومي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آيه‌ي شريفه هيچ قيدي ندارد و در واقع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 مظلومٍ يجوز له الإجهار، بالسوء من القول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نفرموده است در كجا، بلكه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مقصود شهيد ثاني از نداشتن عموم، عموم وضعي باشد،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مي‌فرماييد، ولي عمومِ اطلاقي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وجهي براي تقييدي كه جناب شهيد ثاني مطرح فرمودند،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اعلامي از جناب شهيد ثاني در اين مسأله تبعيت كرده‌اند؛ بزرگاني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كفايه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سبزواري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بحراني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مفتاح الكرامه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سيّد جواد عاملي</w:t>
      </w:r>
      <w:r>
        <w:rPr>
          <w:rFonts w:eastAsia="IRNazanin" w:cs="IRNazanin"/>
          <w:color w:val="111111"/>
          <w:sz w:val="28"/>
          <w:szCs w:val="28"/>
          <w:rtl w:val="true"/>
          <w:lang w:bidi="fa-IR"/>
        </w:rPr>
        <w:t>).</w:t>
      </w:r>
    </w:p>
    <w:p>
      <w:pPr>
        <w:pStyle w:val="Heading6"/>
        <w:numPr>
          <w:ilvl w:val="5"/>
          <w:numId w:val="1"/>
        </w:numPr>
        <w:rPr/>
      </w:pPr>
      <w:bookmarkStart w:id="454" w:name="__RefHeading___Toc2770523_3804643083"/>
      <w:bookmarkStart w:id="455" w:name="_Toc172"/>
      <w:bookmarkEnd w:id="454"/>
      <w:r>
        <w:rPr>
          <w:rtl w:val="true"/>
        </w:rPr>
        <w:t>فرع سوم</w:t>
      </w:r>
      <w:r>
        <w:rPr>
          <w:rtl w:val="true"/>
        </w:rPr>
        <w:t xml:space="preserve">: </w:t>
      </w:r>
      <w:r>
        <w:rPr>
          <w:rtl w:val="true"/>
        </w:rPr>
        <w:t>آيا غيبت به عنوان شكايت از ترك اولي، جايز است؟</w:t>
      </w:r>
      <w:bookmarkEnd w:id="455"/>
    </w:p>
    <w:p>
      <w:pPr>
        <w:pStyle w:val="BookText"/>
        <w:rPr/>
      </w:pPr>
      <w:r>
        <w:rPr>
          <w:rFonts w:ascii="IRNazanin" w:hAnsi="IRNazanin" w:eastAsia="IRNazanin"/>
          <w:color w:val="111111"/>
          <w:sz w:val="28"/>
          <w:sz w:val="28"/>
          <w:szCs w:val="28"/>
          <w:rtl w:val="true"/>
          <w:lang w:bidi="fa-IR"/>
        </w:rPr>
        <w:t>يعني اگر كسي نسبت به ديگري مخفيانه ترك اولايي انجام داد كه عرفاً عيب است ـ در نتيجه ذكر آن براي ديگران غيبت باشد ـ آيا كسي كه در حق او ترك اولي انجام گرفته است مي‌تواند حكايت اين ترك اولي را براي ديگران ذكر كند؟ مثلاً شخص عالمي شايسته‌ي احترام است، امّا ديگري احترام ويژه‌اي را كه لازم بود، در حقّ عالم انجام نمي‌دهد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چنين غيبتي را جايز نمي‌داند؛ زيرا شخص، مظلوم واقع نشده است و فقط ترك اولايي نسبت به او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اولي يعني كاري كه فعل آن واجب نيست كه در حقّ ديگري انجام گيرد، بلكه بهتر است انجام شود، يا فعلي كه</w:t>
      </w:r>
    </w:p>
    <w:p>
      <w:pPr>
        <w:pStyle w:val="BookText"/>
        <w:rPr/>
      </w:pPr>
      <w:r>
        <w:rPr>
          <w:rFonts w:ascii="Amiri" w:hAnsi="Amiri" w:eastAsia="Amiri" w:cs="Amiri"/>
          <w:color w:val="111111"/>
          <w:sz w:val="28"/>
          <w:sz w:val="28"/>
          <w:szCs w:val="28"/>
          <w:rtl w:val="true"/>
          <w:lang w:bidi="ar-SA"/>
        </w:rPr>
        <w:t>انجام آن حرام نيست و بهتر است ترك شود</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مناقشه در عدم جواز</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بعيد نيست با استفاده از آيات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يُحِبُّ اللَّهُ الْجَهْرَ بِالسُّوءِ مِنَ الْقَوْلِ إِلاَّ مَنْ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 فَأُولئِكَ ما عَلَيْهِمْ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جواز غيبت در چنين مواردي را بالاولوية ثابت كنيم؛ يعني اگر كسي در حقّ ديگري ظلمي را كه كار حرامي است انجام دهد، آيات شريفه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ظالم جايز است و مي‌توان فعل حرام او را براي ديگران نقل كرد؛ مثلاً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ظالم، شراب‌خوار است يا قمارباز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اگر كسي كار شبه ظلمي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ديگري انجام دهد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غير حرامش را براي ديگران نقل كند و غيبتش كند، به مساوات يا به اولويت جايز است</w:t>
      </w:r>
      <w:r>
        <w:rPr>
          <w:rStyle w:val="FootnoteAnchor"/>
          <w:rtl w:val="true"/>
        </w:rPr>
        <w:footnoteReference w:id="3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همان روايتي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ميزباني از مهمانش خوب پذيرايي نكند، مي‌توان پشت‌سرش گفت كه فلاني خوب از ما پذيرايي نكرد</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bookmarkStart w:id="456" w:name="pg2359_23470"/>
    </w:p>
    <w:p>
      <w:pPr>
        <w:pStyle w:val="BookText"/>
        <w:rPr/>
      </w:pPr>
      <w:bookmarkEnd w:id="456"/>
      <w:r>
        <w:rPr>
          <w:rFonts w:ascii="IRNazanin" w:hAnsi="IRNazanin" w:eastAsia="IRNazanin"/>
          <w:color w:val="111111"/>
          <w:sz w:val="28"/>
          <w:sz w:val="28"/>
          <w:szCs w:val="28"/>
          <w:rtl w:val="true"/>
          <w:lang w:bidi="fa-IR"/>
        </w:rPr>
        <w:t xml:space="preserve">پس وقتي جناب شيخ در بحث جواز غيبت ظالم، براي توسعه‌ي معناي آيه‌ي شريفه، به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أَضَافَ قَوْماً فَأَسَاءَ ضِيَافَتَهُمْ فَهُوَ مِمَّنْ ظَلَمَ، فَلَا جُنَاحَ عَلَيْهِمْ فِيمَا قَالُوا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مي‌فرمايد، در اين مورد هم مي‌توانست همان مطلب را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اشاره به فعل حرام نشده است، بلكه موضوع روايت، فعل مكروه يا ترك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ملتزم به اين بيان نيستيم و فقط به عنوان يك بحث مطرح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جناب شيخ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إن كان يظهر من بعض الأخبار جواز الاشتكاء لذلك</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اگرچه ظاهر برخي از اخبار، جواز شكايت براي چنين مواردي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مورد نظر ايشان كه براي شاهد بر جواز غيبت در صورت ترك اولي است، دو روايت است كه ذكر مي‌كنيم</w:t>
      </w:r>
      <w:r>
        <w:rPr>
          <w:rFonts w:eastAsia="IRNazanin" w:cs="IRNazanin"/>
          <w:color w:val="111111"/>
          <w:sz w:val="28"/>
          <w:szCs w:val="28"/>
          <w:rtl w:val="true"/>
          <w:lang w:bidi="fa-IR"/>
        </w:rPr>
        <w:t>.</w:t>
      </w:r>
    </w:p>
    <w:p>
      <w:pPr>
        <w:pStyle w:val="Heading5"/>
        <w:numPr>
          <w:ilvl w:val="4"/>
          <w:numId w:val="1"/>
        </w:numPr>
        <w:rPr/>
      </w:pPr>
      <w:bookmarkStart w:id="457" w:name="__RefHeading___Toc2770525_3804643083"/>
      <w:bookmarkStart w:id="458" w:name="_Toc173"/>
      <w:bookmarkEnd w:id="457"/>
      <w:r>
        <w:rPr>
          <w:rtl w:val="true"/>
        </w:rPr>
        <w:t>شواهد روايي بر جواز غيبت در مقام تظلّم</w:t>
      </w:r>
      <w:bookmarkEnd w:id="458"/>
    </w:p>
    <w:p>
      <w:pPr>
        <w:pStyle w:val="BookText"/>
        <w:rPr/>
      </w:pPr>
      <w:r>
        <w:rPr>
          <w:rFonts w:ascii="Amiri" w:hAnsi="Amiri" w:eastAsia="Amiri" w:cs="Amiri"/>
          <w:color w:val="111111"/>
          <w:sz w:val="28"/>
          <w:sz w:val="28"/>
          <w:szCs w:val="28"/>
          <w:rtl w:val="true"/>
          <w:lang w:bidi="ar-SA"/>
        </w:rPr>
        <w:t>ـ روايت حمّاد بن عثمان</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الْحُسَيْنُ بْنُ مُحَمَّدٍ عَنْ مُعَلَّى بْنِ مُحَمَّدٍ عَنِ الْحَسَنِ بْنِ عَلِيٍّ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رَجُلٌ عَلَى أَبِي</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فَشَكَا إِلَيْهِ رَجُلًا مِنْ أَصْحَابِهِ فَلَمْ يَلْبَثْ أَنْ جَاءَ الْمَشْكُوُّ 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لِفُلَانٍ يَشْكُوكَ؟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كَأَنَّكَ إِذَا اسْتَقْضَيْتَ حَقَّكَ لَمْ تُسِئْ أَ رَأَيْتَ مَا حَكَى اللَّهُ ـ عَزَّ وَ جَلَّ ـ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أَتَرَى أَنَّهُمْ خَافُوا اللَّهَ أَنْ يَجُورَ عَلَيْهِمْ؟ لَا وَ اللَّهِ، مَا خَافُوا إِلَّا الِاسْتِقْضَاءَ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فَسَمَّاهُ اللَّهُ ـ عَزَّ وَ جَلَّ ـ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اسْتَقْضَى بِهِ فَقَدْ أَسَاء</w:t>
      </w:r>
      <w:r>
        <w:rPr>
          <w:rFonts w:eastAsia="Amiri" w:cs="Amiri" w:ascii="Amiri" w:hAnsi="Amiri"/>
          <w:color w:val="111111"/>
          <w:sz w:val="28"/>
          <w:szCs w:val="28"/>
          <w:rtl w:val="true"/>
          <w:lang w:bidi="ar-SA"/>
        </w:rPr>
        <w:t>»</w:t>
      </w:r>
      <w:r>
        <w:rPr>
          <w:rStyle w:val="FootnoteAnchor"/>
          <w:rtl w:val="true"/>
        </w:rPr>
        <w:footnoteReference w:id="310"/>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مردي وارد بر حضرت شد و از يكي از ياران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ياران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مدّتي نگذشت كه همان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او شكايت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چرا از شما شكايت دارد؟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اين جهت از من شكايت مى‌كند كه من حقّ خود را از وى گرفته‌ام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حالت غضب نشستند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خيال مى‌كنى چون حقّت را از وى گرفته‌اى كار بدى نكرده‌اى؟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خداوند ـ عزّ و جلّ ـ در قرآن كريم فرموده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يَخافُونَ سُوءَ 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آن‌ها مى‌ترسند كه خداوند به آن‌ها ستم كند؟ نه، آن‌ها مى‌ترسيدند كه خداوند، دقيق از آن‌ها حسابرسي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جهت خداوند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هر كس از برادرش سخت حساب بكشد بد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استظهار 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w:t>
      </w:r>
    </w:p>
    <w:p>
      <w:pPr>
        <w:pStyle w:val="BookText"/>
        <w:rPr/>
      </w:pPr>
      <w:r>
        <w:rPr>
          <w:rFonts w:ascii="IRNazanin" w:hAnsi="IRNazanin" w:eastAsia="IRNazanin"/>
          <w:color w:val="111111"/>
          <w:sz w:val="28"/>
          <w:sz w:val="28"/>
          <w:szCs w:val="28"/>
          <w:rtl w:val="true"/>
          <w:lang w:bidi="fa-IR"/>
        </w:rPr>
        <w:t>شاهد جناب شيخ اين است كه وقتي آن مرد رفتار صحابيِ امام را نقل مي‌كند، حضرت ردعش نمي‌كند، با اين‌كه كار آن صحابي حرام نبود بلكه بي‌مروتي و سخت‌گيري در حسابرسي بود كه ترك اولي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وقتي نزد حضرت غيبتِ كسي مي‌شود و موضوع غيبت، ترك اولي است، حضرت ردعش نمي‌كند و عدم ردع معصوم، دليل بر جواز آن عمل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استظهار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روايت با اين تحليل نمي‌تواند شاهدي براي شيخ باشد؛ زيرا مجوزات غيبت متعدّد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شيخ هم ده مورد از مجوزات غيبت را بعداً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عدم ردع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غيبت، به دليل مجوّزي از مجوّزات غيبت باشد؛ مثلاً صحابي حضرت استقضاي دَينش را علني كرده بود و فقط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از موضوع نداشت، بنابراين عيب مستوري نبوده تا غيبت باشد، يا شايد وجه ديگري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نمي‌توان گفت فقط از باب ترك اولي بوده تا عدم ردع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بر جواز غيبت در چنين مواردي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مرسله‌ي ثعلبة بن ميمون</w:t>
      </w:r>
    </w:p>
    <w:p>
      <w:pPr>
        <w:pStyle w:val="BookText"/>
        <w:rPr/>
      </w:pPr>
      <w:r>
        <w:rPr>
          <w:rFonts w:ascii="Amiri" w:hAnsi="Amiri" w:eastAsia="Amiri" w:cs="Amiri"/>
          <w:color w:val="111111"/>
          <w:sz w:val="28"/>
          <w:sz w:val="28"/>
          <w:szCs w:val="28"/>
          <w:rtl w:val="true"/>
          <w:lang w:bidi="ar-SA"/>
        </w:rPr>
        <w:t xml:space="preserve">عِدَّةٌ مِنْ أَصْحَابِنَا عَنْ أَحْمَدَ بْنِ مُحَمَّدٍ عَنْ عَبْدِ اللَّهِ بْنِ مُحَمَّدٍ الْحَجَّالِ عَنْ ثَعْلَبَةَ بْنِ مَيْمُونٍ عَمَّنْ ذَكَرَهُ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عِنْدَهُ قَوْمٌ يُحَدِّثُهُمْ إِذْ ذَكَرَ رَجُلٌ مِنْهُمْ رَجُلًا فَوَقَعَ فِيهِ وَ شَكَاهُ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أَنَّى لَكَ بِأَخِيكَ كُلِّهِ وَ أَيُّ الرِّجَالِ الْمُهَذَّبُ؟</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ثعلبة بن ميمون از مردى كه نامش را برده، نقل حديث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گروهي نزد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حضرت براى آن‌ها صحبت مي‌فرمودند، در اين ميان مردى از آن‌ها نام مردى را به بدى ياد كرد و از او نزد حضرت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گله كرد، حضرت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برايت برادرى تمام عيار به دست مي‌آيد؟ و كدام مردى است كه مهذّب و پاك از همه‌ي عيوب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استظهار مرحوم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روايت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ظهور اين روايت بر مي‌آيد كه موردِ شكايت، ترك اولايي بوده است كه براي يك مؤمن سزاوار نيست مرتكب آن شود</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مناقشه در استشهاد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نقلي كه در وسائل الشيعه و كافي وجود دارد، جناب شيخ در نقل خود دچار اشتباه شده است</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هم مرسله بوده و سندش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نمي‌تواند شاهد براي شيخ باشد</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مطالبي كه بايد درباره‌ي استثناي دوم بيان مي‌شد،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شيخ در نهايت، اين مجوّز دوم را جزء مجوزهاي ده‌گانه خواهد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استثناي دوم را از مواردي نشماريد كه شارع استثنا كرده باشد، بلكه از مواردي است كه به ملاك تزاحم از محدوده‌ي غيبت حرام خارج است؛ يعني اگر جايي مصلحت تظلّم و غيبت، اقوي از مصلحت حرمت مؤمن باشد غيبت جايز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 ما اين فرمايش مرحوم شيخ را قبول نداريم؛ زيرا دلالت آيه‌ي شريفه را با اطلاقش پذيرفتيم و در نگاه ما اطلاق آيه‌ي</w:t>
      </w:r>
      <w:bookmarkStart w:id="459" w:name="pg2359_23475"/>
    </w:p>
    <w:p>
      <w:pPr>
        <w:pStyle w:val="BookText"/>
        <w:rPr/>
      </w:pPr>
      <w:bookmarkEnd w:id="459"/>
      <w:r>
        <w:rPr>
          <w:rFonts w:ascii="IRNazanin" w:hAnsi="IRNazanin" w:eastAsia="IRNazanin"/>
          <w:color w:val="111111"/>
          <w:sz w:val="28"/>
          <w:sz w:val="28"/>
          <w:szCs w:val="28"/>
          <w:rtl w:val="true"/>
          <w:lang w:bidi="fa-IR"/>
        </w:rPr>
        <w:t>شريفه بيان مي‌دارد كه اگر غيبت، مصداق انتصار مظلوم باشد مانعي ندارد و جايز است</w:t>
      </w:r>
      <w:r>
        <w:rPr>
          <w:rFonts w:eastAsia="IRNazanin" w:cs="IRNazanin"/>
          <w:color w:val="111111"/>
          <w:sz w:val="28"/>
          <w:szCs w:val="28"/>
          <w:rtl w:val="true"/>
          <w:lang w:bidi="fa-IR"/>
        </w:rPr>
        <w:t>.</w:t>
      </w:r>
    </w:p>
    <w:p>
      <w:pPr>
        <w:pStyle w:val="Heading5"/>
        <w:numPr>
          <w:ilvl w:val="4"/>
          <w:numId w:val="1"/>
        </w:numPr>
        <w:rPr/>
      </w:pPr>
      <w:bookmarkStart w:id="460" w:name="__RefHeading___Toc2770527_3804643083"/>
      <w:bookmarkStart w:id="461" w:name="_Toc174"/>
      <w:bookmarkEnd w:id="460"/>
      <w:r>
        <w:rPr>
          <w:rtl w:val="true"/>
        </w:rPr>
        <w:t>مجوّزات غيبت به دليل مزاحمت غرض أهم</w:t>
      </w:r>
      <w:bookmarkEnd w:id="461"/>
    </w:p>
    <w:p>
      <w:pPr>
        <w:pStyle w:val="Heading4"/>
        <w:numPr>
          <w:ilvl w:val="3"/>
          <w:numId w:val="1"/>
        </w:numPr>
        <w:rPr/>
      </w:pPr>
      <w:bookmarkStart w:id="462" w:name="__RefHeading___Toc2770529_3804643083"/>
      <w:bookmarkStart w:id="463" w:name="_Toc175"/>
      <w:bookmarkEnd w:id="462"/>
      <w:r>
        <w:rPr/>
        <w:t>3</w:t>
      </w:r>
      <w:r>
        <w:rPr>
          <w:rtl w:val="true"/>
        </w:rPr>
        <w:t xml:space="preserve">. </w:t>
      </w:r>
      <w:r>
        <w:rPr>
          <w:rtl w:val="true"/>
        </w:rPr>
        <w:t>وجوب نُصح مستشير</w:t>
      </w:r>
      <w:bookmarkEnd w:id="463"/>
    </w:p>
    <w:p>
      <w:pPr>
        <w:pStyle w:val="Heading5"/>
        <w:numPr>
          <w:ilvl w:val="4"/>
          <w:numId w:val="1"/>
        </w:numPr>
        <w:rPr/>
      </w:pPr>
      <w:bookmarkStart w:id="464" w:name="__RefHeading___Toc2770531_3804643083"/>
      <w:bookmarkStart w:id="465" w:name="_Toc176"/>
      <w:bookmarkEnd w:id="464"/>
      <w:r>
        <w:rPr>
          <w:rtl w:val="true"/>
        </w:rPr>
        <w:t>اشاره</w:t>
      </w:r>
      <w:bookmarkEnd w:id="465"/>
    </w:p>
    <w:p>
      <w:pPr>
        <w:pStyle w:val="BookText"/>
        <w:rPr/>
      </w:pPr>
      <w:r>
        <w:rPr>
          <w:rFonts w:ascii="IRNazanin" w:hAnsi="IRNazanin" w:eastAsia="IRNazanin"/>
          <w:color w:val="111111"/>
          <w:sz w:val="28"/>
          <w:sz w:val="28"/>
          <w:szCs w:val="28"/>
          <w:rtl w:val="true"/>
          <w:lang w:bidi="fa-IR"/>
        </w:rPr>
        <w:t>وجوب نصح مستشير به واسطه‌ي غيبت يعني اگر كسي از شما طلب مشورت كرد و براي پاسخ به او مجبور به غيبت شُديد و پاسخ منحصر در غيبت بود، چون ملاك وجوب نصح مستشير أهمّ از ملاك حرمت غيبت است حرمت غيبت ساقط مي‌شود و نصح مستشير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ظاهر أخبار هم در چنين مواردي وجوب غيبت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نصح مستشير، ملاكش أقوي است و گاهي مفسده‌ي حرمت خيانت به مستشير، بالاتر از مصلحت حفظ آبروي مسلماني يا مفسده‌ي قبح كشف قبايح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غيبت، مانع از مفسده‌ي أقوي بود، بدون استشاره هم مي‌توان براي راهنمايي ديگران و جلوگيري از افتادن در گناه بزرگ‌تر غيبت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قصد ازدواج با زني را داشته باشد و اين زن ـ نعوذ بالله ـ فاسده‌اي است كه اگر ازدواج سر بگيرد، مرد مبتلا به مفاسدي ـ از جمله مفسده‌ي غيبت ـ مي‌شود كه اين مفاسد، به مراتب أقوي از مفسده‌ي غيبت اين زن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غيبت زن جايز، بلكه به</w:t>
      </w:r>
      <w:bookmarkStart w:id="466" w:name="pg2359_23476"/>
    </w:p>
    <w:p>
      <w:pPr>
        <w:pStyle w:val="BookText"/>
        <w:rPr/>
      </w:pPr>
      <w:bookmarkEnd w:id="466"/>
      <w:r>
        <w:rPr>
          <w:rFonts w:ascii="Amiri" w:hAnsi="Amiri" w:eastAsia="Amiri" w:cs="Amiri"/>
          <w:color w:val="111111"/>
          <w:sz w:val="28"/>
          <w:sz w:val="28"/>
          <w:szCs w:val="28"/>
          <w:rtl w:val="true"/>
          <w:lang w:bidi="ar-SA"/>
        </w:rPr>
        <w:t>خاطر ظاهر تعدادي از أخبار، غيبتش واجب است</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جناب شيخ اين مطالب را مي‌فرمايد، ولي اين بيانات نيازمند نقد و بررسي است</w:t>
      </w:r>
      <w:r>
        <w:rPr>
          <w:rFonts w:eastAsia="Amiri" w:cs="Amiri" w:ascii="Amiri" w:hAnsi="Amiri"/>
          <w:color w:val="111111"/>
          <w:sz w:val="28"/>
          <w:szCs w:val="28"/>
          <w:rtl w:val="true"/>
          <w:lang w:bidi="ar-SA"/>
        </w:rPr>
        <w:t>.</w:t>
      </w:r>
    </w:p>
    <w:p>
      <w:pPr>
        <w:pStyle w:val="Heading5"/>
        <w:numPr>
          <w:ilvl w:val="4"/>
          <w:numId w:val="1"/>
        </w:numPr>
        <w:rPr/>
      </w:pPr>
      <w:bookmarkStart w:id="467" w:name="__RefHeading___Toc2770533_3804643083"/>
      <w:bookmarkStart w:id="468" w:name="_Toc177"/>
      <w:bookmarkEnd w:id="467"/>
      <w:r>
        <w:rPr>
          <w:rtl w:val="true"/>
        </w:rPr>
        <w:t>نقد و بررسي ديدگاه شيخ در جواز غيبت به خاطر وجوب نصح مستشير</w:t>
      </w:r>
      <w:bookmarkEnd w:id="468"/>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واقعاً ما نحن فيه از موارد باب تزاحم باشد، چرا شما علي الاطلاق نصح مستشير را واجب فرموديد؟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حتّي نصح بدون استشاره را هم بر حرمت غيبت مقدّم دانستيد؟ بر فرض، كسي مي‌خواهد چند مهمان دعوت كند يا مي‌خواهد معامله‌ي مختصري انجام دهد، مثلاً عبايي بخرد و از شما مشورت مي‌خواهد و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فلاني بخرم يا فلاني را هم براي مهماني دعوت كنم؟ شما هم عيوبي از فروشنده يا مهمان مي‌دانيد و اگر اين مطالب را نگوييد، او عبا را مي‌خرد يا فلاني را دعوت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واجب است از فروشنده يا مهمان غيبت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غيبت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ملاكي نداد و مطلق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نصح مستشير،</w:t>
      </w:r>
    </w:p>
    <w:p>
      <w:pPr>
        <w:pStyle w:val="BookText"/>
        <w:rPr/>
      </w:pPr>
      <w:r>
        <w:rPr>
          <w:rFonts w:ascii="Amiri" w:hAnsi="Amiri" w:eastAsia="Amiri" w:cs="Amiri"/>
          <w:color w:val="111111"/>
          <w:sz w:val="28"/>
          <w:sz w:val="28"/>
          <w:szCs w:val="28"/>
          <w:rtl w:val="true"/>
          <w:lang w:bidi="ar-SA"/>
        </w:rPr>
        <w:t>واجب و مجوّز غيبت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حداقل بايد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غيبت براي مواردي است كه ملاك نصح مستشير، أهم يا محتمل الأهمّيه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جناب شيخ مي‌فرمايد نصح مستشير بنا به ظاهر عدّه‌اي از اخبار، علي الاطلاق واجب است، چه دليلي بر ادّعاي خود ارائه دادند؟ مناسب بود كه اخبار مربوطه ذكر و حدود آن‌ها بررسي شود تا بدانيم چه مقدار أهمّيت دارد؟ چند روايت آن درست و چند مورد، نادرست است؟ حدود دلالت روايات چيست؟ بعضي از فقهاي محقّقِ بعد از ايشان معتقد به تمام نبودن دلالت روايات مورد نظر شيخ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نبودِ روايات، ما نمي‌توانيم وجوب نصح مستشير را ملتزم شويم؛ مخصوصاً در مواقعي كه طلب مشورت هم نشده باشد و راهنماييِ ابتدايي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ايشان در عبارات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نصح مستشير، أهم و خيانت، حرام است؛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نگاه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ترك نُصح، مساوي با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عدم نصح، مساوي با خيانت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كسي درباره‌ي شخصي از ما بپرسد ـ هرچند در امر بسيار مهمّي باشد ـ و ما بگوييم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نمي‌توانم در اين‌باره چيزي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خيانت است؟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خيانت آن است كه كسي خلاف واقع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كسي خلاف واقع نگفت، بلكه به نحوي سكوت كرد يا صريح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در اين امر، محذور دارم و نمي‌توانم كلامي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خيانت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شد كه عدم نصح مستشير، به نحو اطلاق خيانت نيست، بر خلاف ظاهر عبارت شيخ كه ايشان امتناع از نصح مستشير را خيانت در حقّ او 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اين مورد را از موارد تزاحم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ما اين است كه بر طبق چه معياري تزاحم است؟ اگر كسي بگويد اين مورد از باب تعارض است، چه مانعي دارد؟</w:t>
      </w:r>
    </w:p>
    <w:p>
      <w:pPr>
        <w:pStyle w:val="BookText"/>
        <w:rPr/>
      </w:pPr>
      <w:r>
        <w:rPr>
          <w:rFonts w:ascii="IRNazanin" w:hAnsi="IRNazanin" w:eastAsia="IRNazanin"/>
          <w:color w:val="111111"/>
          <w:sz w:val="28"/>
          <w:sz w:val="28"/>
          <w:szCs w:val="28"/>
          <w:rtl w:val="true"/>
          <w:lang w:bidi="fa-IR"/>
        </w:rPr>
        <w:t xml:space="preserve">مي‌دانيم تعارض در دو عنواني است كه مصداق واحدي داشته ـ مثلاً يك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باشيم و يك 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دو، مصداق واحدي داشته باشند ـ و مبناي ما هم امتناعي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فيه اگر كسي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نصح مستشير با غيبت، عموم و خصوص من وجه است و مادّه‌ي اجتماع هم دارند به نحوي كه مورد تعارضند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شما چيست؟</w:t>
      </w:r>
    </w:p>
    <w:p>
      <w:pPr>
        <w:pStyle w:val="BookText"/>
        <w:rPr/>
      </w:pPr>
      <w:r>
        <w:rPr>
          <w:rFonts w:ascii="IRNazanin" w:hAnsi="IRNazanin" w:eastAsia="IRNazanin"/>
          <w:color w:val="111111"/>
          <w:sz w:val="28"/>
          <w:sz w:val="28"/>
          <w:szCs w:val="28"/>
          <w:rtl w:val="true"/>
          <w:lang w:bidi="fa-IR"/>
        </w:rPr>
        <w:t>در موارد زيادي، هم نُصح مستشير صادق است و هم غيبت؛ چون لازم نيست براي نصح، غيبت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غيبت است ولي نصح مستشير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هم، غيبت و نصح مستشير همراه هم هست و نفسِ غيبت، نصح مستشير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همين‌كه در جواب مستشيرِ ازدواج مي‌گويد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فلاني شراب‌خوار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 نصح مستشير است و هم غيبت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گاهي غيبت مقدّمه‌ي نصح مستشير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ممكن است بگوييم تزاحم است، ولي در جايي كه نفس غيبت، نصح مستشير باشد ديگر تعارض است نه تزاحم</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وقتي تعارض شد، در عموم و خصوص من وجه قاعده‌ي اوّليه</w:t>
      </w:r>
    </w:p>
    <w:p>
      <w:pPr>
        <w:pStyle w:val="BookText"/>
        <w:rPr/>
      </w:pPr>
      <w:r>
        <w:rPr>
          <w:rFonts w:ascii="Amiri" w:hAnsi="Amiri" w:eastAsia="Amiri" w:cs="Amiri"/>
          <w:color w:val="111111"/>
          <w:sz w:val="28"/>
          <w:sz w:val="28"/>
          <w:szCs w:val="28"/>
          <w:rtl w:val="true"/>
          <w:lang w:bidi="ar-SA"/>
        </w:rPr>
        <w:t>اين است كه اخبار دالّ بر وجوب نصح مستشير و ادلّه‌ي حرمت غيبت با هم تعارض كرده و تساقط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حداقل در مواردي كه نفس غيبت، مصداق نصح مستشير باشد از موارد تزاحم نبوده و قواعد تزاحم جايي ندارد، بلكه تعارض است و قواعد تعارض بايد جريان يابد كه قواعد تعارض چه بسا به نفع حرمت غيبت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نهايي در نصح مستشير</w:t>
      </w:r>
    </w:p>
    <w:p>
      <w:pPr>
        <w:pStyle w:val="BookText"/>
        <w:rPr/>
      </w:pPr>
      <w:r>
        <w:rPr>
          <w:rFonts w:ascii="IRNazanin" w:hAnsi="IRNazanin" w:eastAsia="IRNazanin"/>
          <w:color w:val="111111"/>
          <w:sz w:val="28"/>
          <w:sz w:val="28"/>
          <w:szCs w:val="28"/>
          <w:rtl w:val="true"/>
          <w:lang w:bidi="fa-IR"/>
        </w:rPr>
        <w:t>جزء مستثنيات قطعي غيبت، جرح شهود است كه هيچ كس نمي‌تواند در اين استثنا مناقشه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جرح شهود يعني اگر چند شاهد فاسق ـ با اين فرض كه فسق‌شان مخفي است ـ عليه مؤمني شهادت دادند و شما هم مي‌دانيد كه اين شهود فاسقند، ـ اگر نگوييم واجب است، حداقل ـ جايز است نزد قاضي برويد و شهادت بدهيد كه اين شهود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غيبتي به اين روشني و صراحت كه آبروي شهود را آن‌هم پيش قاضي مي‌برد، شرعاً جايز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جرح شهود، جايز يا واجب است، حتّي براي زماني است كه مالِ مورد دعوا مال كمي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نمي‌خواهيم از طريق اولويت، چيزي را ثابت كنيم، ولي اگر فرض كرديم كسي عِرضش يا مالش در خطر باشد و اگر شما غيبت فاسقي را نكني بَناست عِرض يا مال مؤمني از بين برود ـ حتّي در آن موردي كه تعارض باشد ـ آيا كسي احتمال اين را هم مي‌دهد كه غيبت جايز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قاعدتاً كسي احتمال نمي‌دهد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مهمّ ما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بيان شد كه ما به معناي لغوي غيبت دسترسي نداريم يا معناي لغوي غيبت با آن سعه‌اي كه دارد قطعاً مراد شارع نيست، از سوي ديگر حدود معناي شرعي غيبت هم به نحوي كه روشن و حجّت باشد در اختيار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اين‌كه قطعاً استثنائاتي براي غيبت وجود دارد، مثل تظلّم مظلوم يا جرح شهود يا موارد ديگري كه علما پذيرفته‌اند و قابل مناقشه نيست، اين احتمال در ذهن منقدح مي‌شود كه اساساً غيبتِ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غيبتي كه موضوع حرمت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مواقعي است كه يك غرض عقلايي بر غيبت مترتّب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غرضي عقلايي كه داراي أهمّيت است بر غيبت مترتّب شد ـ با احتياط مي‌گوييم ـ اصلاً اين موارد، تخصّصاً از غيبتِ حرام خارج است و اصلاً غيبتِ حرام نيست، نه اين‌كه ـ مانند جناب شيخ ـ بگوييم از راه تزاحم خارج باشد، بلكه تخصّصاً خارج است؛ چون ما نتوانستيم اطلاقي لغوي يا شرعي براي غيبت پيدا كنيم كه حتّي اين موارد را در برگيرد، مخصوصاً با توجّه به اين‌كه راغب در مفردات در تعريف غيبت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 يادكردن از ديگري است به عيب او بدون نيازي به ذكر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غير أن أحوج إلي ذكره</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نصح مستشير ـ حداقل آن مواردش كه داراي أهمّيت است ـ و نظاير آن كه شيخ چندين مورد را مي‌شمارد، بنا به ذوق متشرّعه و سوق جمعي بسياري از روايات استفاده مي‌شود كه اصلاً دليلي بر حرمت اين موارد، تحت عنوان غيبتِ حرام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غيبت براي غرض عقلايي شد، براي ما ثابت نيست كه شارع</w:t>
      </w:r>
    </w:p>
    <w:p>
      <w:pPr>
        <w:pStyle w:val="BookText"/>
        <w:rPr/>
      </w:pPr>
      <w:r>
        <w:rPr>
          <w:rFonts w:ascii="Amiri" w:hAnsi="Amiri" w:eastAsia="Amiri" w:cs="Amiri"/>
          <w:color w:val="111111"/>
          <w:sz w:val="28"/>
          <w:sz w:val="28"/>
          <w:szCs w:val="28"/>
          <w:rtl w:val="true"/>
          <w:lang w:bidi="ar-SA"/>
        </w:rPr>
        <w:t>آن را حرام كرده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در تفسير تبيان، زماني كه غيبت را معنا مي‌كند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فالغيبة ذكر العيب بظهر الغيب على وجه تمنع الحكمة منه</w:t>
      </w:r>
      <w:r>
        <w:rPr>
          <w:rFonts w:eastAsia="Amiri" w:cs="Amiri" w:ascii="Amiri" w:hAnsi="Amiri"/>
          <w:color w:val="111111"/>
          <w:sz w:val="28"/>
          <w:szCs w:val="28"/>
          <w:rtl w:val="true"/>
          <w:lang w:bidi="ar-SA"/>
        </w:rPr>
        <w:t>»</w:t>
      </w:r>
      <w:r>
        <w:rPr>
          <w:rStyle w:val="FootnoteAnchor"/>
          <w:rtl w:val="true"/>
        </w:rPr>
        <w:footnoteReference w:id="316"/>
      </w:r>
      <w:r>
        <w:rPr>
          <w:rFonts w:ascii="IRNazanin" w:hAnsi="IRNazanin" w:eastAsia="IRNazanin"/>
          <w:color w:val="111111"/>
          <w:sz w:val="28"/>
          <w:sz w:val="28"/>
          <w:szCs w:val="28"/>
          <w:rtl w:val="true"/>
          <w:lang w:bidi="fa-IR"/>
        </w:rPr>
        <w:t xml:space="preserve">غيبت ذكر 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غياب است به نحوي كه حكمت، آن را منع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مطابق معنايي كه شيخ طوسي ارائه مي‌فرمايد، اگر غيبت حكمتي عقلايي داشت اصلاً موضوع غيبتِ حرام نيست، حداقل اين‌كه نمي‌دانيم حرام باشد و لامحاله مجراي برائت است</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نتيجه اين‌كه در نصح مستشير، علي الاطلاق مشكل است قائل به جواز غيبت شويم، ولي اگر داراي أهمّيت في‌الجمله‌اي باشد غيبت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هم با مدّعاي شيخ موافقيم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قبول نكنيم نصح مستشير واجب است، ولي همين اندازه كه جايز باشد و يك غرض عقلايي داشته باشد كافي است كه غيبتِ براي آن را جايز بدانيم؛ زيرا غيبت براي مواردي است كه تفكّهاً باشد، امّا اگر غرض عقلايي بر آن مترتّب باشد تحت عنوان غيبتِ حرام قرار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بلي، اگر غرض، بدون غيبت محقّق مي‌شود غيبت جايز نيست؛ مثلاً به جاي آن‌كه عيب شخص را بگويد، به طرف مورد مشورت بگويد من اگر به جاي تو بودم اين عمل را انجام</w:t>
      </w:r>
      <w:bookmarkStart w:id="469" w:name="pg2359_23482"/>
    </w:p>
    <w:p>
      <w:pPr>
        <w:pStyle w:val="BookText"/>
        <w:rPr/>
      </w:pPr>
      <w:bookmarkEnd w:id="469"/>
      <w:r>
        <w:rPr>
          <w:rFonts w:ascii="Amiri" w:hAnsi="Amiri" w:eastAsia="Amiri" w:cs="Amiri"/>
          <w:color w:val="111111"/>
          <w:sz w:val="28"/>
          <w:sz w:val="28"/>
          <w:szCs w:val="28"/>
          <w:rtl w:val="true"/>
          <w:lang w:bidi="ar-SA"/>
        </w:rPr>
        <w:t>نمي‌دادم و مشورت كننده به اين سخن اعتماد كند</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2770535_3804643083"/>
      <w:bookmarkStart w:id="471" w:name="_Toc178"/>
      <w:bookmarkEnd w:id="470"/>
      <w:r>
        <w:rPr/>
        <w:t>4</w:t>
      </w:r>
      <w:r>
        <w:rPr>
          <w:rtl w:val="true"/>
        </w:rPr>
        <w:t xml:space="preserve">. </w:t>
      </w:r>
      <w:r>
        <w:rPr>
          <w:rtl w:val="true"/>
        </w:rPr>
        <w:t>استفتا</w:t>
      </w:r>
      <w:bookmarkEnd w:id="471"/>
    </w:p>
    <w:p>
      <w:pPr>
        <w:pStyle w:val="Heading5"/>
        <w:numPr>
          <w:ilvl w:val="4"/>
          <w:numId w:val="1"/>
        </w:numPr>
        <w:rPr/>
      </w:pPr>
      <w:bookmarkStart w:id="472" w:name="__RefHeading___Toc2770537_3804643083"/>
      <w:bookmarkStart w:id="473" w:name="_Toc179"/>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 xml:space="preserve">يكي ديگر از موارد ده‌گانه‌اي كه به نظر مرحوم شيخ، از باب تزاحم از حرمت غيبت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استفتاي از مفتي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مثالي كه شيخ براي اين مورد ذكر مي‌فرمايد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بأن يقول للمفتي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فلانٌ في حقّي، فكيف طريقي في الخلاص؟</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به مفتي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فلاني در حقّ من ظلم كرده است، راه خلاصي از ظلم او چيست؟</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اين مثال بايد بگوييم مثال اعمّي است و مي‌تواند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 آن منطبق شود و بعضي از استدلال‌هاي ايشان هم مناسب با اين جهت است، گرچه بعضي از استدلال‌ها هم اعم است</w:t>
      </w:r>
      <w:r>
        <w:rPr>
          <w:rFonts w:eastAsia="IRNazanin" w:cs="IRNazanin"/>
          <w:color w:val="111111"/>
          <w:sz w:val="28"/>
          <w:szCs w:val="28"/>
          <w:rtl w:val="true"/>
          <w:lang w:bidi="fa-IR"/>
        </w:rPr>
        <w:t>.</w:t>
      </w:r>
    </w:p>
    <w:p>
      <w:pPr>
        <w:pStyle w:val="Heading5"/>
        <w:numPr>
          <w:ilvl w:val="4"/>
          <w:numId w:val="1"/>
        </w:numPr>
        <w:rPr/>
      </w:pPr>
      <w:bookmarkStart w:id="474" w:name="__RefHeading___Toc2770539_3804643083"/>
      <w:bookmarkStart w:id="475" w:name="_Toc180"/>
      <w:bookmarkEnd w:id="474"/>
      <w:r>
        <w:rPr>
          <w:rtl w:val="true"/>
        </w:rPr>
        <w:t>ادلّه‌ي مرحوم شيخ</w:t>
      </w:r>
      <w:r>
        <w:rPr>
          <w:rtl w:val="true"/>
        </w:rPr>
        <w:t xml:space="preserve">- </w:t>
      </w:r>
      <w:r>
        <w:rPr>
          <w:rtl w:val="true"/>
        </w:rPr>
        <w:t xml:space="preserve">قدس سره </w:t>
      </w:r>
      <w:r>
        <w:rPr>
          <w:rtl w:val="true"/>
        </w:rPr>
        <w:t xml:space="preserve">- </w:t>
      </w:r>
      <w:r>
        <w:rPr>
          <w:rtl w:val="true"/>
        </w:rPr>
        <w:t>بر عدم حرمت غيبت در صورت استفتا</w:t>
      </w:r>
      <w:bookmarkEnd w:id="475"/>
    </w:p>
    <w:p>
      <w:pPr>
        <w:pStyle w:val="Heading6"/>
        <w:numPr>
          <w:ilvl w:val="5"/>
          <w:numId w:val="1"/>
        </w:numPr>
        <w:rPr/>
      </w:pPr>
      <w:bookmarkStart w:id="476" w:name="__RefHeading___Toc2770541_3804643083"/>
      <w:bookmarkStart w:id="477" w:name="_Toc181"/>
      <w:bookmarkEnd w:id="476"/>
      <w:r>
        <w:rPr>
          <w:rtl w:val="true"/>
        </w:rPr>
        <w:t>الف</w:t>
      </w:r>
      <w:r>
        <w:rPr>
          <w:rtl w:val="true"/>
        </w:rPr>
        <w:t xml:space="preserve">) </w:t>
      </w:r>
      <w:r>
        <w:rPr>
          <w:rtl w:val="true"/>
        </w:rPr>
        <w:t>استدلال به قاعده‌ي تزاحم</w:t>
      </w:r>
      <w:bookmarkEnd w:id="477"/>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استدلال عامّي را براي تمام موارد ده‌گانه مطرح مي‌فرمايد، كه همان قاعده‌ي تزاحم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استفتا هم اگر غيبت، طريق منحصر باشد، از باب تزاحم و رجحان أهمّيت</w:t>
      </w:r>
      <w:bookmarkStart w:id="478" w:name="pg2359_23483"/>
    </w:p>
    <w:p>
      <w:pPr>
        <w:pStyle w:val="BookText"/>
        <w:rPr/>
      </w:pPr>
      <w:bookmarkEnd w:id="478"/>
      <w:r>
        <w:rPr>
          <w:rFonts w:ascii="Amiri" w:hAnsi="Amiri" w:eastAsia="Amiri" w:cs="Amiri"/>
          <w:color w:val="111111"/>
          <w:sz w:val="28"/>
          <w:sz w:val="28"/>
          <w:szCs w:val="28"/>
          <w:rtl w:val="true"/>
          <w:lang w:bidi="ar-SA"/>
        </w:rPr>
        <w:t>مصلحت استفتا از مفسده‌ي غيبت، غيبت حرام نخواهد بود</w:t>
      </w:r>
      <w:r>
        <w:rPr>
          <w:rFonts w:eastAsia="Amiri" w:cs="Amiri" w:ascii="Amiri" w:hAnsi="Amiri"/>
          <w:color w:val="111111"/>
          <w:sz w:val="28"/>
          <w:szCs w:val="28"/>
          <w:rtl w:val="true"/>
          <w:lang w:bidi="ar-SA"/>
        </w:rPr>
        <w:t>.</w:t>
      </w:r>
    </w:p>
    <w:p>
      <w:pPr>
        <w:pStyle w:val="Heading6"/>
        <w:numPr>
          <w:ilvl w:val="5"/>
          <w:numId w:val="1"/>
        </w:numPr>
        <w:rPr/>
      </w:pPr>
      <w:bookmarkStart w:id="479" w:name="__RefHeading___Toc2770543_3804643083"/>
      <w:bookmarkStart w:id="480" w:name="_Toc182"/>
      <w:bookmarkEnd w:id="479"/>
      <w:r>
        <w:rPr>
          <w:rtl w:val="true"/>
        </w:rPr>
        <w:t>ب</w:t>
      </w:r>
      <w:r>
        <w:rPr>
          <w:rtl w:val="true"/>
        </w:rPr>
        <w:t xml:space="preserve">) </w:t>
      </w:r>
      <w:r>
        <w:rPr>
          <w:rtl w:val="true"/>
        </w:rPr>
        <w:t>استدلال به روايت عوالي اللئالي</w:t>
      </w:r>
      <w:bookmarkEnd w:id="480"/>
    </w:p>
    <w:p>
      <w:pPr>
        <w:pStyle w:val="BookText"/>
        <w:rPr/>
      </w:pPr>
      <w:r>
        <w:rPr>
          <w:rFonts w:ascii="Amiri" w:hAnsi="Amiri" w:eastAsia="Amiri" w:cs="Amiri"/>
          <w:color w:val="111111"/>
          <w:sz w:val="28"/>
          <w:sz w:val="28"/>
          <w:szCs w:val="28"/>
          <w:rtl w:val="true"/>
          <w:lang w:bidi="ar-SA"/>
        </w:rPr>
        <w:t>ـ روايت عوالي اللئالي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لِهِنْدٍ بِنْتِ عُتْبَةَ امْرَأَةِ أَبِي سُفْيَانَ حِينَ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لَا يُعْطِينِي وَ وُلْدِي مَا يَكْفِينِي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لَكِ وَ لِوُلْدِكِ مَا يَكْفِيكِ بِالْمَعْرُوفِ</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هند، دختر عتبه، همسر ابوسفيان ـ عليهم اللعنة ـ خدمت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ابوسفيان مرد بخيلي است و به من و بچه‌هايم آن مقداري از نفقه كه براي ما كافي باشد نمي‌دهد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خودت و فرزندانت آن مقداري كه شما را كفايت مي‌كند و متعارف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قابل اعتماد نيست و در مجامع شيعي ـ به غير از كتاب عوالي اللئالي ـ وجود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احتمالاً صاحب عوالي اللئالي اين روايت را از كتب عامّه اخذ كرده باشد؛ زيرا بعيد است كه در كتب شيعه و از طريق شيعه نقل شده باشد و به دست ما نرسيده ولي به دست صاحب عوالي اللئالي رسيده باشد</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مجامع عامّه هم در كتاب‌هاي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ابن داود، ابن ماجه،</w:t>
      </w:r>
    </w:p>
    <w:p>
      <w:pPr>
        <w:pStyle w:val="BookText"/>
        <w:rPr/>
      </w:pPr>
      <w:r>
        <w:rPr>
          <w:rFonts w:ascii="IRNazanin" w:hAnsi="IRNazanin" w:eastAsia="IRNazanin"/>
          <w:color w:val="111111"/>
          <w:sz w:val="28"/>
          <w:sz w:val="28"/>
          <w:szCs w:val="28"/>
          <w:rtl w:val="true"/>
          <w:lang w:bidi="fa-IR"/>
        </w:rPr>
        <w:t>دارقطني، نسائي و صحيح بخاري، اين‌گونه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قَالَتْ هِنْدٌ أُمُّ مُعَاوِيَةَ لِرَسُولِ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سُفْيَانَ رَجُلٌ شَحِيحٌ، فَهَلْ عَلَيَّ جُنَاحٌ أَنْ آخُذَ مِنْ مَالِهِ سِرًّا؟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خُذِي أَنْتِ وَبَنُوكِ مَا يَكْفِيكِ بِالْمَعْرُوفِ</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البته تعابير كتب عامّه كمي با هم متفاوت است، ولي مضمون همه يكي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اين روايت را نقل مي‌فرمايد و چيزي از لحاظ سند ذكر نمي‌كند، فقط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الاستدلال عليه بحكاية هند، زوجة ابي سفيان</w:t>
      </w:r>
      <w:r>
        <w:rPr>
          <w:rFonts w:eastAsia="IRNazanin" w:cs="IRNazanin"/>
          <w:color w:val="111111"/>
          <w:sz w:val="28"/>
          <w:szCs w:val="28"/>
          <w:rtl w:val="true"/>
          <w:lang w:bidi="fa-IR"/>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مرحوم شيخ چنين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اشكال كند و بگويد اساساً ابوسفيان شخصي متجاهر به فسق بوده، بلكه مجسمه‌ي فسق، فجور و نفاق بود و غيبتي براي او نيست</w:t>
      </w:r>
      <w:r>
        <w:rPr>
          <w:rStyle w:val="FootnoteAnchor"/>
          <w:rtl w:val="true"/>
        </w:rPr>
        <w:footnoteReference w:id="321"/>
      </w:r>
      <w:r>
        <w:rPr>
          <w:rFonts w:ascii="IRNazanin" w:hAnsi="IRNazanin" w:eastAsia="IRNazanin"/>
          <w:color w:val="111111"/>
          <w:sz w:val="28"/>
          <w:sz w:val="28"/>
          <w:szCs w:val="28"/>
          <w:rtl w:val="true"/>
          <w:lang w:bidi="fa-IR"/>
        </w:rPr>
        <w:t>، ممكن است به روايت ديگري استدلال كنيم كه بعداً ذكر خواهيم كرد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نقد استدلال به روايت عوالي اللئالي براي اثبات غيبت در مقام استفتا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طريق عامّه نقل شده و سندي ندارد، لذا قابل اعتماد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لزوماً از باب استفتا نيست، شايد از باب انتصار مظلوم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ابوسفيان به همسرش ظلم مي‌كرد و نفقه‌اش را نمي‌داد، بنابراين مشمول آيه‌ي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لَمَنِ انْتَصَرَ بَعْدَ ظُلْمِهِ فَأُولئِكَ ما عَلَيْهِمْ مِنْ سَبيلٍ</w:t>
      </w:r>
      <w:r>
        <w:rPr>
          <w:rFonts w:eastAsia="Amiri" w:cs="Amiri" w:ascii="Amiri" w:hAnsi="Amiri"/>
          <w:color w:val="111111"/>
          <w:sz w:val="28"/>
          <w:szCs w:val="28"/>
          <w:rtl w:val="true"/>
          <w:lang w:bidi="ar-SA"/>
        </w:rPr>
        <w:t>)</w:t>
      </w:r>
      <w:r>
        <w:rPr>
          <w:rStyle w:val="FootnoteAnchor"/>
          <w:rtl w:val="true"/>
        </w:rPr>
        <w:footnoteReference w:id="322"/>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متن نقل شده در عوالي اللئالي، احتمالاً مي‌تواند از باب تظلّم نزد قاضي باشد؛ چون حضرت، قاضي نيز بودند و هند نزد حضرت به عنوان قاضي و حاكم، طرح دعوا كرده است و هر كسي مي‌تواند نزد قاضي طرح دعوا كند، هرچند مستلزم غيبت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اين‌كه اين روايت از باب تظلّم يا طرح دعوا نزد قاضي باشد، با نقل بعضي ديگر سازگار نيست و احتياج به توجيه دارد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توجّه به اين اشكالات و احتمالات نمي‌توان روايت را دليل بر جواز غيبت در مقام استفتا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اين است كه از باب انتصار باشد و انتصار حتّي از طريق استفتا مانعي ندارد</w:t>
      </w:r>
      <w:r>
        <w:rPr>
          <w:rFonts w:eastAsia="IRNazanin" w:cs="IRNazanin"/>
          <w:color w:val="111111"/>
          <w:sz w:val="28"/>
          <w:szCs w:val="28"/>
          <w:rtl w:val="true"/>
          <w:lang w:bidi="fa-IR"/>
        </w:rPr>
        <w:t>.</w:t>
      </w:r>
      <w:bookmarkStart w:id="481" w:name="pg2359_23486"/>
    </w:p>
    <w:p>
      <w:pPr>
        <w:pStyle w:val="Heading6"/>
        <w:numPr>
          <w:ilvl w:val="5"/>
          <w:numId w:val="1"/>
        </w:numPr>
        <w:rPr/>
      </w:pPr>
      <w:bookmarkStart w:id="482" w:name="__RefHeading___Toc2770545_3804643083"/>
      <w:bookmarkStart w:id="483" w:name="_Toc183"/>
      <w:bookmarkEnd w:id="481"/>
      <w:bookmarkEnd w:id="482"/>
      <w:r>
        <w:rPr>
          <w:rtl w:val="true"/>
        </w:rPr>
        <w:t>ج</w:t>
      </w:r>
      <w:r>
        <w:rPr>
          <w:rtl w:val="true"/>
        </w:rPr>
        <w:t xml:space="preserve">) </w:t>
      </w:r>
      <w:r>
        <w:rPr>
          <w:rtl w:val="true"/>
        </w:rPr>
        <w:t>استدلال به صحيحه‌ي عبدالله بن سنان</w:t>
      </w:r>
      <w:bookmarkEnd w:id="483"/>
    </w:p>
    <w:p>
      <w:pPr>
        <w:pStyle w:val="Heading5"/>
        <w:numPr>
          <w:ilvl w:val="4"/>
          <w:numId w:val="1"/>
        </w:numPr>
        <w:rPr/>
      </w:pPr>
      <w:bookmarkStart w:id="484" w:name="__RefHeading___Toc2770547_3804643083"/>
      <w:bookmarkStart w:id="485" w:name="_Toc184"/>
      <w:bookmarkEnd w:id="484"/>
      <w:r>
        <w:rPr>
          <w:rtl w:val="true"/>
        </w:rPr>
        <w:t>ـ صحيحه‌ي عبدالله بن سنان</w:t>
      </w:r>
      <w:bookmarkEnd w:id="485"/>
    </w:p>
    <w:p>
      <w:pPr>
        <w:pStyle w:val="BookText"/>
        <w:rPr/>
      </w:pPr>
      <w:r>
        <w:rPr>
          <w:rFonts w:ascii="Amiri" w:hAnsi="Amiri" w:eastAsia="Amiri" w:cs="Amiri"/>
          <w:color w:val="111111"/>
          <w:sz w:val="28"/>
          <w:sz w:val="28"/>
          <w:szCs w:val="28"/>
          <w:rtl w:val="true"/>
          <w:lang w:bidi="ar-SA"/>
        </w:rPr>
        <w:t xml:space="preserve">مُحَمَّدُ بْنُ عَلِيِّ بْنِ الْحُسَيْنِ بِإِسْنَادِهِ عَنِ الْحَسَنِ بْنِ مَحْبُوبٍ عَنْ عَبْدِ اللَّهِ بْنِ سِنَانٍ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رَجُلٌ إِلَى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إِنَّ أُمِّي لَا تَدْفَعُ يَدَ لَامِسٍ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فَاحْبِسْهَا قَالَ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فَامْنَعْ مَنْ يَدْخُلُ عَلَيْهَا قَالَ قَدْ فَعَلْتُ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قَيِّدْهَا فَإِنَّكَ لَا تَبَرُّهَا بِشَيْ‌ءٍ أَفْضَلَ مِنْ أَنْ تَمْنَعَهَا مِنْ مَحَارِمِ اللَّهِ عَزَّ وَ جَلَّ</w:t>
      </w:r>
      <w:r>
        <w:rPr>
          <w:rFonts w:eastAsia="Amiri" w:cs="Amiri" w:ascii="Amiri" w:hAnsi="Amiri"/>
          <w:color w:val="111111"/>
          <w:sz w:val="28"/>
          <w:szCs w:val="28"/>
          <w:rtl w:val="true"/>
          <w:lang w:bidi="ar-SA"/>
        </w:rPr>
        <w:t>»</w:t>
      </w:r>
      <w:r>
        <w:rPr>
          <w:rStyle w:val="FootnoteAnchor"/>
          <w:rtl w:val="true"/>
        </w:rPr>
        <w:footnoteReference w:id="323"/>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 نزد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دست كسي را پس نمي‌زند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فعل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حبسش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كار را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 سودي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شو از اين‌كه كسي با او تماس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هم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بندش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پاهايش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هيچ خدمتي و نيكي از تو به مادرت بهتر از اين نيست</w:t>
      </w:r>
    </w:p>
    <w:p>
      <w:pPr>
        <w:pStyle w:val="BookText"/>
        <w:rPr/>
      </w:pPr>
      <w:r>
        <w:rPr>
          <w:rFonts w:ascii="Amiri" w:hAnsi="Amiri" w:eastAsia="Amiri" w:cs="Amiri"/>
          <w:color w:val="111111"/>
          <w:sz w:val="28"/>
          <w:sz w:val="28"/>
          <w:szCs w:val="28"/>
          <w:rtl w:val="true"/>
          <w:lang w:bidi="ar-SA"/>
        </w:rPr>
        <w:t>كه مانع او شوي از ارتكاب حرام‌هاي الهي</w:t>
      </w:r>
      <w:r>
        <w:rPr>
          <w:rStyle w:val="FootnoteAnchor"/>
          <w:rtl w:val="true"/>
        </w:rPr>
        <w:footnoteReference w:id="324"/>
      </w:r>
    </w:p>
    <w:p>
      <w:pPr>
        <w:pStyle w:val="BookText"/>
        <w:rPr/>
      </w:pPr>
      <w:r>
        <w:rPr>
          <w:rFonts w:ascii="IRNazanin" w:hAnsi="IRNazanin" w:eastAsia="IRNazanin"/>
          <w:color w:val="111111"/>
          <w:sz w:val="28"/>
          <w:sz w:val="28"/>
          <w:szCs w:val="28"/>
          <w:rtl w:val="true"/>
          <w:lang w:bidi="fa-IR"/>
        </w:rPr>
        <w:t>مانع شدن از ارتكاب منكر، حداقل در جايي كه مهم باشد، تا اين حد جايز است كه حتي شخصي مي‌تواند مادرش را اين‌چنين قيد بزند و حبس كند و به نظر مي‌آيد حضرت با اين حكم، اذن ولايي نداده‌اند يا حكم ولايي نكرده‌اند، بلكه به حسب طبع، حكم شرعي آن را بيان فرموده‌اند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سند روايت عبدالله ابن سنان</w:t>
      </w:r>
    </w:p>
    <w:p>
      <w:pPr>
        <w:pStyle w:val="BookText"/>
        <w:rPr/>
      </w:pPr>
      <w:r>
        <w:rPr>
          <w:rFonts w:ascii="IRNazanin" w:hAnsi="IRNazanin" w:eastAsia="IRNazanin"/>
          <w:color w:val="111111"/>
          <w:sz w:val="28"/>
          <w:sz w:val="28"/>
          <w:szCs w:val="28"/>
          <w:rtl w:val="true"/>
          <w:lang w:bidi="fa-IR"/>
        </w:rPr>
        <w:t>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در من لايحضره الفقيه نقل كرده است، در حالي‌كه در سلسله‌ي سند به كساني ابتدا فرموده كه چندين نسل با ايشان فاصله‌ي زماني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روايت مرسل نيست؛ چون صدوق در اكثر اين موارد، سندي به اين افراد دارد، ولي براي اين‌كه اين اسامي و اسناد تكرار نشود آن‌ها را در متن كتاب ذكر نكرده و در انتهاي كتاب من لايحضره الفقيه، تحت عنوان مشيخه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كان فيه عن محمد بن الحسن الصفار فقد رويته عن كذا وكذا</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روايت هم اين‌چنين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در مشيخه نگاه مي‌كنيم، جناب صدوق سندش به الحسن بن محبوب را اين‌گونه ذكر مي‌فرمايد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ما كان فيه عن الحسن بن محبوب فقد رويته عن محمّد بن موسى بن المتوكّل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جعفر الحميريّ؛ و سعد بن عبد اللّه، عن أحمد بن محمّد ابن عيسى، عن الحسن بن محبوب</w:t>
      </w:r>
      <w:r>
        <w:rPr>
          <w:rStyle w:val="FootnoteAnchor"/>
          <w:rtl w:val="true"/>
        </w:rPr>
        <w:footnoteReference w:id="325"/>
      </w:r>
    </w:p>
    <w:p>
      <w:pPr>
        <w:pStyle w:val="BookText"/>
        <w:rPr/>
      </w:pPr>
      <w:r>
        <w:rPr>
          <w:rFonts w:ascii="Amiri" w:hAnsi="Amiri" w:eastAsia="Amiri" w:cs="Amiri"/>
          <w:color w:val="111111"/>
          <w:sz w:val="28"/>
          <w:sz w:val="28"/>
          <w:szCs w:val="28"/>
          <w:rtl w:val="true"/>
          <w:lang w:bidi="ar-SA"/>
        </w:rPr>
        <w:t>رواياتي كه در من لايحضره الفقيه ابتدا به حسن بن محبوب شده است، از محمّد بن موسي المتوكل از عبدالله بن جعفر الحميري و سعد بن عبدالله از احمد بن محمّد ابن عيسي از حسن بن محبوب نقل مي‌كنم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سند، موسي بن المتوكل قابل توثيق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الحميري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عبدالله كه با عبدالله بن جعفر الحميري در يك طبقه قرار دارد هم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محمّد بن عيسي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اشعري 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حسن بن محبوب و عبدالله بن سنان هم ثقه‌اند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با توجّه به وثاقت تمامي راويانش صحيحه مي‌باشد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صحيحه‌ي عبدالله بن سنان</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روايت استفاده مي‌شود كه اگر كسي در مقام استفتا غيبت ديگري كند مانعي ندارد؛ چون اين شخص نزد حضرت، غيبت مادرش را كرد و حضرت او را از اين عمل منع و ردع نكردند، پس معلوم مي‌شود غيبت در مقام تعلّم حكم و استفتا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مورد اين روايت ـ مانند روايت قبلي ـ شخص متجاهر به فسق است؛ يعني مادر آن مرد، متجاهر به فسق بود و از اين بابت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روايت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أَلْقَى جِلْبَابَ الْحَيَاءِ فَلَا غِيبَةَ لَهُ</w:t>
      </w:r>
      <w:r>
        <w:rPr>
          <w:rFonts w:eastAsia="Amiri" w:cs="Amiri" w:ascii="Amiri" w:hAnsi="Amiri"/>
          <w:color w:val="111111"/>
          <w:sz w:val="28"/>
          <w:szCs w:val="28"/>
          <w:rtl w:val="true"/>
          <w:lang w:bidi="ar-SA"/>
        </w:rPr>
        <w:t>»</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 xml:space="preserve">كسي كه پرده‌ي حيا را انداخته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بي‌مبالات به امور دين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تجاهر به فسق را با اصل مي‌توانيم احراز كنيم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اين اشكال وارد نيست</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اشكالات وارد بر استدلال به صحيحه‌ي عبدالله بن سنان</w:t>
      </w:r>
    </w:p>
    <w:p>
      <w:pPr>
        <w:pStyle w:val="BookText"/>
        <w:rPr/>
      </w:pPr>
      <w:r>
        <w:rPr>
          <w:rFonts w:ascii="IRNazanin" w:hAnsi="IRNazanin" w:eastAsia="IRNazanin"/>
          <w:color w:val="111111"/>
          <w:sz w:val="28"/>
          <w:sz w:val="28"/>
          <w:szCs w:val="28"/>
          <w:rtl w:val="true"/>
          <w:lang w:bidi="fa-IR"/>
        </w:rPr>
        <w:t>اشكال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مورد روايت از باب تعلّم حكم و استفتا نباشد، بلكه از باب رجوع به حاكم باشد كه وظيفه‌اش تنظيم اجتماع و اجراي 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هم ذكر نشده است كه آن مرد از حضرت براي تعيين تكليف خود سؤال كرده باشد كه من بايد چه كار كنم، بلكه فقط اصل قضيه را مطرح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احتمال اين معنا هست كه چون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حاكم بود و وظيفه‌ي تنظيم اجتماع و اجراي حدود الهي بر عهده‌ي ايشان بود، اين مسأله با ايشان مطرح شده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شايد حضرت اين فردي را كه درباره‌ي مادرش</w:t>
      </w:r>
    </w:p>
    <w:p>
      <w:pPr>
        <w:pStyle w:val="BookText"/>
        <w:rPr/>
      </w:pPr>
      <w:r>
        <w:rPr>
          <w:rFonts w:ascii="IRNazanin" w:hAnsi="IRNazanin" w:eastAsia="IRNazanin"/>
          <w:color w:val="111111"/>
          <w:sz w:val="28"/>
          <w:sz w:val="28"/>
          <w:szCs w:val="28"/>
          <w:rtl w:val="true"/>
          <w:lang w:bidi="fa-IR"/>
        </w:rPr>
        <w:t>اين‌چنين گفته، به حسب علم عادي نمي‌شناختند</w:t>
      </w:r>
      <w:r>
        <w:rPr>
          <w:rStyle w:val="FootnoteAnchor"/>
          <w:rtl w:val="true"/>
        </w:rPr>
        <w:footnoteReference w:id="328"/>
      </w:r>
      <w:r>
        <w:rPr>
          <w:rFonts w:ascii="IRNazanin" w:hAnsi="IRNazanin" w:eastAsia="IRNazanin"/>
          <w:color w:val="111111"/>
          <w:sz w:val="28"/>
          <w:sz w:val="28"/>
          <w:szCs w:val="28"/>
          <w:rtl w:val="true"/>
          <w:lang w:bidi="fa-IR"/>
        </w:rPr>
        <w:t>و شناخت حضرت از او بعد از گفتن اين مطالب هم به حدّي نبوده كه مادرش را بشناسد تا مصداق غيبت باشد؛ زيرا روايت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مردي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شخص سائل، فردي بياباني بوده است كه بعد از مطرح كردن مسأله، خودِ او هم از آن‌جا مي‌رود و معلوم نمي‌شود كجاست و در نتيجه مادرش هم شناخته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چون براي حضرت مجهول بوده، غيبت او حرام نيست و حطّ شأني هم براي آن زن نمي‌شود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همان‌طوري كه مرحوم شيخ هم اين اشكال را مطرح فرموده است،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مادر آن مرد، متجاهر به فسق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قرائني هم بر اين امر وجود دارد و پاسخي كه جناب شيخ با تمسّك به اصل دادند، درست نيست؛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دليل حيث لا دليل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زماني كاربرد دارد كه دليل نباشد، و در ما نحن فيه دليل داريم كه آن زن، متجاهر بوده است؛ زيرا كسي است كه درباره‌ي او گفته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تدفع يد لامس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رد به سينه‌ي هيچ كسي نمي‌زند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 ديگر، انسان‌هاي فاسد و طالب چنين گناهي هم كم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معلوم مي‌شود اين زن، تستّري بر گناه خود ندارد و فرزندش نخواسته اين مطلب را به وضوح بگويد، بلكه بالكنايه مطلب را بيان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ما نحن فيه جاي جريان اصل نيست و غيبت چنين فردي از باب تجاهر به فسق، مانعي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ردع حضرت از غيبت آن مرد، دليل جواز غيبت نيست؛ زيرا اگر لازم بود كه حضرت،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ردع از گناه غيبت كند، اين لزوم از باب نهي از منكر است و در امر به معروف و نهي از منكر، يكي از شرايط اين است كه آمر و ناهي، علم داشته باشد كه طرف مقابل مرتكب گناه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فعل مسلماني به نوعي قابل توجيه باشد بايد عمل مؤمن را حمل بر صحت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هم چون حضرت به طريق عادي، علم به حرام بودن غيبت اين شخص كه عيب مادرش را مي‌گويد ندارد، پس حضرت نمي‌توانست او را از سخن گفتن درباره‌ي مادرش ردع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مجوّز احتمالي آن هم منحصراً احتمال استفتا نيست، بلكه احتمال تجاهر هم كافي است و تحقيق در مورد آن هم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اشكال در مورد روايت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حكايت 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مي‌دانستند كه ابوسفيان، شحيح و بخيل بوده پس متجاهر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نمي‌توانستند او را منع كنند؛ چون شايد سخنان هِند از مصاديق غيبتِ لازم بوده، چه رسد به اين‌كه جايز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مطالبي كه در اشكال چهارم بيان شد، معلوم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كسي عليه كسي حرفي زد نبايد زود قضاوت كرده و او را متّهم به غيبت كنيم و از باب نهي از منكر بگوييم غيبت نكن؛ زيرا علم نداريم كه مرتكب غيبت حرام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سخن</w:t>
      </w:r>
    </w:p>
    <w:p>
      <w:pPr>
        <w:pStyle w:val="BookText"/>
        <w:rPr/>
      </w:pPr>
      <w:r>
        <w:rPr>
          <w:rFonts w:ascii="Amiri" w:hAnsi="Amiri" w:eastAsia="Amiri" w:cs="Amiri"/>
          <w:color w:val="111111"/>
          <w:sz w:val="28"/>
          <w:sz w:val="28"/>
          <w:szCs w:val="28"/>
          <w:rtl w:val="true"/>
          <w:lang w:bidi="ar-SA"/>
        </w:rPr>
        <w:t>او از باب تظلّم يا ساير موارد از مستثنيات غيبت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علم داشتيم كه تفكّهاً عليه كسي سخن مي‌گويد و قطعاً مصداق غيبت حرام است، بايد مانع شد و ردّ غيبت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مواردي كه انسان احتمال مي‌دهد ديگري از طريق مشروع، عليه كسي صحبت مي‌كند و جزء مستثنيات غيبت باشد، مجوّزي براي ممانعت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سوي ديگر، انتساب نسبت ناروا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ارتكاب غيبت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كسي كه علم به عدم جواز فعلش نداشته باشيم جايز نبوده، حتّي سوء‌ظن به او هم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در مثال سابق، استصحاب عدم اجهار جاري باشد باز منافاتي با حمل فعل فرزند بر صحّت ندارد؛ زيرا چنين استصحابي اثبات نمي‌كند كه آن مرد، علي نحو حرام غيبت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خودش علم داشته كه مادرش متجاهر بوده و استصحاب براي كسي حجّت است كه شك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ـ كه سخنان او را مي‌شنويم ـ احتمال مي‌دهيم في الواقع، زن متجاهر باشد، پس نمي‌توانيم او را نهي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اين‌كه عدم ردع حضرت ـ صرف نظر از اشكالات ديگر ـ كاشف از اين نيست كه اگر طريق استفتا منحصر در غيبت باشد غيبت اشخاص در مقام استفتا جايز است</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اشكال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دلالت اين روايت ـ همچنين روايت عوالي اللئالي ـ بر جواز غيبت در مقام استفتا، چرا مقيّد به مواردي باشد كه غيبت، طريق منحصر در استفتا است؟ زيرا روايت، با تقرير مستدل ـ علي فرض صحّت تقرير ـ دلالت بر جواز غيبت</w:t>
      </w:r>
    </w:p>
    <w:p>
      <w:pPr>
        <w:pStyle w:val="BookText"/>
        <w:rPr/>
      </w:pPr>
      <w:r>
        <w:rPr>
          <w:rFonts w:ascii="IRNazanin" w:hAnsi="IRNazanin" w:eastAsia="IRNazanin"/>
          <w:color w:val="111111"/>
          <w:sz w:val="28"/>
          <w:sz w:val="28"/>
          <w:szCs w:val="28"/>
          <w:rtl w:val="true"/>
          <w:lang w:bidi="fa-IR"/>
        </w:rPr>
        <w:t>مطلقاً در مقام استفتا دارد؛ چون در مورد روايت هم آن مرد مي‌توانست بدون آن‌كه مبتلاي به غيبت شود پرسش خود را مطرح كند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مادرش مبتلا به چنين حرامي باشد وظيفه‌ي او در قبال مادرش چيست؟</w:t>
      </w:r>
    </w:p>
    <w:p>
      <w:pPr>
        <w:pStyle w:val="BookText"/>
        <w:rPr/>
      </w:pPr>
      <w:r>
        <w:rPr>
          <w:rFonts w:ascii="IRNazanin" w:hAnsi="IRNazanin" w:eastAsia="IRNazanin"/>
          <w:color w:val="111111"/>
          <w:sz w:val="28"/>
          <w:sz w:val="28"/>
          <w:szCs w:val="28"/>
          <w:rtl w:val="true"/>
          <w:lang w:bidi="fa-IR"/>
        </w:rPr>
        <w:t>در روايت قبل هم، هند ـ همسر ابوسفيان لعنة الله عليهما ـ مي‌توانست اين‌گونه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زني كه شوهرش بخيل است و نفقه‌ي او و فرزندانش را نمي‌دهد، آيا مي‌تواند از اموال او بردارد؟</w:t>
      </w:r>
    </w:p>
    <w:p>
      <w:pPr>
        <w:pStyle w:val="BookText"/>
        <w:rPr/>
      </w:pPr>
      <w:r>
        <w:rPr>
          <w:rFonts w:ascii="IRNazanin" w:hAnsi="IRNazanin" w:eastAsia="IRNazanin"/>
          <w:color w:val="111111"/>
          <w:sz w:val="28"/>
          <w:sz w:val="28"/>
          <w:szCs w:val="28"/>
          <w:rtl w:val="true"/>
          <w:lang w:bidi="fa-IR"/>
        </w:rPr>
        <w:t>بنابراين علي فرض دلالت اين روايت بر جواز غيبت در مقام استفتا، دالّ بر جواز آن است مطلقاً؛ يعني حتّي در صورتي كه غيبت، طريق منحصر در استفتا نباشد، در حالي‌كه چنين جوازي بعيد است و شاهدي بر آن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مرحوم ايرواني بر استصحاب عدم تجاهر به فسق</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پاسخ اشكال احتمال تجاهر آن زن و در مقام دفاع از استدلالِ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تجاهر به فسق، با اصل دفع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كلام ايشان استصحاب عدم اجهار است؛ يعني زنِ مورد نظر زماني مجهِر به فسق نبود، در زمان طرح سؤال شك مي‌شود كه مجهر به فسق شده يا نه، استصحاب نعتي عدم اجهار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كسي از اوّل شك كند كه آن زن از اوّل تكليف فسق را مجهراً انجام مي‌داده يا نه و در نتيجه، شك در جريان استصحاب نعتي كند، استصحاب عدم ازلي ـ بنابر مبناي كساني كه مانند ما استصحاب عدم ازلي را قبول دارند ـ جاري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كلام، مورد اشكال اعلامي از محشّين مكاسب از جمله مرحوم ايرواني</w:t>
      </w:r>
      <w:r>
        <w:rPr>
          <w:rStyle w:val="FootnoteAnchor"/>
          <w:rtl w:val="true"/>
        </w:rPr>
        <w:footnoteReference w:id="329"/>
      </w:r>
      <w:r>
        <w:rPr>
          <w:rFonts w:ascii="Amiri" w:hAnsi="Amiri" w:eastAsia="Amiri" w:cs="Amiri"/>
          <w:color w:val="111111"/>
          <w:sz w:val="28"/>
          <w:sz w:val="28"/>
          <w:szCs w:val="28"/>
          <w:rtl w:val="true"/>
          <w:lang w:bidi="ar-SA"/>
        </w:rPr>
        <w:t>واقع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ايرواني مي‌فرمايد</w:t>
      </w:r>
      <w:r>
        <w:rPr>
          <w:rStyle w:val="FootnoteAnchor"/>
          <w:rtl w:val="true"/>
        </w:rPr>
        <w:footnoteReference w:id="3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در اين مورد جاري نيست؛ زيرا هدف از جريان اين استصحاب، آن است كه ظهوري ثابت شود كه مادر آن مرد، غير متجاهر است، در نتيجه سخني كه فرد درباره‌ي مادرش به حضرت عرض كرد، درباره‌ي غير متجاهر بوده است و بعد، از عدم ردع حضرت نتيجه گرفته شود كه غيبت در مقام استفتا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اثبات ظهور، يك امر عقلي و عرفي است نه شرعي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استفاده‌ي ظهور از اين استصحاب، مثبت است و مثبتات استصحاب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اصولي مانند اصالة عدم القرينة، اصالة عدم النقل و اصالة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ثابت مي‌شود، پس چرا نتوان گفت با اصل استصحاب نيز ظهور ثابت مي‌شود؟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اصولي مانند اصالة عدم النقل و عدم القرينة و امثال آن ـ البته ما اصالة عدم النقل و اصالة عدم القرينة را به تقرير مشهور قبول نداريم ـ اصولي عقلايي بوده و جزء اصول عمليه نيست، در حالي‌كه استصحاب از اصول عمليه‌ي شرعيه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مثبتات چنين اصولي حجّت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آن‌جا كه شارع، سيره‌ي عقلا در مورد عمل به ظهورات را امضا كرده و آن را حجّت قرار داده، معلوم مي‌شود كه ظهور هم يك امر شرعي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ظهور، امري عرفي و عقلايي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شارع بعد از تحقّق ظهور، حجيّت آن را امضا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استفاده‌ي ظهور از جريان استصحاب، مثبت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اشكال محقّق ايرواني و توجيه فرمايش شيخ انصاري</w:t>
      </w:r>
    </w:p>
    <w:p>
      <w:pPr>
        <w:pStyle w:val="BookText"/>
        <w:rPr/>
      </w:pPr>
      <w:r>
        <w:rPr>
          <w:rFonts w:ascii="IRNazanin" w:hAnsi="IRNazanin" w:eastAsia="IRNazanin"/>
          <w:color w:val="111111"/>
          <w:sz w:val="28"/>
          <w:sz w:val="28"/>
          <w:szCs w:val="28"/>
          <w:rtl w:val="true"/>
          <w:lang w:bidi="fa-IR"/>
        </w:rPr>
        <w:t>حقيقت اين است كه اشكال محقّق ايرواني با تقريبي كه بيان كرديم، وارد است، ولي مي‌توانيم كلام شيخ را به گونه‌اي توجيه كنيم كه اين اشكالِ واضح بر آن وارد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شيخ اين است كه در مقام شكّ در اين‌كه آيا زن متجاهر بوده يا نه، استصحاب جاري مي‌كنند و با جريان اين استصحاب، موضوع براي غيبت حرام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بايد آن مرد را از غيبت منع مي‌فرمودند، ولي چنين نكردند، پس معلوم مي‌شود به جهت ديگري اين كار، حرام نبوده است و آن جهت، غيبت در مقام استفتا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توجيهي كه ارائه داديم، اشكال مثبتيت بر كلام مرحوم شيخ وارد نيست، ولي ما اشكال ديگري بر اين كلام وارد كرديم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اگر خود حضرت مي‌خواستند در مورد آن زن دوباره صحبت كنند، با استصحاب عدم تجاهر حكم مي‌كردند كه غير متجاهر است در نتيجه غيبتش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حيث</w:t>
      </w:r>
      <w:bookmarkStart w:id="486" w:name="pg2359_23496"/>
    </w:p>
    <w:p>
      <w:pPr>
        <w:pStyle w:val="BookText"/>
        <w:rPr/>
      </w:pPr>
      <w:bookmarkEnd w:id="486"/>
      <w:r>
        <w:rPr>
          <w:rFonts w:ascii="Amiri" w:hAnsi="Amiri" w:eastAsia="Amiri" w:cs="Amiri"/>
          <w:color w:val="111111"/>
          <w:sz w:val="28"/>
          <w:sz w:val="28"/>
          <w:szCs w:val="28"/>
          <w:rtl w:val="true"/>
          <w:lang w:bidi="ar-SA"/>
        </w:rPr>
        <w:t>اين‌كه فرزندش عليه او صحبت كرده است، آيا غيبتِ حرام بوده تا او را نهي كند يا نه، اصالة الصحة نسبت به فعل فرزند جاري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نتيجه‌ي اين دو اصل، دو حكم متنافي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تجاهر زن حكم مي‌كند كه سخن گفتن از او غيبت باشد و حرام، در حالي‌كه جريان اصالة الصحه براي مرد، حكم به جواز غيبت زن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و عدم جواز با هم تنافي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اين دو اصل با هم تنافي ندارند؛ زيرا مربوط به دو نفر مي‌شود و حتّي گاهي نسبت به يك نفر هم مي‌تواند دو اصل متفاوت، از دو حيثيت جاري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در بحث جريان اصل، توضيح اين مطلب خواهد آمد</w:t>
      </w:r>
      <w:r>
        <w:rPr>
          <w:rFonts w:eastAsia="IRNazanin" w:cs="IRNazanin"/>
          <w:color w:val="111111"/>
          <w:sz w:val="28"/>
          <w:szCs w:val="28"/>
          <w:rtl w:val="true"/>
          <w:lang w:bidi="fa-IR"/>
        </w:rPr>
        <w:t>.</w:t>
      </w:r>
    </w:p>
    <w:p>
      <w:pPr>
        <w:pStyle w:val="Heading5"/>
        <w:numPr>
          <w:ilvl w:val="4"/>
          <w:numId w:val="1"/>
        </w:numPr>
        <w:rPr/>
      </w:pPr>
      <w:bookmarkStart w:id="487" w:name="__RefHeading___Toc2770549_3804643083"/>
      <w:bookmarkStart w:id="488" w:name="_Toc185"/>
      <w:bookmarkEnd w:id="487"/>
      <w:r>
        <w:rPr>
          <w:rtl w:val="true"/>
        </w:rPr>
        <w:t>سخن آخر در حكم غيبت در مقام استفتا</w:t>
      </w:r>
      <w:bookmarkEnd w:id="488"/>
    </w:p>
    <w:p>
      <w:pPr>
        <w:pStyle w:val="BookText"/>
        <w:rPr/>
      </w:pPr>
      <w:r>
        <w:rPr>
          <w:rFonts w:ascii="IRNazanin" w:hAnsi="IRNazanin" w:eastAsia="IRNazanin"/>
          <w:color w:val="111111"/>
          <w:sz w:val="28"/>
          <w:sz w:val="28"/>
          <w:szCs w:val="28"/>
          <w:rtl w:val="true"/>
          <w:lang w:bidi="fa-IR"/>
        </w:rPr>
        <w:t>در مورد استفتايي كه غيبت، طريق منحصر در تعلّم حكم باشد، بايد بگوييم كه اصلاً اتفاق نمي‌افتد يا بسيار كم است؛ زيرا در هر موردي كه تصوّر شود، بدون ذكر نام و به صورت كلّي مي‌توان حكم مسأله را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جايي استفتا منوط به غيبت شد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صورتي غيبت جايز است كه راه احتياط نباشد؛ زيرا با امكان احتياط، معنا ندارد كه مرتكب حرام شود، مگر آن‌كه احتياط به گونه‌اي باشد كه مي‌دانيم شارع چنين احتياطي را به خاطر سختي آن تحميل نمي‌كند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حكم كلّي، مهم باشد و تعلّم آن متوقّف بر غيبت باشد، تعلّم بر غيبت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اگر تعلّم حكم براي عدّه‌اي</w:t>
      </w:r>
    </w:p>
    <w:p>
      <w:pPr>
        <w:pStyle w:val="BookText"/>
        <w:rPr/>
      </w:pPr>
      <w:r>
        <w:rPr>
          <w:rFonts w:ascii="Amiri" w:hAnsi="Amiri" w:eastAsia="Amiri" w:cs="Amiri"/>
          <w:color w:val="111111"/>
          <w:sz w:val="28"/>
          <w:sz w:val="28"/>
          <w:szCs w:val="28"/>
          <w:rtl w:val="true"/>
          <w:lang w:bidi="ar-SA"/>
        </w:rPr>
        <w:t>منحصراً متوقّف بر غيبت باشد باز غيبت جايز است؛ زيرا مصلحت رسيدن حكم شرعي به عدّه‌اي، هميشه مقدّم بر ملاك حرمت غيبت يك فرد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اگر حكمي أهمّيتش در حدّ حرمت غيبت نباشد و مربوط به شخصي هم باشد كه در صورت جهل، ممكن است واجبي را كه در قياس با حرمتِ غيبت، أهمّيت كمتري دارد ترك كند و يا حرامي را كه در قياس به حرمت غيبت، حرمت كمتري دارد مرتكب شود، فعلاً نمي‌توانيم بگوييم مصلحت تعلّم بالاتر است، گرچه خيلي هم اين مسأله را دنبال نكرديم؛ چون احتياجي به آن نيست و با بيان ديگري مي‌توانيم جواز آن را اثبات كنيم و بيان مطلب اين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كه گذشت، اطلاق ادلّه‌ي حرمت غيبت چنان نيست كه شامل چنين مواردي هم بشود؛ يعني مواردي كه مصلحتِ في‌الجمله مهمّي ـ چه رسد به مصلحت أهم ـ بر ارتكاب غيبت مترتّب باشد؛ زيرا در بحث‌هاي گذشته تبيين شد كه در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لايغتب بعضكم بعضاً</w:t>
      </w:r>
      <w:r>
        <w:rPr>
          <w:rFonts w:eastAsia="IRNazanin" w:cs="IRNazanin"/>
          <w:color w:val="111111"/>
          <w:sz w:val="28"/>
          <w:szCs w:val="28"/>
          <w:rtl w:val="true"/>
          <w:lang w:bidi="fa-IR"/>
        </w:rPr>
        <w:t>)</w:t>
      </w:r>
      <w:r>
        <w:rPr>
          <w:rStyle w:val="FootnoteAnchor"/>
          <w:rtl w:val="true"/>
        </w:rPr>
        <w:footnoteReference w:id="331"/>
      </w:r>
      <w:r>
        <w:rPr>
          <w:rFonts w:ascii="IRNazanin" w:hAnsi="IRNazanin" w:eastAsia="IRNazanin"/>
          <w:color w:val="111111"/>
          <w:sz w:val="28"/>
          <w:sz w:val="28"/>
          <w:szCs w:val="28"/>
          <w:rtl w:val="true"/>
          <w:lang w:bidi="fa-IR"/>
        </w:rPr>
        <w:t>اغتياب لُغوي مراد نيست، بلكه معناي شرعي آن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ادلّه‌ي شرعي هم اطلاقي كه بيان كند حتّي چنين غيبت‌هايي حرام است، وجود ندارد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ادلّه‌ي حرمت غيبت چنان اطلاقي ندارد كه مثل ما نحن فيه را شامل شود، امّا برخي روايات داشتيم ـ مثل صحيحه‌ي محمّد بن حمران ـ كه مي‌فرمود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آن‌چه از برادر مؤمنش ديده يا شنيده نقل كند، مصداق اشاعه‌ي فحشاءِ حرام</w:t>
      </w:r>
      <w:bookmarkStart w:id="489" w:name="pg2359_23498"/>
    </w:p>
    <w:p>
      <w:pPr>
        <w:pStyle w:val="BookText"/>
        <w:rPr/>
      </w:pPr>
      <w:bookmarkEnd w:id="489"/>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بيان اطلاق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نظر مي‌رسد روايت، منصرف باشد از مثل موارد استفتايي كه راه استفتا منحصر به ذكر عيب مخفي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نتيجه اين‌كه ما هم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استفتا و تعلّم حكم، منوط به غيبت باشد و احتياط ممكن نباشد و مسأله مربوط به امر واجب يا حرام باشد ـ نه مكروه، مستحب يا مباح ـ مانعي از ارتكاب آن وجود ندارد و مي‌توان با غيبت استفتا كرد، بلكه اگر مربوط به بقاي احكام الهي باشد، حتّي اگر احتياط ممكن باشد يا حكم غير الزامي باشد و راه بقاي احكام، منحصر در غيبت باشد، چنين غيبتي را نمي‌توانيم حرام بدانيم</w:t>
      </w:r>
      <w:r>
        <w:rPr>
          <w:rFonts w:eastAsia="IRNazanin" w:cs="IRNazanin"/>
          <w:color w:val="111111"/>
          <w:sz w:val="28"/>
          <w:szCs w:val="28"/>
          <w:rtl w:val="true"/>
          <w:lang w:bidi="fa-IR"/>
        </w:rPr>
        <w:t>.</w:t>
      </w:r>
    </w:p>
    <w:p>
      <w:pPr>
        <w:pStyle w:val="Heading4"/>
        <w:numPr>
          <w:ilvl w:val="3"/>
          <w:numId w:val="1"/>
        </w:numPr>
        <w:rPr/>
      </w:pPr>
      <w:bookmarkStart w:id="490" w:name="__RefHeading___Toc2770551_3804643083"/>
      <w:bookmarkStart w:id="491" w:name="_Toc186"/>
      <w:bookmarkEnd w:id="490"/>
      <w:r>
        <w:rPr/>
        <w:t>5</w:t>
      </w:r>
      <w:r>
        <w:rPr>
          <w:rtl w:val="true"/>
        </w:rPr>
        <w:t xml:space="preserve">. </w:t>
      </w:r>
      <w:r>
        <w:rPr>
          <w:rtl w:val="true"/>
        </w:rPr>
        <w:t>غيبت به قصد ردع از ارتكاب فعل حرام</w:t>
      </w:r>
      <w:bookmarkEnd w:id="491"/>
    </w:p>
    <w:p>
      <w:pPr>
        <w:pStyle w:val="Heading5"/>
        <w:numPr>
          <w:ilvl w:val="4"/>
          <w:numId w:val="1"/>
        </w:numPr>
        <w:rPr/>
      </w:pPr>
      <w:bookmarkStart w:id="492" w:name="__RefHeading___Toc2770553_3804643083"/>
      <w:bookmarkStart w:id="493" w:name="_Toc187"/>
      <w:bookmarkEnd w:id="492"/>
      <w:r>
        <w:rPr>
          <w:rtl w:val="true"/>
        </w:rPr>
        <w:t>اشاره</w:t>
      </w:r>
      <w:bookmarkEnd w:id="493"/>
    </w:p>
    <w:p>
      <w:pPr>
        <w:pStyle w:val="BookText"/>
        <w:rPr/>
      </w:pPr>
      <w:r>
        <w:rPr>
          <w:rFonts w:ascii="IRNazanin" w:hAnsi="IRNazanin" w:eastAsia="IRNazanin"/>
          <w:color w:val="111111"/>
          <w:sz w:val="28"/>
          <w:sz w:val="28"/>
          <w:szCs w:val="28"/>
          <w:rtl w:val="true"/>
          <w:lang w:bidi="fa-IR"/>
        </w:rPr>
        <w:t>مورد ديگري كه مرحوم شيخ جزء مستثنيات غيبت ذكر مي‌فرمايد، اين است كه كسي به قصد ردع ديگري از منكري كه انجام مي‌دهد، غيبت او كند؛ چون براي بازداشتن او از اين منكر چاره‌اي جز غيبت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غيبت او، هم مي‌تواند در مورد آن عمل خاص باشد و هم مي‌تواند در مورد بعضي عيوب ديگرش باشد؛ يعني بعضي عيوب ديگر او را نزد ديگران فاش كند تا از اين منكرِ خاص دست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استدلال‌هاي مرحوم شيخ اعم بوده و بر فرض دوم هم قابل تطبيق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494" w:name="pg2359_23499"/>
    </w:p>
    <w:p>
      <w:pPr>
        <w:pStyle w:val="Heading5"/>
        <w:numPr>
          <w:ilvl w:val="4"/>
          <w:numId w:val="1"/>
        </w:numPr>
        <w:rPr/>
      </w:pPr>
      <w:bookmarkStart w:id="495" w:name="__RefHeading___Toc2770555_3804643083"/>
      <w:bookmarkStart w:id="496" w:name="_Toc188"/>
      <w:bookmarkEnd w:id="494"/>
      <w:bookmarkEnd w:id="495"/>
      <w:r>
        <w:rPr>
          <w:rtl w:val="true"/>
        </w:rPr>
        <w:t>ادلّه‌ي مرحوم شيخ</w:t>
      </w:r>
      <w:r>
        <w:rPr>
          <w:rtl w:val="true"/>
        </w:rPr>
        <w:t xml:space="preserve">- </w:t>
      </w:r>
      <w:r>
        <w:rPr>
          <w:rtl w:val="true"/>
        </w:rPr>
        <w:t xml:space="preserve">قدس سره </w:t>
      </w:r>
      <w:r>
        <w:rPr>
          <w:rtl w:val="true"/>
        </w:rPr>
        <w:t xml:space="preserve">- </w:t>
      </w:r>
      <w:r>
        <w:rPr>
          <w:rtl w:val="true"/>
        </w:rPr>
        <w:t>بر جواز غيبت، در مقام قصد ردع عاصي از ارتكاب منكر</w:t>
      </w:r>
      <w:bookmarkEnd w:id="496"/>
    </w:p>
    <w:p>
      <w:pPr>
        <w:pStyle w:val="Heading6"/>
        <w:numPr>
          <w:ilvl w:val="5"/>
          <w:numId w:val="1"/>
        </w:numPr>
        <w:rPr/>
      </w:pPr>
      <w:bookmarkStart w:id="497" w:name="__RefHeading___Toc2770557_3804643083"/>
      <w:bookmarkStart w:id="498" w:name="_Toc189"/>
      <w:bookmarkEnd w:id="497"/>
      <w:r>
        <w:rPr>
          <w:rtl w:val="true"/>
        </w:rPr>
        <w:t>الف</w:t>
      </w:r>
      <w:r>
        <w:rPr>
          <w:rtl w:val="true"/>
        </w:rPr>
        <w:t xml:space="preserve">) </w:t>
      </w:r>
      <w:r>
        <w:rPr>
          <w:rtl w:val="true"/>
        </w:rPr>
        <w:t>قاعده‌ي تزاحم</w:t>
      </w:r>
      <w:bookmarkEnd w:id="498"/>
    </w:p>
    <w:p>
      <w:pPr>
        <w:pStyle w:val="BookText"/>
        <w:rPr/>
      </w:pPr>
      <w:r>
        <w:rPr>
          <w:rStyle w:val="FootnoteAnchor"/>
          <w:rtl w:val="true"/>
        </w:rPr>
        <w:footnoteReference w:id="3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دو امر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وجوب ردع منكر و ديگري حرمت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هم اين است كه براي ردع منكر، راهي جز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ردع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منكر، اولي و أهمّ از ستر منكر بر اوست</w:t>
      </w:r>
      <w:r>
        <w:rPr>
          <w:rStyle w:val="FootnoteAnchor"/>
          <w:rtl w:val="true"/>
        </w:rPr>
        <w:footnoteReference w:id="333"/>
      </w:r>
      <w:r>
        <w:rPr>
          <w:rFonts w:ascii="IRNazanin" w:hAnsi="IRNazanin" w:eastAsia="IRNazanin"/>
          <w:color w:val="111111"/>
          <w:sz w:val="28"/>
          <w:sz w:val="28"/>
          <w:szCs w:val="28"/>
          <w:rtl w:val="true"/>
          <w:lang w:bidi="fa-IR"/>
        </w:rPr>
        <w:t>، پس بنابر قاعده‌ي تزاحم، غيبت به قصد ردع از منكر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دليل اوّل</w:t>
      </w:r>
    </w:p>
    <w:p>
      <w:pPr>
        <w:pStyle w:val="BookText"/>
        <w:rPr/>
      </w:pPr>
      <w:r>
        <w:rPr>
          <w:rFonts w:ascii="Amiri" w:hAnsi="Amiri" w:eastAsia="Amiri" w:cs="Amiri"/>
          <w:color w:val="111111"/>
          <w:sz w:val="28"/>
          <w:sz w:val="28"/>
          <w:szCs w:val="28"/>
          <w:rtl w:val="true"/>
          <w:lang w:bidi="ar-SA"/>
        </w:rPr>
        <w:t>ظاهر كلام شيخ اين است كه در همه جا ملاك وجوب دفع منكر، أهمّ از ملاك حرمت غيبت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در تمام موارد، وجوب ردع منكر مقدّم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آيا واقعاً در همه جا ملاك ردع منكر، أهم است؟</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نظر مي‌رسد قبول اين تقديم و أهمّيت، در بعضي موارد مشكل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كسي در منزل خود، چون بي‌مبالات است</w:t>
      </w:r>
    </w:p>
    <w:p>
      <w:pPr>
        <w:pStyle w:val="BookText"/>
        <w:rPr/>
      </w:pPr>
      <w:r>
        <w:rPr>
          <w:rFonts w:ascii="IRNazanin" w:hAnsi="IRNazanin" w:eastAsia="IRNazanin"/>
          <w:color w:val="111111"/>
          <w:sz w:val="28"/>
          <w:sz w:val="28"/>
          <w:szCs w:val="28"/>
          <w:rtl w:val="true"/>
          <w:lang w:bidi="fa-IR"/>
        </w:rPr>
        <w:t>مرتكب گناه صغيره‌اي مانند عدم اجتناب از غذاي متنجّس مي‌شود، آيا مي‌توان پذيرفت در چنين موردي ردع از چنين گناهي ملاكش از ملاك حرمت غيبت أهم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الخصوص اگر اين شخص را به گناه ديگري كه متستّر است غيبت كنند، در حالي‌كه خداوند متعال با عنايت خاصّي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يَغْتَبْ بَعْضُكُمْ بَعْضاً أَ يُحِبُّ أَحَدُكُمْ أَنْ يَأْكُلَ لَحْمَ أَخيهِ مَيْتاً فَكَرِهْتُمُوهُ</w:t>
      </w:r>
      <w:r>
        <w:rPr>
          <w:rFonts w:eastAsia="Amiri" w:cs="Amiri" w:ascii="Amiri" w:hAnsi="Amiri"/>
          <w:color w:val="111111"/>
          <w:sz w:val="28"/>
          <w:szCs w:val="28"/>
          <w:rtl w:val="true"/>
          <w:lang w:bidi="ar-SA"/>
        </w:rPr>
        <w:t>)</w:t>
      </w:r>
      <w:r>
        <w:rPr>
          <w:rStyle w:val="FootnoteAnchor"/>
          <w:rtl w:val="true"/>
        </w:rPr>
        <w:footnoteReference w:id="33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شما غيبت بعضى نكند، آيا كسى از شما دوست دارد كه گوشت برادر مرده‌اش را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كراهت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واقعيت آن است كه حكم به أهم بودن يا حتّي احتمال أهمّيتِ ملاكِ وجوب دفع منكر نسبت به ملاكِ حرمت غيبت، در چنين مواردي مشكل است، بلكه احتمال دارد حرمتِ غيبت أهم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اشكال در مواردي كه غيبت به گناهي باشد غير از گناهي كه قصد ردع آن شده و از آن أقوي و أشد باشد، واضح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شخص عاصي، گناهي را مخفيانه مرتكب مي‌شود كه مي‌دانيم شارع مقدّس اهتمام زيادي به پرهيز آن دارد، مانند گناه شنيع زنا يا لواط، در اين صورت اگر كسي ـ بدون آن‌كه مبتلا به قذف شود ـ با ارتكاب غيبت، او را از آن گناه شنيع ردع كند، مخصوصاً با غيبت به يك گناه كوچك‌تر كه بدانيم ملاكش از ملاك حرمت غيبت كمتر است، از باب تزاحم، غيبت اشكالي</w:t>
      </w:r>
      <w:bookmarkStart w:id="499" w:name="pg2359_23501"/>
    </w:p>
    <w:p>
      <w:pPr>
        <w:pStyle w:val="BookText"/>
        <w:rPr/>
      </w:pPr>
      <w:bookmarkEnd w:id="499"/>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فقط احتمال أهمّيت هم بدهيم باز محتمل الاهمّية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دليل اوّل مرحوم شيخ كه به صورت مطلق، ملاك ردع منكر را أهمّ از حرمت غيبت مي‌داند، تمام نيست، بلكه بايد تمام ملاك‌هاي تزاحم را به كار برد و هر مورد را محاسبه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بين ملاكِ وجوب ردع و دفع منكر و ملاكِ حرمت غيبت، هر كدام أهم يا محتمل الاهمية بود همان مقدّم است</w:t>
      </w:r>
      <w:r>
        <w:rPr>
          <w:rFonts w:eastAsia="IRNazanin" w:cs="IRNazanin"/>
          <w:color w:val="111111"/>
          <w:sz w:val="28"/>
          <w:szCs w:val="28"/>
          <w:rtl w:val="true"/>
          <w:lang w:bidi="fa-IR"/>
        </w:rPr>
        <w:t>.</w:t>
      </w:r>
    </w:p>
    <w:p>
      <w:pPr>
        <w:pStyle w:val="Heading6"/>
        <w:numPr>
          <w:ilvl w:val="5"/>
          <w:numId w:val="1"/>
        </w:numPr>
        <w:rPr/>
      </w:pPr>
      <w:bookmarkStart w:id="500" w:name="__RefHeading___Toc2770559_3804643083"/>
      <w:bookmarkStart w:id="501" w:name="_Toc190"/>
      <w:bookmarkEnd w:id="500"/>
      <w:r>
        <w:rPr>
          <w:rtl w:val="true"/>
        </w:rPr>
        <w:t>ب</w:t>
      </w:r>
      <w:r>
        <w:rPr>
          <w:rtl w:val="true"/>
        </w:rPr>
        <w:t xml:space="preserve">) </w:t>
      </w:r>
      <w:r>
        <w:rPr>
          <w:rtl w:val="true"/>
        </w:rPr>
        <w:t>غيبت به قصد ردع منكر، مصداق احسان است</w:t>
      </w:r>
      <w:bookmarkEnd w:id="501"/>
    </w:p>
    <w:p>
      <w:pPr>
        <w:pStyle w:val="BookText"/>
        <w:rPr/>
      </w:pP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درباره‌ي اين‌كه چگونه غيبت به قصد ردع منكر، مصداق احسان است، توضيحي نفرموده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براي تبيين اين استدلال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 بر غيبتي كه به قصد ردع منكر باشد احسان صادق است؛ چون مرتكب منكر را از آتش جهنّم نجات مي‌دهد و قرآن كريم درباره‌ي محسنين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بر نيكوكاران، راه مؤاخذه نيست</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محسن و نيكوكار، مورد مؤاخذه‌ي تكليفي و وضعي قرار نمي‌گيرند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 اين‌كه غيبت به قصد ردع منكر، حرام نيست و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غيبت جايز شد، چون مصداق نهي از منكر</w:t>
      </w:r>
    </w:p>
    <w:p>
      <w:pPr>
        <w:pStyle w:val="BookText"/>
        <w:rPr/>
      </w:pPr>
      <w:r>
        <w:rPr>
          <w:rFonts w:ascii="Amiri" w:hAnsi="Amiri" w:eastAsia="Amiri" w:cs="Amiri"/>
          <w:color w:val="111111"/>
          <w:sz w:val="28"/>
          <w:sz w:val="28"/>
          <w:szCs w:val="28"/>
          <w:rtl w:val="true"/>
          <w:lang w:bidi="ar-SA"/>
        </w:rPr>
        <w:t>است واجب مي‌شود؛ يعني جواز در اين‌جا از مواردي است كه مساوي با وجوب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اشكالات مطرح شده بر استدلال به احسان</w:t>
      </w:r>
    </w:p>
    <w:p>
      <w:pPr>
        <w:pStyle w:val="BookText"/>
        <w:rPr/>
      </w:pPr>
      <w:r>
        <w:rPr>
          <w:rFonts w:ascii="IRNazanin" w:hAnsi="IRNazanin" w:eastAsia="IRNazanin"/>
          <w:color w:val="111111"/>
          <w:sz w:val="28"/>
          <w:sz w:val="28"/>
          <w:szCs w:val="28"/>
          <w:rtl w:val="true"/>
          <w:lang w:bidi="fa-IR"/>
        </w:rPr>
        <w:t>اشكالات متعدّدي بر اين استدلال، قابل طرح است ـ يا مطرح شده است ـ كه بايد مورد بررسي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اوّل</w:t>
      </w:r>
    </w:p>
    <w:p>
      <w:pPr>
        <w:pStyle w:val="BookText"/>
        <w:rPr/>
      </w:pPr>
      <w:r>
        <w:rPr>
          <w:rFonts w:ascii="IRNazanin" w:hAnsi="IRNazanin" w:eastAsia="IRNazanin"/>
          <w:color w:val="111111"/>
          <w:sz w:val="28"/>
          <w:sz w:val="28"/>
          <w:szCs w:val="28"/>
          <w:rtl w:val="true"/>
          <w:lang w:bidi="fa-IR"/>
        </w:rPr>
        <w:t>غيبت از شخصي به قصد ردع او از منكر، گرچه مصداق احسان به اوست ولي اين احسان، مشوب به إسائه است؛ چون با غيبت آبروي او را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مشمول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نمي‌شود؛ زيرا آيه‌ي شريفه فقط شامل احسان محض مي‌شود، نه احسان مشوب به اسائه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دفع اشكال</w:t>
      </w:r>
    </w:p>
    <w:p>
      <w:pPr>
        <w:pStyle w:val="BookText"/>
        <w:rPr/>
      </w:pPr>
      <w:r>
        <w:rPr>
          <w:rFonts w:ascii="IRNazanin" w:hAnsi="IRNazanin" w:eastAsia="IRNazanin"/>
          <w:color w:val="111111"/>
          <w:sz w:val="28"/>
          <w:sz w:val="28"/>
          <w:szCs w:val="28"/>
          <w:rtl w:val="true"/>
          <w:lang w:bidi="fa-IR"/>
        </w:rPr>
        <w:t>اگر اسائه‌اي مقدّمه‌ي منحصره براي احسان بالاتر باشد، در مجموع چنين عملي نزد عرف احسان است، بلكه نزد عقل هم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مشمول آيه‌ي شريفه قرار مي‌گيرد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فردي اموال زيادي در جايي و اموال كمتري در جايي ديگر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زيادش در معرض خطر است به نحوي كه اگر شخص ثالثي براي نجات اموال او اقدام نكند، تمام آن به آتش كشيده شده و خاكستر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حفظ اين اموال، چاره‌اي جز اين نباشد كه اموال كمتر را ـ بدون اذن صاحب آن ـ بردارد و در طريق نجات بقيّه‌ي اموال به كار گيرد، در صورتي كه اموال</w:t>
      </w:r>
    </w:p>
    <w:p>
      <w:pPr>
        <w:pStyle w:val="BookText"/>
        <w:rPr/>
      </w:pPr>
      <w:r>
        <w:rPr>
          <w:rFonts w:ascii="IRNazanin" w:hAnsi="IRNazanin" w:eastAsia="IRNazanin"/>
          <w:color w:val="111111"/>
          <w:sz w:val="28"/>
          <w:sz w:val="28"/>
          <w:szCs w:val="28"/>
          <w:rtl w:val="true"/>
          <w:lang w:bidi="fa-IR"/>
        </w:rPr>
        <w:t>كمتر خصوصيتي نداشته باشد و مالك، عنايت ويژه‌اي بر آن نداشته باشد شكّي نيست كه چنين شخصي محسن بوده و مشمول آيه‌ي شريفه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فيه هم اين‌چنين است؛ شخصي مرتكب گناهي است كه مستلزم آتش جهنّم است، ديگري با غيبت، مقداري از آبروي شخص عاصي را براي اين‌كه او را از آتش جهنّم نجات دهد، مي‌برد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شبهه‌اي در صدق احسان بر اين غيبت نيست و چنين شخصي ـ عرفاً و عقلاً ـ محسن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دوم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اشكال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اشكال را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مطرح كرده،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الغيبة محرمة على المغتاب بالكسر، و لا يجوز الإحسان بالأمر المحرّم، فإنه إنمّا يتقبّل اللّه من المتقين</w:t>
      </w:r>
      <w:r>
        <w:rPr>
          <w:rStyle w:val="FootnoteAnchor"/>
          <w:rtl w:val="true"/>
        </w:rPr>
        <w:footnoteReference w:id="337"/>
      </w:r>
    </w:p>
    <w:p>
      <w:pPr>
        <w:pStyle w:val="BookText"/>
        <w:rPr/>
      </w:pPr>
      <w:r>
        <w:rPr>
          <w:rFonts w:ascii="IRNazanin" w:hAnsi="IRNazanin" w:eastAsia="IRNazanin"/>
          <w:color w:val="111111"/>
          <w:sz w:val="28"/>
          <w:sz w:val="28"/>
          <w:szCs w:val="28"/>
          <w:rtl w:val="true"/>
          <w:lang w:bidi="fa-IR"/>
        </w:rPr>
        <w:t>غيبت بر غيبت كننده حرام است و احسان با يك امر حرام، جايز نيست؛ چرا كه خداوند تنها از متّقين مي‌پذيرد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ايشان معتقد است احسان با غيبتي كه حرام است،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احسان با مال دزدي و مغصوب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همان كسي كه قرص نان مي‌دزديد و صدقه مي‌داد و مي‌گفت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گناه كردم و ده برابر ثواب به دست آوردم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دفع اشكال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نقضي بر اين اشكال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كنيد شخصي به حدّي مريض باشد كه واجب است خود را درمان كند، امّا به خاطر شدت بُخلش، به درمان خود نمي‌پردازد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تنها طريق نجات او توسط شخص ديگر اين باشد كه از اموال او بردارد و خرج درمان او كند، آيا آن پولي را كه بر خودِ مريض واجب بود هزينه كند و نمي‌كرد ولي اين شخص برمي‌دارد و درمانش مي‌كند، مصداق سرقت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صادق نيست كه با اين عمل، احسان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نمي‌توان گفت چنين شخصي مرتكب حرام شده است،</w:t>
      </w:r>
    </w:p>
    <w:p>
      <w:pPr>
        <w:pStyle w:val="BookText"/>
        <w:rPr/>
      </w:pPr>
      <w:r>
        <w:rPr>
          <w:rFonts w:ascii="Amiri" w:hAnsi="Amiri" w:eastAsia="Amiri" w:cs="Amiri"/>
          <w:color w:val="111111"/>
          <w:sz w:val="28"/>
          <w:sz w:val="28"/>
          <w:szCs w:val="28"/>
          <w:rtl w:val="true"/>
          <w:lang w:bidi="ar-SA"/>
        </w:rPr>
        <w:t>بلكه عملش واقعاً احسان است و مشمول آيه‌ي شريفه</w:t>
      </w:r>
      <w:r>
        <w:rPr>
          <w:rStyle w:val="FootnoteAnchor"/>
          <w:rtl w:val="true"/>
        </w:rPr>
        <w:footnoteReference w:id="339"/>
      </w: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 نحن فيه هم اين‌چنين است؛ يعني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مقداري از آبروي عاصي را خرج نجات او از آتش جهنّم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جواب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مواردي اگر هم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داشته باشد، مي‌گوييم از غيبتِ براي ردع از منكر منصرف است يا مي‌توانيم با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عَلَى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مواردي را تقييد بزنيم، چه رسد به اين‌كه ما اطلاقي براي آيه‌ي نهي از غيبت نسبت به چنين مواردي قائل نشديم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مثل اين موارد اصلاً غيبت حرمتي ندارد تا اشكال سيد خويي وارد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مثالي هم كه ذكر فرمود، درباره‌ي كسي بود كه مال ديگري را بردارد و به شخص ثالثي صدقه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اين مثال با ما نحن فيه تفاوت اساسي دارد؛ در ما نحن فيه كسي مالي را از شخصي برداشته و خرج خود او، آن‌هم براي كار أهمي مي‌كند و فرض هم اين است كه راه ديگري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دو اشكالي كه تا اين‌جا به استدلال دوم شيخ شد ـ البته مورد اوّل، توهّمِ اشكال بود ـ قابل دفع بود و ما در دفاع از استدلال شيخ، پاسخ اين دو اشكال را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اشكال ديگر بر استدلال شيخ هست كه في‌الجمله وارد بوده و قابل دفع نيست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اشكال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آيه‌ي</w:t>
      </w:r>
    </w:p>
    <w:p>
      <w:pPr>
        <w:pStyle w:val="BookText"/>
        <w:rPr/>
      </w:pPr>
      <w:r>
        <w:rPr>
          <w:rFonts w:ascii="Amiri" w:hAnsi="Amiri" w:eastAsia="Amiri" w:cs="Amiri"/>
          <w:color w:val="111111"/>
          <w:sz w:val="28"/>
          <w:sz w:val="28"/>
          <w:szCs w:val="28"/>
          <w:rtl w:val="true"/>
          <w:lang w:bidi="ar-SA"/>
        </w:rPr>
        <w:t xml:space="preserve">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كساني است كه به حمل شايع، محسن هستند، نه كساني كه فقط قصد احسان دارند ولي در واقع، احساني محقّق نمي‌شود</w:t>
      </w:r>
      <w:r>
        <w:rPr>
          <w:rStyle w:val="FootnoteAnchor"/>
          <w:rtl w:val="true"/>
        </w:rPr>
        <w:footnoteReference w:id="3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كسي به قصد ردع از منكر غيبت كرد و عاصي مرتدع نشد، عنوان محسن بر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زماني محسن است و غيبت عاصي جايز مي‌شود كه في‌الواقع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ناهي از منكر اطمينان به تأثير غيبت در ردع از منكر داشته باشد و اگر چنين اطميناني نبود، اگر حالت سابقه‌ي فرد به گونه‌اي بود كه يقين به حرمت غيبت او سابقاً داشتيم، مي‌توانيم همان حرمت را به عنوان حكم جزئي استصحاب كنيم، بلكه مي‌توان با يقين سابق، استصحاب موضوعي حرمت كرد كه اين استصحاب مي‌تواند مقدّم بر استصحاب حكم باشد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اگر اطمينان به تأثير داشت امّا شخص عاصي مرتدع نشد و غيبت تأثير نكرد، گرچه مرتكب حرامِ واقعي شده، ولي معذور است</w:t>
      </w:r>
      <w:r>
        <w:rPr>
          <w:rFonts w:eastAsia="IRNazanin" w:cs="IRNazanin"/>
          <w:color w:val="111111"/>
          <w:sz w:val="28"/>
          <w:szCs w:val="28"/>
          <w:rtl w:val="true"/>
          <w:lang w:bidi="fa-IR"/>
        </w:rPr>
        <w:t>.</w:t>
      </w:r>
      <w:bookmarkStart w:id="502" w:name="pg2359_23508"/>
    </w:p>
    <w:p>
      <w:pPr>
        <w:pStyle w:val="BookText"/>
        <w:rPr/>
      </w:pPr>
      <w:bookmarkEnd w:id="502"/>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كرد كه در مسأله‌ي مورد بحث، گرچه كسي به قصد ردع از منكر غيبت كند حرام نيست، ولي چه بسا آن غيبت، تحت عناوين محرّم ديگري باشد و اگر غيبت به قصد ردع از منكر، عنوان حرام ديگري يافت قابل تجويز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اگر كسي در مورد منكري غيبت كند كه گفتن آن مصداق اشاعه‌ي فحشا باشد و ديگران جرأت بر ارتكاب آن منكر پيدا كنند، در اين صورت علاوه بر حرمت غيبت، حرمت اشاعه‌ي فحشا هم خواهد داشت و مجوزهايي كه گفتيم، نمي‌تواند رافع حرمت اشاعه‌ي فحشا باشد</w:t>
      </w:r>
      <w:r>
        <w:rPr>
          <w:rFonts w:eastAsia="IRNazanin" w:cs="IRNazanin"/>
          <w:color w:val="111111"/>
          <w:sz w:val="28"/>
          <w:szCs w:val="28"/>
          <w:rtl w:val="true"/>
          <w:lang w:bidi="fa-IR"/>
        </w:rPr>
        <w:t>.</w:t>
      </w:r>
    </w:p>
    <w:p>
      <w:pPr>
        <w:pStyle w:val="Heading6"/>
        <w:numPr>
          <w:ilvl w:val="5"/>
          <w:numId w:val="1"/>
        </w:numPr>
        <w:rPr/>
      </w:pPr>
      <w:bookmarkStart w:id="503" w:name="__RefHeading___Toc2770561_3804643083"/>
      <w:bookmarkStart w:id="504" w:name="_Toc191"/>
      <w:bookmarkEnd w:id="503"/>
      <w:r>
        <w:rPr>
          <w:rtl w:val="true"/>
        </w:rPr>
        <w:t>ج</w:t>
      </w:r>
      <w:r>
        <w:rPr>
          <w:rtl w:val="true"/>
        </w:rPr>
        <w:t xml:space="preserve">) </w:t>
      </w:r>
      <w:r>
        <w:rPr>
          <w:rtl w:val="true"/>
        </w:rPr>
        <w:t>غيبت به قصد ردع منكر، مشمول اطلاق ادلّه‌ي نهي از منكر است</w:t>
      </w:r>
      <w:bookmarkEnd w:id="504"/>
    </w:p>
    <w:p>
      <w:pPr>
        <w:pStyle w:val="BookText"/>
        <w:rPr/>
      </w:pPr>
      <w:r>
        <w:rPr>
          <w:rFonts w:ascii="IRNazanin" w:hAnsi="IRNazanin" w:eastAsia="IRNazanin"/>
          <w:color w:val="111111"/>
          <w:sz w:val="28"/>
          <w:sz w:val="28"/>
          <w:szCs w:val="28"/>
          <w:rtl w:val="true"/>
          <w:lang w:bidi="fa-IR"/>
        </w:rPr>
        <w:t>سومين دليلي كه مرحوم شيخ براي جواز غيبت مطرح مي‌فرمايد، اطلاق ادلّه‌ي امر به معروف و نهي از منكر است كه غيبت به جهت ردع از منكر را جايز مي‌شمارد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 مورد، تجويز بالمعني الاعم مراد است؛ زيرا وقتي چنين غيبتي جايز شد، از باب وجوب امر به معروف و نهي از منكر واجب هم خواهد بود؛ چون در ما نحن فيه ـ طبق فرض ـ طريق منحصرِ نهي از منكر، غيبت است تا شخص عاصي مرتدع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مرحوم شيخ ـ همان‌گونه كه انتظار مي‌رفت ـ مورد اشكال تعدادي از فقهاي بعد از ايشان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جمله‌ي آن محقّقين، مرحوم ايرواني و سيّد خويي هستند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اشكال محقّق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بر عدم جواز ردع منكر از طريق منكر</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محقّق ايرواني در اشكال به دليل سوم شيخ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يجوز الرّدع عن المنكر بالمنكر، فيزني مع امرأة الزّاني و يسرق من السارق ردعاً له عن فعله</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 xml:space="preserve">ردع از منكر با منكر جايز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با همسر كسي كه اهل زناست زنا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او را از فعل زنا ردع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سارقي سرقت كند تا او را از فعل سرقت ردع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اشكال محقّق ايرواني</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كلام مرحوم شيخ قابل دفاع است؛ زيرا مسأله‌ي غيبت با ساير منكرات و محرّمات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غيبت براي حفظ احترام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كسي براي ردع منكر و نجات مؤمني از آتش جهنّم غيبتِ او مي‌كند، در واقع اين غيبت، از منكر به معروف منقلب مي‌شود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نظير چيزي است كه در مورد ضرب يتيم، معروف شده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يتيم اگر براي تشفّي باشد حرام، ولي اگر براي تأديب و تربيت او باشد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غيبت هم اين‌گونه است كه اگر بدون حكمت عقلايي و براي تفكّه باشد حرام و منكر است، امّا اگر غيبت براي حفظ فردي از سقوط در گناه باشد ديگر منكر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در صورتي است كه غيبت ـ طبق فرض ـ طريق منحصر در ردع منكر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ديگر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ادلّه‌ي حرمت غيبت شامل چنين مواردي نمي‌شود و به مناسبت حكم و موضوع، منصرف از مواردي است كه غيبت به نفع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جهت حفظ او از وقوع در گناه باشد</w:t>
      </w:r>
      <w:r>
        <w:rPr>
          <w:rStyle w:val="FootnoteAnchor"/>
          <w:rtl w:val="true"/>
        </w:rPr>
        <w:footnoteReference w:id="344"/>
      </w:r>
    </w:p>
    <w:p>
      <w:pPr>
        <w:pStyle w:val="BookText"/>
        <w:rPr/>
      </w:pPr>
      <w:r>
        <w:rPr>
          <w:rFonts w:ascii="IRNazanin" w:hAnsi="IRNazanin" w:eastAsia="IRNazanin"/>
          <w:color w:val="111111"/>
          <w:sz w:val="28"/>
          <w:sz w:val="28"/>
          <w:szCs w:val="28"/>
          <w:rtl w:val="true"/>
          <w:lang w:bidi="fa-IR"/>
        </w:rPr>
        <w:t>امّا اگر بگوييم ادلّه‌ي حرمت غيبت اطلاق ندارد و شامل چنين مواردي كه مصلحت مهمتري بر ارتكاب آن مترتب است، نمي‌شود، باز احتياجي به رجوع به ادله‌ي امر به معروف و نهي از منكر براي جواز غيبت به قصد ردع منكر نيست، بلكه مي‌گوييم ادلّه‌ي حرمت از اوّل قاصر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ايّ حالٍ، رجوع به ادله‌ي نهي از منكر نمي‌تواند به عنوان دليل سوم براي تجويز 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قاعده‌ي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الردع عن المنكر بالمنكر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منكراتي است كه اگر در جهت دفع از منكر هم قرار بگيرد باز از حرمت و منكر بودن منقلب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پاسخ نقضي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القاعده مقصود محقّق ايرواني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يجوز الرّدع عن المنكر بالمنكر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با منكري كه لولا جهت ردع، منكر است نمي‌توان نهي از منكر كرد، در حالي‌كه كليّت اين كلام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متعدّدي در روايات هست كه لولا جهت ردع و دفع منكر، جزء منكرات است، امّا وقتي همين منكر مصداق ردع و دفع منكر قرار مي‌گيرد چه بسا واجب هم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نمونه فقها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مراتبي از امر به معروف و نهي از منكر، همراه با ضرب بلكه همراه با جرح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اين‌كه چه كسي مي‌تواند متصدّي آن باشد بين فقها اختلاف نظر هست، ولي غرض ما اين است كه با همين نمونه، كليّت كلام محقّق ايرواني قابل نقض است؛ يعني ضرب و جرح ديگران اگر جهت ردع و دفع منكر نباشد منكر و حرام است، ولي همين ضرب يا جرح در آن مرتبه‌ي امر به معروف و نهي از منكر، جايز بلكه واجب مي‌شود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اين‌كه صحيحه‌ي عبدالله بن سنان ـ كه در مباحث قبل نقل كرديم ـ به وضوح بر اين مطلب دلالت دارد؛ چون حضرت به آن مرد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را حبس كن يا او را قيد بزن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وپايش را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حبس كردن و قيد زدن براي دفع منكر جايز است، در حالي‌كه حبس كردن و قيد زدن مسلمان ـ خصوصاً اگر مادر او باشد</w:t>
      </w:r>
      <w:r>
        <w:rPr>
          <w:rStyle w:val="FootnoteAnchor"/>
          <w:rtl w:val="true"/>
        </w:rPr>
        <w:footnoteReference w:id="345"/>
      </w:r>
      <w:r>
        <w:rPr>
          <w:rFonts w:ascii="Amiri" w:hAnsi="Amiri" w:eastAsia="Amiri" w:cs="Amiri"/>
          <w:color w:val="111111"/>
          <w:sz w:val="28"/>
          <w:sz w:val="28"/>
          <w:szCs w:val="28"/>
          <w:rtl w:val="true"/>
          <w:lang w:bidi="ar-SA"/>
        </w:rPr>
        <w:t>ـ در حالت عادي حرام است</w:t>
      </w:r>
      <w:r>
        <w:rPr>
          <w:rFonts w:eastAsia="Amiri" w:cs="Amiri" w:ascii="Amiri" w:hAnsi="Amiri"/>
          <w:color w:val="111111"/>
          <w:sz w:val="28"/>
          <w:szCs w:val="28"/>
          <w:rtl w:val="true"/>
          <w:lang w:bidi="ar-SA"/>
        </w:rPr>
        <w:t>.</w:t>
      </w:r>
      <w:bookmarkStart w:id="505" w:name="pg2359_23512"/>
    </w:p>
    <w:p>
      <w:pPr>
        <w:pStyle w:val="BookText"/>
        <w:rPr/>
      </w:pPr>
      <w:bookmarkEnd w:id="505"/>
      <w:r>
        <w:rPr>
          <w:rFonts w:ascii="IRNazanin" w:hAnsi="IRNazanin" w:eastAsia="IRNazanin"/>
          <w:color w:val="111111"/>
          <w:sz w:val="28"/>
          <w:sz w:val="28"/>
          <w:szCs w:val="28"/>
          <w:rtl w:val="true"/>
          <w:lang w:bidi="fa-IR"/>
        </w:rPr>
        <w:t xml:space="preserve">بنابراين كلام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غيبت به قصد ردع منكر، به اطلاق ادلّه‌ي نهي از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بي‌وجه نبوده، بلكه با تقريبي كه بيان كرديم، وجهي براي جواز دارد و اشكال محقّق ايرواني و ديگراني كه به تبع ايشان چنين اشكالي كرده‌اند، مندفع است</w:t>
      </w:r>
      <w:r>
        <w:rPr>
          <w:rFonts w:eastAsia="IRNazanin" w:cs="IRNazanin"/>
          <w:color w:val="111111"/>
          <w:sz w:val="28"/>
          <w:szCs w:val="28"/>
          <w:rtl w:val="true"/>
          <w:lang w:bidi="fa-IR"/>
        </w:rPr>
        <w:t>.</w:t>
      </w:r>
    </w:p>
    <w:p>
      <w:pPr>
        <w:pStyle w:val="Heading4"/>
        <w:numPr>
          <w:ilvl w:val="3"/>
          <w:numId w:val="1"/>
        </w:numPr>
        <w:rPr/>
      </w:pPr>
      <w:bookmarkStart w:id="506" w:name="__RefHeading___Toc2770563_3804643083"/>
      <w:bookmarkStart w:id="507" w:name="_Toc192"/>
      <w:bookmarkEnd w:id="506"/>
      <w:r>
        <w:rPr/>
        <w:t>6</w:t>
      </w:r>
      <w:r>
        <w:rPr>
          <w:rtl w:val="true"/>
        </w:rPr>
        <w:t xml:space="preserve">- </w:t>
      </w:r>
      <w:r>
        <w:rPr>
          <w:rtl w:val="true"/>
        </w:rPr>
        <w:t>غيبت به قصد حَسم مادّه‌ي فساد</w:t>
      </w:r>
      <w:bookmarkEnd w:id="507"/>
    </w:p>
    <w:p>
      <w:pPr>
        <w:pStyle w:val="Heading5"/>
        <w:numPr>
          <w:ilvl w:val="4"/>
          <w:numId w:val="1"/>
        </w:numPr>
        <w:rPr/>
      </w:pPr>
      <w:bookmarkStart w:id="508" w:name="__RefHeading___Toc2770565_3804643083"/>
      <w:bookmarkStart w:id="509" w:name="_Toc193"/>
      <w:bookmarkEnd w:id="508"/>
      <w:r>
        <w:rPr>
          <w:rtl w:val="true"/>
        </w:rPr>
        <w:t>اشاره</w:t>
      </w:r>
      <w:bookmarkEnd w:id="509"/>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ششمين مورد از مستثنيات غيبت كه مرحوم شيخ به عنوان چهارمين مورد، از باب تزاحم از حرمت غيبت استثنا مي‌فرمايد، زماني است كه كسي به قصد حسم مادّه‌ي فساد، غيبت كند، مانند غيبت درباره‌ي كسي كه مبتدِع است و با بدعت، مردم را به ضلالت مي‌كشاند</w:t>
      </w:r>
      <w:r>
        <w:rPr>
          <w:rFonts w:eastAsia="IRNazanin" w:cs="IRNazanin"/>
          <w:color w:val="111111"/>
          <w:sz w:val="28"/>
          <w:szCs w:val="28"/>
          <w:rtl w:val="true"/>
          <w:lang w:bidi="fa-IR"/>
        </w:rPr>
        <w:t>.</w:t>
      </w:r>
      <w:bookmarkStart w:id="510" w:name="pg2359_23513"/>
    </w:p>
    <w:p>
      <w:pPr>
        <w:pStyle w:val="Heading5"/>
        <w:numPr>
          <w:ilvl w:val="4"/>
          <w:numId w:val="1"/>
        </w:numPr>
        <w:rPr/>
      </w:pPr>
      <w:bookmarkStart w:id="511" w:name="__RefHeading___Toc2770567_3804643083"/>
      <w:bookmarkStart w:id="512" w:name="_Toc194"/>
      <w:bookmarkEnd w:id="510"/>
      <w:bookmarkEnd w:id="511"/>
      <w:r>
        <w:rPr>
          <w:rtl w:val="true"/>
        </w:rPr>
        <w:t>ادلّه‌ي مرحوم شيخ</w:t>
      </w:r>
      <w:r>
        <w:rPr>
          <w:rtl w:val="true"/>
        </w:rPr>
        <w:t xml:space="preserve">- </w:t>
      </w:r>
      <w:r>
        <w:rPr>
          <w:rtl w:val="true"/>
        </w:rPr>
        <w:t xml:space="preserve">قدس سره </w:t>
      </w:r>
      <w:r>
        <w:rPr>
          <w:rtl w:val="true"/>
        </w:rPr>
        <w:t xml:space="preserve">- </w:t>
      </w:r>
      <w:r>
        <w:rPr>
          <w:rtl w:val="true"/>
        </w:rPr>
        <w:t>بر جواز غيبت به قصد حسم مادّه‌ي فساد</w:t>
      </w:r>
      <w:bookmarkEnd w:id="512"/>
    </w:p>
    <w:p>
      <w:pPr>
        <w:pStyle w:val="Heading6"/>
        <w:numPr>
          <w:ilvl w:val="5"/>
          <w:numId w:val="1"/>
        </w:numPr>
        <w:rPr/>
      </w:pPr>
      <w:bookmarkStart w:id="513" w:name="__RefHeading___Toc2770569_3804643083"/>
      <w:bookmarkStart w:id="514" w:name="_Toc195"/>
      <w:bookmarkEnd w:id="513"/>
      <w:r>
        <w:rPr>
          <w:rtl w:val="true"/>
        </w:rPr>
        <w:t>الف</w:t>
      </w:r>
      <w:r>
        <w:rPr>
          <w:rtl w:val="true"/>
        </w:rPr>
        <w:t xml:space="preserve">) </w:t>
      </w:r>
      <w:r>
        <w:rPr>
          <w:rtl w:val="true"/>
        </w:rPr>
        <w:t>تزاحم</w:t>
      </w:r>
      <w:bookmarkEnd w:id="514"/>
    </w:p>
    <w:p>
      <w:pPr>
        <w:pStyle w:val="BookText"/>
        <w:rPr/>
      </w:pPr>
      <w:r>
        <w:rPr>
          <w:rFonts w:ascii="Amiri" w:hAnsi="Amiri" w:eastAsia="Amiri" w:cs="Amiri"/>
          <w:color w:val="111111"/>
          <w:sz w:val="28"/>
          <w:sz w:val="28"/>
          <w:szCs w:val="28"/>
          <w:rtl w:val="true"/>
          <w:lang w:bidi="ar-SA"/>
        </w:rPr>
        <w:t>ملاك وجوب حفظ مردم از ضلالت</w:t>
      </w:r>
      <w:r>
        <w:rPr>
          <w:rStyle w:val="FootnoteAnchor"/>
          <w:rtl w:val="true"/>
        </w:rPr>
        <w:footnoteReference w:id="347"/>
      </w:r>
      <w:r>
        <w:rPr>
          <w:rFonts w:ascii="Amiri" w:hAnsi="Amiri" w:eastAsia="Amiri" w:cs="Amiri"/>
          <w:color w:val="111111"/>
          <w:sz w:val="28"/>
          <w:sz w:val="28"/>
          <w:szCs w:val="28"/>
          <w:rtl w:val="true"/>
          <w:lang w:bidi="ar-SA"/>
        </w:rPr>
        <w:t xml:space="preserve">، از وجوب ستر عيب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اولي و أهم است</w:t>
      </w:r>
      <w:r>
        <w:rPr>
          <w:rStyle w:val="FootnoteAnchor"/>
          <w:rtl w:val="true"/>
        </w:rPr>
        <w:footnoteReference w:id="348"/>
      </w:r>
      <w:r>
        <w:rPr>
          <w:rFonts w:ascii="Amiri" w:hAnsi="Amiri" w:eastAsia="Amiri" w:cs="Amiri"/>
          <w:color w:val="111111"/>
          <w:sz w:val="28"/>
          <w:sz w:val="28"/>
          <w:szCs w:val="28"/>
          <w:rtl w:val="true"/>
          <w:lang w:bidi="ar-SA"/>
        </w:rPr>
        <w:t>، بنابراين در مقام تزاحم مقدّم مي‌شود و در اين صورت، غيبت حرمت فعلي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دليل تزاحم</w:t>
      </w:r>
    </w:p>
    <w:p>
      <w:pPr>
        <w:pStyle w:val="BookText"/>
        <w:rPr/>
      </w:pPr>
      <w:r>
        <w:rPr>
          <w:rFonts w:ascii="IRNazanin" w:hAnsi="IRNazanin" w:eastAsia="IRNazanin"/>
          <w:color w:val="111111"/>
          <w:sz w:val="28"/>
          <w:sz w:val="28"/>
          <w:szCs w:val="28"/>
          <w:rtl w:val="true"/>
          <w:lang w:bidi="fa-IR"/>
        </w:rPr>
        <w:t>مراد مرحوم شيخ از حسم مادّه‌ي فساد مشخص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منظور از غيبتي كه براي حسم مادّه‌ي فساد است چيست؟ آيا مراد اين است كه نسبت به آن فسادي كه مرتكب مي‌شود جواز غيبت هست يا اينكه هر گناهي از مفسد، تحت شمول جواز غيبت است هرچند ربطي به آن كار فاسدش نداشته باشد؟</w:t>
      </w:r>
    </w:p>
    <w:p>
      <w:pPr>
        <w:pStyle w:val="BookText"/>
        <w:rPr/>
      </w:pPr>
      <w:r>
        <w:rPr>
          <w:rFonts w:ascii="IRNazanin" w:hAnsi="IRNazanin" w:eastAsia="IRNazanin"/>
          <w:color w:val="111111"/>
          <w:sz w:val="28"/>
          <w:sz w:val="28"/>
          <w:szCs w:val="28"/>
          <w:rtl w:val="true"/>
          <w:lang w:bidi="fa-IR"/>
        </w:rPr>
        <w:t>البته از دليل دوم جناب شيخ ـ كه خواهد آمد ـ استفاده مي‌شود هر نوع غيبتي جايز است، كه اگر اين‌گونه باشد اثبات آن مشكل مي‌شود، مگر اين‌كه حسم مادّه‌ي فساد را ضيق‌تر معنا كنيم</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شيخ براي حسم مادّه‌ي فساد به بدعت مثال مي‌زند كه</w:t>
      </w:r>
      <w:bookmarkStart w:id="515" w:name="pg2359_23514"/>
    </w:p>
    <w:p>
      <w:pPr>
        <w:pStyle w:val="BookText"/>
        <w:rPr/>
      </w:pPr>
      <w:bookmarkEnd w:id="515"/>
      <w:r>
        <w:rPr>
          <w:rFonts w:ascii="IRNazanin" w:hAnsi="IRNazanin" w:eastAsia="IRNazanin"/>
          <w:color w:val="111111"/>
          <w:sz w:val="28"/>
          <w:sz w:val="28"/>
          <w:szCs w:val="28"/>
          <w:rtl w:val="true"/>
          <w:lang w:bidi="fa-IR"/>
        </w:rPr>
        <w:t>غيبت از هر گناه در مورد مُبدِع جايز است، ولي بايد توجّه داشت كه بدعت بالاترين نوع فساد است و كمتر گناهي مي‌تواند هم‌وزن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مثال به بدعت ـ بعيد نيست ـ استفاده مي‌شود مراد شيخ از مادّه‌ي فساد، اعم است</w:t>
      </w:r>
      <w:r>
        <w:rPr>
          <w:rStyle w:val="FootnoteAnchor"/>
          <w:rtl w:val="true"/>
        </w:rPr>
        <w:footnoteReference w:id="350"/>
      </w:r>
      <w:r>
        <w:rPr>
          <w:rFonts w:ascii="IRNazanin" w:hAnsi="IRNazanin" w:eastAsia="IRNazanin"/>
          <w:color w:val="111111"/>
          <w:sz w:val="28"/>
          <w:sz w:val="28"/>
          <w:szCs w:val="28"/>
          <w:rtl w:val="true"/>
          <w:lang w:bidi="fa-IR"/>
        </w:rPr>
        <w:t xml:space="preserve">و اگر اين‌گونه باشد مشكل است بپذيريم غيبتِ تمامي گناهان ـ حتّي مستور ـ به قصد حسم مادّه‌ي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نوع فساد و گناهي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اگر كسي مردم را عملاً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 به شرب مايع متنجس كند، مشكل است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حسم و قطع اين مادّه‌ي فساد، غيبت او جايز است، حتّي غيبت نسبت به گناهان خيلي زشتي كه متستّراً انجام مي‌دهد و ربطي به شرب مايع متنجس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تنها دليل ما بر جواز غيبت، أهمّيت و اولويّت حسم مادّه‌ي فساد نسبت به غيبت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طريقي كه ما در معناي غيبتِ حرام انتخاب كرديم مبنا قرار گيرد، ديگر غيبت به قصد حسم مادّه‌ي فساد جايز خواهد بود؛ زيرا ما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ادلّه‌ي غيبت، اطلاقي كه شامل اين موارد هم شود وجود ندارد، پس چنين مواردي از اوّل مشمول ادلّه‌ي حرمت نيستند</w:t>
      </w:r>
      <w:r>
        <w:rPr>
          <w:rFonts w:eastAsia="IRNazanin" w:cs="IRNazanin"/>
          <w:color w:val="111111"/>
          <w:sz w:val="28"/>
          <w:szCs w:val="28"/>
          <w:rtl w:val="true"/>
          <w:lang w:bidi="fa-IR"/>
        </w:rPr>
        <w:t>.</w:t>
      </w:r>
    </w:p>
    <w:p>
      <w:pPr>
        <w:pStyle w:val="Heading6"/>
        <w:numPr>
          <w:ilvl w:val="5"/>
          <w:numId w:val="1"/>
        </w:numPr>
        <w:rPr/>
      </w:pPr>
      <w:bookmarkStart w:id="516" w:name="__RefHeading___Toc2770571_3804643083"/>
      <w:bookmarkStart w:id="517" w:name="_Toc196"/>
      <w:bookmarkEnd w:id="516"/>
      <w:r>
        <w:rPr>
          <w:rtl w:val="true"/>
        </w:rPr>
        <w:t>ب</w:t>
      </w:r>
      <w:r>
        <w:rPr>
          <w:rtl w:val="true"/>
        </w:rPr>
        <w:t xml:space="preserve">) </w:t>
      </w:r>
      <w:r>
        <w:rPr>
          <w:rtl w:val="true"/>
        </w:rPr>
        <w:t>تمسّك به صحيحه‌ي داود بن سِرحان</w:t>
      </w:r>
      <w:bookmarkEnd w:id="517"/>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يَحْيَى عَنْ مُحَمَّدِ بْنِ الْحُسَيْنِ عَنْ أَحْمَدَ بْنِ مُحَمَّدِ بْنِ أَبِي نَصْرٍ عَنْ دَاوُدَ بْنِ سِرْحَانَ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w:t>
      </w:r>
    </w:p>
    <w:p>
      <w:pPr>
        <w:pStyle w:val="BookText"/>
        <w:rPr/>
      </w:pPr>
      <w:r>
        <w:rPr>
          <w:rFonts w:ascii="Amiri" w:hAnsi="Amiri" w:eastAsia="Amiri" w:cs="Amiri"/>
          <w:color w:val="111111"/>
          <w:sz w:val="28"/>
          <w:sz w:val="28"/>
          <w:szCs w:val="28"/>
          <w:rtl w:val="true"/>
          <w:lang w:bidi="ar-SA"/>
        </w:rPr>
        <w:t>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w:t>
      </w:r>
      <w:r>
        <w:rPr>
          <w:rFonts w:eastAsia="Amiri" w:cs="Amiri" w:ascii="Amiri" w:hAnsi="Amiri"/>
          <w:color w:val="111111"/>
          <w:sz w:val="28"/>
          <w:szCs w:val="28"/>
          <w:rtl w:val="true"/>
          <w:lang w:bidi="ar-SA"/>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 xml:space="preserve">داود بن سرحان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اهل شك و بدعت را پس از من ديديد از آن‌ها بيزارى بجوييد و بسيار دشنام‌شان بدهيد، زياد درباره‌ي آن‌ها بد بگوييد و آبروي‌شان را ببريد و آنان را مورد مباهته قرار دهيد تا طمع نكنند به فساد در اسلام و مردم از آن‌ها حذر كنند و از بدعت‌هايشان نياموزند، تا خدا به واسطه‌ي اين كار براى شما حسنه نوشته و درجات شما را در آخرت بالا برد</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بررس سند روايت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جناب 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نقل اين حديث، ابتدا مي‌كند به محمّد بن يحيي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العطّار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مردي جليل القدر و شيخِ مرحوم كليني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از محمّد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ثقه و جليل القدر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هم از احمد بن محمّد بن ابي 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از اصحاب امام 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52"/>
      </w:r>
      <w:r>
        <w:rPr>
          <w:rFonts w:ascii="Amiri" w:hAnsi="Amiri" w:eastAsia="Amiri" w:cs="Amiri"/>
          <w:color w:val="111111"/>
          <w:sz w:val="28"/>
          <w:sz w:val="28"/>
          <w:szCs w:val="28"/>
          <w:rtl w:val="true"/>
          <w:lang w:bidi="ar-SA"/>
        </w:rPr>
        <w:t>از داود بن سرحان كه اين شخص هم ثقه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از لحاظ سند تمام است و علاوه بر صحّت سند، مؤيَّد به روايات ديگري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 برخي فقرات روايت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از اهل ريب ـ به مناسبت ما بعدش ـ كساني هستند كه مردم را به شك مي‌اندازند و ايمان مردم را متزلزل مي‌كنند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فأظهروا البراءة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دوري جستن از آن‌ها را آشكار كنيد، اين‌طور نباشد كه فقط در دل خود بگوييد آن‌ها فاسدند، بلكه ـ حضرت امر مي‌فرمايند ـ اظهار تبرّي كنيد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أكثروا من سبّهم و القول فيهم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دشنامشان دهيد، نه با كنايه ـ مثلاً كسي به كنايه بگويد خدا لعنت كند شيطان را ـ بلكه صريح و محكم آن‌ها را شماتت كنيد، و در مورد اعتقادات غلط آن‌ها افشاگري كنيد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الوقيعة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وقيعه يعني غيبت كردن</w:t>
      </w:r>
      <w:r>
        <w:rPr>
          <w:rStyle w:val="FootnoteAnchor"/>
          <w:rtl w:val="true"/>
        </w:rPr>
        <w:footnoteReference w:id="353"/>
      </w:r>
      <w:r>
        <w:rPr>
          <w:rFonts w:ascii="IRNazanin" w:hAnsi="IRNazanin" w:eastAsia="IRNazanin"/>
          <w:color w:val="111111"/>
          <w:sz w:val="28"/>
          <w:sz w:val="28"/>
          <w:szCs w:val="28"/>
          <w:rtl w:val="true"/>
          <w:lang w:bidi="fa-IR"/>
        </w:rPr>
        <w:t>، پس حضرت درباره‌ي آنان امر به غيبت مي‌فرمايند</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مراد از باهتوهم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مباهته قرارشان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از قديم اختلافي بين علما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معناي مبهوت كردن است، مانند آيه‌ي شريفه‌ي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r>
        <w:rPr>
          <w:rStyle w:val="FootnoteAnchor"/>
          <w:rtl w:val="true"/>
        </w:rPr>
        <w:footnoteReference w:id="354"/>
      </w:r>
      <w:r>
        <w:rPr>
          <w:rFonts w:ascii="IRNazanin" w:hAnsi="IRNazanin" w:eastAsia="IRNazanin"/>
          <w:color w:val="111111"/>
          <w:sz w:val="28"/>
          <w:sz w:val="28"/>
          <w:szCs w:val="28"/>
          <w:rtl w:val="true"/>
          <w:lang w:bidi="fa-IR"/>
        </w:rPr>
        <w:t>و مراد اين است كه با بيان حجج قاطعه و براهين بيّنه مبهوتشان كنيد كه ديگر نتوانند حرف بزنند</w:t>
      </w:r>
      <w:r>
        <w:rPr>
          <w:rStyle w:val="FootnoteAnchor"/>
          <w:rtl w:val="true"/>
        </w:rPr>
        <w:footnoteReference w:id="355"/>
      </w:r>
    </w:p>
    <w:p>
      <w:pPr>
        <w:pStyle w:val="BookText"/>
        <w:rPr/>
      </w:pPr>
      <w:r>
        <w:rPr>
          <w:rFonts w:ascii="IRNazanin" w:hAnsi="IRNazanin" w:eastAsia="IRNazanin"/>
          <w:color w:val="111111"/>
          <w:sz w:val="28"/>
          <w:sz w:val="28"/>
          <w:szCs w:val="28"/>
          <w:rtl w:val="true"/>
          <w:lang w:bidi="fa-IR"/>
        </w:rPr>
        <w:t>و بَهَته بَهْتاً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بغتةً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 و تحيّر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تحيّر؛ لانقطاع 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الكذب يَبْهَت سامعه لفظاعته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الصحاح،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244</w:t>
      </w:r>
      <w:r>
        <w:rPr>
          <w:rFonts w:ascii="IRNazanin" w:hAnsi="IRNazanin" w:eastAsia="IRNazanin"/>
          <w:color w:val="111111"/>
          <w:sz w:val="28"/>
          <w:sz w:val="28"/>
          <w:szCs w:val="28"/>
          <w:rtl w:val="true"/>
          <w:lang w:bidi="fa-IR"/>
        </w:rPr>
        <w:t xml:space="preserve">؛ المفردات للراغب، ص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 مجمع البحرين،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ذيل بهت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دارالحديث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پاورقي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سياق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بهتان زدن؛ چون اين شخص احترام خداوند را رعايت نكرده و به خداوند بهتان زده است، پس ديگر احترامي ندارد و مي‌توان به او بهتان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حضرت امر به بهتان زدن به اهل بدعت مي‌فرمايند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 لا يطمع في الفساد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ديگر به فساد در اسلام طمع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بدانند كه اگر أهل بدعت شوند اين‌طور محكم با آنان برخورد مي‌شود و آبرويي برايشان باقي نمي‌ماند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يحذرهم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از آنان حذر كنند و بدانند كه هركس پيش اين‌ها برود او هم منفور مي‌شود؛ يعني در حكم اين‌هاست</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لايتعلّموا من بدعهم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از بدعت‌هاي اين افراد منحرف تعلّم</w:t>
      </w:r>
    </w:p>
    <w:p>
      <w:pPr>
        <w:pStyle w:val="BookText"/>
        <w:rPr/>
      </w:pP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الله لكم بذلك الحسنات و يرفع لكم به الدرجات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اين غيبت كردن، سب كردن و اظهار برائت از اهل بدعت، براي شما موجب حسنه و رفعت درجات اُخروي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استدلال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روايت داود بن سرحان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دلالت اين روايت بر جواز غيبت مُبدِع، هيچ جاي شبهه نيست، امّا مناقشه‌ي ما بر استدلال شيخ اين است كه ايشان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حسم مادّه‌ي 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اعم بيان مي‌دارد، در نتيجه شامل هر نوع فساد و حرامي مي‌شود، در حالي‌كه حكم مستفاد از اين روايت ـ با اين احكام غلاظ و شدادي كه دارد ـ را نمي‌توانيم به غير مورد بدعت تسرّي داده و بگوييم براي حسم هر ماده‌ي فسادي مي‌توان غيبت كرد و احكام مذكور در اين روايت، در مورد آن‌ها هم جاري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لازم بود جناب شيخ بين گناهان و مراتب حرمت آن‌ها تفكيك 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مقابله با بدعت‌گذار، سفارش جدّي روايات</w:t>
      </w:r>
    </w:p>
    <w:p>
      <w:pPr>
        <w:pStyle w:val="BookText"/>
        <w:rPr/>
      </w:pPr>
      <w:r>
        <w:rPr>
          <w:rFonts w:ascii="IRNazanin" w:hAnsi="IRNazanin" w:eastAsia="IRNazanin"/>
          <w:color w:val="111111"/>
          <w:sz w:val="28"/>
          <w:sz w:val="28"/>
          <w:szCs w:val="28"/>
          <w:rtl w:val="true"/>
          <w:lang w:bidi="fa-IR"/>
        </w:rPr>
        <w:t>متأسفانه در مقابله با بدعت، حتّي ما طلبه‌ها هم گاهي به عناوين مختلف كوتاه آمده و آن‌گونه كه بايد، مقابله نمي‌كنيم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روايات زيادي تأكيد بر اين امر دارد كه بايد ريشه‌ي اين تشتّت‌ها، تفرّق‌ها و دين‌ستيزي‌ها را خشكاند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روايتي مي‌فرمايد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ظَهَرَتِ الْبِدَعُ فِي أُمَّتِي فَلْيُظْهِرِ الْعَالِمُ عِلْمَهُ فَمَنْ لَمْ يَفْعَلْ فَعَلَيْهِ لَعْنَةُ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مُحَمَّدِ بْنِ جُمْهُورٍ الْعَمِّيِّ يَرْفَعُهُ قَالَ 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ظَهَرَتِ الْبِدَعُ فِي أُمَّتِي</w:t>
      </w:r>
    </w:p>
    <w:p>
      <w:pPr>
        <w:pStyle w:val="BookText"/>
        <w:rPr/>
      </w:pPr>
      <w:r>
        <w:rPr>
          <w:rFonts w:ascii="Amiri" w:hAnsi="Amiri" w:eastAsia="Amiri" w:cs="Amiri"/>
          <w:color w:val="111111"/>
          <w:sz w:val="28"/>
          <w:sz w:val="28"/>
          <w:szCs w:val="28"/>
          <w:rtl w:val="true"/>
          <w:lang w:bidi="ar-SA"/>
        </w:rPr>
        <w:t>فَلْيُظْهِرِ الْعَالِمُ عِلْمَهُ فَمَنْ 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356"/>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بدعت‌ها در امّت من ظاهر شد پس عالم بايد علم خود را اظهار كند و اگر چنين نكرد پس لعنت خدا بر او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در روايت ديگري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أَتَى ذَا بِدْعَةٍ فَعَظَّمَهُ فَإِنَّمَا سَعَى فِي هَدْمِ الْإِسْلَامِ</w:t>
      </w:r>
      <w:r>
        <w:rPr>
          <w:rFonts w:eastAsia="Amiri" w:cs="Amiri" w:ascii="Amiri" w:hAnsi="Amiri"/>
          <w:color w:val="111111"/>
          <w:sz w:val="28"/>
          <w:szCs w:val="28"/>
          <w:rtl w:val="true"/>
          <w:lang w:bidi="ar-SA"/>
        </w:rPr>
        <w:t>»</w:t>
      </w:r>
      <w:r>
        <w:rPr>
          <w:rStyle w:val="FootnoteAnchor"/>
          <w:rtl w:val="true"/>
        </w:rPr>
        <w:footnoteReference w:id="357"/>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الْإِسْنَادِ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الْحُسَيْنُ بْنُ مُحَمَّدٍ عَنْ مُعَلَّى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جُمْهُورٍ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أَتَى ذَا بِدْعَةٍ فَعَظَّمَهُ فَإِنَّمَا يَسْعَى فِي هَدْمِ الْإِسْلَامِ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كتاب فضل العلم، باب البدع و الراي و المقاييس،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كسي كه نزد اهل بدعتي برود و او را بزرگ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عنوان آيت الله يا مرجع يا هر عنوان ديگري كه از آن، احترام انتزاع شود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در هدم اسلام كرده است</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روايت ديگري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مَشَى إِلَى صَاحِبِ بِدْعَةٍ فَوَقَّرَهُ فَقَدْ مَشَى فِي هَدْمِ الْإِسْلَامِ</w:t>
      </w:r>
      <w:r>
        <w:rPr>
          <w:rFonts w:eastAsia="Amiri" w:cs="Amiri" w:ascii="Amiri" w:hAnsi="Amiri"/>
          <w:color w:val="111111"/>
          <w:sz w:val="28"/>
          <w:szCs w:val="28"/>
          <w:rtl w:val="true"/>
          <w:lang w:bidi="ar-SA"/>
        </w:rPr>
        <w:t>»</w:t>
      </w:r>
      <w:r>
        <w:rPr>
          <w:rStyle w:val="FootnoteAnchor"/>
          <w:rtl w:val="true"/>
        </w:rPr>
        <w:footnoteReference w:id="358"/>
      </w:r>
    </w:p>
    <w:p>
      <w:pPr>
        <w:pStyle w:val="BookText"/>
        <w:rPr/>
      </w:pPr>
      <w:r>
        <w:rPr>
          <w:rFonts w:ascii="IRNazanin" w:hAnsi="IRNazanin" w:eastAsia="IRNazanin"/>
          <w:color w:val="111111"/>
          <w:sz w:val="28"/>
          <w:sz w:val="28"/>
          <w:szCs w:val="28"/>
          <w:rtl w:val="true"/>
          <w:lang w:bidi="fa-IR"/>
        </w:rPr>
        <w:t xml:space="preserve">كسي كه گام بردارد به سوي صاحب بدعتي و او را توقير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موجب ارزش او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سوي هدم اسلام قدم برداشته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ذيل آيه‌ي شريفه‌ي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لا يَتَناهَوْنَ عَنْ مُنكَرٍ فَعَلُوهُ لَبِئْسَ ما كانُوا يَفْعَلُون</w:t>
      </w:r>
      <w:r>
        <w:rPr>
          <w:rFonts w:eastAsia="Amiri" w:cs="Amiri" w:ascii="Amiri" w:hAnsi="Amiri"/>
          <w:color w:val="111111"/>
          <w:sz w:val="28"/>
          <w:szCs w:val="28"/>
          <w:rtl w:val="true"/>
          <w:lang w:bidi="ar-SA"/>
        </w:rPr>
        <w:t>)</w:t>
      </w:r>
      <w:r>
        <w:rPr>
          <w:rStyle w:val="FootnoteAnchor"/>
          <w:rtl w:val="true"/>
        </w:rPr>
        <w:footnoteReference w:id="359"/>
      </w:r>
      <w:r>
        <w:rPr>
          <w:rFonts w:ascii="Amiri" w:hAnsi="Amiri" w:eastAsia="Amiri" w:cs="Amiri"/>
          <w:color w:val="111111"/>
          <w:sz w:val="28"/>
          <w:sz w:val="28"/>
          <w:szCs w:val="28"/>
          <w:rtl w:val="true"/>
          <w:lang w:bidi="ar-SA"/>
        </w:rPr>
        <w:t>در تفسير عياشي روايتي است كه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إِنَّهُمْ لَمْ يَكُونُوا يَدْخُلُونَ مَدَاخِلَهُمْ وَ لَا يَجْلِسُونَ مَجَالِسَهُمْ وَ لَكِنْ كَانُوا إِذَا لَقُوهُمْ ضَحِكُوا فِي وُجُوهِهِمْ وَ أَنِسُوا بِهِمْ</w:t>
      </w:r>
      <w:r>
        <w:rPr>
          <w:rFonts w:eastAsia="Amiri" w:cs="Amiri" w:ascii="Amiri" w:hAnsi="Amiri"/>
          <w:color w:val="111111"/>
          <w:sz w:val="28"/>
          <w:szCs w:val="28"/>
          <w:rtl w:val="true"/>
          <w:lang w:bidi="ar-SA"/>
        </w:rPr>
        <w:t>»</w:t>
      </w:r>
      <w:r>
        <w:rPr>
          <w:rStyle w:val="FootnoteAnchor"/>
          <w:rtl w:val="true"/>
        </w:rPr>
        <w:footnoteReference w:id="360"/>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درباره‌ي اين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كانُوا لا يَتَناهَوْنَ عَنْ مُنكَرٍ فَعَلُوهُ لَبِئْسَ ما كانُوا يَفْعَلُون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از اعمال زشتى كه انجام مى‌دادند يكديگر را نهى نمى‌كردند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بدكارى انجام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نبود كه آن‌ها همراه</w:t>
      </w:r>
    </w:p>
    <w:p>
      <w:pPr>
        <w:pStyle w:val="BookText"/>
        <w:rPr/>
      </w:pPr>
      <w:r>
        <w:rPr>
          <w:rFonts w:ascii="IRNazanin" w:hAnsi="IRNazanin" w:eastAsia="IRNazanin"/>
          <w:color w:val="111111"/>
          <w:sz w:val="28"/>
          <w:sz w:val="28"/>
          <w:szCs w:val="28"/>
          <w:rtl w:val="true"/>
          <w:lang w:bidi="fa-IR"/>
        </w:rPr>
        <w:t xml:space="preserve">گناه‌كاران باشند و در مجالس آنان شركت كنند، بلكه وقتي ملاقات‌شان مي‌كردند به آنان لبخند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رضايت‌آميز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مي‌زدند و با آن‌ها اُنس مي‌گرفتند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ديگري كه خيلي عجيب و تكان دهنده است، مي‌فرمايند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الْعَالِمَ الْكَاتِمَ عِلْمَهُ يُبْعَثُ أَنْتَنَ أَهْلِ الْقِيَامَةِ رِيحاً تَلْعَنُهُ كُلُّ دَابَّةٍ حَتَّى دَوَابُّ الْأَرْضِ الصِّغَارُ</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 xml:space="preserve">عالمي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جايي كه نياز به اظهار علمش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علمش را كتمان كند، بد بوترين فرد روز قيامت محشور مي‌شود و هر جنبنده‌اي حتّي موجودات ريز زمين، او را لعنت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بخش كمي از رواياتي بود كه در مورد بدعت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ملاحظه شد، برخورد محكم و سنگيني با بدعت‌گذار شده است به حدّي كه ديگران را امر به سب، غيبت، مقابله‌ي علمي ـ با إظهار علم ـ و اظهار تبرّي نسبت به أهل بدعت كرده‌اند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دقّت در تشخيص مصاديق</w:t>
      </w:r>
    </w:p>
    <w:p>
      <w:pPr>
        <w:pStyle w:val="BookText"/>
        <w:rPr/>
      </w:pPr>
      <w:r>
        <w:rPr>
          <w:rFonts w:ascii="IRNazanin" w:hAnsi="IRNazanin" w:eastAsia="IRNazanin"/>
          <w:color w:val="111111"/>
          <w:sz w:val="28"/>
          <w:sz w:val="28"/>
          <w:szCs w:val="28"/>
          <w:rtl w:val="true"/>
          <w:lang w:bidi="fa-IR"/>
        </w:rPr>
        <w:t>البته بايد توجّه داشت كه برخورد اين‌چنيني زماني جايز است كه مصداق آن احراز شده باشد، و إلا تهمت زدن هم گناه بزرگي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مصداق مُبدع احراز شد ديگر سكوت جايز نيست، خصوصاً در اين زمان كه گاهي به اسم نوآوري، بازار بدعت داغ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همان‌طور كه تحجّر، دُگم بودن و نفهميدن حقايق، بسيار بد است، افراط و روي آوردن به بدعت هم موجب خسران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وقتي كسي در مقابل حدود چهارده روايت كه بعضي صحيحه بوده و دلالتش تام است و احدي تشكيك نكرده، بگويد من خلاف آن فتوا مي‌دهم چون عقل من اين‌چنين مي‌گويد، اين ديگر مصداق واضح بدعت است و إلا مصداقي براي روايات بدعت ـ با آن شدّتش ـ نخواهيم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اين‌ها بدعت نباشد پس در كجا بدعت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 همگان لازم است به اندازه‌ي فهم و سهم خود، در مقابل اين‌ها حرف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اين شبهات و وسوسه‌ها ـ كه شيطان به صورت روشن‌فكري يا مقدس‌مآبي القا مي‌كند ـ ما را از انجام وظيفه و امر به معروف و نهي از منكر باز دارد و همين‌طور كسي نبايد از مقابله با اهل بدعت خوف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روايتي مي‌فرمايد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رَدَّ عَلَى صَاحِبِ بِدْعَةٍ بِدْعَتَهُ فَهُوَ فِي سَبِيلِ اللَّهِ تَعَالَى</w:t>
      </w:r>
      <w:r>
        <w:rPr>
          <w:rFonts w:eastAsia="Amiri" w:cs="Amiri" w:ascii="Amiri" w:hAnsi="Amiri"/>
          <w:color w:val="111111"/>
          <w:sz w:val="28"/>
          <w:szCs w:val="28"/>
          <w:rtl w:val="true"/>
          <w:lang w:bidi="ar-SA"/>
        </w:rPr>
        <w:t>»</w:t>
      </w:r>
      <w:r>
        <w:rPr>
          <w:rStyle w:val="FootnoteAnchor"/>
          <w:rtl w:val="true"/>
        </w:rPr>
        <w:footnoteReference w:id="362"/>
      </w:r>
    </w:p>
    <w:p>
      <w:pPr>
        <w:pStyle w:val="BookText"/>
        <w:rPr/>
      </w:pPr>
      <w:r>
        <w:rPr>
          <w:rFonts w:ascii="IRNazanin" w:hAnsi="IRNazanin" w:eastAsia="IRNazanin"/>
          <w:color w:val="111111"/>
          <w:sz w:val="28"/>
          <w:sz w:val="28"/>
          <w:szCs w:val="28"/>
          <w:rtl w:val="true"/>
          <w:lang w:bidi="fa-IR"/>
        </w:rPr>
        <w:t>كسي كه بدعت بدعت‌گذار را رد كند و با آن مقابله كند، پس او در مسير الهي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ديگري كه ظاهراً در حكم صحيح است،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الْأَمْرَ بِالْمَعْرُوفِ وَ النَّهْيَ عَنِ الْمُنْكَرِ لَمْ يُقَرِّبَا أَجَلًا وَ لَمْ يُبَاعِدَا رِزْقاً</w:t>
      </w:r>
      <w:r>
        <w:rPr>
          <w:rFonts w:eastAsia="Amiri" w:cs="Amiri" w:ascii="Amiri" w:hAnsi="Amiri"/>
          <w:color w:val="111111"/>
          <w:sz w:val="28"/>
          <w:szCs w:val="28"/>
          <w:rtl w:val="true"/>
          <w:lang w:bidi="ar-SA"/>
        </w:rPr>
        <w:t>»</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 xml:space="preserve">امر به معروف و نهي از منكر، اَجَلي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نزديك و رزقي را دور نمي‌كند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دفع بدعت و هر منكر ديگري باعث از دست رفتن ملاك بزرگ‌تري شود</w:t>
      </w:r>
      <w:r>
        <w:rPr>
          <w:rStyle w:val="FootnoteAnchor"/>
          <w:rtl w:val="true"/>
        </w:rPr>
        <w:footnoteReference w:id="364"/>
      </w:r>
      <w:r>
        <w:rPr>
          <w:rFonts w:ascii="IRNazanin" w:hAnsi="IRNazanin" w:eastAsia="IRNazanin"/>
          <w:color w:val="111111"/>
          <w:sz w:val="28"/>
          <w:sz w:val="28"/>
          <w:szCs w:val="28"/>
          <w:rtl w:val="true"/>
          <w:lang w:bidi="fa-IR"/>
        </w:rPr>
        <w:t xml:space="preserve">قانون تزاحم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ترجيح أهم بر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قانون عقلي غير قابل تخصيص است حكومت دارد، هم‌چنان كه شرايط امر به معروف و نهي از منكر نيز بايد رعايت شود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برخي فروعات مناسب با بدعت‌گذار، در بحث استثناي جرح راويان به زودي خواهد آمد، إن‌شاءالله</w:t>
      </w:r>
      <w:r>
        <w:rPr>
          <w:rFonts w:eastAsia="IRNazanin" w:cs="IRNazanin"/>
          <w:color w:val="111111"/>
          <w:sz w:val="28"/>
          <w:szCs w:val="28"/>
          <w:rtl w:val="true"/>
          <w:lang w:bidi="fa-IR"/>
        </w:rPr>
        <w:t>.</w:t>
      </w:r>
      <w:bookmarkStart w:id="518" w:name="pg2359_23524"/>
    </w:p>
    <w:p>
      <w:pPr>
        <w:pStyle w:val="Heading4"/>
        <w:numPr>
          <w:ilvl w:val="3"/>
          <w:numId w:val="1"/>
        </w:numPr>
        <w:rPr/>
      </w:pPr>
      <w:bookmarkStart w:id="519" w:name="__RefHeading___Toc2770573_3804643083"/>
      <w:bookmarkStart w:id="520" w:name="_Toc197"/>
      <w:bookmarkEnd w:id="518"/>
      <w:bookmarkEnd w:id="519"/>
      <w:r>
        <w:rPr/>
        <w:t>7</w:t>
      </w:r>
      <w:r>
        <w:rPr>
          <w:rtl w:val="true"/>
        </w:rPr>
        <w:t xml:space="preserve">. </w:t>
      </w:r>
      <w:r>
        <w:rPr>
          <w:rtl w:val="true"/>
        </w:rPr>
        <w:t>جرح شهود</w:t>
      </w:r>
      <w:bookmarkEnd w:id="520"/>
    </w:p>
    <w:p>
      <w:pPr>
        <w:pStyle w:val="Heading5"/>
        <w:numPr>
          <w:ilvl w:val="4"/>
          <w:numId w:val="1"/>
        </w:numPr>
        <w:rPr/>
      </w:pPr>
      <w:bookmarkStart w:id="521" w:name="__RefHeading___Toc2770575_3804643083"/>
      <w:bookmarkStart w:id="522" w:name="_Toc198"/>
      <w:bookmarkEnd w:id="521"/>
      <w:r>
        <w:rPr>
          <w:rtl w:val="true"/>
        </w:rPr>
        <w:t>اشاره</w:t>
      </w:r>
      <w:bookmarkEnd w:id="522"/>
    </w:p>
    <w:p>
      <w:pPr>
        <w:pStyle w:val="BookText"/>
        <w:rPr/>
      </w:pPr>
      <w:r>
        <w:rPr>
          <w:rFonts w:ascii="IRNazanin" w:hAnsi="IRNazanin" w:eastAsia="IRNazanin"/>
          <w:color w:val="111111"/>
          <w:sz w:val="28"/>
          <w:sz w:val="28"/>
          <w:szCs w:val="28"/>
          <w:rtl w:val="true"/>
          <w:lang w:bidi="fa-IR"/>
        </w:rPr>
        <w:t>يكي ديگر از موارد استثنا كه مرحوم شيخ از باب تزاحم ذكر فرموده، غيبت در مقام جرح 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بيّنه‌اي</w:t>
      </w:r>
      <w:r>
        <w:rPr>
          <w:rStyle w:val="FootnoteAnchor"/>
          <w:rtl w:val="true"/>
        </w:rPr>
        <w:footnoteReference w:id="365"/>
      </w:r>
      <w:r>
        <w:rPr>
          <w:rFonts w:ascii="IRNazanin" w:hAnsi="IRNazanin" w:eastAsia="IRNazanin"/>
          <w:color w:val="111111"/>
          <w:sz w:val="28"/>
          <w:sz w:val="28"/>
          <w:szCs w:val="28"/>
          <w:rtl w:val="true"/>
          <w:lang w:bidi="fa-IR"/>
        </w:rPr>
        <w:t xml:space="preserve">كه مدّعي نزد قاضي عليه منكِر اقامه مي‌كند، منكِر مي‌تواند شاهدي اقامه كند تا بر فسق بيّنه‌ي مدّعي شهادت دهد، كه اصطلاحاً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جرح الشهود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مقام جرح شهود، غيبت كردن از بيّنه و شهادت به فسق‌شان اشكالي ندارد و بر قاضي لازم است كه مهلت دهد تا منكر اقامه‌ي شاهد بر جرح شهود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بلكه برخي در باب آداب قضا نوشته‌اند كه حداقل ادب قضاوت اقتضا مي‌كند كه قاضي از مدّعي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كند كه آيا جارحي دارد يا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مسأله كه منكر مي‌تواند اقامه‌ي شاهد بر جرح شهود كند و شاهد، عليه شهودِ مدّعي غيبت كند، قابل مناقشه نيست و مورد تسالم همه‌ي فقهاست</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يكي از موارد جواز غيبت، جرح شهود است كه شامل جرح شهود در مورد عملي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متستّراً انجام داده‌اند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اين‌چنين است بيّنه‌اي كه به نفع مدّعي شهادت مي‌دهند اجهار به فسق ندارند، وگرنه طبق قاعده قاضي خودش مي‌دانست و مدّعي هم به اين سادگي به سراغ آن‌ها براي اقامه‌ي شهادت نمي‌رفت</w:t>
      </w:r>
      <w:r>
        <w:rPr>
          <w:rFonts w:eastAsia="IRNazanin" w:cs="IRNazanin"/>
          <w:color w:val="111111"/>
          <w:sz w:val="28"/>
          <w:szCs w:val="28"/>
          <w:rtl w:val="true"/>
          <w:lang w:bidi="fa-IR"/>
        </w:rPr>
        <w:t>.</w:t>
      </w:r>
      <w:bookmarkStart w:id="523" w:name="pg2359_23525"/>
    </w:p>
    <w:p>
      <w:pPr>
        <w:pStyle w:val="BookText"/>
        <w:rPr/>
      </w:pPr>
      <w:bookmarkEnd w:id="523"/>
      <w:r>
        <w:rPr>
          <w:rFonts w:ascii="IRNazanin" w:hAnsi="IRNazanin" w:eastAsia="IRNazanin"/>
          <w:color w:val="111111"/>
          <w:sz w:val="28"/>
          <w:sz w:val="28"/>
          <w:szCs w:val="28"/>
          <w:rtl w:val="true"/>
          <w:lang w:bidi="fa-IR"/>
        </w:rPr>
        <w:t>بنابراين معلوم مي‌شود هرچند بيّنه متستّراً گناه كرده باشند، در مقام جرح مي‌توان مرتكب غيبت آن‌ها شد و اين از لحاظ فقهي جزء مسلّمات بوده و سيره هم بر اين مطلب وجود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معياري هم كه ما مشي كرديم، اصلاً ادلّه‌ي حرمت غيبت داراي اطلاقي كه شامل چنين مواردي شود، نيست و حتّي اگر وضعيت طوري باشد كه اگر فرد غيبت نكند حقّ مُعتنا بِهِ كسي از روي ظلم در معرض اتلاف قرار مي‌گيرد، مي‌تواند فرد غيبت كند</w:t>
      </w:r>
      <w:r>
        <w:rPr>
          <w:rStyle w:val="FootnoteAnchor"/>
          <w:rtl w:val="true"/>
        </w:rPr>
        <w:footnoteReference w:id="366"/>
      </w:r>
      <w:r>
        <w:rPr>
          <w:rFonts w:ascii="IRNazanin" w:hAnsi="IRNazanin" w:eastAsia="IRNazanin"/>
          <w:color w:val="111111"/>
          <w:sz w:val="28"/>
          <w:sz w:val="28"/>
          <w:szCs w:val="28"/>
          <w:rtl w:val="true"/>
          <w:lang w:bidi="fa-IR"/>
        </w:rPr>
        <w:t>هرچند نزد حاكم نيز نباشد</w:t>
      </w:r>
      <w:r>
        <w:rPr>
          <w:rFonts w:eastAsia="IRNazanin" w:cs="IRNazanin"/>
          <w:color w:val="111111"/>
          <w:sz w:val="28"/>
          <w:szCs w:val="28"/>
          <w:rtl w:val="true"/>
          <w:lang w:bidi="fa-IR"/>
        </w:rPr>
        <w:t>.</w:t>
      </w:r>
    </w:p>
    <w:p>
      <w:pPr>
        <w:pStyle w:val="Heading5"/>
        <w:numPr>
          <w:ilvl w:val="4"/>
          <w:numId w:val="1"/>
        </w:numPr>
        <w:rPr/>
      </w:pPr>
      <w:bookmarkStart w:id="524" w:name="__RefHeading___Toc2770577_3804643083"/>
      <w:bookmarkStart w:id="525" w:name="_Toc199"/>
      <w:bookmarkEnd w:id="524"/>
      <w:r>
        <w:rPr>
          <w:rtl w:val="true"/>
        </w:rPr>
        <w:t>حكم جرح رُوات كاذب</w:t>
      </w:r>
      <w:bookmarkEnd w:id="525"/>
    </w:p>
    <w:p>
      <w:p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ادامه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مثله بل أولى بالجواز جرح الرواة</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جرح روات، در جواز غيبت مثل جرح شهود است، بلكه اولي به جواز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راويان دروغگو گرچه دروغگويي‌شان بر ديگران مستور باشد، غيبت‌شان جايز است و حتّي جايز است كه در كتاب‌ها نوشته شود تا هزاران سال باقي بماند و همگان از وضعيت او با خبر شوند</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استدلال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جواز جرح روات كاذب</w:t>
      </w:r>
    </w:p>
    <w:p>
      <w:pPr>
        <w:pStyle w:val="BookText"/>
        <w:rPr/>
      </w:pPr>
      <w:r>
        <w:rPr>
          <w:rFonts w:ascii="IRNazanin" w:hAnsi="IRNazanin" w:eastAsia="IRNazanin"/>
          <w:color w:val="111111"/>
          <w:sz w:val="28"/>
          <w:sz w:val="28"/>
          <w:szCs w:val="28"/>
          <w:rtl w:val="true"/>
          <w:lang w:bidi="fa-IR"/>
        </w:rPr>
        <w:t>دليل مرحوم شيخ همان قانون كلّي باب تزاحم است؛ زيرا حفظ احكام شرعي داراي أهمّيت بيشتري است و به تعبير ديگر مفسده‌ي عمل به روايت فاسق، بزرگ‌تر از مفسده‌ي شهادت به كذب او به وسيله‌ي غيبت است</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عدم توثيق هيچ‌گاه مساوي با اين نيست كه كسي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كسي وضّاع يا كذّاب باشد، آيا اين شخص، هم‌وزن كسي است كه توثيقي از او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شخص وضّاع مي‌تواند مؤيّد كذب آن باشد، ولي روايت شخصي كه توثيقي از او نيامده مي‌تواند مؤيّد روايات ديگر در صحّت حديث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استدلال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استدلال مرحوم شيخ في‌الجمله درست است و قابل مناقشه نيست، امّا بهتر بود كه موضوع را بيشتر تحليل كرده و تفصيل مي‌دادند</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راوياني كه كذب علي الله و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الائمة المعصومين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مي‌بندند شكّي نيست كه غيبت‌شان جايز است، حتّي احتياجي به باب تزاحم و اولويت نيست، بلكه با تمسّك به صحيحه‌ي داود بن سرحان كه درباره‌ي أهل ريب و بدَع مي‌باشد هم مي‌توانيم حكم به جواز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وجوب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كنيم؛ زيرا كسي كه بر خدا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مي‌بندد بدعت‌گذار است؛ چون چيزي را به</w:t>
      </w:r>
      <w:bookmarkStart w:id="526" w:name="pg2359_23527"/>
    </w:p>
    <w:p>
      <w:pPr>
        <w:pStyle w:val="BookText"/>
        <w:rPr/>
      </w:pPr>
      <w:bookmarkEnd w:id="526"/>
      <w:r>
        <w:rPr>
          <w:rFonts w:ascii="Amiri" w:hAnsi="Amiri" w:eastAsia="Amiri" w:cs="Amiri"/>
          <w:color w:val="111111"/>
          <w:sz w:val="28"/>
          <w:sz w:val="28"/>
          <w:szCs w:val="28"/>
          <w:rtl w:val="true"/>
          <w:lang w:bidi="ar-SA"/>
        </w:rPr>
        <w:t xml:space="preserve">دين نسبت مي‌دهد كه در دين نيست و از اين جهت كه مردم را به شك مي‌اندازد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مي‌باشد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اگر دروغي كه بر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مي‌بندد مربوط به دين نباشد عنوان بدعت‌گذار بر او صادق نيست؛ زيرا در مثل اين‌گونه موارد مقصود از بدعت، بدعت در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اگر كسي از روي خطا بدعتي را انجام داد بر او أهل ريب و أهل بدعت صادق نيست و گرچه بايد بدعت او را اصلاح كرد امّا احكام وارده در اين صحيحه شامل او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آن است كه از مثل او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با اتمام حجّت لجاجت كرد و اصرار بر بدعت داشت بر او أهل ريب و أهل بدعت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خطا تقصيري باشد، در برخي مراتب، أهل ريب و أهل بدعت بر او صادق است</w:t>
      </w:r>
      <w:r>
        <w:rPr>
          <w:rFonts w:eastAsia="IRNazanin" w:cs="IRNazanin"/>
          <w:color w:val="111111"/>
          <w:sz w:val="28"/>
          <w:szCs w:val="28"/>
          <w:rtl w:val="true"/>
          <w:lang w:bidi="fa-IR"/>
        </w:rPr>
        <w:t>.</w:t>
      </w:r>
    </w:p>
    <w:p>
      <w:pPr>
        <w:pStyle w:val="Heading5"/>
        <w:numPr>
          <w:ilvl w:val="4"/>
          <w:numId w:val="1"/>
        </w:numPr>
        <w:rPr/>
      </w:pPr>
      <w:bookmarkStart w:id="527" w:name="__RefHeading___Toc2770579_3804643083"/>
      <w:bookmarkStart w:id="528" w:name="_Toc200"/>
      <w:bookmarkEnd w:id="527"/>
      <w:r>
        <w:rPr>
          <w:rtl w:val="true"/>
        </w:rPr>
        <w:t>حكم غيبت كسي كه بدون علم، چيزي را به دين نسبت مي‌دهد</w:t>
      </w:r>
      <w:bookmarkEnd w:id="528"/>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عمداً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نبندد، ولي بدون علم، مطلبي را به ضرس قاطع به دين نسبت دهد، گرچه عمل او حرام است و طبق آن‌چه قبلاً گفتيم مي‌توان اصطلاح تشريع در حقّ او به كار برد، ولي لفظ مُبدِع در صورتي بر او اطلاق مي‌شود كه سخن او در متن واقع هم جزء دين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احراز شود كه سخن او جزء دين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بعيد نيست عنوان أهل ريب در برخي مراتب بر او اطلاق شود؛ چون چنين فردي ـ در مثل اين مراتب ـ كه مردم را به تشكيك در دين وا</w:t>
      </w:r>
    </w:p>
    <w:p>
      <w:pPr>
        <w:pStyle w:val="BookText"/>
        <w:rPr/>
      </w:pPr>
      <w:r>
        <w:rPr>
          <w:rFonts w:ascii="IRNazanin" w:hAnsi="IRNazanin" w:eastAsia="IRNazanin"/>
          <w:color w:val="111111"/>
          <w:sz w:val="28"/>
          <w:sz w:val="28"/>
          <w:szCs w:val="28"/>
          <w:rtl w:val="true"/>
          <w:lang w:bidi="fa-IR"/>
        </w:rPr>
        <w:t>مي‌دارد، در مثل اين شرايط، أهل ريب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طبق اين معيار، صحيحه‌ي داود بن سرحان شامل او نيز مي‌شود، پس غيبتش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مطلب اشتباهِ خود را به ضرس قاطع به دين نسبت ندهد و به صورت احتمال بيان كند، مصداق بدعت‌گذار نيست و در نتيجه غيبت او هم جايز نيست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دروغگو و كذّاب باشد امّا شك داشته باشيم كه به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مي‌دهد يا نه و يا مي‌دانيم كه دروغ نمي‌بندد، در چنين فرضي غيبت او جايز نيست؛ چون غيبت هر مسلماني جايز نيست مگر اين‌كه احراز شود مجوّز غيبت دارد و در اين‌جا مجوّزي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از باب تمسّك به عام در شبهه‌ي مصداقيه نيست، بلكه بعد از اين‌كه بالوجدان احراز كرديم كه مسلمان متستّر بوده است، با استصحاب مي‌توانيم بقاي موضوع حرمت را ثابت كنيم و در نتيجه غيبت او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مواردي كه شك داريم به خدا و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دروغ مي‌دهد و اهل نقل روايات است، چون احتمال افتادن در مفسده‌ي عمل به روايات او و إسناد آن حكم به دين هم داراي أهمّيت زيادي است و اين احتمال، منجّز تكليف است، مي‌توانيم بگوييم ادلّه‌ي حرمت غيبت شامل چنين مواردي نمي‌شود</w:t>
      </w:r>
      <w:r>
        <w:rPr>
          <w:rFonts w:eastAsia="IRNazanin" w:cs="IRNazanin"/>
          <w:color w:val="111111"/>
          <w:sz w:val="28"/>
          <w:szCs w:val="28"/>
          <w:rtl w:val="true"/>
          <w:lang w:bidi="fa-IR"/>
        </w:rPr>
        <w:t>.</w:t>
      </w:r>
      <w:bookmarkStart w:id="529" w:name="pg2359_23529"/>
    </w:p>
    <w:p>
      <w:pPr>
        <w:pStyle w:val="Heading5"/>
        <w:numPr>
          <w:ilvl w:val="4"/>
          <w:numId w:val="1"/>
        </w:numPr>
        <w:rPr/>
      </w:pPr>
      <w:bookmarkStart w:id="530" w:name="__RefHeading___Toc2770581_3804643083"/>
      <w:bookmarkStart w:id="531" w:name="_Toc201"/>
      <w:bookmarkEnd w:id="529"/>
      <w:bookmarkEnd w:id="530"/>
      <w:r>
        <w:rPr>
          <w:rtl w:val="true"/>
        </w:rPr>
        <w:t xml:space="preserve">حكم جرح مفتيان بدون صلاحيت </w:t>
      </w:r>
      <w:r>
        <w:rPr>
          <w:rtl w:val="true"/>
        </w:rPr>
        <w:t>(</w:t>
      </w:r>
      <w:r>
        <w:rPr>
          <w:rtl w:val="true"/>
        </w:rPr>
        <w:t>مدّعيان مقام افتاء</w:t>
      </w:r>
      <w:r>
        <w:rPr>
          <w:rtl w:val="true"/>
        </w:rPr>
        <w:t>)</w:t>
      </w:r>
      <w:bookmarkEnd w:id="531"/>
    </w:p>
    <w:p>
      <w:pPr>
        <w:pStyle w:val="BookText"/>
        <w:rPr/>
      </w:pPr>
      <w:r>
        <w:rPr>
          <w:rFonts w:ascii="IRNazanin" w:hAnsi="IRNazanin" w:eastAsia="IRNazanin"/>
          <w:color w:val="111111"/>
          <w:sz w:val="28"/>
          <w:sz w:val="28"/>
          <w:szCs w:val="28"/>
          <w:rtl w:val="true"/>
          <w:lang w:bidi="fa-IR"/>
        </w:rPr>
        <w:t>استدلال مرحوم شيخ به باب تزاحم، در مورد جواز جرح روات حديث در مورد كساني كه تصدّي إفتاء مي‌كنند و صلاحيت ندارند هم جاري است؛ چون مفسده‌ي عمل به فتواي كسي كه صلاحيت إفتاء ندارد أعظم از مفسده‌ي غيبت و اظهار عيب و نقص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مسأله احتياج به تبيين بيشتري دارد كه حدود آن كاملاً مشخص شود</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علاوه بر آن‌كه بعضي افراد گرچه مجتهد نيستند، ولي قريب به اجتهادند و مطالب را مي‌فهمند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اين مسائل براي آن‌ها باعث مي‌شود كه حداقل فتواي مقلَّدين و مراجع خود را درست بفهمند، حدود استثنائاتي را كه آن مسأله دارد بفهمند يا اگر هم درست متوجه نشوند با اين توجه مي‌توانند استفتا بكنند كه در صورت نپرداختن به اين موارد و غفلت محض از اين مسائل، ممكن است اين اشخاص فكر كنند كه غيبت مطلقاً حرام است و يا در اين موارد مطلقاً جايز است و به تفصيلاتي كه در مسأله وجود دارد فكر نمي‌كنند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صلاحيت سخن گفتن از جانب شرع را نداشته و مجوّز افتاء ندارد، فتواي او بدون حجّت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نمي‌داند عام، مطلق، مقيّد، مخصّص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و با اين حال متصدي افتاء مي‌شود، كسي است كه علم لازم براي تصدّي</w:t>
      </w:r>
    </w:p>
    <w:p>
      <w:pPr>
        <w:pStyle w:val="BookText"/>
        <w:rPr/>
      </w:pPr>
      <w:r>
        <w:rPr>
          <w:rFonts w:ascii="IRNazanin" w:hAnsi="IRNazanin" w:eastAsia="IRNazanin"/>
          <w:color w:val="111111"/>
          <w:sz w:val="28"/>
          <w:sz w:val="28"/>
          <w:szCs w:val="28"/>
          <w:rtl w:val="true"/>
          <w:lang w:bidi="fa-IR"/>
        </w:rPr>
        <w:t>مقام افتاء را نداشته و قول او قول بدون علم است كه حجّت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فرقي بين مفتي و راوي در جواز جرح نيست، بلكه چه بسا أهمّيت جرح مفتي بيشتر است؛ چون إفتاء يعني اين‌كه من مسؤوليت صحّت اين نظر را به عهده گرفته‌ام و نظر من نظر نهايي است، به خلاف روايت كه ممكن است خبرِ نقل شده معارض داشته باشد و مضمون آن نظر نهايي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چنين جايي نه تنها غيبت جايز، بلكه لازم است؛ چون مصداق بارزي از مصاديق أهل ريب و بدعت است؛ زيرا بدون حجّت فتوا مي‌دهد و چه بسا حجّت بر خلافش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مبنايي كه ما اختيار كرديم نيز جواز غيبت واضح است؛ چون اطلاقات حرمت غيبت از اوّل نسبت به شمول اين موارد، قاصر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موارد بايد حداكثر دقّت شود تا كسي از محدوده‌اي كه بيان كرديم خارج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كسي مجتهد است ولي به نظر ما اعلم نيست و ما اعلميت را شرط مرجعيّت مي‌دانيم، اين نمي‌تواند مجوّز غيبت او باشد در حالي‌كه خود او قائل است اصلاً لازم نيست مفتي اعلم باشد بلكه هر كسي كه مجتهد است صلاحيت إفتاء دارد، و نظير اين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مسائل نبايد باعث وسوسه‌ي كسي شود تا شخص مسلمان، علي الخصوص عالمي را مورد غيبت قرار دهد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تفاوت اثبات جواز غيبت از طريق روايت داود بن سرحان و از طريق تزاحم</w:t>
      </w:r>
    </w:p>
    <w:p>
      <w:pPr>
        <w:pStyle w:val="BookText"/>
        <w:rPr/>
      </w:pPr>
      <w:r>
        <w:rPr>
          <w:rFonts w:ascii="IRNazanin" w:hAnsi="IRNazanin" w:eastAsia="IRNazanin"/>
          <w:color w:val="111111"/>
          <w:sz w:val="28"/>
          <w:sz w:val="28"/>
          <w:szCs w:val="28"/>
          <w:rtl w:val="true"/>
          <w:lang w:bidi="fa-IR"/>
        </w:rPr>
        <w:t>اگر در جايي عنوان بدعت صادق باشد و روايت داود بن سرحان شامل آن شود، لازم نيست غيبت، طريق منحصر ردع از منكر باشد؛ چون 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رَأَيْتُمْ أَهْلَ الرَّيْبِ وَ الْبِدَعِ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أَكْثِرُوا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زياد غيت‌شان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جواز غيبت از او منحصر در اين گناه نيست، بلكه در مورد هر گناهي از او مي‌توان غيبت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از باب تزاحم بود بايد غيبت، طريق منحصر باشد و به اندازه‌اي باشد كه دفع محذور بر آن مترتّب است، نه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هم اين‌چنين است كه غيبت، طريق منحصر نيست؛ چون با روش‌هاي مختلف مي‌توان مردم را از رجوع به أهل بدعت منصرف كرد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عنوان مثال يكي از آقايان، قبل از انقلاب ـ زماني كه صدام لعين خيلي از علما را از نجف به قم فرستاده بود ـ به نجف مشرف شده و خدمت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مي‌رسد و از ايشان در مورد تعدادي از علماي قم تحقيق مي‌كند كه آيا در درس‌شان شركت 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درباره‌ي فلان شخص پرسيد، سيّد خويي بدون اين‌كه چيزي عليه او بگويد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همه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درباره‌ي شخص ديگري سؤال كرد،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خوبند، همه خوبند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وقتي در مورد يك عالم بزرگ ديگر سؤال كردند، فرمودند ايشان مباني دست‌شان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مرتكب غيبتي شده باشند جواب</w:t>
      </w:r>
      <w:bookmarkStart w:id="532" w:name="pg2359_23532"/>
    </w:p>
    <w:p>
      <w:pPr>
        <w:pStyle w:val="BookText"/>
        <w:rPr/>
      </w:pPr>
      <w:bookmarkEnd w:id="532"/>
      <w:r>
        <w:rPr>
          <w:rFonts w:ascii="Amiri" w:hAnsi="Amiri" w:eastAsia="Amiri" w:cs="Amiri"/>
          <w:color w:val="111111"/>
          <w:sz w:val="28"/>
          <w:sz w:val="28"/>
          <w:szCs w:val="28"/>
          <w:rtl w:val="true"/>
          <w:lang w:bidi="ar-SA"/>
        </w:rPr>
        <w:t>اين شخص را هم داده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بنابراين بايد دقّت لازم بشود تا حتّي الامكان دچار غيبت نشويم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ما درباره‌ي نماز فلان آقا مي‌پرسند، مي‌توانيم در جواب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خوباني كه ما مي‌شناسيم در نماز ديگري شركت مي‌كنند و در مورد ايشان شما بايد احراز بكني حتماً عادل است و همين اندازه كه مجهول الحال باشد إقتدا به او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اگر در مورد مجتهد بودن كسي سؤال مي‌شود، اين‌طور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خبره است بايد در مورد او شهادت بدهد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يعني بايد به نحوي سخن گفت كه خود به خود به واقعيت برسد بدون اين‌كه تنقيص كسي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مورد كسي كه أهل ريب و بدعت است ـ چون دليل خاص داريم ـ بايد صريح غيبتش كرد تا به هيچ وجه نتواند موقعيّتي در اجتماع پيدا كند</w:t>
      </w:r>
      <w:r>
        <w:rPr>
          <w:rFonts w:eastAsia="IRNazanin" w:cs="IRNazanin"/>
          <w:color w:val="111111"/>
          <w:sz w:val="28"/>
          <w:szCs w:val="28"/>
          <w:rtl w:val="true"/>
          <w:lang w:bidi="fa-IR"/>
        </w:rPr>
        <w:t>.</w:t>
      </w:r>
    </w:p>
    <w:p>
      <w:pPr>
        <w:pStyle w:val="Heading5"/>
        <w:numPr>
          <w:ilvl w:val="4"/>
          <w:numId w:val="1"/>
        </w:numPr>
        <w:rPr/>
      </w:pPr>
      <w:bookmarkStart w:id="533" w:name="__RefHeading___Toc2770583_3804643083"/>
      <w:bookmarkStart w:id="534" w:name="_Toc202"/>
      <w:bookmarkEnd w:id="533"/>
      <w:r>
        <w:rPr>
          <w:rtl w:val="true"/>
        </w:rPr>
        <w:t>حكم غيبت داوطلبان تصدّي مشاغل مهم در نظام جمهوري اسلامي</w:t>
      </w:r>
      <w:bookmarkEnd w:id="534"/>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كسي خود را داوطلب پُست رياست جمهوري يا نمايندگي مجلس در نظام جمهوري اسلامي كند، اگر داراي رفتار يا روحيات و ملكاتي باشد كه به نظام اسلامي ضربه مي‌زند و موجب خيانت به اسلام و مردم مي‌شود ـ هرچند آن رفتار و روحيات مخفي باشد ـ غيبت چنين افرادي در صورتي كه راه منحصرِ منع آنان از ورود در چنين صحنه‌هايي باشد، جايز بلكه در مواردي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چه بسا غيبت بي‌جاي چنين افرادي و بالخصوص</w:t>
      </w:r>
      <w:bookmarkStart w:id="535" w:name="pg2359_23533"/>
    </w:p>
    <w:p>
      <w:pPr>
        <w:pStyle w:val="BookText"/>
        <w:rPr/>
      </w:pPr>
      <w:bookmarkEnd w:id="535"/>
      <w:r>
        <w:rPr>
          <w:rFonts w:ascii="IRNazanin" w:hAnsi="IRNazanin" w:eastAsia="IRNazanin"/>
          <w:color w:val="111111"/>
          <w:sz w:val="28"/>
          <w:sz w:val="28"/>
          <w:szCs w:val="28"/>
          <w:rtl w:val="true"/>
          <w:lang w:bidi="fa-IR"/>
        </w:rPr>
        <w:t>كساني كه بار اصلي نظام بر عهده‌ي آنان مي‌باشد، گناهي بسيار سنگين است؛ چرا كه غيبت آنان معمولاً ضربه به نظام اسلامي نيز مي‌زند و به همين دليل، معلوم است كه قول به غير علم و تهمت در حقّ آنان چه اندازه علامت تجرّي بيشتر بر دين و احكام دين است و مي‌تواند فرد را بيشتر مستحقّ عذاب الهي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قانون مي‌گويد تخريب ديگران جايز نيست، ولي ممنوعيّت در حدّي است كه قانون بيان كرده و در مواردي است كه مخالفت با قانون صادق باشد ـ چون مفسده‌هايي بر آن مترتّب است ـ ولي در جايي كه خلاف قانونِ ممضاي جمهوري اسلامي نباشد و انتخاب اين افراد، موجب مفسده براي نظام اسلامي و مردم باشد و كشف عيوب او از مستثنيات غيبت باشد، بايد با پرهيز از ارتكاب حرام، واقعيّات را درباره‌ي شخص فاقد صلاحيت در مثل اين موارد مهم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صورتي كه احتمال عقلايي داده شود كه فرد مذكور با جلب آراي مردم، متصدّي آن امر مهم مي‌شود و غيبت او مفسده‌ي بزرگ‌تري را به بار نمي‌آورد</w:t>
      </w:r>
      <w:r>
        <w:rPr>
          <w:rFonts w:eastAsia="IRNazanin" w:cs="IRNazanin"/>
          <w:color w:val="111111"/>
          <w:sz w:val="28"/>
          <w:szCs w:val="28"/>
          <w:rtl w:val="true"/>
          <w:lang w:bidi="fa-IR"/>
        </w:rPr>
        <w:t>.</w:t>
      </w:r>
    </w:p>
    <w:p>
      <w:pPr>
        <w:pStyle w:val="Heading5"/>
        <w:numPr>
          <w:ilvl w:val="4"/>
          <w:numId w:val="1"/>
        </w:numPr>
        <w:rPr/>
      </w:pPr>
      <w:bookmarkStart w:id="536" w:name="__RefHeading___Toc2770585_3804643083"/>
      <w:bookmarkStart w:id="537" w:name="_Toc203"/>
      <w:bookmarkEnd w:id="536"/>
      <w:r>
        <w:rPr>
          <w:rtl w:val="true"/>
        </w:rPr>
        <w:t>حكم غيبت در مقام شهادت براي اقامه‌ي حدود</w:t>
      </w:r>
      <w:bookmarkEnd w:id="537"/>
    </w:p>
    <w:p>
      <w:pPr>
        <w:pStyle w:val="BookText"/>
        <w:rPr/>
      </w:pPr>
      <w:r>
        <w:rPr>
          <w:rFonts w:ascii="Amiri" w:hAnsi="Amiri" w:eastAsia="Amiri" w:cs="Amiri"/>
          <w:color w:val="111111"/>
          <w:sz w:val="28"/>
          <w:sz w:val="28"/>
          <w:szCs w:val="28"/>
          <w:rtl w:val="true"/>
          <w:lang w:bidi="ar-SA"/>
        </w:rPr>
        <w:t>مرحوم شيخ در ادامه‌ي استثناي غيبت در بحث جرح شهود و جرح رُوات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يلحق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الشهادة بالزنا و غيره لإقامة الحدود</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كساني كه واجد شرايط براي اقامه‌ي شهادت در محضر قاضي‌اند،</w:t>
      </w:r>
      <w:bookmarkStart w:id="538" w:name="pg2359_23534"/>
    </w:p>
    <w:p>
      <w:pPr>
        <w:pStyle w:val="BookText"/>
        <w:rPr/>
      </w:pPr>
      <w:bookmarkEnd w:id="538"/>
      <w:r>
        <w:rPr>
          <w:rFonts w:ascii="IRNazanin" w:hAnsi="IRNazanin" w:eastAsia="IRNazanin"/>
          <w:color w:val="111111"/>
          <w:sz w:val="28"/>
          <w:sz w:val="28"/>
          <w:szCs w:val="28"/>
          <w:rtl w:val="true"/>
          <w:lang w:bidi="fa-IR"/>
        </w:rPr>
        <w:t>مي‌توانند در مورد ارتكاب گناه كسي ـ هرچند متستّراً انجام داده باشد ـ شهادت داده و عيب پنهان او را خبر دهند تا حدّ الهي بر شخص گنه‌كار جاري گردد، البته در صورتي كه به نحو قذف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مورد زنا اگر چهار نفر شاهد بودند، مي‌توانند در محضر قاضي پرده از گناه شخص زناكار برداشته و از او غيبت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جواز غيبت در مقام شهادت، در روايات و فقه از امور واضحي است كه قابل مناقشه نيست</w:t>
      </w:r>
      <w:r>
        <w:rPr>
          <w:rFonts w:eastAsia="Amiri" w:cs="Amiri" w:ascii="Amiri" w:hAnsi="Amiri"/>
          <w:color w:val="111111"/>
          <w:sz w:val="28"/>
          <w:szCs w:val="28"/>
          <w:rtl w:val="true"/>
          <w:lang w:bidi="ar-SA"/>
        </w:rPr>
        <w:t>.</w:t>
      </w:r>
    </w:p>
    <w:p>
      <w:pPr>
        <w:pStyle w:val="Heading4"/>
        <w:numPr>
          <w:ilvl w:val="3"/>
          <w:numId w:val="1"/>
        </w:numPr>
        <w:rPr/>
      </w:pPr>
      <w:bookmarkStart w:id="539" w:name="__RefHeading___Toc2770587_3804643083"/>
      <w:bookmarkStart w:id="540" w:name="_Toc204"/>
      <w:bookmarkEnd w:id="539"/>
      <w:r>
        <w:rPr/>
        <w:t>8</w:t>
      </w:r>
      <w:r>
        <w:rPr>
          <w:rtl w:val="true"/>
        </w:rPr>
        <w:t xml:space="preserve">. </w:t>
      </w:r>
      <w:r>
        <w:rPr>
          <w:rtl w:val="true"/>
        </w:rPr>
        <w:t>غيبت به جهت دفع ضرر از غيبت شونده</w:t>
      </w:r>
      <w:bookmarkEnd w:id="540"/>
    </w:p>
    <w:p>
      <w:pPr>
        <w:pStyle w:val="Heading5"/>
        <w:numPr>
          <w:ilvl w:val="4"/>
          <w:numId w:val="1"/>
        </w:numPr>
        <w:rPr/>
      </w:pPr>
      <w:bookmarkStart w:id="541" w:name="__RefHeading___Toc2770589_3804643083"/>
      <w:bookmarkStart w:id="542" w:name="_Toc205"/>
      <w:bookmarkEnd w:id="541"/>
      <w:r>
        <w:rPr>
          <w:rtl w:val="true"/>
        </w:rPr>
        <w:t>اشاره</w:t>
      </w:r>
      <w:bookmarkEnd w:id="542"/>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ديگري كه مرحوم شيخ از مستثنيات غيبت از باب تزاحم ذكر مي‌كند، غيبت به جهت دفع ضرر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اگر در جامعه‌اي فرهنگ غلط به گونه‌اي حاكم باشد كه افراد مؤمن و درستكار را مورد أذيّت و إستهزاء قرار داده ولي با افراد گناه‌كاري كه از جنس خودشان هستند كاري نداشته باشند، مي‌توان براي نجات شخص درستكار عيوبي را به او نسبت داد تا به اين وسيله از او دفع ضرر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كسي بگويد من اين شخص را مي‌شناسم، اين هم مثل شما مثلاً دزد است يا صفت بد ديگري دارد، اين غيبت كه براي دفع ضرر از اوست مانعي ندارد</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bookmarkStart w:id="543" w:name="pg2359_23535"/>
    </w:p>
    <w:p>
      <w:pPr>
        <w:pStyle w:val="Heading5"/>
        <w:numPr>
          <w:ilvl w:val="4"/>
          <w:numId w:val="1"/>
        </w:numPr>
        <w:rPr/>
      </w:pPr>
      <w:bookmarkStart w:id="544" w:name="__RefHeading___Toc2770591_3804643083"/>
      <w:bookmarkStart w:id="545" w:name="_Toc206"/>
      <w:bookmarkEnd w:id="543"/>
      <w:bookmarkEnd w:id="544"/>
      <w:r>
        <w:rPr>
          <w:rtl w:val="true"/>
        </w:rPr>
        <w:t>ادلّه‌ي جواز غيبت براي دفع ضرر از غيبت شونده</w:t>
      </w:r>
      <w:bookmarkEnd w:id="545"/>
    </w:p>
    <w:p>
      <w:pPr>
        <w:pStyle w:val="Heading6"/>
        <w:numPr>
          <w:ilvl w:val="5"/>
          <w:numId w:val="1"/>
        </w:numPr>
        <w:rPr/>
      </w:pPr>
      <w:bookmarkStart w:id="546" w:name="__RefHeading___Toc2770593_3804643083"/>
      <w:bookmarkStart w:id="547" w:name="_Toc207"/>
      <w:bookmarkEnd w:id="546"/>
      <w:r>
        <w:rPr>
          <w:rtl w:val="true"/>
        </w:rPr>
        <w:t>الف</w:t>
      </w:r>
      <w:r>
        <w:rPr>
          <w:rtl w:val="true"/>
        </w:rPr>
        <w:t xml:space="preserve">) </w:t>
      </w:r>
      <w:r>
        <w:rPr>
          <w:rtl w:val="true"/>
        </w:rPr>
        <w:t>قاعده‌ي تزاحم</w:t>
      </w:r>
      <w:bookmarkEnd w:id="547"/>
    </w:p>
    <w:p>
      <w:pPr>
        <w:pStyle w:val="BookText"/>
        <w:rPr/>
      </w:pPr>
      <w:r>
        <w:rPr>
          <w:rFonts w:ascii="Amiri" w:hAnsi="Amiri" w:eastAsia="Amiri" w:cs="Amiri"/>
          <w:color w:val="111111"/>
          <w:sz w:val="28"/>
          <w:sz w:val="28"/>
          <w:szCs w:val="28"/>
          <w:rtl w:val="true"/>
          <w:lang w:bidi="ar-SA"/>
        </w:rPr>
        <w:t>دليل مرحوم شيخ، باز قاعده‌ي تزاحم و أهمّيت دفع ضرر از مؤمن نسبت به مفسده‌ي غيبت اوست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علاوه بر آن، مرحوم شيخ به رواياتي كه در ذمّ زراره وارد شده است استناد كرده،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عليه يحمل ما ورد في ذمّ زرارة من عدّة أحاديث</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بررسي جواز غيبت به جهت دفع ضرر از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دليل تزاحم</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 اين مسأله كه طبق قاعده‌ي تزاحم مي‌توان به جهت دفع ضرر غيبت كرد،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همان‌طور كه در موارد قبل بيان كرديم و مرحوم شيخ هم در نهايت متذكّر مي‌شوند، در باب تزاحم بايد موازنه برقرار كرد و هر كدام كه ملاك‌شان أهم بود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دفع ضرر، نسبت به ملاك حرمت غيبت، أهم و ارجح باشد غيبت جايز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بايد توجّه داشت چه بسا ضرري كه با غيبت متوجّه شخص مي‌شود بيشتر از ضرري باشد كه دفع كرده است، بنابراين در صورتي غيبت جايز است كه اقوي بودن ملاك دفع ضرر احراز گردد يا حداقل احتمال اقوائيت داشته باشد و يا أهمّيت دو طرف، مساوي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ملاك حرمت غيبت، أهم و</w:t>
      </w:r>
      <w:bookmarkStart w:id="548" w:name="pg2359_23536"/>
    </w:p>
    <w:p>
      <w:pPr>
        <w:pStyle w:val="BookText"/>
        <w:rPr/>
      </w:pPr>
      <w:bookmarkEnd w:id="548"/>
      <w:r>
        <w:rPr>
          <w:rFonts w:ascii="Amiri" w:hAnsi="Amiri" w:eastAsia="Amiri" w:cs="Amiri"/>
          <w:color w:val="111111"/>
          <w:sz w:val="28"/>
          <w:sz w:val="28"/>
          <w:szCs w:val="28"/>
          <w:rtl w:val="true"/>
          <w:lang w:bidi="ar-SA"/>
        </w:rPr>
        <w:t>ارجح باشد غيبت جايز نيست</w:t>
      </w:r>
      <w:r>
        <w:rPr>
          <w:rFonts w:eastAsia="Amiri" w:cs="Amiri" w:ascii="Amiri" w:hAnsi="Amiri"/>
          <w:color w:val="111111"/>
          <w:sz w:val="28"/>
          <w:szCs w:val="28"/>
          <w:rtl w:val="true"/>
          <w:lang w:bidi="ar-SA"/>
        </w:rPr>
        <w:t>.</w:t>
      </w:r>
    </w:p>
    <w:p>
      <w:pPr>
        <w:pStyle w:val="Heading6"/>
        <w:numPr>
          <w:ilvl w:val="5"/>
          <w:numId w:val="1"/>
        </w:numPr>
        <w:rPr/>
      </w:pPr>
      <w:bookmarkStart w:id="549" w:name="__RefHeading___Toc2770595_3804643083"/>
      <w:bookmarkStart w:id="550" w:name="_Toc208"/>
      <w:bookmarkEnd w:id="549"/>
      <w:r>
        <w:rPr>
          <w:rtl w:val="true"/>
        </w:rPr>
        <w:t>ب</w:t>
      </w:r>
      <w:r>
        <w:rPr>
          <w:rtl w:val="true"/>
        </w:rPr>
        <w:t xml:space="preserve">) </w:t>
      </w:r>
      <w:r>
        <w:rPr>
          <w:rtl w:val="true"/>
        </w:rPr>
        <w:t xml:space="preserve">غيبت به جهت دفع ضرر، مصداق </w:t>
      </w:r>
      <w:r>
        <w:rPr>
          <w:rtl w:val="true"/>
        </w:rPr>
        <w:t>«</w:t>
      </w:r>
      <w:r>
        <w:rPr>
          <w:rtl w:val="true"/>
        </w:rPr>
        <w:t>احسان</w:t>
      </w:r>
      <w:r>
        <w:rPr>
          <w:rtl w:val="true"/>
        </w:rPr>
        <w:t xml:space="preserve">» </w:t>
      </w:r>
      <w:r>
        <w:rPr>
          <w:rtl w:val="true"/>
        </w:rPr>
        <w:t>است</w:t>
      </w:r>
      <w:bookmarkEnd w:id="550"/>
    </w:p>
    <w:p>
      <w:pPr>
        <w:pStyle w:val="BookText"/>
        <w:rPr/>
      </w:pPr>
      <w:r>
        <w:rPr>
          <w:rFonts w:ascii="Amiri" w:hAnsi="Amiri" w:eastAsia="Amiri" w:cs="Amiri"/>
          <w:color w:val="111111"/>
          <w:sz w:val="28"/>
          <w:sz w:val="28"/>
          <w:szCs w:val="28"/>
          <w:rtl w:val="true"/>
          <w:lang w:bidi="ar-SA"/>
        </w:rPr>
        <w:t>البته مناسب بود مرحوم شيخ اين مورد</w:t>
      </w:r>
      <w:r>
        <w:rPr>
          <w:rStyle w:val="FootnoteAnchor"/>
          <w:rtl w:val="true"/>
        </w:rPr>
        <w:footnoteReference w:id="373"/>
      </w:r>
      <w:r>
        <w:rPr>
          <w:rFonts w:ascii="IRNazanin" w:hAnsi="IRNazanin" w:eastAsia="IRNazanin"/>
          <w:color w:val="111111"/>
          <w:sz w:val="28"/>
          <w:sz w:val="28"/>
          <w:szCs w:val="28"/>
          <w:rtl w:val="true"/>
          <w:lang w:bidi="fa-IR"/>
        </w:rPr>
        <w:t>را جداگانه ذكر نمي‌فرمود؛ چون غيبت به جهت دفع ضرر از مغتاب، مصداق احسان است و احسان، خود يكي از مجوّزات غيبت است كه در مطالب قبل ذكر شد</w:t>
      </w:r>
      <w:r>
        <w:rPr>
          <w:rStyle w:val="FootnoteAnchor"/>
          <w:rtl w:val="true"/>
        </w:rPr>
        <w:footnoteReference w:id="3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حتّي اگر كسي قاعده‌ي تزاحم را قبول نداشته باشد مي‌تواند از طريق تطبيق مورد با احسان و تمسّك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علي المحسنين من سبيل</w:t>
      </w:r>
      <w:r>
        <w:rPr>
          <w:rFonts w:eastAsia="IRNazanin" w:cs="IRNazanin"/>
          <w:color w:val="111111"/>
          <w:sz w:val="28"/>
          <w:szCs w:val="28"/>
          <w:rtl w:val="true"/>
          <w:lang w:bidi="fa-IR"/>
        </w:rPr>
        <w:t>)</w:t>
      </w:r>
      <w:r>
        <w:rPr>
          <w:rStyle w:val="FootnoteAnchor"/>
          <w:rtl w:val="true"/>
        </w:rPr>
        <w:footnoteReference w:id="375"/>
      </w:r>
      <w:r>
        <w:rPr>
          <w:rFonts w:ascii="IRNazanin" w:hAnsi="IRNazanin" w:eastAsia="IRNazanin"/>
          <w:color w:val="111111"/>
          <w:sz w:val="28"/>
          <w:sz w:val="28"/>
          <w:szCs w:val="28"/>
          <w:rtl w:val="true"/>
          <w:lang w:bidi="fa-IR"/>
        </w:rPr>
        <w:t xml:space="preserve">جواز چنين غيبتي را اثبات كند، در نتيجه اطلاقات و عمومات ادلّه‌ي حرمت غيبت را ـ علي فرض وجود چنين اطلاق و عمومي كه البته ما نپذيرفتيم ـ تخصيص بزند؛ زيرا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علي المحسنين من سبيل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عناوين اوّليه مقدّم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شخصي مال ديگري را بدزدد و صدقه دهد احسان كرده است، بنابراين بايد بگوييم جايز است، در حالي‌كه چنين عملي قطعاً جايز نيست</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احسان نيست، بلكه نسبت به آن كسي كه مالش را مي‌دزدد إسائه است و حتّي نسبت به كسي كه صدقه مي‌دهد هم إسائه است؛ چون مال غصبي را به او مي‌دهد، هرچند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قابض</w:t>
      </w:r>
      <w:r>
        <w:rPr>
          <w:rFonts w:eastAsia="IRNazanin" w:cs="IRNazanin"/>
          <w:color w:val="111111"/>
          <w:sz w:val="28"/>
          <w:szCs w:val="28"/>
          <w:rtl w:val="true"/>
          <w:lang w:bidi="fa-IR"/>
        </w:rPr>
        <w:t>)</w:t>
      </w:r>
      <w:bookmarkStart w:id="551" w:name="pg2359_23537"/>
    </w:p>
    <w:p>
      <w:pPr>
        <w:pStyle w:val="BookText"/>
        <w:rPr/>
      </w:pPr>
      <w:bookmarkEnd w:id="551"/>
      <w:r>
        <w:rPr>
          <w:rFonts w:ascii="IRNazanin" w:hAnsi="IRNazanin" w:eastAsia="IRNazanin"/>
          <w:color w:val="111111"/>
          <w:sz w:val="28"/>
          <w:sz w:val="28"/>
          <w:szCs w:val="28"/>
          <w:rtl w:val="true"/>
          <w:lang w:bidi="fa-IR"/>
        </w:rPr>
        <w:t>در صورت جهل، مرتكب گناه نمي‌شود، ولي در واقع مال مردم را تلف مي‌كند و اين لوازمي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احسان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مواردي كه احسان محض است و يا عرفاً احسان است ـ هرچند مشوب به إسائه باشد ولي به گونه‌اي است كه برايندش احسان باشد ـ در چنين مواردي مي‌توانيم از آيه‌ي شريفه استفاده كنيم كه تصرّف در ملك، عِرض و جان ديگري مانعي ندارد</w:t>
      </w:r>
      <w:r>
        <w:rPr>
          <w:rFonts w:eastAsia="IRNazanin" w:cs="IRNazanin"/>
          <w:color w:val="111111"/>
          <w:sz w:val="28"/>
          <w:szCs w:val="28"/>
          <w:rtl w:val="true"/>
          <w:lang w:bidi="fa-IR"/>
        </w:rPr>
        <w:t>.</w:t>
      </w:r>
    </w:p>
    <w:p>
      <w:pPr>
        <w:pStyle w:val="Heading5"/>
        <w:numPr>
          <w:ilvl w:val="4"/>
          <w:numId w:val="1"/>
        </w:numPr>
        <w:rPr/>
      </w:pPr>
      <w:bookmarkStart w:id="552" w:name="__RefHeading___Toc2770597_3804643083"/>
      <w:bookmarkStart w:id="553" w:name="_Toc209"/>
      <w:bookmarkEnd w:id="552"/>
      <w:r>
        <w:rPr>
          <w:rtl w:val="true"/>
        </w:rPr>
        <w:t>نمونه‌اي تاريخي از تلاش امام صادق</w:t>
      </w:r>
      <w:r>
        <w:rPr>
          <w:rtl w:val="true"/>
        </w:rPr>
        <w:t xml:space="preserve">- </w:t>
      </w:r>
      <w:r>
        <w:rPr>
          <w:rtl w:val="true"/>
        </w:rPr>
        <w:t xml:space="preserve">عليه السلام </w:t>
      </w:r>
      <w:r>
        <w:rPr>
          <w:rtl w:val="true"/>
        </w:rPr>
        <w:t xml:space="preserve">- </w:t>
      </w:r>
      <w:r>
        <w:rPr>
          <w:rtl w:val="true"/>
        </w:rPr>
        <w:t>براي دفع ضرر از اصحاب</w:t>
      </w:r>
      <w:bookmarkEnd w:id="553"/>
    </w:p>
    <w:p>
      <w:pPr>
        <w:pStyle w:val="BookText"/>
        <w:rPr/>
      </w:pPr>
      <w:r>
        <w:rPr>
          <w:rFonts w:ascii="Amiri" w:hAnsi="Amiri" w:eastAsia="Amiri" w:cs="Amiri"/>
          <w:color w:val="111111"/>
          <w:sz w:val="28"/>
          <w:sz w:val="28"/>
          <w:szCs w:val="28"/>
          <w:rtl w:val="true"/>
          <w:lang w:bidi="ar-SA"/>
        </w:rPr>
        <w:t>شخصيّت زراره</w:t>
      </w:r>
    </w:p>
    <w:p>
      <w:pPr>
        <w:pStyle w:val="BookText"/>
        <w:rPr/>
      </w:pPr>
      <w:r>
        <w:rPr>
          <w:rFonts w:ascii="IRNazanin" w:hAnsi="IRNazanin" w:eastAsia="IRNazanin"/>
          <w:color w:val="111111"/>
          <w:sz w:val="28"/>
          <w:sz w:val="28"/>
          <w:szCs w:val="28"/>
          <w:rtl w:val="true"/>
          <w:lang w:bidi="fa-IR"/>
        </w:rPr>
        <w:t>زُراره حقّ بزرگي بر گردن 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سرتاسر فقه، كمتر جايي است كه سخني از ايشان به ما نرسيده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موضوع در غير باب فقه مثل مسائل اعتقادي و غير آن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اصحاب اجماع است كه جناب كشي در مورد آن‌ها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أجمعت العصابة علي تصديق هؤلاء</w:t>
      </w:r>
      <w:r>
        <w:rPr>
          <w:rFonts w:eastAsia="Amiri" w:cs="Amiri" w:ascii="Amiri" w:hAnsi="Amiri"/>
          <w:color w:val="111111"/>
          <w:sz w:val="28"/>
          <w:szCs w:val="28"/>
          <w:rtl w:val="true"/>
          <w:lang w:bidi="ar-SA"/>
        </w:rPr>
        <w:t>»</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بحرالعلوم هم اين مطلب را به شعر در آورده و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اصحاب اجماع كه هجده نفرند، در سه طبقه مي‌باشند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طبقه‌ي اوّل كه از بقيّه برترند، اولين آن‌ها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مي‌كند و</w:t>
      </w:r>
    </w:p>
    <w:p>
      <w:pPr>
        <w:pStyle w:val="BookText"/>
        <w:rPr/>
      </w:pPr>
      <w:r>
        <w:rPr>
          <w:rFonts w:ascii="Amiri" w:hAnsi="Amiri" w:eastAsia="Amiri" w:cs="Amiri"/>
          <w:color w:val="111111"/>
          <w:sz w:val="28"/>
          <w:sz w:val="28"/>
          <w:szCs w:val="28"/>
          <w:rtl w:val="true"/>
          <w:lang w:bidi="ar-SA"/>
        </w:rPr>
        <w:t xml:space="preserve">مي‌فرمايد افقه آن شش نفر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زراره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377"/>
      </w:r>
    </w:p>
    <w:p>
      <w:pPr>
        <w:pStyle w:val="BookText"/>
        <w:rPr/>
      </w:pPr>
      <w:r>
        <w:rPr>
          <w:rFonts w:ascii="Amiri" w:hAnsi="Amiri" w:eastAsia="Amiri" w:cs="Amiri"/>
          <w:color w:val="111111"/>
          <w:sz w:val="28"/>
          <w:sz w:val="28"/>
          <w:szCs w:val="28"/>
          <w:rtl w:val="true"/>
          <w:lang w:bidi="ar-SA"/>
        </w:rPr>
        <w:t>قَدْ أجْمَعَ الكل على تصحيح ما</w:t>
      </w:r>
    </w:p>
    <w:p>
      <w:pPr>
        <w:pStyle w:val="BookText"/>
        <w:rPr/>
      </w:pPr>
      <w:r>
        <w:rPr>
          <w:rFonts w:ascii="Amiri" w:hAnsi="Amiri" w:eastAsia="Amiri" w:cs="Amiri"/>
          <w:color w:val="111111"/>
          <w:sz w:val="28"/>
          <w:sz w:val="28"/>
          <w:szCs w:val="28"/>
          <w:rtl w:val="true"/>
          <w:lang w:bidi="ar-SA"/>
        </w:rPr>
        <w:t>يَصحُّ عَن جَماعةٍ فَلْيُعْلَما</w:t>
      </w:r>
    </w:p>
    <w:p>
      <w:pPr>
        <w:pStyle w:val="BookText"/>
        <w:rPr/>
      </w:pPr>
      <w:r>
        <w:rPr>
          <w:rFonts w:ascii="Amiri" w:hAnsi="Amiri" w:eastAsia="Amiri" w:cs="Amiri"/>
          <w:color w:val="111111"/>
          <w:sz w:val="28"/>
          <w:sz w:val="28"/>
          <w:szCs w:val="28"/>
          <w:rtl w:val="true"/>
          <w:lang w:bidi="ar-SA"/>
        </w:rPr>
        <w:t>وَ هُمْ أُولوا نَجَابَةٍ و رِفعَهْ</w:t>
      </w:r>
    </w:p>
    <w:p>
      <w:pPr>
        <w:pStyle w:val="BookText"/>
        <w:rPr/>
      </w:pPr>
      <w:r>
        <w:rPr>
          <w:rFonts w:ascii="Amiri" w:hAnsi="Amiri" w:eastAsia="Amiri" w:cs="Amiri"/>
          <w:color w:val="111111"/>
          <w:sz w:val="28"/>
          <w:sz w:val="28"/>
          <w:szCs w:val="28"/>
          <w:rtl w:val="true"/>
          <w:lang w:bidi="ar-SA"/>
        </w:rPr>
        <w:t>أرَبَعةٌ وَ خَمْسَةٌ وَ تِسْعَهْ</w:t>
      </w:r>
    </w:p>
    <w:p>
      <w:pPr>
        <w:pStyle w:val="BookText"/>
        <w:rPr/>
      </w:pPr>
      <w:r>
        <w:rPr>
          <w:rFonts w:ascii="Amiri" w:hAnsi="Amiri" w:eastAsia="Amiri" w:cs="Amiri"/>
          <w:color w:val="111111"/>
          <w:sz w:val="28"/>
          <w:sz w:val="28"/>
          <w:szCs w:val="28"/>
          <w:rtl w:val="true"/>
          <w:lang w:bidi="ar-SA"/>
        </w:rPr>
        <w:t>فَالسِّتة الاولى مِنَ الأمجاد</w:t>
      </w:r>
    </w:p>
    <w:p>
      <w:pPr>
        <w:pStyle w:val="BookText"/>
        <w:rPr/>
      </w:pPr>
      <w:r>
        <w:rPr>
          <w:rFonts w:ascii="Amiri" w:hAnsi="Amiri" w:eastAsia="Amiri" w:cs="Amiri"/>
          <w:color w:val="111111"/>
          <w:sz w:val="28"/>
          <w:sz w:val="28"/>
          <w:szCs w:val="28"/>
          <w:rtl w:val="true"/>
          <w:lang w:bidi="ar-SA"/>
        </w:rPr>
        <w:t>أربعة مِنْهُمْ مِن الأوْتَادِ</w:t>
      </w:r>
    </w:p>
    <w:p>
      <w:pPr>
        <w:pStyle w:val="BookText"/>
        <w:rPr/>
      </w:pPr>
      <w:r>
        <w:rPr>
          <w:rFonts w:ascii="Amiri" w:hAnsi="Amiri" w:eastAsia="Amiri" w:cs="Amiri"/>
          <w:color w:val="111111"/>
          <w:sz w:val="28"/>
          <w:sz w:val="28"/>
          <w:szCs w:val="28"/>
          <w:rtl w:val="true"/>
          <w:lang w:bidi="ar-SA"/>
        </w:rPr>
        <w:t>زُرَارة كذا بُريد قَدْ أتى</w:t>
      </w:r>
    </w:p>
    <w:p>
      <w:pPr>
        <w:pStyle w:val="BookText"/>
        <w:rPr/>
      </w:pPr>
      <w:r>
        <w:rPr>
          <w:rFonts w:ascii="Amiri" w:hAnsi="Amiri" w:eastAsia="Amiri" w:cs="Amiri"/>
          <w:color w:val="111111"/>
          <w:sz w:val="28"/>
          <w:sz w:val="28"/>
          <w:szCs w:val="28"/>
          <w:rtl w:val="true"/>
          <w:lang w:bidi="ar-SA"/>
        </w:rPr>
        <w:t>ثُمَّ محمّد وَ لَيْث يَا فَتى</w:t>
      </w:r>
    </w:p>
    <w:p>
      <w:pPr>
        <w:pStyle w:val="BookText"/>
        <w:rPr/>
      </w:pPr>
      <w:r>
        <w:rPr>
          <w:rFonts w:ascii="Amiri" w:hAnsi="Amiri" w:eastAsia="Amiri" w:cs="Amiri"/>
          <w:color w:val="111111"/>
          <w:sz w:val="28"/>
          <w:sz w:val="28"/>
          <w:szCs w:val="28"/>
          <w:rtl w:val="true"/>
          <w:lang w:bidi="ar-SA"/>
        </w:rPr>
        <w:t>كَذا الفُضَيْل، بَعْدَهُ مَعْرُوف</w:t>
      </w:r>
    </w:p>
    <w:p>
      <w:pPr>
        <w:pStyle w:val="BookText"/>
        <w:rPr/>
      </w:pPr>
      <w:r>
        <w:rPr>
          <w:rFonts w:ascii="Amiri" w:hAnsi="Amiri" w:eastAsia="Amiri" w:cs="Amiri"/>
          <w:color w:val="111111"/>
          <w:sz w:val="28"/>
          <w:sz w:val="28"/>
          <w:szCs w:val="28"/>
          <w:rtl w:val="true"/>
          <w:lang w:bidi="ar-SA"/>
        </w:rPr>
        <w:t>وَ هُوَ الذي مَا بيْنَنَا مَعْرُوفُ</w:t>
      </w:r>
    </w:p>
    <w:p>
      <w:pPr>
        <w:pStyle w:val="BookText"/>
        <w:rPr/>
      </w:pPr>
      <w:r>
        <w:rPr>
          <w:rFonts w:ascii="Amiri" w:hAnsi="Amiri" w:eastAsia="Amiri" w:cs="Amiri"/>
          <w:color w:val="111111"/>
          <w:sz w:val="28"/>
          <w:sz w:val="28"/>
          <w:szCs w:val="28"/>
          <w:rtl w:val="true"/>
          <w:lang w:bidi="ar-SA"/>
        </w:rPr>
        <w:t>و السِّتة الوُسْطَى أُولوا الفَضَائِلِ</w:t>
      </w:r>
    </w:p>
    <w:p>
      <w:pPr>
        <w:pStyle w:val="BookText"/>
        <w:rPr/>
      </w:pPr>
      <w:r>
        <w:rPr>
          <w:rFonts w:ascii="Amiri" w:hAnsi="Amiri" w:eastAsia="Amiri" w:cs="Amiri"/>
          <w:color w:val="111111"/>
          <w:sz w:val="28"/>
          <w:sz w:val="28"/>
          <w:szCs w:val="28"/>
          <w:rtl w:val="true"/>
          <w:lang w:bidi="ar-SA"/>
        </w:rPr>
        <w:t>رُتْبَتُهم أدْنى مِن الأوَائِلِ</w:t>
      </w:r>
    </w:p>
    <w:p>
      <w:pPr>
        <w:pStyle w:val="BookText"/>
        <w:rPr/>
      </w:pPr>
      <w:r>
        <w:rPr>
          <w:rFonts w:ascii="Amiri" w:hAnsi="Amiri" w:eastAsia="Amiri" w:cs="Amiri"/>
          <w:color w:val="111111"/>
          <w:sz w:val="28"/>
          <w:sz w:val="28"/>
          <w:szCs w:val="28"/>
          <w:rtl w:val="true"/>
          <w:lang w:bidi="ar-SA"/>
        </w:rPr>
        <w:t>جَمِيل الجَمِيل مَعْ أبان</w:t>
      </w:r>
    </w:p>
    <w:p>
      <w:pPr>
        <w:pStyle w:val="BookText"/>
        <w:rPr/>
      </w:pPr>
      <w:r>
        <w:rPr>
          <w:rFonts w:ascii="Amiri" w:hAnsi="Amiri" w:eastAsia="Amiri" w:cs="Amiri"/>
          <w:color w:val="111111"/>
          <w:sz w:val="28"/>
          <w:sz w:val="28"/>
          <w:szCs w:val="28"/>
          <w:rtl w:val="true"/>
          <w:lang w:bidi="ar-SA"/>
        </w:rPr>
        <w:t>و العَبْدَلانِ ثُمّ حَمّادَانِ</w:t>
      </w:r>
    </w:p>
    <w:p>
      <w:pPr>
        <w:pStyle w:val="BookText"/>
        <w:rPr/>
      </w:pPr>
      <w:r>
        <w:rPr>
          <w:rFonts w:ascii="Amiri" w:hAnsi="Amiri" w:eastAsia="Amiri" w:cs="Amiri"/>
          <w:color w:val="111111"/>
          <w:sz w:val="28"/>
          <w:sz w:val="28"/>
          <w:szCs w:val="28"/>
          <w:rtl w:val="true"/>
          <w:lang w:bidi="ar-SA"/>
        </w:rPr>
        <w:t>و السّتة الأُخرى هُمْ صفوانُ</w:t>
      </w:r>
    </w:p>
    <w:p>
      <w:pPr>
        <w:pStyle w:val="BookText"/>
        <w:rPr/>
      </w:pPr>
      <w:r>
        <w:rPr>
          <w:rFonts w:ascii="Amiri" w:hAnsi="Amiri" w:eastAsia="Amiri" w:cs="Amiri"/>
          <w:color w:val="111111"/>
          <w:sz w:val="28"/>
          <w:sz w:val="28"/>
          <w:szCs w:val="28"/>
          <w:rtl w:val="true"/>
          <w:lang w:bidi="ar-SA"/>
        </w:rPr>
        <w:t>و يونسٌ عليهم الرضوانُ</w:t>
      </w:r>
    </w:p>
    <w:p>
      <w:pPr>
        <w:pStyle w:val="BookText"/>
        <w:rPr/>
      </w:pPr>
      <w:r>
        <w:rPr>
          <w:rFonts w:ascii="Amiri" w:hAnsi="Amiri" w:eastAsia="Amiri" w:cs="Amiri"/>
          <w:color w:val="111111"/>
          <w:sz w:val="28"/>
          <w:sz w:val="28"/>
          <w:szCs w:val="28"/>
          <w:rtl w:val="true"/>
          <w:lang w:bidi="ar-SA"/>
        </w:rPr>
        <w:t>ثُمَّ ابنُ مَحْبوبِ كذا محمّدُ</w:t>
      </w:r>
    </w:p>
    <w:p>
      <w:pPr>
        <w:pStyle w:val="BookText"/>
        <w:rPr/>
      </w:pPr>
      <w:r>
        <w:rPr>
          <w:rFonts w:ascii="Amiri" w:hAnsi="Amiri" w:eastAsia="Amiri" w:cs="Amiri"/>
          <w:color w:val="111111"/>
          <w:sz w:val="28"/>
          <w:sz w:val="28"/>
          <w:szCs w:val="28"/>
          <w:rtl w:val="true"/>
          <w:lang w:bidi="ar-SA"/>
        </w:rPr>
        <w:t>كَذاكَ عَبدُ اللّهِ ثُمَّ أحْمَدُ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جناب نجاشي درباره‌ي زراره</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نجاشي درباره‌ي زراره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زرارة بن اعين بن سنسن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سُنسُن احتمالاً اسم رومي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مولي لبني عبد الله بن عمرو السمين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أسعد بن همام بن مرة بن ذهل بن شيبان أبو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مولاي بني شيبان بوده يعني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عتق يا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ولاء داشته؛ چون پدرش أعين، عبد بني شيبان بوده و آزادش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أصحابنا في زمانه و متقدمهم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اصحاب در زمان خودش بود و از همه جلوتر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قارئاً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قاري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آن زمان خيلي مهم بوده، مثل الآن نيست كه يك قرائت حفص از عاصم مرسوم شده باشد، بلكه كساني با روايت و اجتهاد خود</w:t>
      </w:r>
    </w:p>
    <w:p>
      <w:pPr>
        <w:pStyle w:val="BookText"/>
        <w:rPr/>
      </w:pPr>
      <w:r>
        <w:rPr>
          <w:rFonts w:ascii="IRNazanin" w:hAnsi="IRNazanin" w:eastAsia="IRNazanin"/>
          <w:color w:val="111111"/>
          <w:sz w:val="28"/>
          <w:sz w:val="28"/>
          <w:szCs w:val="28"/>
          <w:rtl w:val="true"/>
          <w:lang w:bidi="fa-IR"/>
        </w:rPr>
        <w:t>مي‌خواندند و عدّه‌اي تبعيت مي‌كردند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قاري مجتهد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بوده به حدّي كه برخي وقتي در اين زمان مي‌خواهند فقاهت برتر بعضي را اثبات كنند، به زراره تشبيه مي‌كنند و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فقهش فقه زراره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متكلماً، شاعراً، أديباً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شخصيت عظيمي كه جامع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اجتمعت فيه خلال الفضل و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خلّه‌ها و صفات فضل و دين در او جمع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صادقاً فيما يرويه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روايت مي‌كند صادق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آن‌جا كه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زرارة سنة خمسين و 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زراره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وفات يافته است؛ يعني دو سال بعد از شهادت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بود، زنده بوده است</w:t>
      </w:r>
      <w:r>
        <w:rPr>
          <w:rFonts w:eastAsia="IRNazanin" w:cs="IRNazanin"/>
          <w:color w:val="111111"/>
          <w:sz w:val="28"/>
          <w:szCs w:val="28"/>
          <w:rtl w:val="true"/>
          <w:lang w:bidi="fa-IR"/>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كلام شيخ طوسي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درباره‌ي زراره</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زرارة بن أعين و اسمه عبد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زراره، عبد ربه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يكنى أبا الحسن و زرارة لقب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زراره لقب او 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كان أعين بن سنسن عبداً رومياً</w:t>
      </w:r>
      <w:r>
        <w:rPr>
          <w:rStyle w:val="FootnoteAnchor"/>
          <w:rtl w:val="true"/>
        </w:rPr>
        <w:footnoteReference w:id="379"/>
      </w:r>
      <w:r>
        <w:rPr>
          <w:rFonts w:ascii="IRNazanin" w:hAnsi="IRNazanin" w:eastAsia="IRNazanin"/>
          <w:color w:val="111111"/>
          <w:sz w:val="28"/>
          <w:sz w:val="28"/>
          <w:szCs w:val="28"/>
          <w:rtl w:val="true"/>
          <w:lang w:bidi="fa-IR"/>
        </w:rPr>
        <w:t xml:space="preserve">لرجل من بني شيبان تعلم القرآن ثم أعتقه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عبدي رومي و تحت تملّك مردي از بني شيبان بود كه قرآن را آموخت سپس صاحبش او را آزاد كرد</w:t>
      </w:r>
      <w:r>
        <w:rPr>
          <w:rFonts w:eastAsia="IRNazanin" w:cs="IRNazanin"/>
          <w:color w:val="111111"/>
          <w:sz w:val="28"/>
          <w:szCs w:val="28"/>
          <w:rtl w:val="true"/>
          <w:lang w:bidi="fa-IR"/>
        </w:rPr>
        <w:t>]</w:t>
      </w:r>
      <w:r>
        <w:rPr>
          <w:rStyle w:val="FootnoteAnchor"/>
          <w:rtl w:val="true"/>
        </w:rPr>
        <w:footnoteReference w:id="380"/>
      </w:r>
      <w:r>
        <w:rPr>
          <w:rFonts w:ascii="IRNazanin" w:hAnsi="IRNazanin" w:eastAsia="IRNazanin"/>
          <w:color w:val="111111"/>
          <w:sz w:val="28"/>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فعرض عليه أن يدخل في نسبه فأبى أعين أن يفعله و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أقرني على ولائي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وقتي اعين را آزاد كرد، به او پيشنهاد داد جزء طايفه‌ي آن‌ها باشد، ولي اعين قبول نكرد</w:t>
      </w:r>
      <w:r>
        <w:rPr>
          <w:rStyle w:val="FootnoteAnchor"/>
          <w:rtl w:val="true"/>
        </w:rPr>
        <w:footnoteReference w:id="381"/>
      </w:r>
      <w:r>
        <w:rPr>
          <w:rFonts w:ascii="IRNazanin" w:hAnsi="IRNazanin" w:eastAsia="IRNazanin"/>
          <w:color w:val="111111"/>
          <w:sz w:val="28"/>
          <w:sz w:val="28"/>
          <w:szCs w:val="28"/>
          <w:rtl w:val="true"/>
          <w:lang w:bidi="fa-IR"/>
        </w:rPr>
        <w:t>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مولاي شما باشم بهتر است؛ چون شما مولاي معتق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قبول كرد و جزء موالي بني شيبان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كان سنسن راهبا في بلد الروم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سنسن، پدربزرگ زراره، راهب مسيحي بوده است؛ همان‌هايي كه تارك دنيا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زرارة يكنى أبا علي أيضا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كنيه‌ي ديگر زراره ابا علي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عدة أولاد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الحسين و رومي و عبيد و كان أحول و عبد الله و يحيى بنو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لزرارة إخوة جماعة منهم حمران، و كان نحويا و له ابنان حمزة بن حمران و محمد بن حمران، و بكير بن أعين يكنى أبا الجهم و ابنه عبد الله بن بكير، و عبد الرحمن بن أعين، و عبد الملك بن أعين، و ابنه ضريس بن عبد الملك، و لهم روايات كثيرة و أصول و تصانيف سنذكرها في أبوابها إن شاء الله، و لهم أيضا روايات عن علي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نذكرهم في كتاب الرجال إن شاء الله تعالى، و لزرارة مصنفات، منها كتاب الإستطاعة و الجبر</w:t>
      </w:r>
      <w:r>
        <w:rPr>
          <w:rStyle w:val="FootnoteAnchor"/>
          <w:rtl w:val="true"/>
        </w:rPr>
        <w:footnoteReference w:id="382"/>
      </w:r>
    </w:p>
    <w:p>
      <w:pPr>
        <w:pStyle w:val="BookText"/>
        <w:rPr/>
      </w:pPr>
      <w:r>
        <w:rPr>
          <w:rFonts w:ascii="Amiri" w:hAnsi="Amiri" w:eastAsia="Amiri" w:cs="Amiri"/>
          <w:color w:val="111111"/>
          <w:sz w:val="28"/>
          <w:sz w:val="28"/>
          <w:szCs w:val="28"/>
          <w:rtl w:val="true"/>
          <w:lang w:bidi="ar-SA"/>
        </w:rPr>
        <w:t>زراره داراي اولاد متعدّدي است،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حسين، رومي، عبيد، عبدالله و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برادران فاضلي هم داشته، از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حمران، بكير، عبدالرحمن و عبدالملك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زيادي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داراي كتاب‌هاي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كه ديگران به آن مراجعه مي‌كنند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مجموعه رواياتي كه خودِ راوي جمع كرده و به اين اصل و ريشه مراجعه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رواياتي از امام سجّاد، امام باقر و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مصنّفاتي هم داشته است، از جمله كتاب استطاعت و جبر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مي‌شود زراره داراي شخصيت عظيمي است كه مرجع بسيار مهمّي در زمان خودش و در ابعاد مختلف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تعارض روايات در مورد زراره</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رواياتي در مدح زراره</w:t>
      </w:r>
    </w:p>
    <w:p>
      <w:pPr>
        <w:pStyle w:val="BookText"/>
        <w:rPr/>
      </w:pPr>
      <w:r>
        <w:rPr>
          <w:rFonts w:ascii="Amiri" w:hAnsi="Amiri" w:eastAsia="Amiri" w:cs="Amiri"/>
          <w:color w:val="111111"/>
          <w:sz w:val="28"/>
          <w:sz w:val="28"/>
          <w:szCs w:val="28"/>
          <w:rtl w:val="true"/>
          <w:lang w:bidi="ar-SA"/>
        </w:rPr>
        <w:t>تعدادي از اين روايات در رجال كشي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ـ روايت فضل بن عبدالملك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البقباق</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حَمْدَوَيْهِ بْنُ نُصَيْرٍ، عَنْ يَعْقُوبَ بْنِ يَزِيدَ، عَنِ الْقَاسِمِ بْنِ عُرْوَةَ، عَنْ أَبِي الْعَبَّاسِ الْفَضْلِ بْنِ عَبْدِ الْمَلِكِ،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أَحَبُّ النَّاسِ إِلَيَّ أَحْيَاءً وَ أَمْوَاتاً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بُرَيْدُ بْنُ مُعَاوِيَةَ الْعِجْلِيُّ، وَ زُرَارَةُ، وَ مُحَمَّدُ بْنُ مُسْلِمٍ، وَ الْأَحْوَلُ، وَ هُمْ أَحَبُّ النَّاسِ</w:t>
      </w:r>
    </w:p>
    <w:p>
      <w:pPr>
        <w:pStyle w:val="BookText"/>
        <w:rPr/>
      </w:pPr>
      <w:r>
        <w:rPr>
          <w:rFonts w:ascii="Amiri" w:hAnsi="Amiri" w:eastAsia="Amiri" w:cs="Amiri"/>
          <w:color w:val="111111"/>
          <w:sz w:val="28"/>
          <w:sz w:val="28"/>
          <w:szCs w:val="28"/>
          <w:rtl w:val="true"/>
          <w:lang w:bidi="ar-SA"/>
        </w:rPr>
        <w:t>إِلَيَّ أَحْيَاءً وَ أَمْوَاتاً</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IRNazanin" w:hAnsi="IRNazanin" w:eastAsia="IRNazanin"/>
          <w:color w:val="111111"/>
          <w:sz w:val="28"/>
          <w:sz w:val="28"/>
          <w:szCs w:val="28"/>
          <w:rtl w:val="true"/>
          <w:lang w:bidi="fa-IR"/>
        </w:rPr>
        <w:t>فضل بن عبد الملك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زنده‌ها و مرده‌ها محبوب‌ترين مردم نزد من چهار نفرند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بريد بن معاويه العجلي، زراره، محمّد بن مسلم و الاحول و اينان محبوب‌ترين مردم نزد من هستند از ميان احياء و اموات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ابراهيم بن عبد الحميد</w:t>
      </w:r>
    </w:p>
    <w:p>
      <w:pPr>
        <w:pStyle w:val="BookText"/>
        <w:rPr/>
      </w:pPr>
      <w:r>
        <w:rPr>
          <w:rFonts w:ascii="Amiri" w:hAnsi="Amiri" w:eastAsia="Amiri" w:cs="Amiri"/>
          <w:color w:val="111111"/>
          <w:sz w:val="28"/>
          <w:sz w:val="28"/>
          <w:szCs w:val="28"/>
          <w:rtl w:val="true"/>
          <w:lang w:bidi="ar-SA"/>
        </w:rPr>
        <w:t>حَدَّثَنِي حَمْدَوَيْهِ بْنُ نُصَيْرٍ، قَالَ حَدَّثَنِي يَعْقُوبُ بْنُ يَزِيدَ وَ مُحَمَّدُ بْنُ الْحُسَيْنِ بْنِ أَبِي الْخَطَّابِ، عَنْ مُحَمَّدِ بْنِ أَبِي عُمَيْرٍ، عَنْ إِبْرَاهِيمَ بْنِ عَبْدِ الْحَمِيدِ وَ غَيْرِهِ،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رَحِمَ اللَّهُ زُرَارَةَ بْنَ أَعْيَنَ لَوْ لَا زُرَارَةُ بْنُ أَعْيَنَ لَوْ لَا زُرَارَةُ وَ نُظَرَاؤُهُ لَانْدَرَسَتْ أَحَادِيثُ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زرارة بن اعين را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نبود زرارة بن أعين، اگر نبود زراره و امثال او، احاديث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بين مي‌رفت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 يا موثّقه‌ي سليمان بن خالد</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 قَالَ حَدَّثَنِي يَعْقُوبُ بْنُ يَزِيدَ، عَنِ</w:t>
      </w:r>
    </w:p>
    <w:p>
      <w:pPr>
        <w:pStyle w:val="BookText"/>
        <w:rPr/>
      </w:pPr>
      <w:r>
        <w:rPr>
          <w:rFonts w:ascii="Amiri" w:hAnsi="Amiri" w:eastAsia="Amiri" w:cs="Amiri"/>
          <w:color w:val="111111"/>
          <w:sz w:val="28"/>
          <w:sz w:val="28"/>
          <w:szCs w:val="28"/>
          <w:rtl w:val="true"/>
          <w:lang w:bidi="ar-SA"/>
        </w:rPr>
        <w:t xml:space="preserve">ابْنِ أَبِي عُمَيْرٍ، عَنْ هِشَامِ بْنِ سَالِمٍ، عَنْ سُلَيْمَانَ بْنِ خَالِدٍ الْأَقْطَعِ، قَالَ 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أَحَدٌ أَحْيَا ذِكْرَنَا وَ أَحَادِيثَ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زُرَارَةُ وَ أَبُو بَصِيرٍ لَيْثٌ الْمُرَادِيُّ وَ مُحَمَّدُ بْنُ مُسْلِمٍ وَ بُرَيْدُ بْنِ مُعَاوِيَةَ الْعِجْلِيُّ وَ لَوْ لَا هَؤُلَاءِ مَا كَانَ أَحَدٌ يَسْتَنْبِطُ هَذَا، هَؤُلَاءِ حُفَّاظُ الدِّينِ وَ أُمَنَاءُ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حَلَالِ اللَّهِ وَ حَرَامِهِ، وَ هُمُ السَّابِقُونَ إِلَيْنَا فِي الدُّنْيَا وَ السَّابِقُونَ إِلَيْنَا فِي الْآخِرَةِ</w:t>
      </w:r>
      <w:r>
        <w:rPr>
          <w:rFonts w:eastAsia="Amiri" w:cs="Amiri" w:ascii="Amiri" w:hAnsi="Amiri"/>
          <w:color w:val="111111"/>
          <w:sz w:val="28"/>
          <w:szCs w:val="28"/>
          <w:rtl w:val="true"/>
          <w:lang w:bidi="ar-SA"/>
        </w:rPr>
        <w:t>»</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ياد ما و احاديث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احيا نكرد مگر زراره و ابو بصير ليث المرادي و محمّد بن مسلم و بريد بن معاويه العجلي و اگر اين‌ها نبودند كسي نبود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استنباط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حافظان دين و أمناي پدرم بر حلال وحرام خداوند هستند و اينان سبقت‌گيرندگان به ما در دنيا و آخرت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رواياتي در ذمّ زراره</w:t>
      </w:r>
    </w:p>
    <w:p>
      <w:pPr>
        <w:pStyle w:val="BookText"/>
        <w:rPr/>
      </w:pPr>
      <w:r>
        <w:rPr>
          <w:rFonts w:ascii="Amiri" w:hAnsi="Amiri" w:eastAsia="Amiri" w:cs="Amiri"/>
          <w:color w:val="111111"/>
          <w:sz w:val="28"/>
          <w:sz w:val="28"/>
          <w:szCs w:val="28"/>
          <w:rtl w:val="true"/>
          <w:lang w:bidi="ar-SA"/>
        </w:rPr>
        <w:t>روايات متعدّدي هم در مذمّت زراره وارد شده است كه ـ به ظاهر ـ عجيب است</w:t>
      </w:r>
      <w:r>
        <w:rPr>
          <w:rStyle w:val="FootnoteAnchor"/>
          <w:rtl w:val="true"/>
        </w:rPr>
        <w:footnoteReference w:id="386"/>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جبرئيل بن أحمد،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يونس بن عبد الرحمن عن ابن أبان، عن عبد الرحيم القصير،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ائت زرارة و بريدا، فقل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البدعة التي أبدعتماها، أ ما علمتما أن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منهما فأرسل معي ليثا المرادي فأتينا زرارة فقلنا له ما 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 الله لقد أعطاني الاستطاعة و ما شعر فأما بريد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أرجع عنها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معجم رجال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فإن ابن أبان مجهول و عبد الرحيم مهمل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حدثني حمدويه،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يونس، عن مسمع كردين أبي سيار،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بريدا، و لعن الله زرارة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الإسناد، عن يونس عن إبراهيم المؤمن، عن عمران الزعفراني،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لأبي بصير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بصير ـ و كنا اثني عشر رجلا ـ ما أحدث أحد في الإسلام، ما أحدث زرارة من البدع عليه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قول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بجبرئيل بن أحمد و إبراهيم و عمران فإنهم كلهم مجاهيل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حدثني حمدويه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عيسى عن عمار بن المبارك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الحسن بن كليب الأسدي عن أبيه كليب الصيداوي أنهم كانوا جلوسا و معهم عذافر الصيرفي و عدة من أصحابهم معهم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 أبو عبد الله من غير ذكر لزرارة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لعن الله زرارة لعن الله زرارة لعن الله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الرواية ضعيفة فإن عمارا مهمل و الحسن مجهول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حدثني محمد بن نصير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محمد بن عيسى، عن حفص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مؤذن علي بن يقطين يكنى أبا محمد،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الَّذِينَ آمَنُوا وَ لَمْ يَلْبِسُوا إِيمانَهُمْ بِظُلْمٍ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أعاذنا الله و إياك يا أبا بصير من ذلك الظلم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ما ذهب فيه زرارة، و أصحابه و أبو حنيفة، و أصحابه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المؤذن مجهول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معجم رجال الحديث، ج</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زرارة ابن اعين، صص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حمزة بن حمران</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 بْنُ نُصَيْرٍ، قَالَ حَدَّثَنِي مُحَمَّدُ بْنُ</w:t>
      </w:r>
    </w:p>
    <w:p>
      <w:pPr>
        <w:pStyle w:val="BookText"/>
        <w:rPr/>
      </w:pPr>
      <w:r>
        <w:rPr>
          <w:rFonts w:ascii="Amiri" w:hAnsi="Amiri" w:eastAsia="Amiri" w:cs="Amiri"/>
          <w:color w:val="111111"/>
          <w:sz w:val="28"/>
          <w:sz w:val="28"/>
          <w:szCs w:val="28"/>
          <w:rtl w:val="true"/>
          <w:lang w:bidi="ar-SA"/>
        </w:rPr>
        <w:t xml:space="preserve">عِيسَى بْنِ عُبَيْدٍ، عَنِ ابْنِ أَبِي عُمَيْرٍ، عَنْ عَبْدِ الرَّحْمَنِ بْنِ الْحَجَّاجِ، عَنْ حَمْزَةَ،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بَلَغَنِي أَنَّكَ بَرِئْتَ مِنْ عَمِّي يَعْنِي زُرَارَةَ قَالَ،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لَمْ أَبْرَأْ مِنْ زُرَارَةَ لَكِنَّهُمْ يَجِيئُونَ وَ يَذْكُرُونَ وَ يَرْوُونَ عَنْهُ، فَلَوْ سَكَتُّ عَنْهُ أَلْزَمُونِيهِ، فَأَقُولُ مَنْ قَالَ هَذَا فَأَنَا إِلَى اللَّهِ مِنْهُ بَرِي‌ءٌ</w:t>
      </w:r>
      <w:r>
        <w:rPr>
          <w:rFonts w:eastAsia="Amiri" w:cs="Amiri" w:ascii="Amiri" w:hAnsi="Amiri"/>
          <w:color w:val="111111"/>
          <w:sz w:val="28"/>
          <w:szCs w:val="28"/>
          <w:rtl w:val="true"/>
          <w:lang w:bidi="ar-SA"/>
        </w:rPr>
        <w:t>»</w:t>
      </w:r>
      <w:r>
        <w:rPr>
          <w:rStyle w:val="FootnoteAnchor"/>
          <w:rtl w:val="true"/>
        </w:rPr>
        <w:footnoteReference w:id="387"/>
      </w:r>
    </w:p>
    <w:p>
      <w:pPr>
        <w:pStyle w:val="BookText"/>
        <w:rPr/>
      </w:pPr>
      <w:r>
        <w:rPr>
          <w:rFonts w:ascii="IRNazanin" w:hAnsi="IRNazanin" w:eastAsia="IRNazanin"/>
          <w:color w:val="111111"/>
          <w:sz w:val="28"/>
          <w:sz w:val="28"/>
          <w:szCs w:val="28"/>
          <w:rtl w:val="true"/>
          <w:lang w:bidi="fa-IR"/>
        </w:rPr>
        <w:t xml:space="preserve">حمزة بن حمران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برادرزاده‌ي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است كه شما از عموي ما يعني زراره تبرّي جسته‌ايد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زراره تبرّي نجسته‌ام، ولي كساني مي‌آيند و از او چيزهايي نقل مي‌كنند و اگر من چيزي نگويم، مي‌گويند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حرف‌ها را قبول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اين حرف‌ها را زده، من از او بريء هستم به سوي 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روايت ديگري از حمزة بن حمران</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مَسْعُودٍ، قَالَ حَدَّثَنِي عَبْدُ اللَّهِ بْنُ مُحَمَّدِ بْنِ خَالِدٍ، قَالَ حَدَّثَنِي الْوَشَّاءُ، عَنِ ابْنِ خِدَاشٍ، عَنْ عَلِيِّ بْنِ إِسْمَاعِيلَ، عَنْ رِبْعِيٍّ، عَنِ الْهَيْثَمِ بْنِ حَفْصٍ الْعَطَّارِ، قَالَ سَمِعْتُ حَمْزَةَ بْنَ حُمْرَانَ، يَقُولُ حِينَ قَدِمَ مِنَ الْيَمَنِ لَقِيتُ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لَعَنْتَ عَمِّي زُرَارَةَ،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يَدَهُ حَتَّى صَكَّ بِهَا صَدْرَهُ،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 اللَّهِ مَا قُلْتُ وَ لَكِنَّكُمْ تَأْتُونَ عَنْهُ بِأَشْيَاءَ فَأَقُولُ مَنْ قَالَ هَذَا فَأَنَا مِنْهُ بَرِي‌ءٌ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فَأَحْكِي لَكَ مَا يَقُولُ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قُلْتُ إِنَّ اللَّهَ عَزَّ وَ جَلَّ لَمْ يُكَلِّفِ الْعِبَادَ إِلَّا مَا يُطِيقُونَ وَ أَنَّهُمْ لَنْ يَعْمَلُوا إِلَّا أَنْ يَشَاءَ اللَّهُ وَ يُرِيدُ وَ يَقْضِي،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وَ اللَّهِ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دَخَلَ عَلَيْنَا صَاحِبُ الزُّطِّيِّ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مُيَسِّرُ أَ لَسْتَ 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أَيِّ شَيْ‌ءٍ أَصْلَحَكَ اللَّهُ أَوْ جُعِلْتُ فِدَاكَ قَالَ فَأَعَادَ هَذَا الْقَوْلَ عَلَيْهِ كَمَا قُلْتُ لَهُ،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وَ اللَّهِ دَيْنِي وَ دِينُ آبَائِي</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rtl w:val="true"/>
          <w:lang w:bidi="fa-IR"/>
        </w:rPr>
        <w:t>هيثم بن حفص العطّار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حمزة بن حمران شنيدم زماني كه از يمن آمده بود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كردم پس 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شنيده‌ام كه شما عمويم زراره را لعنت كرده‌ايد،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حمزة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دستش را بلند كرد و به سينه‌اش زد،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من نگفتم ولكن شما مطالبي از او براي من نقل مي‌كنيد، پس من مي‌گويم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حرف را چه كسي زده است؟ من از قائل اين سخن بريء هستم </w:t>
      </w:r>
      <w:r>
        <w:rPr>
          <w:rFonts w:eastAsia="IRNazanin" w:cs="IRNazanin"/>
          <w:color w:val="111111"/>
          <w:sz w:val="28"/>
          <w:szCs w:val="28"/>
          <w:rtl w:val="true"/>
          <w:lang w:bidi="fa-IR"/>
        </w:rPr>
        <w:t>... .</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ـ صحيحه‌ي زياد بن ابي الحلال</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حَدَّثَنِي أَبُو جَعْفَرٍ مُحَمَّدُ بْنُ قُولَوَيْهِ، قَالَ حَدَّثَنِي مُحَمَّدُ بْنُ أَبِي الْقَاسِمِ أَبُو عَبْدِ اللَّهِ الْمَعْرُوفُ بِمَاجِيلَوَيْهِ، عَنْ زِيَادِ بْنِ أَبِي الْحَلَّالِ، قَالَ 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زُرَارَةَ رَوَى عَنْكَ فِي الِاسْتِطَاعَةِ شَيْئاً فَقَبِلْنَا مِنْهُ وَ صَدَّقْنَاهُ وَ قَدْ أَحْبَبْتُ أَنْ أَعْرِضَهُ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أَنَّهُ سَأَلَكَ عَنْ قَوْلِ اللَّهِ عَزَّ وَ جَلَّ وَ 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النّاسِ حِجُّ الْبَيْتِ مَنِ اسْتَطاعَ إِلَيْهِ سَبِيلًا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فَقُلْتَ مَنْ مَلَكَ زَاداً وَ رَاحِلَةً، فَقَالَ كُلُّ مَنْ مَلَكَ زَاداً وَ رَاحِلَةً فَهُوَ مُسْتَطِيعٌ لِلْحَجِّ وَ إِنْ لَمْ يَحُجَّ فَقُلْتُ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هَكَذَا سَأَلَنِي وَ لَا هَكَذَا قُلْتُ، كَذَبَ عَلَيَّ وَ اللَّهِ كَذَبَ عَلَيَّ وَ اللَّهِ، لَعَنَ اللَّهُ زُرَارَةَ لَعَنَ اللَّهُ زُرَارَةَ، لَعَنَ اللَّهُ زُرَارَةَ، إِنَّمَا قَالَ لِي مَنْ كَانَ لَهُ زَادٌ وَ رَاحِلَةٌ فَهُوَ مُسْتَطِيعٌ لِلْحَجِّ قُلْتُ وَ قَدْ وَجَبَ عَلَيْهِ، قَالَ فَمُسْتَطِيعٌ هُوَ، فَقُلْتُ لَا حَتَّى يُؤْذَنَ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 فَأُخْبِرُ زُرَارَةَ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زِيَادٌ فَقَدِمْتُ الْكُوفَةَ فَلَقِيتُ زُرَارَةَ فَأَخْبَرْتُهُ بِمَا 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عَنْ لَعْنِهِ، فَقَالَ أَمَا إِنَّهُ قَدْ أَعْطَانِي الِاسْتِطَاعَةَ مِنْ حَيْثُ لَا يَعْلَمُ، وَ صَاحِبُكُمْ هَذَا لَيْسَ لَهُ بَصِيرَةٌ بِكَلَامِ الرِّجَالِ</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 xml:space="preserve">زياد بن ابي الحلال مي‌گويد به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درباره‌ي استطاعت، از شما مطلبي نقل كرد كه ما آن را قبول كرده و تصديق كرديم، دوست داشتم آن را به شما هم عرضه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از شما در مورد اين آيه‌ي شريفه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عَلَى النّاسِ حِجُّ الْبَيْتِ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كرده و شما در جواب فرموده‌ايد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زاد و راحله‌اي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اين‌گونه سؤال كرده و نه من اين‌گونه جواب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دروغ بسته است، قسم به خدا بر من دروغ بسته است، خدا زراره را لعنت كند، خدا زراره را لعنت كند، خدا زراره را لعنت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اين‌گونه از من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زاد و راحله داشته باشد آيا مستطيع براي حج است؟ پس من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مستطيع است؟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تا اين‌كه به او اذن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مطالب را براي زراره نقل كنم؟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ابي الحلال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كوفه آمدم و زراره را ملاقات كردم و كلام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براي او نقل كردم ولي لعن حضرت را نگفتم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حيث لايعلم استطاعت را به من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صاحب شما آگاهي و بصيرتي به كلام رجال ندارد</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ذكر عيب مخفي كسي چه بالصراحه باشد و چه بالكنايه باشد، غيبت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كردن كسي بالملازمه دلالت دارد كه انسان فاسق و فاجري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غيبت صادق است</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 قضيه‌ي تنقيص زراره در روايات</w:t>
      </w:r>
    </w:p>
    <w:p>
      <w:pPr>
        <w:pStyle w:val="BookText"/>
        <w:rPr/>
      </w:pPr>
      <w:r>
        <w:rPr>
          <w:rFonts w:ascii="Amiri" w:hAnsi="Amiri" w:eastAsia="Amiri" w:cs="Amiri"/>
          <w:color w:val="111111"/>
          <w:sz w:val="28"/>
          <w:sz w:val="28"/>
          <w:szCs w:val="28"/>
          <w:rtl w:val="true"/>
          <w:lang w:bidi="ar-SA"/>
        </w:rPr>
        <w:t>حلّ اين تنقيص‌ها به صحيحه‌ي ذيل است كه جناب كشي نقل مي‌كند كه همه‌ي اين مذمّت‌ها به خاطر حفظ زراره از شرّ دشمنان بوده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عبد الله بن زراره</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حَدَّثَنِي حَمْدَوَيْهِ بْنُ نُصَيْرٍ، قَالَ حَدَّثَنَا مُحَمَّدُ بْنُ عِيسَى بْنِ عُبَيْدٍ، قَالَ حَدَّثَنِي يُونُسُ بْنُ عَبْدِ الرَّحْمَنِ، عَنْ عَبْدِ اللَّهِ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مُحَمَّدُ بْنُ قُولَوَيْهِ وَ الْحُسَيْنُ بْنُ الْحَسَنِ، قَالا حَدَّثَنَا سَعْدُ بْنُ عَبْدِ اللَّهِ، قَالَ حَدَّثَنِي هَارُونُ بْنُ الْحَسَنِ بْنِ مَحْبُوبٍ، عَنْ مُحَمَّدِ بْنِ عَبْدِ اللَّهِ بْنِ زُرَارَةَ وَ ابْنَيْهِ الْحَسَنِ وَ الْحُسَيْنِ، عَنْ عَبْدِ اللَّهِ بْنِ زُرَارَةَ، قَالَ، قَالَ لِي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اقْرَأْ مِنِّي عَلَى وَالِدِكَ السَّلَامَ، وَ قُلْ لَهُ إِنِّي إِنَّمَا أَعِيبُكَ دِفَاعاً مِنِّي عَنْكَ، فَإِنَّ النَّاسَ وَ الْعَدُوَّ يُسَارِعُونَ إِلَى كُلِّ مَنْ قَرَّبْنَاهُ وَ حَمِدْنَا مَكَانَهُ لِإِدْخَالِ الْأَذَى فِي مَنْ نُحِبُّهُ وَ نُقَرِّبُهُ، وَ يَرْمُونَهُ لِمَحَبَّتِنَا لَهُ وَ قُرْبِهِ وَ دُنُوِّهِ مِنَّا، وَ يَرَوْنَ إِدْخَالَ</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الْأَذَى عَلَيْهِ وَ قَتْلَهُ، وَ يَحْمَدُونَ كُلَّ مَنْ عِبْنَاهُ نَحْنُ وَ إِنْ نَحْمَدَ أَمْرَهُ، فَإِنَّمَا أَعِيبُكَ لِأَنَّكَ رَجُلٌ اشْتَهَرْتَ بِنَا وَ لِمَيْلِكَ إِلَيْنَا، وَ أَنْتَ فِي ذَلِكَ مَذْمُومٌ عِنْدَ النَّاسِ غَيْرُ مَحْمُودِ الْأَثَرِ لِمَوَدَّتِكَ لَنَا وَ بِمَيْلِكَ إِلَيْنَا، فَأَحْبَبْتُ أَنْ أَعِيبَكَ لِيَحْمَدُوا أَمْرَكَ فِي الدِّينِ بِعَيْبِكَ وَ نَقْصِكَ، وَ يَكُونَ بِذَلِكَ مِنَّا دَافِعَ شَرِّهِمْ عَنْكَ، يَقُولُ اللَّهُ جَلَّ وَ 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السَّفِينَةُ فَكانَتْ لِمَساكِينَ يَعْمَلُونَ فِي الْبَحْرِ فَأَرَدْتُ أَنْ أَعِيبَها وَ كانَ وَراءَهُمْ مَلِكٌ يَأْخُذُ كُلَّ سَفِينَةٍ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غَصْباً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هَذَا التَّنْزِيلُ مِنْ عِنْدِ اللَّهِ صَالِحَةٌ، لَا وَ اللَّهِ مَا عَابَهَا إِلَّا لِكَيْ تَسْلَمَ مِنَ الْمَلِكِ وَ لَا تَعْطَبَ عَلَى يَدَيْهِ وَ لَقَدْ كَانَتْ صَالِحَةً لَيْسَ لِلْعَيْبِ مِنْهَا مَسَاغٌ وَ الْحَمْدُ لِلَّهِ، فَافْهَمِ الْمِثْلَ يَرْحَمْكَ اللَّهُ فَإِنَّكَ وَ اللَّهِ أَحَبُّ النَّاسِ إِلَيَّ وَ أَحَبُّ أَصْحَابِ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 وَ مَيِّتاً، فَإِنَّكَ أَفْضَلُ سُفُنِ ذَلِكَ الْبَحْرِ الْقَمْقَامِ الزَّاخِرِ، وَ أَنَّ مِنْ وَرَائِكَ مَلَكاً ظَلُوماً غَصُوباً يَرْقُبُ عُبُورَ كُلِّ سَفِينَةٍ صَالِحَةٍ تَرِدُ مِنْ بَحْرِ الْهُدَى لِيَأْخُذَهَا غَصْباً ثُمَّ يَغْصِبَهَا وَ أَهْلَهَا، وَ رَحْمَةُ اللَّهِ عَلَيْكَ حَيّاً وَ رَحْمَتُهُ وَ رِضْوَانُهُ عَلَيْكَ مَيِّتاً، وَ لَقَدْ أَدَّى إِلَيَّ ابْنَاكَ الْحَسَنُ وَ الْحُسَيْنُ رِسَالَتَكَ، حَاطَهُمَا اللَّهُ وَ كَلَأَهُمَا وَ رَعَاهُمَا وَ حَفِظَهُمَا بِصَلَاحِ أَبِيهِمَا كَمَا حَفِظَ الْغُلَامَيْنِ، فَلَا يَضِيقَنَّ صَدْرُكَ</w:t>
      </w:r>
    </w:p>
    <w:p>
      <w:pPr>
        <w:pStyle w:val="BookText"/>
        <w:rPr/>
      </w:pPr>
      <w:r>
        <w:rPr>
          <w:rFonts w:ascii="Amiri" w:hAnsi="Amiri" w:eastAsia="Amiri" w:cs="Amiri"/>
          <w:color w:val="111111"/>
          <w:sz w:val="28"/>
          <w:sz w:val="28"/>
          <w:szCs w:val="28"/>
          <w:rtl w:val="true"/>
          <w:lang w:bidi="ar-SA"/>
        </w:rPr>
        <w:t xml:space="preserve">مِنَ الَّذِي أَمَرَكَ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أَمَرْتُكَ بِهِ، وَ أَتَاكَ أَبُو بَصِيرٍ بِخِلَافِ الَّذِي أَمَرْنَاكَ بِهِ </w:t>
      </w:r>
      <w:r>
        <w:rPr>
          <w:rFonts w:eastAsia="Amiri" w:cs="Amiri" w:ascii="Amiri" w:hAnsi="Amiri"/>
          <w:color w:val="111111"/>
          <w:sz w:val="28"/>
          <w:szCs w:val="28"/>
          <w:rtl w:val="true"/>
          <w:lang w:bidi="ar-SA"/>
        </w:rPr>
        <w:t>...»</w:t>
      </w:r>
      <w:r>
        <w:rPr>
          <w:rStyle w:val="FootnoteAnchor"/>
          <w:rtl w:val="true"/>
        </w:rPr>
        <w:footnoteReference w:id="391"/>
      </w:r>
      <w:r>
        <w:rPr>
          <w:rFonts w:ascii="IRNazanin" w:hAnsi="IRNazanin" w:eastAsia="IRNazanin"/>
          <w:color w:val="111111"/>
          <w:sz w:val="28"/>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زراره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مرا به پدرت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 و بگو من به قصد دفاع از تو عيب مي‌گيرم؛ به خاطر اين‌كه مردم و دشمن، هر كسي كه به ما نزديك باشد و ما او را دوست داشته باشيم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زير نظر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اذيّت كردن او سرعت مي‌گيرند و به خاطر محبّت ما و نزديكي‌اش به ما او را مورد هدف قرار مي‌دهند و قصد اذيّت و قتل او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كه ما از او عيب بگيريم ستايش مي‌كنند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كار او را ما ستايش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به اين خاطر از تو عيب مي‌گيرم كه تو مردي هستي كه به خاطر ما و تمايلت به ما شهرت يافته‌اي و به اين خاطر مذموم نزد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 و به خاطر ميل و مودّتت به ما كارهايت مورد پسند آن‌ها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خواستم از تو عيب بگيرم تا تو را در دينت مورد ستايش قرار دهند و همين مايه‌ي دفع شرّ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خداوند متعال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السَّفِينَةُ فَكانَتْ لِمَساكِينَ يَعْمَلُونَ فِي الْبَحْرِ فَأَرَدْتُ أَنْ أَعِيبَها وَ كانَ وَراءَهُمْ مَلِكٌ يَأْخُذُ كُلَّ سَفينَةٍ غَصْباً</w:t>
      </w:r>
      <w:r>
        <w:rPr>
          <w:rFonts w:eastAsia="IRNazanin" w:cs="IRNazanin"/>
          <w:color w:val="111111"/>
          <w:sz w:val="28"/>
          <w:szCs w:val="28"/>
          <w:rtl w:val="true"/>
          <w:lang w:bidi="fa-IR"/>
        </w:rPr>
        <w:t>)</w:t>
      </w:r>
      <w:r>
        <w:rPr>
          <w:rStyle w:val="FootnoteAnchor"/>
          <w:rtl w:val="true"/>
        </w:rPr>
        <w:footnoteReference w:id="392"/>
      </w:r>
      <w:r>
        <w:rPr>
          <w:rFonts w:ascii="Amiri" w:hAnsi="Amiri" w:eastAsia="Amiri" w:cs="Amiri"/>
          <w:color w:val="111111"/>
          <w:sz w:val="28"/>
          <w:sz w:val="28"/>
          <w:szCs w:val="28"/>
          <w:rtl w:val="true"/>
          <w:lang w:bidi="ar-SA"/>
        </w:rPr>
        <w:t>اين</w:t>
      </w:r>
    </w:p>
    <w:p>
      <w:pPr>
        <w:pStyle w:val="BookText"/>
        <w:rPr/>
      </w:pPr>
      <w:r>
        <w:rPr>
          <w:rFonts w:ascii="IRNazanin" w:hAnsi="IRNazanin" w:eastAsia="IRNazanin"/>
          <w:color w:val="111111"/>
          <w:sz w:val="28"/>
          <w:sz w:val="28"/>
          <w:szCs w:val="28"/>
          <w:rtl w:val="true"/>
          <w:lang w:bidi="fa-IR"/>
        </w:rPr>
        <w:t xml:space="preserve">چيزي است كه از جانب خداوند نازل شده است، سفينه سالم بود و هيچ عيبي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خضر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معيوب نكرد مگر براي اين‌كه مَلِك، آن را تصرف نكند و به دست او نابود نشود و ستايش مخصوص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 را خوب بفهم، خدا تو را مورد رحمت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تو محبوب‌ترين اشخاص نزد من هستي و محبوب‌ترين اصحاب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اصحاب زنده و چه اصحابي كه از دنيا 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برترين كشتي‌هاي آن درياي وسيع و پر هستي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آن سفينه‌اي هستي كه گرفتار مَلِكي است، عبور هر سفينه‌ي صالح و سالمي را زير نظر دارد تا آن را و اهلش را غصب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و رضوان خدا بر تو باد چه در حال حيات و چه در حال مماتت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فرزندانت حسن و حسين نامه‌ي تو را براي من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آن‌ها را حفظ كند و در زير پوشش و رعايت خودش قرار دهد به خاطر صلاح پدرشان، همان‌طوري كه آن دو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داستان حضرت خضر و موسي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حفظ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سينه‌ات تنگ نشود از آن چيزي كه پدر من امر كرد تو را و من امر كردم و ابو بصير خلافش را به تو رساند </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وثاقت زراره از جاي ديگر اثبات شده است و بعد از وثاقت خود و فرزندانش، اگر روايتي در مدح خود هم نقل كنند پذيرفته مي‌شود</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54" w:name="pg2359_23553"/>
    </w:p>
    <w:p>
      <w:pPr>
        <w:pStyle w:val="Heading5"/>
        <w:numPr>
          <w:ilvl w:val="4"/>
          <w:numId w:val="1"/>
        </w:numPr>
        <w:rPr/>
      </w:pPr>
      <w:bookmarkStart w:id="555" w:name="__RefHeading___Toc2770599_3804643083"/>
      <w:bookmarkStart w:id="556" w:name="_Toc210"/>
      <w:bookmarkEnd w:id="554"/>
      <w:bookmarkEnd w:id="555"/>
      <w:r>
        <w:rPr>
          <w:rtl w:val="true"/>
        </w:rPr>
        <w:t>اشكال سيّد خويي</w:t>
      </w:r>
      <w:r>
        <w:rPr>
          <w:rtl w:val="true"/>
        </w:rPr>
        <w:t xml:space="preserve">- </w:t>
      </w:r>
      <w:r>
        <w:rPr>
          <w:rtl w:val="true"/>
        </w:rPr>
        <w:t xml:space="preserve">قدس سره </w:t>
      </w:r>
      <w:r>
        <w:rPr>
          <w:rtl w:val="true"/>
        </w:rPr>
        <w:t xml:space="preserve">- </w:t>
      </w:r>
      <w:r>
        <w:rPr>
          <w:rtl w:val="true"/>
        </w:rPr>
        <w:t>بر استدلال روايي مرحوم شيخ</w:t>
      </w:r>
      <w:r>
        <w:rPr>
          <w:rtl w:val="true"/>
        </w:rPr>
        <w:t xml:space="preserve">- </w:t>
      </w:r>
      <w:r>
        <w:rPr>
          <w:rtl w:val="true"/>
        </w:rPr>
        <w:t xml:space="preserve">قدس سره </w:t>
      </w:r>
      <w:r>
        <w:rPr>
          <w:rtl w:val="true"/>
        </w:rPr>
        <w:t xml:space="preserve">- </w:t>
      </w:r>
      <w:r>
        <w:rPr>
          <w:rtl w:val="true"/>
        </w:rPr>
        <w:t>براي جواز غيبت به جهت دفع ضرر</w:t>
      </w:r>
      <w:bookmarkEnd w:id="556"/>
    </w:p>
    <w:p>
      <w:pPr>
        <w:pStyle w:val="Heading6"/>
        <w:numPr>
          <w:ilvl w:val="5"/>
          <w:numId w:val="1"/>
        </w:numPr>
        <w:rPr/>
      </w:pPr>
      <w:bookmarkStart w:id="557" w:name="__RefHeading___Toc2770601_3804643083"/>
      <w:bookmarkStart w:id="558" w:name="_Toc211"/>
      <w:bookmarkEnd w:id="557"/>
      <w:r>
        <w:rPr>
          <w:rtl w:val="true"/>
        </w:rPr>
        <w:t>اشاره</w:t>
      </w:r>
      <w:bookmarkEnd w:id="558"/>
    </w:p>
    <w:p>
      <w:pPr>
        <w:pStyle w:val="BookText"/>
        <w:rPr/>
      </w:pPr>
      <w:r>
        <w:rPr>
          <w:rFonts w:ascii="IRNazanin" w:hAnsi="IRNazanin" w:eastAsia="IRNazanin"/>
          <w:color w:val="111111"/>
          <w:sz w:val="28"/>
          <w:sz w:val="28"/>
          <w:szCs w:val="28"/>
          <w:rtl w:val="true"/>
          <w:lang w:bidi="fa-IR"/>
        </w:rPr>
        <w:t>سيّد خويي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ربطي به غيبت ندارد؛ چون غيبت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حالي‌كه خود حضرت، زراره را تشبيه به سفينه‌ي صالحه‌اي مي‌كند كه معيوب نيست؛ يعني در واقع، مطالبي كه حضرت در مورد زراره فرمودند، زراره مرتكب نشده بود تا تعريف غيبت صادق باشد</w:t>
      </w:r>
      <w:r>
        <w:rPr>
          <w:rFonts w:eastAsia="IRNazanin" w:cs="IRNazanin"/>
          <w:color w:val="111111"/>
          <w:sz w:val="28"/>
          <w:szCs w:val="28"/>
          <w:rtl w:val="true"/>
          <w:lang w:bidi="fa-IR"/>
        </w:rPr>
        <w:t>.</w:t>
      </w:r>
    </w:p>
    <w:p>
      <w:pPr>
        <w:pStyle w:val="Heading6"/>
        <w:numPr>
          <w:ilvl w:val="5"/>
          <w:numId w:val="1"/>
        </w:numPr>
        <w:rPr/>
      </w:pPr>
      <w:bookmarkStart w:id="559" w:name="__RefHeading___Toc2770603_3804643083"/>
      <w:bookmarkStart w:id="560" w:name="_Toc212"/>
      <w:bookmarkEnd w:id="559"/>
      <w:r>
        <w:rPr>
          <w:rtl w:val="true"/>
        </w:rPr>
        <w:t>نقد اشكال سيد خويي</w:t>
      </w:r>
      <w:r>
        <w:rPr>
          <w:rtl w:val="true"/>
        </w:rPr>
        <w:t xml:space="preserve">- </w:t>
      </w:r>
      <w:r>
        <w:rPr>
          <w:rtl w:val="true"/>
        </w:rPr>
        <w:t xml:space="preserve">قدس سره </w:t>
      </w:r>
      <w:r>
        <w:rPr>
          <w:rtl w:val="true"/>
        </w:rPr>
        <w:t>-</w:t>
      </w:r>
      <w:bookmarkEnd w:id="560"/>
    </w:p>
    <w:p>
      <w:pPr>
        <w:pStyle w:val="BookText"/>
        <w:rPr/>
      </w:pPr>
      <w:r>
        <w:rPr>
          <w:rFonts w:ascii="IRNazanin" w:hAnsi="IRNazanin" w:eastAsia="IRNazanin"/>
          <w:color w:val="111111"/>
          <w:sz w:val="28"/>
          <w:sz w:val="28"/>
          <w:szCs w:val="28"/>
          <w:rtl w:val="true"/>
          <w:lang w:bidi="fa-IR"/>
        </w:rPr>
        <w:t>وقتي حضرت براي دفع ضرر، از زراره عيب مي‌گيرند در حالي‌كه اين عيب واقعاً نيست، بالاولوية العرفية</w:t>
      </w:r>
      <w:r>
        <w:rPr>
          <w:rStyle w:val="FootnoteAnchor"/>
          <w:rtl w:val="true"/>
        </w:rPr>
        <w:footnoteReference w:id="394"/>
      </w:r>
      <w:r>
        <w:rPr>
          <w:rFonts w:ascii="IRNazanin" w:hAnsi="IRNazanin" w:eastAsia="IRNazanin"/>
          <w:color w:val="111111"/>
          <w:sz w:val="28"/>
          <w:sz w:val="28"/>
          <w:szCs w:val="28"/>
          <w:rtl w:val="true"/>
          <w:lang w:bidi="fa-IR"/>
        </w:rPr>
        <w:t>مي‌توان براي دفع ضرر از ديگري، عيبي را كه موجود است اظهار كرد</w:t>
      </w:r>
      <w:r>
        <w:rPr>
          <w:rFonts w:eastAsia="IRNazanin" w:cs="IRNazanin"/>
          <w:color w:val="111111"/>
          <w:sz w:val="28"/>
          <w:szCs w:val="28"/>
          <w:rtl w:val="true"/>
          <w:lang w:bidi="fa-IR"/>
        </w:rPr>
        <w:t>.</w:t>
      </w:r>
    </w:p>
    <w:p>
      <w:pPr>
        <w:pStyle w:val="Heading4"/>
        <w:numPr>
          <w:ilvl w:val="3"/>
          <w:numId w:val="1"/>
        </w:numPr>
        <w:rPr/>
      </w:pPr>
      <w:bookmarkStart w:id="561" w:name="__RefHeading___Toc2770605_3804643083"/>
      <w:bookmarkStart w:id="562" w:name="_Toc213"/>
      <w:bookmarkEnd w:id="561"/>
      <w:r>
        <w:rPr/>
        <w:t>9</w:t>
      </w:r>
      <w:r>
        <w:rPr>
          <w:rtl w:val="true"/>
        </w:rPr>
        <w:t xml:space="preserve">. </w:t>
      </w:r>
      <w:r>
        <w:rPr>
          <w:rtl w:val="true"/>
        </w:rPr>
        <w:t>ذكر عيبي كه صفت مميّزه‌ي شخص باشد به نحوي كه بدون آن شناخته نمي‌شود</w:t>
      </w:r>
      <w:bookmarkEnd w:id="562"/>
    </w:p>
    <w:p>
      <w:pPr>
        <w:pStyle w:val="Heading5"/>
        <w:numPr>
          <w:ilvl w:val="4"/>
          <w:numId w:val="1"/>
        </w:numPr>
        <w:rPr/>
      </w:pPr>
      <w:bookmarkStart w:id="563" w:name="__RefHeading___Toc2770607_3804643083"/>
      <w:bookmarkStart w:id="564" w:name="_Toc214"/>
      <w:bookmarkEnd w:id="563"/>
      <w:r>
        <w:rPr>
          <w:rtl w:val="true"/>
        </w:rPr>
        <w:t>اشاره</w:t>
      </w:r>
      <w:bookmarkEnd w:id="564"/>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يكي ديگر از مواردي كه مرحوم شيخ از باب تزاحم از حرمت</w:t>
      </w:r>
      <w:bookmarkStart w:id="565" w:name="pg2359_23554"/>
    </w:p>
    <w:p>
      <w:pPr>
        <w:pStyle w:val="BookText"/>
        <w:rPr/>
      </w:pPr>
      <w:bookmarkEnd w:id="565"/>
      <w:r>
        <w:rPr>
          <w:rFonts w:ascii="Amiri" w:hAnsi="Amiri" w:eastAsia="Amiri" w:cs="Amiri"/>
          <w:color w:val="111111"/>
          <w:sz w:val="28"/>
          <w:sz w:val="28"/>
          <w:szCs w:val="28"/>
          <w:rtl w:val="true"/>
          <w:lang w:bidi="ar-SA"/>
        </w:rPr>
        <w:t>غيبت خارج مي‌كند، غيبت به ذكر عيب كسي است كه آن عيب به منزله‌ي صفت مميّزه‌ي او شده و بدون آن شناخته نمي‌شود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صفت أعرج</w:t>
      </w:r>
      <w:r>
        <w:rPr>
          <w:rStyle w:val="FootnoteAnchor"/>
          <w:rtl w:val="true"/>
        </w:rPr>
        <w:footnoteReference w:id="395"/>
      </w:r>
      <w:r>
        <w:rPr>
          <w:rFonts w:ascii="IRNazanin" w:hAnsi="IRNazanin" w:eastAsia="IRNazanin"/>
          <w:color w:val="111111"/>
          <w:sz w:val="28"/>
          <w:sz w:val="28"/>
          <w:szCs w:val="28"/>
          <w:rtl w:val="true"/>
          <w:lang w:bidi="fa-IR"/>
        </w:rPr>
        <w:t>، أشتر</w:t>
      </w:r>
      <w:r>
        <w:rPr>
          <w:rStyle w:val="FootnoteAnchor"/>
          <w:rtl w:val="true"/>
        </w:rPr>
        <w:footnoteReference w:id="396"/>
      </w:r>
      <w:r>
        <w:rPr>
          <w:rFonts w:ascii="IRNazanin" w:hAnsi="IRNazanin" w:eastAsia="IRNazanin"/>
          <w:color w:val="111111"/>
          <w:sz w:val="28"/>
          <w:sz w:val="28"/>
          <w:szCs w:val="28"/>
          <w:rtl w:val="true"/>
          <w:lang w:bidi="fa-IR"/>
        </w:rPr>
        <w:t>، أحول</w:t>
      </w:r>
      <w:r>
        <w:rPr>
          <w:rStyle w:val="FootnoteAnchor"/>
          <w:rtl w:val="true"/>
        </w:rPr>
        <w:footnoteReference w:id="397"/>
      </w:r>
      <w:r>
        <w:rPr>
          <w:rFonts w:ascii="IRNazanin" w:hAnsi="IRNazanin" w:eastAsia="IRNazanin"/>
          <w:color w:val="111111"/>
          <w:sz w:val="28"/>
          <w:sz w:val="28"/>
          <w:szCs w:val="28"/>
          <w:rtl w:val="true"/>
          <w:lang w:bidi="fa-IR"/>
        </w:rPr>
        <w:t>، أعور</w:t>
      </w:r>
      <w:r>
        <w:rPr>
          <w:rStyle w:val="FootnoteAnchor"/>
          <w:rtl w:val="true"/>
        </w:rPr>
        <w:footnoteReference w:id="39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Heading5"/>
        <w:numPr>
          <w:ilvl w:val="4"/>
          <w:numId w:val="1"/>
        </w:numPr>
        <w:rPr/>
      </w:pPr>
      <w:bookmarkStart w:id="566" w:name="__RefHeading___Toc2770609_3804643083"/>
      <w:bookmarkStart w:id="567" w:name="_Toc215"/>
      <w:bookmarkEnd w:id="566"/>
      <w:r>
        <w:rPr>
          <w:rtl w:val="true"/>
        </w:rPr>
        <w:t>دليل مرحوم شيخ</w:t>
      </w:r>
      <w:r>
        <w:rPr>
          <w:rtl w:val="true"/>
        </w:rPr>
        <w:t xml:space="preserve">- </w:t>
      </w:r>
      <w:r>
        <w:rPr>
          <w:rtl w:val="true"/>
        </w:rPr>
        <w:t xml:space="preserve">قدس سره </w:t>
      </w:r>
      <w:r>
        <w:rPr>
          <w:rtl w:val="true"/>
        </w:rPr>
        <w:t xml:space="preserve">- </w:t>
      </w:r>
      <w:r>
        <w:rPr>
          <w:rtl w:val="true"/>
        </w:rPr>
        <w:t>بر جواز غيبت به عيب مميّزه</w:t>
      </w:r>
      <w:bookmarkEnd w:id="567"/>
    </w:p>
    <w:p>
      <w:pPr>
        <w:pStyle w:val="BookText"/>
        <w:rPr/>
      </w:pPr>
      <w:r>
        <w:rPr>
          <w:rFonts w:ascii="IRNazanin" w:hAnsi="IRNazanin" w:eastAsia="IRNazanin"/>
          <w:color w:val="111111"/>
          <w:sz w:val="28"/>
          <w:sz w:val="28"/>
          <w:szCs w:val="28"/>
          <w:rtl w:val="true"/>
          <w:lang w:bidi="fa-IR"/>
        </w:rPr>
        <w:t xml:space="preserve">دليل مرحوم شيخ بر جواز چنين غيبتي، علاوه بر باب تزاحم و أهمّيت ملاك شناسايي آن فرد ـ كه تنها راه شناخت او ذكر اين عيب است ـ تمسّك به روايتي است كه در آن، صفت حولاء از سوي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معرفي استعمال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روايت اين‌چنين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حسين بن زيد الهاشمي</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مُحَمَّدٍ عَنْ عَبْدِ الرَّحْمَنِ بْنِ أَبِي نَجْرَانَ عَنْ صَفْوَانَ عَنْ خَلَفِ بْنِ حَمَّادٍ عَنِ الْحُسَيْنِ بْنِ زَيْدٍ الْهَاشِمِيِّ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جَاءَتْ زَيْنَبُ الْعَطَّارَةُ الْحَوْلَاءُ إِلَى نِسَاءِ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بَنَاتِهِ وَ كَانَتْ تَبِيعُ مِنْهُنَّ الْعِطْرَ فَجَاءَ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عِنْدَهُنَّ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إِذَا بِعْتِ فَأَحْسِنِي وَ لَا تَغُشِّي فَإِنَّهُ أَتْقَى وَ أَبْقَى لِلْمَالِ الْحَدِيثَ</w:t>
      </w:r>
      <w:r>
        <w:rPr>
          <w:rFonts w:eastAsia="Amiri" w:cs="Amiri" w:ascii="Amiri" w:hAnsi="Amiri"/>
          <w:color w:val="111111"/>
          <w:sz w:val="28"/>
          <w:szCs w:val="28"/>
          <w:rtl w:val="true"/>
          <w:lang w:bidi="ar-SA"/>
        </w:rPr>
        <w:t>»</w:t>
      </w:r>
      <w:r>
        <w:rPr>
          <w:rStyle w:val="FootnoteAnchor"/>
          <w:rtl w:val="true"/>
        </w:rPr>
        <w:footnoteReference w:id="399"/>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زينب عطّاره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عطر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همسران و دختران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به آنان عطر مي‌فروخت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نبي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تشريف آوردند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تو نزد ما مي‌آيي خانه‌هاي ما معطّر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هم در جواب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خانه‌هاي شما به عطر وجود شما خوش‌بوتر است اي رسول خدا</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rtl w:val="true"/>
          <w:lang w:bidi="fa-IR"/>
        </w:rPr>
        <w:t>در صحيحه‌اي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روزي حضرت در كوچه‌هاي مدينه ـ كه معمولاً تنگ است ـ با اصحاب در حال گذر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سياه پوستي در كوچه مشغول جمع كردن سرگين حيوانات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برو تا حضرت و اصحاب عبور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با تكبّر خاصّي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وسيع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ناراحت شدند و مي‌خواستند متعرض او شوند كه حضرت مانع شدند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دعوها فإنها متجبّرة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متكبّري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روايت مي‌فرمايند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الكبر قد يكون في شرار الناس من كل جنس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كبر گاهي در شرار مردم از هر جنسي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زمان كه زن ارزشي نداشت، آن‌هم زن سياه پوستي كه شغلش جمع كردن سرگين بود، در مقابل 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اين‌طور بي‌ادبانه و با تكبّر برخورد مي‌كند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w:t>
      </w:r>
      <w:bookmarkStart w:id="568" w:name="pg2359_23556"/>
    </w:p>
    <w:p>
      <w:pPr>
        <w:pStyle w:val="BookText"/>
        <w:rPr/>
      </w:pPr>
      <w:bookmarkEnd w:id="568"/>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چيزي مي‌فروشي پس خوب معامله كن و در معامله غش نكن كه تقواي اين بيشتر و براي مالت پايدارتر است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مرحوم شيخ در استدلال به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استعمال صفت حولاء توسط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 اين زن، استفاده مي‌شود اگر چنين صفتي، صفت مميّزه باشد گفتنش اشكالي ندارد</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69" w:name="__RefHeading___Toc2770611_3804643083"/>
      <w:bookmarkStart w:id="570" w:name="_Toc216"/>
      <w:bookmarkEnd w:id="569"/>
      <w:r>
        <w:rPr>
          <w:rtl w:val="true"/>
        </w:rPr>
        <w:t>نقد كلام مرحوم شيخ</w:t>
      </w:r>
      <w:r>
        <w:rPr>
          <w:rtl w:val="true"/>
        </w:rPr>
        <w:t xml:space="preserve">- </w:t>
      </w:r>
      <w:r>
        <w:rPr>
          <w:rtl w:val="true"/>
        </w:rPr>
        <w:t xml:space="preserve">قدس سره </w:t>
      </w:r>
      <w:r>
        <w:rPr>
          <w:rtl w:val="true"/>
        </w:rPr>
        <w:t>-</w:t>
      </w:r>
      <w:bookmarkEnd w:id="57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مرحوم شيخ جوازِ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صفاتي را از باب تزاحم اثبات كردند، مي‌گوييم چه تزاحمي در اين‌جا وجود دارد؟</w:t>
      </w:r>
      <w:r>
        <w:rPr>
          <w:rFonts w:eastAsia="IRNazanin" w:cs="IRNazanin"/>
          <w:color w:val="111111"/>
          <w:sz w:val="28"/>
          <w:szCs w:val="28"/>
          <w:rtl w:val="true"/>
          <w:lang w:bidi="fa-IR"/>
        </w:rPr>
        <w:t>!</w:t>
      </w:r>
      <w:r>
        <w:rPr>
          <w:rStyle w:val="FootnoteAnchor"/>
          <w:rtl w:val="true"/>
        </w:rPr>
        <w:footnoteReference w:id="402"/>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اين‌كه تنها طريق معرفت او ذكر اين صفت باشد، مگر معرفت او واجب است تا در صورت أهمّيت، ملاك وجوبش بر ملاك حرمت غيبت ترجيح داده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اميرخاني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مي‌توانستند فقط بفرمايند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زينب العطّارة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مشكلي پديد نمي‌آمد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كجاي روايت استفاده مي‌شود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صفت مميّزه‌ي خاصّه‌ي اوست؛ صفتي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تعرف إلا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bookmarkStart w:id="571" w:name="pg2359_23557"/>
    </w:p>
    <w:p>
      <w:pPr>
        <w:pStyle w:val="BookText"/>
        <w:rPr/>
      </w:pPr>
      <w:bookmarkEnd w:id="571"/>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زينب عطاره نزد مخاطبين حضرت كه اين روايت را براي آن‌ها نقل مي‌فرمودند، مجهول بوده كه چه كسي است و طايفه‌اش كدام است و از آن‌جايي كه غيبت از فرد مجهولي كه مخاطبين شناختي از او ندارند اشكالي ندارد، حضرت از همين باب، صفت حولاء را ذكر مي‌فرمايند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عيوبي مثل أحول، أعور، أعرج، أشتر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عيوبي نيست كه مخفي باشد تا گفتن آن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اصلاً تعريف غيبت بر ذكر چنين عيبي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خود مرحوم شيخ هم در آخر بحث متذّكر اين مطلب مي‌شود</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اين روايت مطابقتي با مدّعاي مرحوم شيخ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از آن‌جايي كه ذكر چنين عيوبي در كلمات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كلمات ديگران در حضور معصومين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 مي‌توان از روايات استفاده كرد كه في‌الجمله اشكالي ندارد</w:t>
      </w:r>
      <w:r>
        <w:rPr>
          <w:rFonts w:eastAsia="IRNazanin" w:cs="IRNazanin"/>
          <w:color w:val="111111"/>
          <w:sz w:val="28"/>
          <w:szCs w:val="28"/>
          <w:rtl w:val="true"/>
          <w:lang w:bidi="fa-IR"/>
        </w:rPr>
        <w:t>.</w:t>
      </w:r>
    </w:p>
    <w:p>
      <w:pPr>
        <w:pStyle w:val="Heading5"/>
        <w:numPr>
          <w:ilvl w:val="4"/>
          <w:numId w:val="1"/>
        </w:numPr>
        <w:rPr/>
      </w:pPr>
      <w:bookmarkStart w:id="572" w:name="__RefHeading___Toc2770613_3804643083"/>
      <w:bookmarkStart w:id="573" w:name="_Toc217"/>
      <w:bookmarkEnd w:id="572"/>
      <w:r>
        <w:rPr>
          <w:rtl w:val="true"/>
        </w:rPr>
        <w:t>تفصيل در موارد جواز ذكر عيوبي مثل حولاء، اعور و</w:t>
      </w:r>
      <w:r>
        <w:rPr>
          <w:rtl w:val="true"/>
        </w:rPr>
        <w:t>...</w:t>
      </w:r>
      <w:bookmarkEnd w:id="573"/>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اين مطلب لازم است كه موارد ذكر عيب، بر اساس تفاوت محيط، افراد و شرايط فرق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قديم گفتن چنين صفاتي مرسوم بوده و شايد بتوان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و تنقيص نبوده و در نتيجه موجب ناراحتي كسي نمي‌شد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زمان ما با</w:t>
      </w:r>
      <w:bookmarkStart w:id="574" w:name="pg2359_23558"/>
    </w:p>
    <w:p>
      <w:pPr>
        <w:pStyle w:val="BookText"/>
        <w:rPr/>
      </w:pPr>
      <w:bookmarkEnd w:id="574"/>
      <w:r>
        <w:rPr>
          <w:rFonts w:ascii="IRNazanin" w:hAnsi="IRNazanin" w:eastAsia="IRNazanin"/>
          <w:color w:val="111111"/>
          <w:sz w:val="28"/>
          <w:sz w:val="28"/>
          <w:szCs w:val="28"/>
          <w:rtl w:val="true"/>
          <w:lang w:bidi="fa-IR"/>
        </w:rPr>
        <w:t xml:space="preserve">خصوصياتي كه وجود دارد، مخصوصاً نسبت به بعضي افراد چنين تعابيري 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الخصوص اگر با لحن خاصّي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تنقيص و مذمّت مؤمن باشد كه در اين صورت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طوري باشد كه تنقيص او محسوب نشود امّا آن شخص از شنيدن چنين صفاتي كراهت داشته باشد، چنان‌چه در غياب او گفته شود و اين كلام به او نرسد كه موجب تأذّي او شود نمي‌توانيم بگوييم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نه تنقيص صادق است و نه ايذاء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بشنود و متأذّي شود بعيد نيست در اين صورت ملتزم به حرمت آن از باب ايذاء مؤمن شويم؛ زيرا پذيرش قول به شمول اطلاقات حرمت ايذاء مؤمن براي اين موارد، مشكل است</w:t>
      </w:r>
      <w:r>
        <w:rPr>
          <w:rFonts w:eastAsia="IRNazanin" w:cs="IRNazanin"/>
          <w:color w:val="111111"/>
          <w:sz w:val="28"/>
          <w:szCs w:val="28"/>
          <w:rtl w:val="true"/>
          <w:lang w:bidi="fa-IR"/>
        </w:rPr>
        <w:t>.</w:t>
      </w:r>
    </w:p>
    <w:p>
      <w:pPr>
        <w:pStyle w:val="Heading4"/>
        <w:numPr>
          <w:ilvl w:val="3"/>
          <w:numId w:val="1"/>
        </w:numPr>
        <w:rPr/>
      </w:pPr>
      <w:bookmarkStart w:id="575" w:name="__RefHeading___Toc2770615_3804643083"/>
      <w:bookmarkStart w:id="576" w:name="_Toc218"/>
      <w:bookmarkEnd w:id="575"/>
      <w:r>
        <w:rPr/>
        <w:t>10</w:t>
      </w:r>
      <w:r>
        <w:rPr>
          <w:rtl w:val="true"/>
        </w:rPr>
        <w:t xml:space="preserve">. </w:t>
      </w:r>
      <w:r>
        <w:rPr>
          <w:rtl w:val="true"/>
        </w:rPr>
        <w:t>غيبت نزد كسي كه به دليل اطلاع از عيب، شنيدنش تأثيري در او نداشته باشد</w:t>
      </w:r>
      <w:bookmarkEnd w:id="576"/>
    </w:p>
    <w:p>
      <w:pPr>
        <w:pStyle w:val="BookText"/>
        <w:rPr/>
      </w:pPr>
      <w:r>
        <w:rPr>
          <w:rFonts w:ascii="IRNazanin" w:hAnsi="IRNazanin" w:eastAsia="IRNazanin"/>
          <w:color w:val="111111"/>
          <w:sz w:val="28"/>
          <w:sz w:val="28"/>
          <w:szCs w:val="28"/>
          <w:rtl w:val="true"/>
          <w:lang w:bidi="fa-IR"/>
        </w:rPr>
        <w:t>يكي ديگر از موارد استثنا ـ كه مرحوم شيخ مي‌فرمايد 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بعضي نقل مي‌كند ـ غيبت نزد كسي يا كساني است كه مطّلع از عيب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Style w:val="FootnoteAnchor"/>
          <w:rtl w:val="true"/>
        </w:rPr>
        <w:footnoteReference w:id="404"/>
      </w:r>
    </w:p>
    <w:p>
      <w:pPr>
        <w:pStyle w:val="BookText"/>
        <w:rPr/>
      </w:pPr>
      <w:r>
        <w:rPr>
          <w:rFonts w:ascii="Amiri" w:hAnsi="Amiri" w:eastAsia="Amiri" w:cs="Amiri"/>
          <w:color w:val="111111"/>
          <w:sz w:val="28"/>
          <w:sz w:val="28"/>
          <w:szCs w:val="28"/>
          <w:rtl w:val="true"/>
          <w:lang w:bidi="ar-SA"/>
        </w:rPr>
        <w:t>البته اين‌كه مرحوم شيخ فرموده دو نفر، خصوصيتي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به چشم خود ديده‌اند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مورد هم روشن است كه به عنوان غيبت حرام نيست؛ زيرا اصلاً تعريف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عنوان محرّم ديگري بر آن مترتّب نباشد،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w:t>
      </w:r>
      <w:bookmarkStart w:id="577" w:name="pg2359_23559"/>
    </w:p>
    <w:p>
      <w:pPr>
        <w:pStyle w:val="BookText"/>
        <w:rPr/>
      </w:pPr>
      <w:bookmarkEnd w:id="577"/>
      <w:r>
        <w:rPr>
          <w:rFonts w:ascii="Amiri" w:hAnsi="Amiri" w:eastAsia="Amiri" w:cs="Amiri"/>
          <w:color w:val="111111"/>
          <w:sz w:val="28"/>
          <w:sz w:val="28"/>
          <w:szCs w:val="28"/>
          <w:rtl w:val="true"/>
          <w:lang w:bidi="ar-SA"/>
        </w:rPr>
        <w:t>مرحوم شيخ هم به اين مطلب اذعان مي‌كند</w:t>
      </w:r>
      <w:r>
        <w:rPr>
          <w:rStyle w:val="FootnoteAnchor"/>
          <w:rtl w:val="true"/>
        </w:rPr>
        <w:footnoteReference w:id="405"/>
      </w:r>
      <w:r>
        <w:rPr>
          <w:rFonts w:ascii="IRNazanin" w:hAnsi="IRNazanin" w:eastAsia="IRNazanin"/>
          <w:color w:val="111111"/>
          <w:sz w:val="28"/>
          <w:sz w:val="28"/>
          <w:szCs w:val="28"/>
          <w:rtl w:val="true"/>
          <w:lang w:bidi="fa-IR"/>
        </w:rPr>
        <w:t xml:space="preserve">، ولي بهتر بود اين مورد را جزء مواردي ذكر مي‌فرمود كه تخصّصاً از موضوع غيبت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از باب تزاحم كه هيچ وجهي براي آن نيست</w:t>
      </w:r>
      <w:r>
        <w:rPr>
          <w:rFonts w:eastAsia="IRNazanin" w:cs="IRNazanin"/>
          <w:color w:val="111111"/>
          <w:sz w:val="28"/>
          <w:szCs w:val="28"/>
          <w:rtl w:val="true"/>
          <w:lang w:bidi="fa-IR"/>
        </w:rPr>
        <w:t>].</w:t>
      </w:r>
    </w:p>
    <w:p>
      <w:pPr>
        <w:pStyle w:val="Heading4"/>
        <w:numPr>
          <w:ilvl w:val="3"/>
          <w:numId w:val="1"/>
        </w:numPr>
        <w:rPr/>
      </w:pPr>
      <w:bookmarkStart w:id="578" w:name="__RefHeading___Toc2770617_3804643083"/>
      <w:bookmarkStart w:id="579" w:name="_Toc219"/>
      <w:bookmarkEnd w:id="578"/>
      <w:r>
        <w:rPr/>
        <w:t>11</w:t>
      </w:r>
      <w:r>
        <w:rPr>
          <w:rtl w:val="true"/>
        </w:rPr>
        <w:t xml:space="preserve">. </w:t>
      </w:r>
      <w:r>
        <w:rPr>
          <w:rtl w:val="true"/>
        </w:rPr>
        <w:t>غيبت براي ردّ ادّعاي نسبت دروغين</w:t>
      </w:r>
      <w:bookmarkEnd w:id="579"/>
    </w:p>
    <w:p>
      <w:pPr>
        <w:pStyle w:val="Heading5"/>
        <w:numPr>
          <w:ilvl w:val="4"/>
          <w:numId w:val="1"/>
        </w:numPr>
        <w:rPr/>
      </w:pPr>
      <w:bookmarkStart w:id="580" w:name="__RefHeading___Toc2770619_3804643083"/>
      <w:bookmarkStart w:id="581" w:name="_Toc220"/>
      <w:bookmarkEnd w:id="580"/>
      <w:r>
        <w:rPr>
          <w:rtl w:val="true"/>
        </w:rPr>
        <w:t>اشاره</w:t>
      </w:r>
      <w:bookmarkEnd w:id="581"/>
    </w:p>
    <w:p>
      <w:pPr>
        <w:pStyle w:val="BookText"/>
        <w:rPr/>
      </w:pPr>
      <w:r>
        <w:rPr>
          <w:rFonts w:ascii="IRNazanin" w:hAnsi="IRNazanin" w:eastAsia="IRNazanin"/>
          <w:color w:val="111111"/>
          <w:sz w:val="28"/>
          <w:sz w:val="28"/>
          <w:szCs w:val="28"/>
          <w:rtl w:val="true"/>
          <w:lang w:bidi="fa-IR"/>
        </w:rPr>
        <w:t>يكي ديگر از مستثنياتي كه مرحوم شيخ ذكر مي‌فرمايد، غيبت در مقام ردّ كسي است كه به دروغ، ادّعاي نسبت مي‌كند؛ مثلاً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رستم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دليل مرحوم شيخ همان تزاحم است؛ چون مصلحت حفظ أنساب، اولي و أهمّ از مراعات حرمت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582" w:name="__RefHeading___Toc2770621_3804643083"/>
      <w:bookmarkStart w:id="583" w:name="_Toc221"/>
      <w:bookmarkEnd w:id="582"/>
      <w:r>
        <w:rPr>
          <w:rtl w:val="true"/>
        </w:rPr>
        <w:t>كلام سيّد خويي</w:t>
      </w:r>
      <w:r>
        <w:rPr>
          <w:rtl w:val="true"/>
        </w:rPr>
        <w:t xml:space="preserve">- </w:t>
      </w:r>
      <w:r>
        <w:rPr>
          <w:rtl w:val="true"/>
        </w:rPr>
        <w:t xml:space="preserve">قدس سره </w:t>
      </w:r>
      <w:r>
        <w:rPr>
          <w:rtl w:val="true"/>
        </w:rPr>
        <w:t xml:space="preserve">- </w:t>
      </w:r>
      <w:r>
        <w:rPr>
          <w:rtl w:val="true"/>
        </w:rPr>
        <w:t>مبني بر جواز غيبتِ مدّعي نسَب، در صورت ترتّب أثر شرعي</w:t>
      </w:r>
      <w:bookmarkEnd w:id="583"/>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غيبت در مقام ردّ كسي كه ادّعاي نسبت غير واقعي مي‌كند، در صورتي است كه اثر شرعي بر ادّعاي او مترتّب شود؛ مثلاً با اين ادّعا بخواهد ارث ببرد يا بر كسي مَحرم شود و </w:t>
      </w:r>
      <w:r>
        <w:rPr>
          <w:rFonts w:eastAsia="Amiri" w:cs="Amiri" w:ascii="Amiri" w:hAnsi="Amiri"/>
          <w:color w:val="111111"/>
          <w:sz w:val="28"/>
          <w:szCs w:val="28"/>
          <w:rtl w:val="true"/>
          <w:lang w:bidi="ar-SA"/>
        </w:rPr>
        <w:t>...</w:t>
      </w:r>
      <w:r>
        <w:rPr>
          <w:rStyle w:val="FootnoteAnchor"/>
          <w:rtl w:val="true"/>
        </w:rPr>
        <w:footnoteReference w:id="40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هيچ أثر شرعي بر آن مترتّب نشود، مثل كسي</w:t>
      </w:r>
    </w:p>
    <w:p>
      <w:pPr>
        <w:pStyle w:val="BookText"/>
        <w:rPr/>
      </w:pPr>
      <w:r>
        <w:rPr>
          <w:rFonts w:ascii="IRNazanin" w:hAnsi="IRNazanin" w:eastAsia="IRNazanin"/>
          <w:color w:val="111111"/>
          <w:sz w:val="28"/>
          <w:sz w:val="28"/>
          <w:szCs w:val="28"/>
          <w:rtl w:val="true"/>
          <w:lang w:bidi="fa-IR"/>
        </w:rPr>
        <w:t xml:space="preserve">كه ادّعا مي‌كند من فرزند رستم هستم، غيبت چنين شخصي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ردّ اين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كلام سيّد خويي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ظاهراً مقصود سيّد خويي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مواردي كه أثر شرعي بر آن مترتّب نيست، مصلحت ردّ اين نسبت غير واقع به اندازه‌ي ملاك حرمت غيبت نيست تا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چنين غيبتي جايز نيست، گرچه او مرتكب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فرمايش سيد خويي في‌الجمله، يعني در مواردي كه ادّعاي نسبت غير واقع هيچ أثري ندارد و حتّي اعتنايي به آن نمي‌شود، درست است، نظير مثالي كه زديم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ادّعا كند من فرزند رستم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ادّعايي در تاريخ رستم و اسفنديار تأثيري ندارد و اصلاً اعتنايي به آن نمي‌شود، بنابراين غيبت او هم جايز نيست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مواردي نظير اين‌كه كسي ادّعا كند مثلاً من فرزند ملّا قربان‌علي زنجاني ـ از علماي بزرگ دوره‌ي مشروطه كه همراه سيّد يزدي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مشروطه خواهان بود ـ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مثال گرچه آثاري كه سيّد خويي فرمود، مثل دريافت إرث و مَحرميّت، بر آن مترتّب نيست؛ چون ايشان فرزندي نداشته و فرضاً مالي هم از او باقي نمانده باشد تا به ارث برسد، ولي از آن‌جايي كه ملا قربان‌علي زنجاني قريب به زمان ماست به حدّي كه</w:t>
      </w:r>
    </w:p>
    <w:p>
      <w:pPr>
        <w:pStyle w:val="BookText"/>
        <w:rPr/>
      </w:pPr>
      <w:r>
        <w:rPr>
          <w:rFonts w:ascii="IRNazanin" w:hAnsi="IRNazanin" w:eastAsia="IRNazanin"/>
          <w:color w:val="111111"/>
          <w:sz w:val="28"/>
          <w:sz w:val="28"/>
          <w:szCs w:val="28"/>
          <w:rtl w:val="true"/>
          <w:lang w:bidi="fa-IR"/>
        </w:rPr>
        <w:t>مي‌توانيم اين مدّعي را منسوب به او كنيم و بگوييم نواده‌ي اوست، به نظر مي‌آيد در چنين موردي اين ادّعاي نسبت دروغين، علاوه بر حرمت كذب داراي عنوان حرمت ديگري نيز مي‌باشد كه اگر نگوييم ملاكش از ملاك حرمت غيبت أهم است مي‌توانيم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مبناي ما اطلاق ادلّه‌ي حرمت غيبت، چنين مواردي را شامل نمي‌شود؛ زيرا رواياتي وجود دارد كه دلالت مي‌كند ادّعاي نَسب دروغين ـ علاوه بر عنوان كذب ـ في‌نفسه حرام است</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 عَنْ عَلِيِّ بْنِ إِبْرَاهِيمَ عَنْ مُحَمَّدِ بْنِ عِيسَى عَنْ يُونُسَ عَنْ كُلَيْبٍ الْأَسَدِيِّ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وُجِدَ فِي ذُؤَابَةِ سَيْفِ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 لَعْنَةُ اللَّهِ وَ الْمَلَائِكَةِ عَلَى مَنْ أَحْدَثَ حَدَثاً أَوْ آوَى مُحْدِثاً وَ مَنِ ادَّعَى إِلَى غَيْرِ أَبِيهِ فَهُوَ كَافِرٌ بِمَا أَنْزَلَ اللَّهُ وَ مَنِ ادَّعَى إِلَى غَيْرِ مَوَالِيهِ فَعَلَيْهِ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كتاب القصاص، ابواب القصاص في النفس، باب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گرچه از لحاظ سند تمام نيست، ولي محفوف به قرائن صحت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اطلاق آيه‌ي شريفه‌اي كه در مورد أدعيا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جَعَلَ أَدْعِياءَكُمْ أَبْناءَكُم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دلالت مي‌كند محفوظ بودن نسب، امري مطلوب شارع است، هرچند اثر شرعي</w:t>
      </w:r>
    </w:p>
    <w:p>
      <w:pPr>
        <w:pStyle w:val="BookText"/>
        <w:rPr/>
      </w:pPr>
      <w:r>
        <w:rPr>
          <w:rFonts w:ascii="IRNazanin" w:hAnsi="IRNazanin" w:eastAsia="IRNazanin"/>
          <w:color w:val="111111"/>
          <w:sz w:val="28"/>
          <w:sz w:val="28"/>
          <w:szCs w:val="28"/>
          <w:rtl w:val="true"/>
          <w:lang w:bidi="fa-IR"/>
        </w:rPr>
        <w:t>ديگري بر آن مترتّب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در بعضي روايات، انتساب به غير موالي كه از نسبت پايين‌تر است مورد لعن قرار گرفته است</w:t>
      </w:r>
      <w:r>
        <w:rPr>
          <w:rStyle w:val="FootnoteAnchor"/>
          <w:rtl w:val="true"/>
        </w:rPr>
        <w:footnoteReference w:id="408"/>
      </w:r>
    </w:p>
    <w:p>
      <w:p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روايات ديگري هم چنين تعبيري آمده، ولي موالي بر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شده است؛ مثلاً در امالي شيخ 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جالبي در اين مورد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أَخْبَرَنَا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أَبُو بَكْرٍ مُحَمَّدُ بْنُ عُمَرَ الْجِعَابِيُّ،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الْعَبَّاسِ أَحْمَدُ بْنُ مُحَمَّدِ بْنِ سَعِيدٍ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مُوسَى بْنُ يُوسُفَ الْقَطَّانُ الْكُوفِيُّ،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سُلَيْمَانَ الْمُقْرِئُ الْكِنْدِيُّ، عَنْ عَبْدِ الصَّمَدِ بْنِ عَلِيٍّ النَّوْفَلِيِّ، عَنْ أَبِي إِسْحَاقَ السَّبِيعِيِّ، عَنِ الْأَصْبَغِ بْنِ نُبَاتَةَ السَّعْدِيِّ،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أَمِيرَ الْمُؤْمِنِينَ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غَدَوْنَا عَلَيْهِ نَفَرٌ مِنْ أَصْحَابِنَا، أَنَا وَ الْحَارِثُ وَ سُوَيْدُ بْنُ غَفَلَةَ وَ جَمَاعَةٌ مَعَنَا، فَقَعَدْنَا عَلَى الْبَابِ فَسَمِعْنَا الْبُكَاءَ فَبَكَيْنَا، فَخَرَجَ إِلَيْنَا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لَكُمْ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انْصَرِفُوا إِلَى مَنَازِلِكُمْ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فَانْصَرَفَ الْقَوْمُ غَيْرِي، فَاشْتَدَّ الْبُكَاءُ مِنْ مَنْزِلِهِ، فَبَكَيْتُ وَ خَرَجَ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لَمْ أَقُلْ لَكُمْ انْصَرِفُوا؟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يَا ابْنَ رَسُولِ اللَّهِ، مَا تُتَابِعُنِي نَفْسِي، وَ لَا تَحْمِلُنِي رِجْلِي أَنْ أَنْصَرِفَ حَتَّى أَرَى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بَكَيْتُ، فَدَخَلَ فَلَمْ يَلْبَثْ أَنْ خَرَجَ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فَدَخَلْتُ عَلَى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مُسْتَنِدٌ، مَعْصُوبُ الرَّأْسِ بِعِمَامَةٍ صَفْرَاءَ، قَدْ نَزَفَ وَ اصْفَرَّ وَجْهُهُ، مَا أَدْرِي وَجْهُهُ أَصْفَرُ أَمِ الْعِمَامَةُ، فَأَكْبَبْتُ عَلَيْهِ فَقَبَّلْتُهُ وَ بَكَيْتُ،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تَبْكِ يَا أَصْبَغُ، فَإِنَّهَا وَ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أَعْلَمُ وَ اللَّهِ أَنَّكَ تَصِيرُ إِلَى الْجَنَّةِ، وَ إِنَّمَا أَبْكِي لِفِقْدَانِي إِيَّاكَ، يَا أَمِيرَ الْمُؤْمِنِينَ، جُعِلْتُ فِدَاكَ، حَدِّثْنِي بِحَدِيثٍ سَمِعْتَهُ مِنْ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فَإِنِّي أَرَاكَ لَا أَسْمَعُ مِنْكَ حَدِيثاً بَعْدَ يَوْمِي هَذَا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يَا أَصْبَغُ، دَعَانِي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انْطَلِقْ حَتَّى تَأْتِيَ مَسْجِدِي، ثُمَّ تَصْعَدَ مِنْبَرِي، ثُمَّ تَدْعُوَ النَّاسَ إِلَيْكَ فَتَحْمَدَ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تُثْنِيَ عَلَيْهِ، وَ تُصَلِّيَ عَلَيَّ صَلَاةً كَثِيرَةً،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لَعْنَةَ اللَّهِ وَ لَعْنَةَ مَلَائِكَتِهِ الْمُقَرَّبِينَ وَ أَنْبِيَائِهِ الْمُرْسَلِينَ وَ 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فَأَتَيْتُ مَسْجِدَهُ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صَعِدْتُ مِنْبَرَهُ، فَلَمَّا رَأَتْنِي قُرَيْشٌ وَ مَنْ كَانَ فِي الْمَسْجِدِ أَقْبَلُوا نَحْوِي، فَحَمِدْتُ اللَّهَ وَ أَثْنَيْتُ عَلَيْهِ وَ صَلَّيْتُ عَلَى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كَثِيرَةً،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إِنِّي رَسُولُ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إِلَيْكُمْ، وَ هُوَ يَقُولُ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لَعْنَةَ اللَّهِ وَ لَعْنَةَ مَلَائِكَتِهِ الْمُقَرَّبِينَ وَ أَنْبِيَائِهِ الْمُرْسَلِينَ وَ لَعْنَتِي عَلَى مَنِ انْتَمَى إِلَى غَيْرِ أَبِيهِ، أَوِ ادَّعَى إِلَى غَيْرِ مَوَالِيهِ، أَوْ ظَلَمَ أَجِيراً أَجْرَهُ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يَتَكَلَّمْ أَحَدٌ مِنَ الْقَوْمِ إِلَّا عُمَرُ بْنُ الْخَطَّابِ، 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أَبَا الْحَسَنِ، وَ لَكِنَّكَ جِئْتَ بِكَلَامٍ غَيْرِ مُفَسَّرٍ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ذَلِكَ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فَرَجَعْتُ إِلَى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مَسْجِدِي حَتَّى تَصْعَدَ مِنْبَرِي فَاحْمَدِ اللَّهَ وَ أَثْنِ عَلَيْهِ، وَ صَلِّ عَلَيَّ،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كُنَّا لِنَجِيئَكُمْ بِشَيْ‌ءٍ إِلَّا وَ عِنْدَنَا تَأْوِيلُهُ وَ تَفْسِيرُهُ، أَلَا وَ إِنِّي أَنَا أَبُوكُمْ، أَلَا وَ إِنِّي أَنَا مَوْلَاكُمْ، أَلَا وَ إِنِّي أَنَا أَجِيرُكُمْ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اميرخاني</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حداقل احتمال</w:t>
      </w:r>
      <w:bookmarkStart w:id="584" w:name="pg2359_23563"/>
    </w:p>
    <w:p>
      <w:pPr>
        <w:pStyle w:val="BookText"/>
        <w:rPr/>
      </w:pPr>
      <w:bookmarkEnd w:id="584"/>
      <w:r>
        <w:rPr>
          <w:rFonts w:ascii="Amiri" w:hAnsi="Amiri" w:eastAsia="Amiri" w:cs="Amiri"/>
          <w:color w:val="111111"/>
          <w:sz w:val="28"/>
          <w:sz w:val="28"/>
          <w:szCs w:val="28"/>
          <w:rtl w:val="true"/>
          <w:lang w:bidi="ar-SA"/>
        </w:rPr>
        <w:t>أهمّيت ملاك حفظ نسب بر ملاك حرمت غيبت از اين آيه‌ي شريفه و روايات استفاده مي‌شود، لذا در مقام تزاحم مقدّم مي‌شود و حرمتي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بنابر مبناي مختار كه گفتيم ادلّه‌ي حرمت غيبت اطلاق ندارد، شامل چنين مواردي نمي‌شود، پس جواز غيبت روشن است</w:t>
      </w:r>
      <w:r>
        <w:rPr>
          <w:rFonts w:eastAsia="IRNazanin" w:cs="IRNazanin"/>
          <w:color w:val="111111"/>
          <w:sz w:val="28"/>
          <w:szCs w:val="28"/>
          <w:rtl w:val="true"/>
          <w:lang w:bidi="fa-IR"/>
        </w:rPr>
        <w:t>.</w:t>
      </w:r>
    </w:p>
    <w:p>
      <w:pPr>
        <w:pStyle w:val="Heading4"/>
        <w:numPr>
          <w:ilvl w:val="3"/>
          <w:numId w:val="1"/>
        </w:numPr>
        <w:rPr/>
      </w:pPr>
      <w:bookmarkStart w:id="585" w:name="__RefHeading___Toc2770623_3804643083"/>
      <w:bookmarkStart w:id="586" w:name="_Toc222"/>
      <w:bookmarkEnd w:id="585"/>
      <w:r>
        <w:rPr/>
        <w:t>12</w:t>
      </w:r>
      <w:r>
        <w:rPr>
          <w:rtl w:val="true"/>
        </w:rPr>
        <w:t xml:space="preserve">. </w:t>
      </w:r>
      <w:r>
        <w:rPr>
          <w:rtl w:val="true"/>
        </w:rPr>
        <w:t>قدح در مطالب باطلِ كسي كه بالملازمه دالّ بر نقصان اوست</w:t>
      </w:r>
      <w:bookmarkEnd w:id="586"/>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آخرين موردي كه مرحوم شيخ از مستثنيات غيبت ذكر مي‌فرمايد، اين است كه در مقام قدحِ مطالب باطل كسي تنقيص او لازم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غيبت به جهت قدح مطالب باطل، بنابر قاعده‌ي</w:t>
      </w:r>
    </w:p>
    <w:p>
      <w:pPr>
        <w:pStyle w:val="BookText"/>
        <w:rPr/>
      </w:pPr>
      <w:r>
        <w:rPr>
          <w:rFonts w:ascii="Amiri" w:hAnsi="Amiri" w:eastAsia="Amiri" w:cs="Amiri"/>
          <w:color w:val="111111"/>
          <w:sz w:val="28"/>
          <w:sz w:val="28"/>
          <w:szCs w:val="28"/>
          <w:rtl w:val="true"/>
          <w:lang w:bidi="ar-SA"/>
        </w:rPr>
        <w:t>تزاحم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براي قدح در مطالب باطل كسي لازم باشد آن مطالب را نقد و بررسي كرده كه با اين نقد مشخّص شود سطح علمي قائل پايين است؛ مثلاً فاعل را نصب و مفعول را جر داده و به همين خاطر غلط معنا كرده، گفتن اين مطالب در مقام نقد كشف مي‌كند كه حتّي نحو هم بلد نيست و تنقيص او مي‌شود به نحوي كه اگر اين نقد انجام نمي‌گرفت ديگران متوجّه نمي‌شدند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حفظ حق و اضاعه‌ي باطل، متوقّف بر اين نقد و بالملازمه تنقيص او باشد، چون ملاك حفظ حق و اضاعه‌ي باطل أقوي و أهمّ از ملاك حرمت غيبت است مقدّم مي‌شود و چنين غيبتي جايز است</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بررسي كلام 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غيبتي از باب تزاحم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بگوييم جواز غيبت براي مواردي است كه چنين نقضي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قدحي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و إلا امر مباح نمي‌تواند با حرام مزاحمت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بگوييم اگر كلام باطلِ او مشتمل بر بدعت يا قول كذب نسبت به خداوند متعال و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ائمه‌ي أطهار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نقض آن واجب است و در نتيجه در مقام تزاحم هم مقدّم مي‌شود، امّا اگر نقض مطالب باطل او واجب نباشد نمي‌تواند</w:t>
      </w:r>
    </w:p>
    <w:p>
      <w:pPr>
        <w:pStyle w:val="BookText"/>
        <w:rPr/>
      </w:pPr>
      <w:r>
        <w:rPr>
          <w:rFonts w:ascii="IRNazanin" w:hAnsi="IRNazanin" w:eastAsia="IRNazanin"/>
          <w:color w:val="111111"/>
          <w:sz w:val="28"/>
          <w:sz w:val="28"/>
          <w:szCs w:val="28"/>
          <w:rtl w:val="true"/>
          <w:lang w:bidi="fa-IR"/>
        </w:rPr>
        <w:t>در مقام تزاحم مقدّم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طبق مبناي مختار، بعيد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كه شخصي براي ابانه‌ي حق ـ كه مردم به آن نياز دارند و اگر ابانه نشود چه بسا فردي در مخمصه‌اي بيافتد و حتّي براي جلوگيري از حضور فكر غلط در اذهان مردم ـ لازم باشد آن مطالب را نقد كند كه در نتيجه تنقيص صاحب آن لازم آيد، اطلاقات ادلّه‌ي حرمت غيبت شامل آن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غيبت شخصي باشد كه تنقيص او تحت عناوين ديگري حرمت مضاعف داشته باشد، نمي‌توانيم بگوييم جايز است</w:t>
      </w:r>
      <w:r>
        <w:rPr>
          <w:rStyle w:val="FootnoteAnchor"/>
          <w:rtl w:val="true"/>
        </w:rPr>
        <w:footnoteReference w:id="4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إلا اگر عناوين محرّم ديگري بر آن صدق نكند و صرف مسأله‌ي غيبت باشد كه بالملازمه از نقض مطالبش نقصان او استفاده شود، اين مقدار غيبت اشكالي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هميشه ندانستن، ملازم با نقص نيست به نحوي كه بيان آن مصداق غيبت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ندانستن، در مورد شخصي باشد كه شايسته بود بداند و ندانستنش از روي تقصير باشد، گفتن آن مصداق غيبت است، ولي طبق مبناي ما ادلّه‌ي حرمت غيبت شامل چنين موردي هم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كلام شيخ در جواز چنين غيبتي درست است، امّا استدلال ايشان با استدلال ما متفاوت است</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عدم جواز تنقيص علما از ديدگاه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بعضي اعاظم نسبت به ديگران صادر شده كه مثلاً فرمود‌ه‌اند ايشان صلاحيت اظهار نظر در اين مورد را نداشته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وجهي براي جواز چنين غيبتي شناخته نمي‌شود</w:t>
      </w:r>
      <w:r>
        <w:rPr>
          <w:rFonts w:eastAsia="IRNazanin" w:cs="IRNazanin"/>
          <w:color w:val="111111"/>
          <w:sz w:val="28"/>
          <w:szCs w:val="28"/>
          <w:rtl w:val="true"/>
          <w:lang w:bidi="fa-IR"/>
        </w:rPr>
        <w:t>!</w:t>
      </w:r>
      <w:r>
        <w:rPr>
          <w:rStyle w:val="FootnoteAnchor"/>
          <w:rtl w:val="true"/>
        </w:rPr>
        <w:footnoteReference w:id="411"/>
      </w:r>
      <w:r>
        <w:rPr>
          <w:rFonts w:ascii="IRNazanin" w:hAnsi="IRNazanin" w:eastAsia="IRNazanin"/>
          <w:color w:val="111111"/>
          <w:sz w:val="28"/>
          <w:sz w:val="28"/>
          <w:szCs w:val="28"/>
          <w:rtl w:val="true"/>
          <w:lang w:bidi="fa-IR"/>
        </w:rPr>
        <w:t>زيرا تنها طريق براي ابانه‌ي حق و اضاعه‌ي باطل نيست و گفتيم چنين سخناني در صورتي جايز است كه غيبت، تنها طريق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وجهي براي جواز</w:t>
      </w:r>
    </w:p>
    <w:p>
      <w:pPr>
        <w:pStyle w:val="BookText"/>
        <w:rPr/>
      </w:pPr>
      <w:r>
        <w:rPr>
          <w:rFonts w:ascii="IRNazanin" w:hAnsi="IRNazanin" w:eastAsia="IRNazanin"/>
          <w:color w:val="111111"/>
          <w:sz w:val="28"/>
          <w:sz w:val="28"/>
          <w:szCs w:val="28"/>
          <w:rtl w:val="true"/>
          <w:lang w:bidi="fa-IR"/>
        </w:rPr>
        <w:t>البته توجيه كلام اعاظم و حمل آن بر صحّت، اين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كلامي مي‌خواستند بگويند عظمت قائل چنين كلامي موجب نشود كه افرادي تسليم حرف باطل و غلط 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مرحوم شيخ هم در موردي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من لاخبرة له</w:t>
      </w:r>
      <w:r>
        <w:rPr>
          <w:rFonts w:eastAsia="IRNazanin" w:cs="IRNazanin"/>
          <w:color w:val="111111"/>
          <w:sz w:val="28"/>
          <w:szCs w:val="28"/>
          <w:rtl w:val="true"/>
          <w:lang w:bidi="fa-IR"/>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توجيه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عبارت خود</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كه مرحوم شيخ در تعبير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من لاخبرة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اسمي از</w:t>
      </w:r>
      <w:bookmarkStart w:id="587" w:name="pg2359_23567"/>
    </w:p>
    <w:p>
      <w:pPr>
        <w:pStyle w:val="BookText"/>
        <w:rPr/>
      </w:pPr>
      <w:bookmarkEnd w:id="587"/>
      <w:r>
        <w:rPr>
          <w:rFonts w:ascii="IRNazanin" w:hAnsi="IRNazanin" w:eastAsia="IRNazanin"/>
          <w:color w:val="111111"/>
          <w:sz w:val="28"/>
          <w:sz w:val="28"/>
          <w:szCs w:val="28"/>
          <w:rtl w:val="true"/>
          <w:lang w:bidi="fa-IR"/>
        </w:rPr>
        <w:t>آن شخص نبرده‌اند، ولي ـ نقل شده ـ برخي با فحص، فردِ مورد نظرِ شيخ را پيدا كرده و به ايشان گفتند شما هم غيبت آن شخص را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مرتكب غيبت نشدم؛ چون به نحو مجهول گفته‌ام، شما كه فحص كرده و اين شخص را پيدا كرده‌ايد مرتكب غيبت شده‌ايد</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8" w:name="__RefHeading___Toc2770625_3804643083"/>
      <w:bookmarkStart w:id="589" w:name="_Toc223"/>
      <w:bookmarkEnd w:id="588"/>
      <w:r>
        <w:rPr>
          <w:rtl w:val="true"/>
        </w:rPr>
        <w:t>سخن پاياني در مستثنيات غيبت</w:t>
      </w:r>
      <w:bookmarkEnd w:id="589"/>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ديگري هم براي مستثنيات غيبت ذكر كرده‌اند كه ديگر حاجتي به مطرح كردن آن‌ها نيست؛ چون فرمول استثنا را بيان كرديم كه در بعضي موارد موضوعاً خارج است و تعريف غيبت بر آن صادق نيست، يا از طريق آيات و روايات، تخصيص خورده است و يا از باب تزاحم خارج شده است</w:t>
      </w:r>
      <w:r>
        <w:rPr>
          <w:rFonts w:eastAsia="IRNazanin" w:cs="IRNazanin"/>
          <w:color w:val="111111"/>
          <w:sz w:val="28"/>
          <w:szCs w:val="28"/>
          <w:rtl w:val="true"/>
          <w:lang w:bidi="fa-IR"/>
        </w:rPr>
        <w:t>.</w:t>
      </w:r>
      <w:r>
        <w:rPr>
          <w:rStyle w:val="FootnoteAnchor"/>
          <w:rtl w:val="true"/>
        </w:rPr>
        <w:footnoteReference w:id="414"/>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بعضي از موارد استثنا مثل انتخابات و مسأله‌ي مرجعيت و افتاء را ما اضافه كرديم كه بعداً ديدم مرحوم سيّد خويي اين مورد اخير را استثنا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تفضيل بعض العلماء على بعضهم و إن استلزم انتقاص الآخر، و لا ريب في جوازه، لتوقف الغرض الأهم عليه، و قد جرى على هذا ديدن الأصحاب في جميع الازمان و الأقطار، خصوصا في تعيين مراجع التقليد و لكن هذه مرحلة كم زلّت فيها الاقدام، عصمنا اللّه من الزلل</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غيبت در مقام تعيين مرجع تقليد، هرچند مستلزم تنقيص ديگري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كسي ادّعاي اعلميت مي‌كند و ديگري نقض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همان‌طوري كه سيّد خويي تنبيه مي‌دهد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لكن هذه مرحلة كم زلّت فيه الاقدام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داشته باشيم با اين استثنايي كه ذكر شد، هرچند غيبت جايز است امّا نهايت دقّت هم لازم است؛ چون كم نيست اَقدامي كه در اين مرحله لغزيده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عصمنا الله من الزلل</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bookmarkStart w:id="590" w:name="pg2359_23569"/>
    </w:p>
    <w:p>
      <w:pPr>
        <w:pStyle w:val="Heading2"/>
        <w:numPr>
          <w:ilvl w:val="1"/>
          <w:numId w:val="1"/>
        </w:numPr>
        <w:rPr/>
      </w:pPr>
      <w:bookmarkStart w:id="591" w:name="__RefHeading___Toc2770627_3804643083"/>
      <w:bookmarkStart w:id="592" w:name="_Toc224"/>
      <w:bookmarkEnd w:id="590"/>
      <w:bookmarkEnd w:id="591"/>
      <w:r>
        <w:rPr>
          <w:rtl w:val="true"/>
        </w:rPr>
        <w:t>حكم استماع غيبت</w:t>
      </w:r>
      <w:bookmarkEnd w:id="592"/>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93" w:name="__RefHeading___Toc2770629_3804643083"/>
      <w:bookmarkStart w:id="594" w:name="_Toc225"/>
      <w:bookmarkEnd w:id="593"/>
      <w:r>
        <w:rPr>
          <w:rtl w:val="true"/>
        </w:rPr>
        <w:t>اشاره</w:t>
      </w:r>
      <w:bookmarkStart w:id="595" w:name="pg2359_23571"/>
      <w:bookmarkEnd w:id="594"/>
    </w:p>
    <w:p>
      <w:pPr>
        <w:pStyle w:val="Heading3"/>
        <w:numPr>
          <w:ilvl w:val="2"/>
          <w:numId w:val="1"/>
        </w:numPr>
        <w:rPr/>
      </w:pPr>
      <w:bookmarkStart w:id="596" w:name="__RefHeading___Toc2770631_3804643083"/>
      <w:bookmarkStart w:id="597" w:name="_Toc226"/>
      <w:bookmarkEnd w:id="595"/>
      <w:bookmarkEnd w:id="596"/>
      <w:r>
        <w:rPr>
          <w:rtl w:val="true"/>
        </w:rPr>
        <w:t>كلام مرحوم شيخ</w:t>
      </w:r>
      <w:r>
        <w:rPr>
          <w:rtl w:val="true"/>
        </w:rPr>
        <w:t xml:space="preserve">- </w:t>
      </w:r>
      <w:r>
        <w:rPr>
          <w:rtl w:val="true"/>
        </w:rPr>
        <w:t xml:space="preserve">قدس سره </w:t>
      </w:r>
      <w:r>
        <w:rPr>
          <w:rtl w:val="true"/>
        </w:rPr>
        <w:t xml:space="preserve">- </w:t>
      </w:r>
      <w:r>
        <w:rPr>
          <w:rtl w:val="true"/>
        </w:rPr>
        <w:t>در حكم استماع غيبت</w:t>
      </w:r>
      <w:bookmarkEnd w:id="597"/>
    </w:p>
    <w:p>
      <w:pPr>
        <w:pStyle w:val="Heading4"/>
        <w:numPr>
          <w:ilvl w:val="3"/>
          <w:numId w:val="1"/>
        </w:numPr>
        <w:rPr/>
      </w:pPr>
      <w:bookmarkStart w:id="598" w:name="__RefHeading___Toc2770633_3804643083"/>
      <w:bookmarkStart w:id="599" w:name="_Toc227"/>
      <w:bookmarkEnd w:id="598"/>
      <w:r>
        <w:rPr>
          <w:rtl w:val="true"/>
        </w:rPr>
        <w:t>اشاره</w:t>
      </w:r>
      <w:bookmarkEnd w:id="599"/>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يحرم استماع الغيبة بلا خلاف</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كسي در اين مسأله خلاف آن فتوا نداده است، امّا اين‌كه آيا همه يا مُعتنا بِه از فقها آن را مطرح كرده و طبق آن فتوا داده‌اند يا نه،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 استفاده نمي‌شود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السامع للغيبة أحد المغتابين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روايتي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غيبت، يكي از دو غيبت كننده است؛ يعني گويا دو غيبت كننده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گوينده‌ي غيبت و ديگري سامع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سامع غيبت به منزله‌ي غيبت كننده است؛ زيرا غيبت كننده بدون سامع نمي‌تواند غيبت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احتمالي هم داده مي‌شود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باشد كه بنابر اين احتمال، معناي حديث چنين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سامعِ غيبت، از غيبت كنندگان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الأخبار في حرمته كثيرة؛</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اخبار در حرمت استماع غيبت، زياد است</w:t>
      </w:r>
      <w:r>
        <w:rPr>
          <w:rFonts w:eastAsia="Amiri" w:cs="Amiri" w:ascii="Amiri" w:hAnsi="Amiri"/>
          <w:color w:val="111111"/>
          <w:sz w:val="28"/>
          <w:szCs w:val="28"/>
          <w:rtl w:val="true"/>
          <w:lang w:bidi="ar-SA"/>
        </w:rPr>
        <w:t>.</w:t>
      </w:r>
      <w:bookmarkStart w:id="600" w:name="pg2359_23572"/>
    </w:p>
    <w:p>
      <w:pPr>
        <w:pStyle w:val="Heading4"/>
        <w:numPr>
          <w:ilvl w:val="3"/>
          <w:numId w:val="1"/>
        </w:numPr>
        <w:rPr/>
      </w:pPr>
      <w:bookmarkStart w:id="601" w:name="__RefHeading___Toc2770635_3804643083"/>
      <w:bookmarkStart w:id="602" w:name="_Toc228"/>
      <w:bookmarkEnd w:id="600"/>
      <w:bookmarkEnd w:id="601"/>
      <w:r>
        <w:rPr>
          <w:rtl w:val="true"/>
        </w:rPr>
        <w:t>مناقشه در كثرت روايات دالّ بر حرمت استماع غيبت</w:t>
      </w:r>
      <w:bookmarkEnd w:id="602"/>
    </w:p>
    <w:p>
      <w:pPr>
        <w:pStyle w:val="BookText"/>
        <w:rPr/>
      </w:pPr>
      <w:r>
        <w:rPr>
          <w:rFonts w:ascii="IRNazanin" w:hAnsi="IRNazanin" w:eastAsia="IRNazanin"/>
          <w:color w:val="111111"/>
          <w:sz w:val="28"/>
          <w:sz w:val="28"/>
          <w:szCs w:val="28"/>
          <w:rtl w:val="true"/>
          <w:lang w:bidi="fa-IR"/>
        </w:rPr>
        <w:t>بعضي بر اين كلام مرحوم شيخ اعتراض كرده و به ضرس قاطع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زيادي در حرمت استماع غيبت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بعضي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مرحوم شيخ روايات وجوب ردّ غيبت است كه صاحب وسائل در باب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احكام العشرة از كتاب الحج</w:t>
      </w:r>
      <w:r>
        <w:rPr>
          <w:rStyle w:val="FootnoteAnchor"/>
          <w:rtl w:val="true"/>
        </w:rPr>
        <w:footnoteReference w:id="417"/>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بعضي ديگر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وجوب ردّ غيبت ربطي به حرمت استماع غيبت ندارد و حتّي مي‌تواند مخصّص روايات دالّ بر حرمت استماع غيبت باشد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بايد بررسي كنيم آيا رواياتي كه علي نحو حجّت، دالّ بر حرمت استماع غيبت باشد وجود دارد يا خير؟ و آيا روايات دالّ بر وجوب ردّ غيبت، مخصّص روايات دالّ بر حرمت استماع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وجود چنين رواياتي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مي‌باشد يا نه؟</w:t>
      </w:r>
      <w:bookmarkStart w:id="603" w:name="pg2359_23573"/>
    </w:p>
    <w:p>
      <w:pPr>
        <w:pStyle w:val="Heading3"/>
        <w:numPr>
          <w:ilvl w:val="2"/>
          <w:numId w:val="1"/>
        </w:numPr>
        <w:rPr/>
      </w:pPr>
      <w:bookmarkStart w:id="604" w:name="__RefHeading___Toc2770637_3804643083"/>
      <w:bookmarkStart w:id="605" w:name="_Toc229"/>
      <w:bookmarkEnd w:id="603"/>
      <w:bookmarkEnd w:id="604"/>
      <w:r>
        <w:rPr>
          <w:rtl w:val="true"/>
        </w:rPr>
        <w:t>ادلّه‌ي حرمت استماع غيبت</w:t>
      </w:r>
      <w:bookmarkEnd w:id="605"/>
    </w:p>
    <w:p>
      <w:pPr>
        <w:pStyle w:val="Heading4"/>
        <w:numPr>
          <w:ilvl w:val="3"/>
          <w:numId w:val="1"/>
        </w:numPr>
        <w:rPr/>
      </w:pPr>
      <w:bookmarkStart w:id="606" w:name="__RefHeading___Toc2770639_3804643083"/>
      <w:bookmarkStart w:id="607" w:name="_Toc230"/>
      <w:bookmarkEnd w:id="606"/>
      <w:r>
        <w:rPr/>
        <w:t>1</w:t>
      </w:r>
      <w:r>
        <w:rPr>
          <w:rtl w:val="true"/>
        </w:rPr>
        <w:t xml:space="preserve">. </w:t>
      </w:r>
      <w:r>
        <w:rPr>
          <w:rtl w:val="true"/>
        </w:rPr>
        <w:t>روايت غرر الحكم و درر الكلم</w:t>
      </w:r>
      <w:r>
        <w:rPr>
          <w:rtl w:val="true"/>
        </w:rPr>
        <w:t>: «</w:t>
      </w:r>
      <w:r>
        <w:rPr>
          <w:rtl w:val="true"/>
        </w:rPr>
        <w:t>السامع للغيبة أحد المغتابين</w:t>
      </w:r>
      <w:r>
        <w:rPr>
          <w:rtl w:val="true"/>
        </w:rPr>
        <w:t>»</w:t>
      </w:r>
      <w:bookmarkEnd w:id="607"/>
    </w:p>
    <w:p>
      <w:pPr>
        <w:pStyle w:val="BookText"/>
        <w:rPr/>
      </w:pPr>
      <w:r>
        <w:rPr>
          <w:rStyle w:val="FootnoteAnchor"/>
          <w:rtl w:val="true"/>
        </w:rPr>
        <w:footnoteReference w:id="4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جستجوي كامپيوتري در جامع‌ترين برنامه‌ها به اين نتيجه مي‌رسيم كه اين روايت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السامع للغيبة أحد المغتابين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در كتاب غرر الحكم و درر الكلم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كتاب گرچه قرائني وجود دارد كه بسياري از كلمات آن از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 امّا در مورد تك‌تك آن كلمات و جزئياتي كه دارد نمي‌توانيم اعتماد كنيم و بگوييم از حضرت صادر شده و حجّت است</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مرحوم حاجي نوري در مستدرك اين روايت را از تفسير ابوالفتوح رازي هم نقل مي‌كند</w:t>
      </w:r>
      <w:r>
        <w:rPr>
          <w:rStyle w:val="FootnoteAnchor"/>
          <w:rtl w:val="true"/>
        </w:rPr>
        <w:footnoteReference w:id="419"/>
      </w:r>
      <w:r>
        <w:rPr>
          <w:rFonts w:ascii="IRNazanin" w:hAnsi="IRNazanin" w:eastAsia="IRNazanin"/>
          <w:color w:val="111111"/>
          <w:sz w:val="28"/>
          <w:sz w:val="28"/>
          <w:szCs w:val="28"/>
          <w:rtl w:val="true"/>
          <w:lang w:bidi="fa-IR"/>
        </w:rPr>
        <w:t>كه در آن نقل نيز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قابل استناد و حجّت نيست، مدرك ديگري هم ندارد</w:t>
      </w:r>
      <w:r>
        <w:rPr>
          <w:rFonts w:eastAsia="IRNazanin" w:cs="IRNazanin"/>
          <w:color w:val="111111"/>
          <w:sz w:val="28"/>
          <w:szCs w:val="28"/>
          <w:rtl w:val="true"/>
          <w:lang w:bidi="fa-IR"/>
        </w:rPr>
        <w:t>.</w:t>
      </w:r>
      <w:bookmarkStart w:id="608" w:name="pg2359_23574"/>
    </w:p>
    <w:p>
      <w:pPr>
        <w:pStyle w:val="Heading4"/>
        <w:numPr>
          <w:ilvl w:val="3"/>
          <w:numId w:val="1"/>
        </w:numPr>
        <w:rPr/>
      </w:pPr>
      <w:bookmarkStart w:id="609" w:name="__RefHeading___Toc2770641_3804643083"/>
      <w:bookmarkStart w:id="610" w:name="_Toc231"/>
      <w:bookmarkEnd w:id="608"/>
      <w:bookmarkEnd w:id="609"/>
      <w:r>
        <w:rPr/>
        <w:t>2</w:t>
      </w:r>
      <w:r>
        <w:rPr>
          <w:rtl w:val="true"/>
        </w:rPr>
        <w:t xml:space="preserve">. </w:t>
      </w:r>
      <w:r>
        <w:rPr>
          <w:rtl w:val="true"/>
        </w:rPr>
        <w:t xml:space="preserve">روايتي از اميرالمؤمنين </w:t>
      </w:r>
      <w:r>
        <w:rPr>
          <w:rtl w:val="true"/>
        </w:rPr>
        <w:t xml:space="preserve">- </w:t>
      </w:r>
      <w:r>
        <w:rPr>
          <w:rtl w:val="true"/>
        </w:rPr>
        <w:t xml:space="preserve">عليه السلام </w:t>
      </w:r>
      <w:r>
        <w:rPr>
          <w:rtl w:val="true"/>
        </w:rPr>
        <w:t xml:space="preserve">- </w:t>
      </w:r>
      <w:r>
        <w:rPr>
          <w:rtl w:val="true"/>
        </w:rPr>
        <w:t>در كتاب اختصاص</w:t>
      </w:r>
      <w:bookmarkEnd w:id="610"/>
    </w:p>
    <w:p>
      <w:pPr>
        <w:pStyle w:val="Heading5"/>
        <w:numPr>
          <w:ilvl w:val="4"/>
          <w:numId w:val="1"/>
        </w:numPr>
        <w:rPr/>
      </w:pPr>
      <w:bookmarkStart w:id="611" w:name="__RefHeading___Toc2770643_3804643083"/>
      <w:bookmarkStart w:id="612" w:name="_Toc232"/>
      <w:bookmarkEnd w:id="611"/>
      <w:r>
        <w:rPr>
          <w:rtl w:val="true"/>
        </w:rPr>
        <w:t>اشاره</w:t>
      </w:r>
      <w:bookmarkEnd w:id="612"/>
    </w:p>
    <w:p>
      <w:pPr>
        <w:pStyle w:val="BookText"/>
        <w:rPr/>
      </w:pPr>
      <w:r>
        <w:rPr>
          <w:rFonts w:ascii="Amiri" w:hAnsi="Amiri" w:eastAsia="Amiri" w:cs="Amiri"/>
          <w:color w:val="111111"/>
          <w:sz w:val="28"/>
          <w:sz w:val="28"/>
          <w:szCs w:val="28"/>
          <w:rtl w:val="true"/>
          <w:lang w:bidi="ar-SA"/>
        </w:rPr>
        <w:t>در كتاب اختصاص كه منسوب به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روايت ذيل نقل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نَظَرَ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رَجُلٍ يَغْتَابُ رَجُلًا عِنْدَ الْحَسَنِ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نَزِّهْ سَمْعَكَ عَنْ مِثْلِ هَذَا فَإِنَّهُ نَظَرَ إِلَى أَخْبَثِ مَا فِي وِعَائِهِ فَأَفْرَغَهُ فِي وِعَائِكَ</w:t>
      </w:r>
      <w:r>
        <w:rPr>
          <w:rFonts w:eastAsia="Amiri" w:cs="Amiri" w:ascii="Amiri" w:hAnsi="Amiri"/>
          <w:color w:val="111111"/>
          <w:sz w:val="28"/>
          <w:szCs w:val="28"/>
          <w:rtl w:val="true"/>
          <w:lang w:bidi="ar-SA"/>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ديدند شخصي نزد فرزندش امام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شخصي ديگر غيبت مي‌كند، پس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فرزندم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را دور بدار از مثل اين، همانا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كننده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 به پليدترين چيزي كه در ظرفش بود و آن را در ظرف تو خالي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حرمت استماع غيب روشن است؛ چون حضرت امر به تنزّه از استماع غيبت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نَظَرَ إِلَى أَخْبَثِ مَا فِي وِعَائِهِ فَأَفْرَغَهُ فِي وِعَائِكَ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قرينه مي‌شود بر اين‌كه استماع غيبت حرام است</w:t>
      </w:r>
      <w:r>
        <w:rPr>
          <w:rStyle w:val="FootnoteAnchor"/>
          <w:rtl w:val="true"/>
        </w:rPr>
        <w:footnoteReference w:id="42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اين نيست كه اگر نهي نمي‌كردند، امام مجتبي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حرام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نظير سفارشات ديگر حضرت است كه مثلاً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كُونَا لِلظَّالِمِ خَصْماً وَ لِلْمَظْلُومِ عَوْناً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دلالت ندارد كه اگر حضرت اين سفارش را نمي‌كردند مرتكب ظلم مي‌شدند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13" w:name="pg2359_23575"/>
    </w:p>
    <w:p>
      <w:pPr>
        <w:pStyle w:val="Heading5"/>
        <w:numPr>
          <w:ilvl w:val="4"/>
          <w:numId w:val="1"/>
        </w:numPr>
        <w:rPr/>
      </w:pPr>
      <w:bookmarkStart w:id="614" w:name="__RefHeading___Toc2770645_3804643083"/>
      <w:bookmarkStart w:id="615" w:name="_Toc233"/>
      <w:bookmarkEnd w:id="613"/>
      <w:bookmarkEnd w:id="614"/>
      <w:r>
        <w:rPr>
          <w:rtl w:val="true"/>
        </w:rPr>
        <w:t>بررسي سند روايت اختصاص</w:t>
      </w:r>
      <w:bookmarkEnd w:id="615"/>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فرض اين‌كه كتاب اختصاص از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اين‌كه ايشان حديث را به ضرس قاطع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معلوم مي‌شود نزد شيخ مفيد ثابت بوده كه حضرت چنين سخني را فرموده‌اند، و إلا اگر ثابت نباشد، نسبت دادن به ضرس قاطع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به غير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مي‌شود و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قدراً و أعلي منزلةً است از اين‌كه مرتكب چنين خلافي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معلوم مي‌شود نزد شيخ مفيد ثابت بوده كه اين روايت،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است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قاطع دادن به معصوم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افرادي مثل شيخ صدوق، مفيد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از اين است كه سند صحيح به آن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انتسابي فقط اثبات مي‌كند كه نزد آن‌ها حجّت قائم بوده كه روايت از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 شده، ولي اين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يا اطمينان به 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در داشتن سند صحيح نيست، بلكه اگر نزد آنان قرائني بر صدور روايت هم وجود داشته باشد ـ گرچه سند صحيح نباشد ـ مي‌توانستند آن را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دهند، در حالي‌كه تا آن قرائن براي ما هم احراز نشود نمي‌توانيم به ضرس قاطع به امام نسبت دهيم و صِرف اين‌كه براي شيخ مفيد احراز شده، براي ما كافي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فقهاي قديم، بعضي در توثيق افراد مبناي خاصّي به نام اصالة العدالة داشتند؛ يعني هر مسلماني عادل و ثقه است مگر اين‌كه فسق او احراز شود و همين كه شخصي فسقش ثابت نشده باشد مي‌توان گفت عادل و ثقه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اين مبنا مي‌توان گفت افراد مجهول هم عادل و ثقه‌اند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يكي از كساني كه تصريح به اين مبنا دارد شيخ 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الهداية است كه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المسلمون كلّهم عدول تقبل شهادتهم</w:t>
      </w:r>
      <w:r>
        <w:rPr>
          <w:rFonts w:eastAsia="Amiri" w:cs="Amiri" w:ascii="Amiri" w:hAnsi="Amiri"/>
          <w:color w:val="111111"/>
          <w:sz w:val="28"/>
          <w:szCs w:val="28"/>
          <w:rtl w:val="true"/>
          <w:lang w:bidi="ar-SA"/>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 مبنا مورد پذيرش ما نيست و از آن‌جايي كه احتمال دارد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چنين مبنايي داشته باشد ـ گرچه خيلي بعيد است ـ پس نمي‌توانيم بگوييم روايت در نزد ما هم از لحاظ سند تمام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روايتي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شخصي مي‌رسد و گاهي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روايتي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از لحاظ سند تمام باشد و ناقل بخواهد آن را با حذف سند و به صورت ارسال نقل كند، ولي به جهت رعايت امانت در نقل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تعبير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دلالتي ندارد بر اين‌كه سند روايت نزد او ناتمام بوده</w:t>
      </w:r>
    </w:p>
    <w:p>
      <w:pPr>
        <w:pStyle w:val="BookText"/>
        <w:rPr/>
      </w:pPr>
      <w:r>
        <w:rPr>
          <w:rFonts w:ascii="Amiri" w:hAnsi="Amiri" w:eastAsia="Amiri" w:cs="Amiri"/>
          <w:color w:val="111111"/>
          <w:sz w:val="28"/>
          <w:sz w:val="28"/>
          <w:szCs w:val="28"/>
          <w:rtl w:val="true"/>
          <w:lang w:bidi="ar-SA"/>
        </w:rPr>
        <w:t>است، بلكه به جهت امانت در نقل اين‌طور بيان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روايتي كه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رسيده، ممكن است از لحاظ سند نزد او تمام نباشد، امّا ناقل كه مي‌خواهد آن را به صورت ارسال نقل كند و امانت در نقل را هم رعايت كند،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بنابراين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دلالتي ندارد بر اين‌كه روايت نزد ناقل از لحاظ سند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هم نيست كه بگوييم روايت را به ضرس قاطع به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است، بلكه قرينه‌ي ساريه‌ي جاريه آورده بر اين‌كه من فقط نقل مي‌كنم و حتّي سند را انداخته‌ام و به نحو ارسال نقل مي‌كنم تا اگر كسي دنبال سند آن بود خودش پيدا كند و اگر پيدا نكرد روايت مرسله است</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وجود اين احتمال، نمي‌توانيم احراز كنيم اين‌كه تعبير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الصادق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عنايتي داشته و روايت نزد او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مورد كتاب من لايحضره الفقيه ممكن است كسي بگويد اگر شيخ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جايي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جايي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استخدام اين تعابير عنايت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غير كتاب من لايحضره الفقيه، احتمال اقوي احتمالي است كه ذكر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در مورد كتاب اختصاص، بحثي است كه آيا اين كتاب از شيخ مفيد است يا نه؟</w:t>
      </w:r>
      <w:bookmarkStart w:id="616" w:name="pg2359_23578"/>
    </w:p>
    <w:p>
      <w:pPr>
        <w:pStyle w:val="Heading4"/>
        <w:numPr>
          <w:ilvl w:val="3"/>
          <w:numId w:val="1"/>
        </w:numPr>
        <w:rPr/>
      </w:pPr>
      <w:bookmarkStart w:id="617" w:name="__RefHeading___Toc2770647_3804643083"/>
      <w:bookmarkStart w:id="618" w:name="_Toc234"/>
      <w:bookmarkEnd w:id="616"/>
      <w:bookmarkEnd w:id="617"/>
      <w:r>
        <w:rPr/>
        <w:t>3</w:t>
      </w:r>
      <w:r>
        <w:rPr>
          <w:rtl w:val="true"/>
        </w:rPr>
        <w:t xml:space="preserve">. </w:t>
      </w:r>
      <w:r>
        <w:rPr>
          <w:rtl w:val="true"/>
        </w:rPr>
        <w:t xml:space="preserve">روايتي از امام صادق </w:t>
      </w:r>
      <w:r>
        <w:rPr>
          <w:rtl w:val="true"/>
        </w:rPr>
        <w:t xml:space="preserve">- </w:t>
      </w:r>
      <w:r>
        <w:rPr>
          <w:rtl w:val="true"/>
        </w:rPr>
        <w:t xml:space="preserve">عليه السلام </w:t>
      </w:r>
      <w:r>
        <w:rPr>
          <w:rtl w:val="true"/>
        </w:rPr>
        <w:t xml:space="preserve">- </w:t>
      </w:r>
      <w:r>
        <w:rPr>
          <w:rtl w:val="true"/>
        </w:rPr>
        <w:t>در مجموعه‌ي شهيد</w:t>
      </w:r>
      <w:r>
        <w:rPr>
          <w:rtl w:val="true"/>
        </w:rPr>
        <w:t xml:space="preserve">- </w:t>
      </w:r>
      <w:r>
        <w:rPr>
          <w:rtl w:val="true"/>
        </w:rPr>
        <w:t xml:space="preserve">قدس سره </w:t>
      </w:r>
      <w:r>
        <w:rPr>
          <w:rtl w:val="true"/>
        </w:rPr>
        <w:t>-</w:t>
      </w:r>
      <w:bookmarkEnd w:id="618"/>
    </w:p>
    <w:p>
      <w:pPr>
        <w:pStyle w:val="BookText"/>
        <w:rPr/>
      </w:pPr>
      <w:r>
        <w:rPr>
          <w:rFonts w:ascii="Amiri" w:hAnsi="Amiri" w:eastAsia="Amiri" w:cs="Amiri"/>
          <w:color w:val="111111"/>
          <w:sz w:val="28"/>
          <w:sz w:val="28"/>
          <w:szCs w:val="28"/>
          <w:rtl w:val="true"/>
          <w:lang w:bidi="ar-SA"/>
        </w:rPr>
        <w:t xml:space="preserve">فِي كِتَابِ الرَّوْضَةِ، عَلَى مَا فِي مَجْمُوعَةِ الشَّهِيدِ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الْغِيبَةُ كُفْرٌ وَ الْمُسْتَمِعُ لَهَا وَ الرَّاضِي بِهَا مُشْرِكٌ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مَا لَيْسَ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بُهْتَانٌ</w:t>
      </w:r>
      <w:r>
        <w:rPr>
          <w:rFonts w:eastAsia="Amiri" w:cs="Amiri" w:ascii="Amiri" w:hAnsi="Amiri"/>
          <w:color w:val="111111"/>
          <w:sz w:val="28"/>
          <w:szCs w:val="28"/>
          <w:rtl w:val="true"/>
          <w:lang w:bidi="ar-SA"/>
        </w:rPr>
        <w:t>»</w:t>
      </w:r>
      <w:r>
        <w:rPr>
          <w:rStyle w:val="FootnoteAnchor"/>
          <w:rtl w:val="true"/>
        </w:rPr>
        <w:footnoteReference w:id="423"/>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كفر است و مستمع غيبت و راضي به آن مشرك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راوي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چيزي را كه در او نباشد بگويد؟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بهتان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حرمت استماع تمام است، ولي هيچ سندي ندارد</w:t>
      </w:r>
      <w:r>
        <w:rPr>
          <w:rFonts w:eastAsia="IRNazanin" w:cs="IRNazanin"/>
          <w:color w:val="111111"/>
          <w:sz w:val="28"/>
          <w:szCs w:val="28"/>
          <w:rtl w:val="true"/>
          <w:lang w:bidi="fa-IR"/>
        </w:rPr>
        <w:t>.</w:t>
      </w:r>
    </w:p>
    <w:p>
      <w:pPr>
        <w:pStyle w:val="Heading4"/>
        <w:numPr>
          <w:ilvl w:val="3"/>
          <w:numId w:val="1"/>
        </w:numPr>
        <w:rPr/>
      </w:pPr>
      <w:bookmarkStart w:id="619" w:name="__RefHeading___Toc2770649_3804643083"/>
      <w:bookmarkStart w:id="620" w:name="_Toc235"/>
      <w:bookmarkEnd w:id="619"/>
      <w:r>
        <w:rPr/>
        <w:t>4</w:t>
      </w:r>
      <w:r>
        <w:rPr>
          <w:rtl w:val="true"/>
        </w:rPr>
        <w:t xml:space="preserve">. </w:t>
      </w:r>
      <w:r>
        <w:rPr>
          <w:rtl w:val="true"/>
        </w:rPr>
        <w:t>روايتي از رسول اكرم</w:t>
      </w:r>
      <w:r>
        <w:rPr>
          <w:rtl w:val="true"/>
        </w:rPr>
        <w:t xml:space="preserve">- </w:t>
      </w:r>
      <w:r>
        <w:rPr>
          <w:rtl w:val="true"/>
        </w:rPr>
        <w:t xml:space="preserve">صلي الله عليه و آله و سلم </w:t>
      </w:r>
      <w:r>
        <w:rPr>
          <w:rtl w:val="true"/>
        </w:rPr>
        <w:t xml:space="preserve">- </w:t>
      </w:r>
      <w:r>
        <w:rPr>
          <w:rtl w:val="true"/>
        </w:rPr>
        <w:t xml:space="preserve">در </w:t>
      </w:r>
      <w:r>
        <w:rPr>
          <w:rtl w:val="true"/>
        </w:rPr>
        <w:t>«</w:t>
      </w:r>
      <w:r>
        <w:rPr>
          <w:rtl w:val="true"/>
        </w:rPr>
        <w:t>لُب اللباب</w:t>
      </w:r>
      <w:r>
        <w:rPr>
          <w:rtl w:val="true"/>
        </w:rPr>
        <w:t xml:space="preserve">» </w:t>
      </w:r>
      <w:r>
        <w:rPr>
          <w:rtl w:val="true"/>
        </w:rPr>
        <w:t>قطب راوندي</w:t>
      </w:r>
      <w:bookmarkEnd w:id="620"/>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الْقُطْبُ الرَّاوَنْدِيُّ فِي لُبِّ اللُّبَابِ،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سَمِعَ الْغِيبَةَ وَ لَمْ يُغَيِّرْ كَانَ كَمَنِ اغْتَابَ وَ مَنْ رَدَّ عَنْ عِرْضِ أَخِيهِ الْمُؤْمِنِ كَانَ لَهُ سَبْعُونَ أَلْفَ حِجَابٍ مِنَ النَّارِ</w:t>
      </w:r>
      <w:r>
        <w:rPr>
          <w:rFonts w:eastAsia="Amiri" w:cs="Amiri" w:ascii="Amiri" w:hAnsi="Amiri"/>
          <w:color w:val="111111"/>
          <w:sz w:val="28"/>
          <w:szCs w:val="28"/>
          <w:rtl w:val="true"/>
          <w:lang w:bidi="ar-SA"/>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غيبتي را بشنود و آن را تغيير ندهد مانند كسي است كه خودش غيبت كرده است و كسي كه از آبروي برادر مؤمنش دفاع كند هفتاد هزار حجاب بين او و آتش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به خاطر مرسله بودن قابل استناد نيست</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دلالت اين روايت هم كلامي وجود دارد كه به‌طور مفصّل در ذيل بررسي روايات ديگري كه دالّ بر وجوب ردّ غيبت است، بيان خواهيم كرد</w:t>
      </w:r>
      <w:r>
        <w:rPr>
          <w:rFonts w:eastAsia="IRNazanin" w:cs="IRNazanin"/>
          <w:color w:val="111111"/>
          <w:sz w:val="28"/>
          <w:szCs w:val="28"/>
          <w:rtl w:val="true"/>
          <w:lang w:bidi="fa-IR"/>
        </w:rPr>
        <w:t>.</w:t>
      </w:r>
      <w:bookmarkStart w:id="621" w:name="pg2359_23580"/>
    </w:p>
    <w:p>
      <w:pPr>
        <w:pStyle w:val="Heading4"/>
        <w:numPr>
          <w:ilvl w:val="3"/>
          <w:numId w:val="1"/>
        </w:numPr>
        <w:rPr/>
      </w:pPr>
      <w:bookmarkStart w:id="622" w:name="__RefHeading___Toc2770651_3804643083"/>
      <w:bookmarkStart w:id="623" w:name="_Toc236"/>
      <w:bookmarkEnd w:id="621"/>
      <w:bookmarkEnd w:id="622"/>
      <w:r>
        <w:rPr/>
        <w:t>5</w:t>
      </w:r>
      <w:r>
        <w:rPr>
          <w:rtl w:val="true"/>
        </w:rPr>
        <w:t xml:space="preserve">. </w:t>
      </w:r>
      <w:r>
        <w:rPr>
          <w:rtl w:val="true"/>
        </w:rPr>
        <w:t xml:space="preserve">حديث مناهي </w:t>
      </w:r>
      <w:r>
        <w:rPr>
          <w:rtl w:val="true"/>
        </w:rPr>
        <w:t>«</w:t>
      </w:r>
      <w:r>
        <w:rPr>
          <w:rtl w:val="true"/>
        </w:rPr>
        <w:t>نهي النبي</w:t>
      </w:r>
      <w:r>
        <w:rPr>
          <w:rtl w:val="true"/>
        </w:rPr>
        <w:t xml:space="preserve">- </w:t>
      </w:r>
      <w:r>
        <w:rPr>
          <w:rtl w:val="true"/>
        </w:rPr>
        <w:t xml:space="preserve">صلي الله عليه و آله و سلم </w:t>
      </w:r>
      <w:r>
        <w:rPr>
          <w:rtl w:val="true"/>
        </w:rPr>
        <w:t xml:space="preserve">- </w:t>
      </w:r>
      <w:r>
        <w:rPr>
          <w:rtl w:val="true"/>
        </w:rPr>
        <w:t>عن الغيبه و الاستماع اليها</w:t>
      </w:r>
      <w:r>
        <w:rPr>
          <w:rtl w:val="true"/>
        </w:rPr>
        <w:t>»</w:t>
      </w:r>
      <w:bookmarkEnd w:id="623"/>
    </w:p>
    <w:p>
      <w:pPr>
        <w:pStyle w:val="Heading5"/>
        <w:numPr>
          <w:ilvl w:val="4"/>
          <w:numId w:val="1"/>
        </w:numPr>
        <w:rPr/>
      </w:pPr>
      <w:bookmarkStart w:id="624" w:name="__RefHeading___Toc2770653_3804643083"/>
      <w:bookmarkStart w:id="625" w:name="_Toc237"/>
      <w:bookmarkEnd w:id="624"/>
      <w:r>
        <w:rPr>
          <w:rtl w:val="true"/>
        </w:rPr>
        <w:t>اشاره</w:t>
      </w:r>
      <w:bookmarkEnd w:id="625"/>
    </w:p>
    <w:p>
      <w:pPr>
        <w:pStyle w:val="BookText"/>
        <w:rPr/>
      </w:pPr>
      <w:r>
        <w:rPr>
          <w:rFonts w:ascii="Amiri" w:hAnsi="Amiri" w:eastAsia="Amiri" w:cs="Amiri"/>
          <w:color w:val="111111"/>
          <w:sz w:val="28"/>
          <w:sz w:val="28"/>
          <w:szCs w:val="28"/>
          <w:rtl w:val="true"/>
          <w:lang w:bidi="ar-SA"/>
        </w:rPr>
        <w:t>در حديث مناهي كه بسيار طولاني است</w:t>
      </w:r>
      <w:r>
        <w:rPr>
          <w:rStyle w:val="FootnoteAnchor"/>
          <w:rtl w:val="true"/>
        </w:rPr>
        <w:footnoteReference w:id="425"/>
      </w:r>
    </w:p>
    <w:p>
      <w:pPr>
        <w:pStyle w:val="BookText"/>
        <w:rPr/>
      </w:pPr>
      <w:r>
        <w:rPr>
          <w:rFonts w:ascii="Amiri" w:hAnsi="Amiri" w:eastAsia="Amiri" w:cs="Amiri"/>
          <w:color w:val="111111"/>
          <w:sz w:val="28"/>
          <w:sz w:val="28"/>
          <w:szCs w:val="28"/>
          <w:rtl w:val="true"/>
          <w:lang w:bidi="ar-SA"/>
        </w:rPr>
        <w:t xml:space="preserve">وَ نَهَى عَنِ الْغِيبَةِ وَ قَالَ مَنِ اغْتَابَ امْرَأً مُسْلِماً بَطَلَ صَوْمُهُ وَ نُقِضَ وُضُوؤُهُ وَ جَاءَ يَوْمَ الْقِيَامَةِ تَفُوحُ مِنْ فِيهِ رَائِحَةٌ أَنْتَنُ مِنَ الْجِيفَةِ يَتَأَذَّى بِهَا أَهْلُ الْمَوْقِفِ فَإِنْ مَاتَ قَبْلَ أَنْ يَتُوبَ مَاتَ مُسْتَحِلًّا لِمَا حَرَّمَ اللَّهُ عَزَّ وَ جَلَّ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كَظَمَ غَيْظاً وَ هُوَ قَادِرٌ عَلَى إِنْفَاذِهِ وَ حَلُمَ عَنْهُ أَعْطَاهُ اللَّهُ أَجْرَ شَهِيدٍ أَلَا 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 وَ 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الْخِيَانَةِ وَ قَالَ مَنْ خَانَ أَمَانَةً فِي الدُّنْيَا وَ لَمْ يَرُدَّهَا إِلَى أَهْلِهَا ثُمَّ أَدْرَكَهُ الْمَوْتُ مَاتَ عَلَى غَيْرِ مِلَّتِي وَ يَلْقَى اللَّهَ وَ هُوَ عَلَيْهِ غَضْبَانُ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شُعَيْبُ بْنُ وَاقِدٍ سَأَلْتُ الْحُسَيْنَ بْنَ زَيْدٍ عَنْ طُولِ هَذَا الْحَدِيثِ فَقَالَ حَدَّثَنِي جَعْفَرُ بْنُ مُحَمَّدِ بْنِ عَلِيِّ بْنِ الْحُسَيْنِ بْنِ عَلِيِّ بْنِ 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جَمَعَ هَذَا الْحَدِيثَ مِنَ الْكِتَابِ الَّذِي هُوَ إِمْلَاءُ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خَطُّ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لايحضره الفقيه،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باب ذكر جمل من مناهي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4968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حضرت از غيبت و</w:t>
      </w:r>
      <w:bookmarkStart w:id="626" w:name="pg2359_23581"/>
    </w:p>
    <w:p>
      <w:pPr>
        <w:pStyle w:val="BookText"/>
        <w:rPr/>
      </w:pPr>
      <w:bookmarkEnd w:id="626"/>
      <w:r>
        <w:rPr>
          <w:rFonts w:ascii="Amiri" w:hAnsi="Amiri" w:eastAsia="Amiri" w:cs="Amiri"/>
          <w:color w:val="111111"/>
          <w:sz w:val="28"/>
          <w:sz w:val="28"/>
          <w:szCs w:val="28"/>
          <w:rtl w:val="true"/>
          <w:lang w:bidi="ar-SA"/>
        </w:rPr>
        <w:t>استماع آن نهي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الْغِيبَةِ وَ الِاسْتِمَاعِ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اين روايت بر حرمت استماع، به دليل ظهور نهي در حرمت تمام است</w:t>
      </w:r>
    </w:p>
    <w:p>
      <w:pPr>
        <w:pStyle w:val="Heading5"/>
        <w:numPr>
          <w:ilvl w:val="4"/>
          <w:numId w:val="1"/>
        </w:numPr>
        <w:rPr/>
      </w:pPr>
      <w:bookmarkStart w:id="627" w:name="__RefHeading___Toc2770655_3804643083"/>
      <w:bookmarkStart w:id="628" w:name="_Toc238"/>
      <w:bookmarkEnd w:id="627"/>
      <w:r>
        <w:rPr>
          <w:rtl w:val="true"/>
        </w:rPr>
        <w:t>مناقشه‌ي بعض اعاظم در دلالت حديث مناهي</w:t>
      </w:r>
      <w:bookmarkEnd w:id="628"/>
    </w:p>
    <w:p>
      <w:pPr>
        <w:pStyle w:val="BookText"/>
        <w:rPr/>
      </w:pPr>
      <w:r>
        <w:rPr>
          <w:rFonts w:ascii="IRNazanin" w:hAnsi="IRNazanin" w:eastAsia="IRNazanin"/>
          <w:color w:val="111111"/>
          <w:sz w:val="28"/>
          <w:sz w:val="28"/>
          <w:szCs w:val="28"/>
          <w:rtl w:val="true"/>
          <w:lang w:bidi="fa-IR"/>
        </w:rPr>
        <w:t>امّا بعضي از اعاظم مناقشه‌اي دارند كه حاصل آن را مي‌توان چنين بيان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اين روايت بر حرمت استماع غيبت ناتمام است؛ چون اين روايت ذيلي دارد كه از آن استفاده مي‌شود استماع غيبت وقتي حرام است كه امكان رد باشد ولي رد نكند؛ چون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تَطَوَّلَ عَلَى أَخِيهِ فِي غِيبَةٍ سَمِعَهَا فِيهِ فِي مَجْلِسٍ فَرَدَّهَا عَنْهُ رَدَّ اللَّهُ عَنْهُ أَلْفَ بَابٍ مِنَ الشَّرِّ فِي الدُّنْيَا وَ الْآخِرَةِ</w:t>
      </w:r>
      <w:r>
        <w:rPr>
          <w:rFonts w:eastAsia="Amiri" w:cs="Amiri" w:ascii="Amiri" w:hAnsi="Amiri"/>
          <w:color w:val="111111"/>
          <w:sz w:val="28"/>
          <w:szCs w:val="28"/>
          <w:rtl w:val="true"/>
          <w:lang w:bidi="ar-SA"/>
        </w:rPr>
        <w:t>»</w:t>
      </w:r>
      <w:r>
        <w:rPr>
          <w:rStyle w:val="FootnoteAnchor"/>
          <w:rtl w:val="true"/>
        </w:rPr>
        <w:footnoteReference w:id="426"/>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كسي كه بر برادرش در غيبتي كه درباره‌ي او در مجلسي مي‌شنود منّت‌گذارده و آن را رد كند، خداوند هزار</w:t>
      </w:r>
    </w:p>
    <w:p>
      <w:pPr>
        <w:pStyle w:val="BookText"/>
        <w:rPr/>
      </w:pPr>
      <w:r>
        <w:rPr>
          <w:rFonts w:ascii="Amiri" w:hAnsi="Amiri" w:eastAsia="Amiri" w:cs="Amiri"/>
          <w:color w:val="111111"/>
          <w:sz w:val="28"/>
          <w:sz w:val="28"/>
          <w:szCs w:val="28"/>
          <w:rtl w:val="true"/>
          <w:lang w:bidi="ar-SA"/>
        </w:rPr>
        <w:t>در از شرّ را در دنيا و آخرت از او رد مي‌كند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در ادامه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هُوَ لَمْ يَرُدَّهَا وَ هُوَ قَادِرٌ عَلَى رَدِّهَا كَانَ عَلَيْهِ كَوِزْرِ مَنِ اغْتَابَهُ سَبْعِينَ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اگر مي‌تواند رد كند و رد نكرد، هفتاد برابر وِزر غيبت كننده براي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ذيل روايت دلالت مي‌كند استماع غيبت مطلقاً حرام نيست، بلكه وقتي حرام است كه بشنود و رد نكند، ولي اگر رد كند استماع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مي‌توانيم بگوييم در صدر روايت هم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نَهَى عَنِ الْغِيبَةِ وَ الِاسْتِمَاعِ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جايي است كه بشنود و رد نكند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اشكال</w:t>
      </w:r>
    </w:p>
    <w:p>
      <w:pPr>
        <w:pStyle w:val="BookText"/>
        <w:rPr/>
      </w:pPr>
      <w:r>
        <w:rPr>
          <w:rFonts w:ascii="IRNazanin" w:hAnsi="IRNazanin" w:eastAsia="IRNazanin"/>
          <w:color w:val="111111"/>
          <w:sz w:val="28"/>
          <w:sz w:val="28"/>
          <w:szCs w:val="28"/>
          <w:rtl w:val="true"/>
          <w:lang w:bidi="fa-IR"/>
        </w:rPr>
        <w:t>اين اشكال بر دلالت صدر روايت وارد نيست؛ زيرا اين حديث، حديث بسيار مفصّلي است كه ظاهراً نهي‌هايي را كه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مختلف فرموده، در يك‌جا جمع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حديث در مورد غيبت مي‌فرمايد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عَنِ الْغِيبَةِ وَ الِاسْتِمَاعِ إِلَيْهَا وَ نَهَى عَنِ النَّمِيمَةِ وَ الِاسْتِمَاعِ إِلَيْهَا وَ قَالَ لَا يَدْخُلُ الْجَنَّةَ قَتَّاتٌ يَعْنِي نَمَّاماً وَ نَهَى عَنْ إِجَابَةِ الْفَاسِقِينَ إِلَى طَعَامِهِمْ وَ نَهَى عَنِ الْيَمِينِ الْكَاذِبَةِ</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در ذيل، با فاصله‌ي طولاني از آن 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كَظَمَ غَيْظاً وَ هُوَ قَادِرٌ عَلَى إِنْفَاذِهِ وَ حَلُمَ عَنْهُ أَعْطَاهُ اللَّهُ أَجْرَ شَهِيدٍ أَلَا 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نَهَى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الْخِيَانَةِ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خَانَ أَمَانَةً فِي الدُّنْيَا وَ لَمْ يَرُدَّهَا إِلَى أَهْلِهَا ثُمَّ أَدْرَكَهُ الْمَوْتُ مَاتَ عَلَى غَيْرِ مِلَّتِي وَ يَلْقَى اللَّهَ وَ هُوَ عَلَيْهِ غَضْبَانُ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ذيل، مطلب جدايي است و اطمينان هست حضرت در مجلس ديگري آن را فرموده‌اند و علي فرض اين‌كه در يك روايت هم فرموده باشند باز نمي‌توانيم بگوييم ذيل، قرينه براي صدر است، بلكه حضرت در صدر روايت، غيبت و استماع آن را نهي فرموده كه اين نهي دالّ بر حرمت است و در ذيل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غيبتي را شنيد و آن را رد كرد اين مقدار ثواب دارد و اگر بتواند رد كند و نكرد هفتاد برابر وزر غيبت كننده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بگوييم ذيل، قرينه براي صدر نيست و حرمت استماع را تخصيص نمي‌زند، پس چگونه با ذيل قابل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معنا ندارد از طرفي بگوييم استماع غيبت مطلقاً</w:t>
      </w:r>
      <w:r>
        <w:rPr>
          <w:rStyle w:val="FootnoteAnchor"/>
          <w:rtl w:val="true"/>
        </w:rPr>
        <w:footnoteReference w:id="427"/>
      </w:r>
      <w:r>
        <w:rPr>
          <w:rFonts w:ascii="IRNazanin" w:hAnsi="IRNazanin" w:eastAsia="IRNazanin"/>
          <w:color w:val="111111"/>
          <w:sz w:val="28"/>
          <w:sz w:val="28"/>
          <w:szCs w:val="28"/>
          <w:rtl w:val="true"/>
          <w:lang w:bidi="fa-IR"/>
        </w:rPr>
        <w:t>حرام است و از طرف ديگر بگوييم اگر بشنود و رد كند اين مقدار ثواب دارد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بين صدر و ذيل روايت به اين است كه ذيل را بر</w:t>
      </w:r>
      <w:bookmarkStart w:id="629" w:name="pg2359_23584"/>
    </w:p>
    <w:p>
      <w:pPr>
        <w:pStyle w:val="BookText"/>
        <w:rPr/>
      </w:pPr>
      <w:bookmarkEnd w:id="629"/>
      <w:r>
        <w:rPr>
          <w:rFonts w:ascii="IRNazanin" w:hAnsi="IRNazanin" w:eastAsia="IRNazanin"/>
          <w:color w:val="111111"/>
          <w:sz w:val="28"/>
          <w:sz w:val="28"/>
          <w:szCs w:val="28"/>
          <w:rtl w:val="true"/>
          <w:lang w:bidi="fa-IR"/>
        </w:rPr>
        <w:t>استماع قهري حمل كنيم؛ زيرا معمولاً اين‌طور است كه كسي علم ندارد كه بناست در آن مجلس غيبتي محقّق شود تا از آن نهي كند يا از مجلس بيرون برود، بلكه بعد از اين‌كه غيبت محقّق شد مي‌فهمد غيبت شده است، لذا روايت مي‌فرمايد اگر قهراً غيبتي شنيد بايد آن را رد كند</w:t>
      </w:r>
      <w:r>
        <w:rPr>
          <w:rFonts w:eastAsia="IRNazanin" w:cs="IRNazanin"/>
          <w:color w:val="111111"/>
          <w:sz w:val="28"/>
          <w:szCs w:val="28"/>
          <w:rtl w:val="true"/>
          <w:lang w:bidi="fa-IR"/>
        </w:rPr>
        <w:t>.</w:t>
      </w:r>
    </w:p>
    <w:p>
      <w:pPr>
        <w:pStyle w:val="Heading5"/>
        <w:numPr>
          <w:ilvl w:val="4"/>
          <w:numId w:val="1"/>
        </w:numPr>
        <w:rPr/>
      </w:pPr>
      <w:bookmarkStart w:id="630" w:name="__RefHeading___Toc2770657_3804643083"/>
      <w:bookmarkStart w:id="631" w:name="_Toc239"/>
      <w:bookmarkEnd w:id="630"/>
      <w:r>
        <w:rPr>
          <w:rtl w:val="true"/>
        </w:rPr>
        <w:t>بررسي مناقشه‌ي سيّد خويي</w:t>
      </w:r>
      <w:r>
        <w:rPr>
          <w:rtl w:val="true"/>
        </w:rPr>
        <w:t xml:space="preserve">- </w:t>
      </w:r>
      <w:r>
        <w:rPr>
          <w:rtl w:val="true"/>
        </w:rPr>
        <w:t xml:space="preserve">قدس سره </w:t>
      </w:r>
      <w:r>
        <w:rPr>
          <w:rtl w:val="true"/>
        </w:rPr>
        <w:t xml:space="preserve">- </w:t>
      </w:r>
      <w:r>
        <w:rPr>
          <w:rtl w:val="true"/>
        </w:rPr>
        <w:t>در حمل ذيل روايت بر سماع قهري</w:t>
      </w:r>
      <w:bookmarkEnd w:id="631"/>
    </w:p>
    <w:p>
      <w:pPr>
        <w:pStyle w:val="Heading6"/>
        <w:numPr>
          <w:ilvl w:val="5"/>
          <w:numId w:val="1"/>
        </w:numPr>
        <w:rPr/>
      </w:pPr>
      <w:bookmarkStart w:id="632" w:name="__RefHeading___Toc2770659_3804643083"/>
      <w:bookmarkStart w:id="633" w:name="_Toc240"/>
      <w:bookmarkEnd w:id="632"/>
      <w:r>
        <w:rPr>
          <w:rtl w:val="true"/>
        </w:rPr>
        <w:t>اشاره</w:t>
      </w:r>
      <w:bookmarkEnd w:id="633"/>
    </w:p>
    <w:p>
      <w:pPr>
        <w:pStyle w:val="BookText"/>
        <w:rPr/>
      </w:pPr>
      <w:r>
        <w:rPr>
          <w:rFonts w:ascii="IRNazanin" w:hAnsi="IRNazanin" w:eastAsia="IRNazanin"/>
          <w:color w:val="111111"/>
          <w:sz w:val="28"/>
          <w:sz w:val="28"/>
          <w:szCs w:val="28"/>
          <w:rtl w:val="true"/>
          <w:lang w:bidi="fa-IR"/>
        </w:rPr>
        <w:t>سيّد خويي كه بر استدلال به روايت مناهي مناقشه دارد، اين جمع را نمي‌پذيرد و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حملها علي السماع القهري خلاف الظاهر منها على أنه أمر نادر</w:t>
      </w:r>
      <w:r>
        <w:rPr>
          <w:rFonts w:eastAsia="IRNazanin" w:cs="IRNazanin"/>
          <w:color w:val="111111"/>
          <w:sz w:val="28"/>
          <w:szCs w:val="28"/>
          <w:rtl w:val="true"/>
          <w:lang w:bidi="fa-IR"/>
        </w:rPr>
        <w:t>»</w:t>
      </w:r>
      <w:r>
        <w:rPr>
          <w:rStyle w:val="FootnoteAnchor"/>
          <w:rtl w:val="true"/>
        </w:rPr>
        <w:footnoteReference w:id="428"/>
      </w:r>
      <w:r>
        <w:rPr>
          <w:rFonts w:ascii="Amiri" w:hAnsi="Amiri" w:eastAsia="Amiri" w:cs="Amiri"/>
          <w:color w:val="111111"/>
          <w:sz w:val="28"/>
          <w:sz w:val="28"/>
          <w:szCs w:val="28"/>
          <w:rtl w:val="true"/>
          <w:lang w:bidi="ar-SA"/>
        </w:rPr>
        <w:t>حمل ذيل روايت بر سماع قهري، خلاف ظاهر آن است و امر نادري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 اين كلام سيّد خويي درست نيست و خلاف وجدان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حضرت فرمودند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 مَنْ تَطَوَّلَ عَلَى أَخِيهِ فِي غِيبَةٍ سَمِعَهَا فِيهِ فِي مَجْلِسٍ فَرَدَّهَا عَنْهُ رَدَّ اللَّهُ عَنْهُ أَلْفَ بَابٍ مِنَ الشَّرِّ فِي الدُّنْيَا وَ الْآخِرَةِ فَإِنْ هُوَ لَمْ يَرُدَّهَا وَ هُوَ قَادِرٌ عَلَى رَدِّهَا كَانَ عَلَيْهِ كَوِزْرِ مَنِ اغْتَابَهُ سَبْعِينَ مَرَّةً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حمل بر سماع قهري، خلاف ظاهر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مي‌فرماييد سماع قهري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برعكس، در مجالسي كه</w:t>
      </w:r>
    </w:p>
    <w:p>
      <w:pPr>
        <w:pStyle w:val="BookText"/>
        <w:rPr/>
      </w:pPr>
      <w:r>
        <w:rPr>
          <w:rFonts w:ascii="IRNazanin" w:hAnsi="IRNazanin" w:eastAsia="IRNazanin"/>
          <w:color w:val="111111"/>
          <w:sz w:val="28"/>
          <w:sz w:val="28"/>
          <w:szCs w:val="28"/>
          <w:rtl w:val="true"/>
          <w:lang w:bidi="fa-IR"/>
        </w:rPr>
        <w:t>متدينين هستند معمولاً اين‌چنين است و بدون اين‌كه انسان انتظار غيبت را داشته باشد شخصي شروع به غيبت مي‌كند و سامع در برابر عمل انجام شده قرار 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حمل بر سماع قهري نه خلاف ظاهر است و نه نادر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اين خلاف ذوق عرفي است كه بگوييم شنيدن غيبت جايز است امّا بعد از شنيدن بايد 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رد كردن و دفاع از آبروي مؤمن بعد از گفته شدنش واجب باشد، از اوّل مانع ريخته شدن آبروي مؤمن شود كه بهتر</w:t>
      </w:r>
      <w:r>
        <w:rPr>
          <w:rStyle w:val="FootnoteAnchor"/>
          <w:rtl w:val="true"/>
        </w:rPr>
        <w:footnoteReference w:id="429"/>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ذوق عرفي اين را نمي‌پسندد كه بگوييم شنيدن غيبت جايز است ولي بعد از شنيدن لازم است رد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نيست كه هميشه ترك مجلس غيبت و حتّي نهي از غيبت نسبت به شنيدن و ردّ آن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بعضي موارد، شنيدن و رد كردن بيشتر باعث حفظ آبروي مؤمن مي‌شود تا اين‌كه مجلس را ترك كند و در غياب او هتك حرمت واقع شود، بلكه اگر بماند و غيبت را بشنود سپس رد كند و از او دفاع كند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بگوييم رواياتِ وجوب ردّ غيبت، دالّ بر جواز استماع غيبت براي ردّ آن است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مواردي واقعاً اين‌طور باشد كه مصلحتِ ماندن، شنيدن و ردّ غيبت، بالاتر از مفسده‌ي شنيدن آن باشد و طريق مصلحت اقوي منحصر در همين راه بود، مي‌توانيم بگوييم از باب تزاحم مقدّم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 در موارد خاص و نادري است و</w:t>
      </w:r>
      <w:bookmarkStart w:id="634" w:name="pg2359_23586"/>
    </w:p>
    <w:p>
      <w:pPr>
        <w:pStyle w:val="BookText"/>
        <w:rPr/>
      </w:pPr>
      <w:bookmarkEnd w:id="634"/>
      <w:r>
        <w:rPr>
          <w:rFonts w:ascii="Amiri" w:hAnsi="Amiri" w:eastAsia="Amiri" w:cs="Amiri"/>
          <w:color w:val="111111"/>
          <w:sz w:val="28"/>
          <w:sz w:val="28"/>
          <w:szCs w:val="28"/>
          <w:rtl w:val="true"/>
          <w:lang w:bidi="ar-SA"/>
        </w:rPr>
        <w:t>نمي‌توانيم اين روايت را مخصّص روايات دالّ بر حرمت استماع بدانيم</w:t>
      </w:r>
      <w:r>
        <w:rPr>
          <w:rFonts w:eastAsia="Amiri" w:cs="Amiri" w:ascii="Amiri" w:hAnsi="Amiri"/>
          <w:color w:val="111111"/>
          <w:sz w:val="28"/>
          <w:szCs w:val="28"/>
          <w:rtl w:val="true"/>
          <w:lang w:bidi="ar-SA"/>
        </w:rPr>
        <w:t>.</w:t>
      </w:r>
    </w:p>
    <w:p>
      <w:pPr>
        <w:pStyle w:val="Heading6"/>
        <w:numPr>
          <w:ilvl w:val="5"/>
          <w:numId w:val="1"/>
        </w:numPr>
        <w:rPr/>
      </w:pPr>
      <w:bookmarkStart w:id="635" w:name="__RefHeading___Toc2770661_3804643083"/>
      <w:bookmarkStart w:id="636" w:name="_Toc241"/>
      <w:bookmarkEnd w:id="635"/>
      <w:r>
        <w:rPr>
          <w:rtl w:val="true"/>
        </w:rPr>
        <w:t>اشكال ديگري بر استدلال به حديث مناهي براي اثبات جواز استماع غيبت</w:t>
      </w:r>
      <w:bookmarkEnd w:id="636"/>
    </w:p>
    <w:p>
      <w:pPr>
        <w:pStyle w:val="BookText"/>
        <w:rPr/>
      </w:pPr>
      <w:r>
        <w:rPr>
          <w:rFonts w:ascii="IRNazanin" w:hAnsi="IRNazanin" w:eastAsia="IRNazanin"/>
          <w:color w:val="111111"/>
          <w:sz w:val="28"/>
          <w:sz w:val="28"/>
          <w:szCs w:val="28"/>
          <w:rtl w:val="true"/>
          <w:lang w:bidi="fa-IR"/>
        </w:rPr>
        <w:t>بعضي اشكال ديگري بر استدلال به حديث مناهي وارد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مشتمل بر نهي‌هاي تنزيهي، امور مستحبي و اخلاقي است</w:t>
      </w:r>
      <w:r>
        <w:rPr>
          <w:rStyle w:val="FootnoteAnchor"/>
          <w:rtl w:val="true"/>
        </w:rPr>
        <w:footnoteReference w:id="4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خصوص غيبت هم مي‌فرمايد باعث بطلان صوم و نقض وضو مي‌شود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عَنِ الْغِيبَةِ وَ قَالَ مَنِ اغْتَابَ امْرَأً مُسْلِماً بَطَلَ صَوْمُهُ وَ نُقِضَ وُضُوؤُهُ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حضرت مي‌فرمايد غيبت موجب بطلان صوم و نقض وضو مي‌شود، مقصود اين است كه كمال صوم و كمال وضو از بين مي‌رود و از اين‌جا معلوم مي‌شود آن نهيي كه حضرت در ابتدا فرمودند هم، نهي تنزيهي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دالّ بر كراهت است نه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بين بردن كمال صوم يا وضو امر حرامي نيست، به همين نسبت، آن‌چه كه باعث آن مي‌شود نيز حرام نخواهد بود</w:t>
      </w:r>
      <w:r>
        <w:rPr>
          <w:rFonts w:eastAsia="IRNazanin" w:cs="IRNazanin"/>
          <w:color w:val="111111"/>
          <w:sz w:val="28"/>
          <w:szCs w:val="28"/>
          <w:rtl w:val="true"/>
          <w:lang w:bidi="fa-IR"/>
        </w:rPr>
        <w:t>.</w:t>
      </w:r>
      <w:bookmarkStart w:id="637" w:name="pg2359_23587"/>
    </w:p>
    <w:p>
      <w:pPr>
        <w:pStyle w:val="Heading6"/>
        <w:numPr>
          <w:ilvl w:val="5"/>
          <w:numId w:val="1"/>
        </w:numPr>
        <w:rPr/>
      </w:pPr>
      <w:bookmarkStart w:id="638" w:name="__RefHeading___Toc2770663_3804643083"/>
      <w:bookmarkStart w:id="639" w:name="_Toc242"/>
      <w:bookmarkEnd w:id="637"/>
      <w:bookmarkEnd w:id="638"/>
      <w:r>
        <w:rPr>
          <w:rtl w:val="true"/>
        </w:rPr>
        <w:t>نقد اين اشكال</w:t>
      </w:r>
      <w:bookmarkEnd w:id="639"/>
    </w:p>
    <w:p>
      <w:pPr>
        <w:pStyle w:val="BookText"/>
        <w:rPr/>
      </w:pPr>
      <w:r>
        <w:rPr>
          <w:rFonts w:ascii="Amiri" w:hAnsi="Amiri" w:eastAsia="Amiri" w:cs="Amiri"/>
          <w:color w:val="111111"/>
          <w:sz w:val="28"/>
          <w:sz w:val="28"/>
          <w:szCs w:val="28"/>
          <w:rtl w:val="true"/>
          <w:lang w:bidi="ar-SA"/>
        </w:rPr>
        <w:t>جواب اين اشكال روشن است؛ زيرا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نهي‌هايي كه در حديث مناهي وجود دارد از روايات مختلف جمع‌آوري شده است و ذيل آن نمي‌تواند قرينه بر صدر يا بالعكس 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بنابراين نهيِ از استماع غيبت بر ظهور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 تحريمي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فرضِ اين‌كه تمامي روايت در يك مجلس باشد، بارها گفته‌ايم اگر در جمله‌اي با نهي‌هاي متوالي علم داشتيم يكي از نهي‌ها تنزيهي است، دليل نمي‌شود كه بقيّه‌ي نهي‌ها را هم بر همان حمل كنيم و بگوييم تنزيهي است، بلكه بر همان ظهور خود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باقي مي‌ماند</w:t>
      </w:r>
      <w:r>
        <w:rPr>
          <w:rFonts w:eastAsia="IRNazanin" w:cs="IRNazanin"/>
          <w:color w:val="111111"/>
          <w:sz w:val="28"/>
          <w:szCs w:val="28"/>
          <w:rtl w:val="true"/>
          <w:lang w:bidi="fa-IR"/>
        </w:rPr>
        <w:t>.</w:t>
      </w:r>
    </w:p>
    <w:p>
      <w:pPr>
        <w:pStyle w:val="Heading6"/>
        <w:numPr>
          <w:ilvl w:val="5"/>
          <w:numId w:val="1"/>
        </w:numPr>
        <w:rPr/>
      </w:pPr>
      <w:bookmarkStart w:id="640" w:name="__RefHeading___Toc2770665_3804643083"/>
      <w:bookmarkStart w:id="641" w:name="_Toc243"/>
      <w:bookmarkEnd w:id="640"/>
      <w:r>
        <w:rPr>
          <w:rtl w:val="true"/>
        </w:rPr>
        <w:t>بررسي سند حديث مناهي</w:t>
      </w:r>
      <w:bookmarkEnd w:id="641"/>
    </w:p>
    <w:p>
      <w:pPr>
        <w:pStyle w:val="BookText"/>
        <w:rPr/>
      </w:pPr>
      <w:r>
        <w:rPr>
          <w:rFonts w:ascii="Amiri" w:hAnsi="Amiri" w:eastAsia="Amiri" w:cs="Amiri"/>
          <w:color w:val="111111"/>
          <w:sz w:val="28"/>
          <w:sz w:val="28"/>
          <w:szCs w:val="28"/>
          <w:rtl w:val="true"/>
          <w:lang w:bidi="ar-SA"/>
        </w:rPr>
        <w:t xml:space="preserve">سند شيخ صدوق در من لايحضره الفقيه به خاطر بعضي روات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شعيب بن واقد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 است</w:t>
      </w:r>
      <w:r>
        <w:rPr>
          <w:rFonts w:eastAsia="Amiri" w:cs="Amiri" w:ascii="Amiri" w:hAnsi="Amiri"/>
          <w:color w:val="111111"/>
          <w:sz w:val="28"/>
          <w:szCs w:val="28"/>
          <w:rtl w:val="true"/>
          <w:lang w:bidi="ar-SA"/>
        </w:rPr>
        <w:t>.</w:t>
      </w:r>
    </w:p>
    <w:p>
      <w:pPr>
        <w:pStyle w:val="Heading4"/>
        <w:numPr>
          <w:ilvl w:val="3"/>
          <w:numId w:val="1"/>
        </w:numPr>
        <w:rPr/>
      </w:pPr>
      <w:bookmarkStart w:id="642" w:name="__RefHeading___Toc2770667_3804643083"/>
      <w:bookmarkStart w:id="643" w:name="_Toc244"/>
      <w:bookmarkEnd w:id="642"/>
      <w:r>
        <w:rPr/>
        <w:t>6</w:t>
      </w:r>
      <w:r>
        <w:rPr>
          <w:rtl w:val="true"/>
        </w:rPr>
        <w:t xml:space="preserve">. </w:t>
      </w:r>
      <w:r>
        <w:rPr>
          <w:rtl w:val="true"/>
        </w:rPr>
        <w:t>روايت شهيد ثاني</w:t>
      </w:r>
      <w:r>
        <w:rPr>
          <w:rtl w:val="true"/>
        </w:rPr>
        <w:t xml:space="preserve">- </w:t>
      </w:r>
      <w:r>
        <w:rPr>
          <w:rtl w:val="true"/>
        </w:rPr>
        <w:t xml:space="preserve">قدس سره </w:t>
      </w:r>
      <w:r>
        <w:rPr>
          <w:rtl w:val="true"/>
        </w:rPr>
        <w:t xml:space="preserve">- </w:t>
      </w:r>
      <w:r>
        <w:rPr>
          <w:rtl w:val="true"/>
        </w:rPr>
        <w:t>در كشف الريبة</w:t>
      </w:r>
      <w:bookmarkEnd w:id="643"/>
    </w:p>
    <w:p>
      <w:pPr>
        <w:pStyle w:val="Heading5"/>
        <w:numPr>
          <w:ilvl w:val="4"/>
          <w:numId w:val="1"/>
        </w:numPr>
        <w:rPr/>
      </w:pPr>
      <w:bookmarkStart w:id="644" w:name="__RefHeading___Toc2770669_3804643083"/>
      <w:bookmarkStart w:id="645" w:name="_Toc245"/>
      <w:bookmarkEnd w:id="644"/>
      <w:r>
        <w:rPr>
          <w:rtl w:val="true"/>
        </w:rPr>
        <w:t>اشاره</w:t>
      </w:r>
      <w:bookmarkEnd w:id="645"/>
    </w:p>
    <w:p>
      <w:pPr>
        <w:pStyle w:val="BookText"/>
        <w:rPr/>
      </w:pPr>
      <w:r>
        <w:rPr>
          <w:rFonts w:ascii="Amiri" w:hAnsi="Amiri" w:eastAsia="Amiri" w:cs="Amiri"/>
          <w:color w:val="111111"/>
          <w:sz w:val="28"/>
          <w:sz w:val="28"/>
          <w:szCs w:val="28"/>
          <w:rtl w:val="true"/>
          <w:lang w:bidi="ar-SA"/>
        </w:rPr>
        <w:t>لمّا رجم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في الزنا، قال رجل لمصالحيه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اقعص</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در نفريني هم كه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زبير كردند، از كلمه‌ي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قعص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كردند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أَقْعِصِ الزُّبَيْرَ بِشَرِّ قِتْلَةٍ وَ اسْفِكْ دَمَهُ عَلَى ضَلَالَةٍ وَ عَرِّفْ طَلْحَةَ الْمَذَلَّةَ وَ ادَّخِرْ لَهُمَا فِي الْآخِرَةِ شَرّاً مِنْ ذَلِكَ إِنْ كَانَا ظَلَمَانِي وَ افْتَرَيَا عَلَيَّ وَ كَتَمَا شَهَادَتَهُمَا وَ عَصَيَاكَ وَ عَصَيَا رَسُولَكَ 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دعاي حضرت مستجاب شد و شخصي زبير را با ضربتي كشت و سرش را جدا كرد</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يقعص الكلب،</w:t>
      </w:r>
    </w:p>
    <w:p>
      <w:pPr>
        <w:pStyle w:val="BookText"/>
        <w:rPr/>
      </w:pPr>
      <w:r>
        <w:rPr>
          <w:rFonts w:ascii="Amiri" w:hAnsi="Amiri" w:eastAsia="Amiri" w:cs="Amiri"/>
          <w:color w:val="111111"/>
          <w:sz w:val="28"/>
          <w:sz w:val="28"/>
          <w:szCs w:val="28"/>
          <w:rtl w:val="true"/>
          <w:lang w:bidi="ar-SA"/>
        </w:rPr>
        <w:t>فمرّ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معهما بجيفة</w:t>
      </w:r>
      <w:r>
        <w:rPr>
          <w:rStyle w:val="FootnoteAnchor"/>
          <w:rtl w:val="true"/>
        </w:rPr>
        <w:footnoteReference w:id="432"/>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أنهشا</w:t>
      </w:r>
      <w:r>
        <w:rPr>
          <w:rStyle w:val="FootnoteAnchor"/>
          <w:rtl w:val="true"/>
        </w:rPr>
        <w:footnoteReference w:id="433"/>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ننهش جيفة؟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أصبتما من أخيكما أنتن من هذه</w:t>
      </w:r>
      <w:r>
        <w:rPr>
          <w:rFonts w:eastAsia="Amiri" w:cs="Amiri" w:ascii="Amiri" w:hAnsi="Amiri"/>
          <w:color w:val="111111"/>
          <w:sz w:val="28"/>
          <w:szCs w:val="28"/>
          <w:rtl w:val="true"/>
          <w:lang w:bidi="ar-SA"/>
        </w:rPr>
        <w:t>»</w:t>
      </w:r>
      <w:r>
        <w:rPr>
          <w:rStyle w:val="FootnoteAnchor"/>
          <w:rtl w:val="true"/>
        </w:rPr>
        <w:footnoteReference w:id="434"/>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زماني‌كه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 زناكار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ماعز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رجم كرد، شخصي به همراهش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رجم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 مُرد مثل اين‌كه سگ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همراه آن دو نفر به لاشه‌اي عبور كردند، حضرت به آن دو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لاشه گاز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لاشه دندان بزنيم؟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كه از ناحيه‌ي برادر شما به شما رسيده است بدبوتر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646" w:name="pg2359_23589"/>
    </w:p>
    <w:p>
      <w:pPr>
        <w:pStyle w:val="Heading5"/>
        <w:numPr>
          <w:ilvl w:val="4"/>
          <w:numId w:val="1"/>
        </w:numPr>
        <w:rPr/>
      </w:pPr>
      <w:bookmarkStart w:id="647" w:name="__RefHeading___Toc2770671_3804643083"/>
      <w:bookmarkStart w:id="648" w:name="_Toc246"/>
      <w:bookmarkEnd w:id="646"/>
      <w:bookmarkEnd w:id="647"/>
      <w:r>
        <w:rPr>
          <w:rtl w:val="true"/>
        </w:rPr>
        <w:t>نحوه‌ي استدلال شهيد ثاني</w:t>
      </w:r>
      <w:r>
        <w:rPr>
          <w:rtl w:val="true"/>
        </w:rPr>
        <w:t xml:space="preserve">- </w:t>
      </w:r>
      <w:r>
        <w:rPr>
          <w:rtl w:val="true"/>
        </w:rPr>
        <w:t xml:space="preserve">قدس سره </w:t>
      </w:r>
      <w:r>
        <w:rPr>
          <w:rtl w:val="true"/>
        </w:rPr>
        <w:t xml:space="preserve">- </w:t>
      </w:r>
      <w:r>
        <w:rPr>
          <w:rtl w:val="true"/>
        </w:rPr>
        <w:t>به اين روايت</w:t>
      </w:r>
      <w:bookmarkEnd w:id="648"/>
    </w:p>
    <w:p>
      <w:pPr>
        <w:pStyle w:val="BookText"/>
        <w:rPr/>
      </w:pPr>
      <w:r>
        <w:rPr>
          <w:rFonts w:ascii="IRNazanin" w:hAnsi="IRNazanin" w:eastAsia="IRNazanin"/>
          <w:color w:val="111111"/>
          <w:sz w:val="28"/>
          <w:sz w:val="28"/>
          <w:szCs w:val="28"/>
          <w:rtl w:val="true"/>
          <w:lang w:bidi="fa-IR"/>
        </w:rPr>
        <w:t>شهيد 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به اين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فقط يك نفر غيبت كرده بود و ديگري تنها مستمع بود، امّا حضرت خطاب به هر دو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أصبتما من أخيكما أنتن من هذه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معلوم مي‌شود كه سامع هم مثل ذاكر مرتكب گناه شده است، پس استماع غيبت حرام است</w:t>
      </w:r>
      <w:r>
        <w:rPr>
          <w:rFonts w:eastAsia="IRNazanin" w:cs="IRNazanin"/>
          <w:color w:val="111111"/>
          <w:sz w:val="28"/>
          <w:szCs w:val="28"/>
          <w:rtl w:val="true"/>
          <w:lang w:bidi="fa-IR"/>
        </w:rPr>
        <w:t>.</w:t>
      </w:r>
    </w:p>
    <w:p>
      <w:pPr>
        <w:pStyle w:val="Heading5"/>
        <w:numPr>
          <w:ilvl w:val="4"/>
          <w:numId w:val="1"/>
        </w:numPr>
        <w:rPr/>
      </w:pPr>
      <w:bookmarkStart w:id="649" w:name="__RefHeading___Toc2770673_3804643083"/>
      <w:bookmarkStart w:id="650" w:name="_Toc247"/>
      <w:bookmarkEnd w:id="649"/>
      <w:r>
        <w:rPr>
          <w:rtl w:val="true"/>
        </w:rPr>
        <w:t>نقد استدلال شهيد ثاني</w:t>
      </w:r>
      <w:r>
        <w:rPr>
          <w:rtl w:val="true"/>
        </w:rPr>
        <w:t xml:space="preserve">- </w:t>
      </w:r>
      <w:r>
        <w:rPr>
          <w:rtl w:val="true"/>
        </w:rPr>
        <w:t xml:space="preserve">قدس سره </w:t>
      </w:r>
      <w:r>
        <w:rPr>
          <w:rtl w:val="true"/>
        </w:rPr>
        <w:t>-</w:t>
      </w:r>
      <w:bookmarkEnd w:id="650"/>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ربطي به مسأله‌ي غيبت ندارد؛ چون وقتي كسي در ملأ عام رجم مي‌شود عيبش مستور نيست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گفتن آن صدق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حد خوردن كسي هم غيبت محسوب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توبيخ حضرت از بابت غيبت نبود، بلكه به جهت تنقيص نابجايي بود كه از آن شخص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هيچ يك از مجامع حديثي شيعه نقل نشده است و روايت عاميّه‌اي است كه معلوم نيست حتّي نزد آن‌ها هم سند درستي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روايت هيچ حجّيتي ندارد</w:t>
      </w:r>
      <w:r>
        <w:rPr>
          <w:rFonts w:eastAsia="IRNazanin" w:cs="IRNazanin"/>
          <w:color w:val="111111"/>
          <w:sz w:val="28"/>
          <w:szCs w:val="28"/>
          <w:rtl w:val="true"/>
          <w:lang w:bidi="fa-IR"/>
        </w:rPr>
        <w:t>.</w:t>
      </w:r>
    </w:p>
    <w:p>
      <w:pPr>
        <w:pStyle w:val="Heading4"/>
        <w:numPr>
          <w:ilvl w:val="3"/>
          <w:numId w:val="1"/>
        </w:numPr>
        <w:rPr/>
      </w:pPr>
      <w:bookmarkStart w:id="651" w:name="__RefHeading___Toc2770675_3804643083"/>
      <w:bookmarkStart w:id="652" w:name="_Toc248"/>
      <w:bookmarkEnd w:id="651"/>
      <w:r>
        <w:rPr/>
        <w:t>7</w:t>
      </w:r>
      <w:r>
        <w:rPr>
          <w:rtl w:val="true"/>
        </w:rPr>
        <w:t xml:space="preserve">. </w:t>
      </w:r>
      <w:r>
        <w:rPr>
          <w:rtl w:val="true"/>
        </w:rPr>
        <w:t>روايات دالّ بر لزوم ردّ غيبت</w:t>
      </w:r>
      <w:bookmarkEnd w:id="652"/>
    </w:p>
    <w:p>
      <w:pPr>
        <w:pStyle w:val="Heading5"/>
        <w:numPr>
          <w:ilvl w:val="4"/>
          <w:numId w:val="1"/>
        </w:numPr>
        <w:rPr/>
      </w:pPr>
      <w:bookmarkStart w:id="653" w:name="__RefHeading___Toc2770677_3804643083"/>
      <w:bookmarkStart w:id="654" w:name="_Toc249"/>
      <w:bookmarkEnd w:id="653"/>
      <w:r>
        <w:rPr>
          <w:rtl w:val="true"/>
        </w:rPr>
        <w:t>اشاره</w:t>
      </w:r>
      <w:bookmarkEnd w:id="654"/>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بعضي مدّعي‌اند منظور مرحوم شيخ از اين‌كه اخبار كثيره‌اي بر حرمت استماع غيبت دلالت مي‌كند، روايات دالّ بر لزوم ردّ غيبت است؛ يعني مرحوم شيخ از اين روايات، استفاده‌ي حرمت استماع غيبت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در مقابل، بعضي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نه تنها دالّ بر حرمت استماع غيبت نيست، بلكه اگر روايات ديگري دالّ بر حرمت استماع غيبت باشد، اين روايات آن‌ها را تخصيص زده و بيان مي‌كند استماعي كه مقرون به ردّ باشد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اين نظر فتوا هم داده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استماع غيبت اگر براي ردّ آن باشد حرمتي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روايات از أهمّيت بالايي برخوردار است، هم از حيث اين‌كه آيا دلالت بر حرمت استماع غيبت مي‌كند يا نه؟ و هم از حيث اين‌كه اگر از ادلّه‌ي ديگر استفاده‌ي حرمت استماع غيبت شود، آيا مضاف به دلالت آن‌ها بر لزوم ردّ غيبت، مي‌تواند آن ادلّه را تخصيص بزند يا نه؟</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روايات در كتاب شريف وسائل الشيعة، كتاب الحج، ابواب احكام العشرة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اين‌كه اين روايات در كتاب الحج قرار گرفته اين است كه گاهي فقها ـ شكّر الله مساعيهم ـ بعضي مسائل را به مناسبت ذكر مي‌كنند و كتاب جداگانه‌اي براي آن قرار نمي‌دهند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در مورد موضوع مكان، كتابي در فقه در عرض كتاب‌هاي ديگر مثل كتاب الطهارة، كتاب الصلاة، كتاب الصوم، كتاب الحج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اين‌طور هم نيست كه مورد غفلت قرار گرفته باشد، بلكه به مناسبت در كتاب الصلاة وقتي بحث مكان مصلّي مطرح مي‌شود موضوع مطلق مكان هم مورد بحث قرار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باب لباس مصلّي، به مناسبت، بحث مطلق لباس هم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بحث غسل</w:t>
      </w:r>
    </w:p>
    <w:p>
      <w:pPr>
        <w:pStyle w:val="BookText"/>
        <w:rPr/>
      </w:pPr>
      <w:r>
        <w:rPr>
          <w:rFonts w:ascii="Amiri" w:hAnsi="Amiri" w:eastAsia="Amiri" w:cs="Amiri"/>
          <w:color w:val="111111"/>
          <w:sz w:val="28"/>
          <w:sz w:val="28"/>
          <w:szCs w:val="28"/>
          <w:rtl w:val="true"/>
          <w:lang w:bidi="ar-SA"/>
        </w:rPr>
        <w:t xml:space="preserve">ميّت و احكام ميّت، به مناسبت، بحث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عيادت مريض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مطرح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همين‌طور در بحث سلام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آداب و احكام مطلق 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بحث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مباحثي كه در ابواب فقه بالمناسبة مطرح شده،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در كتاب الحج گنجانده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كيفيت 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كتاب الحج اين است كه براي انجام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و به همين مناسبت احكام سفر را هم در كتاب الحج ذكر كرده‌اند و از آن‌جايي كه سفر معمولاً همراه قافله است و نوعي معاشرت با ديگران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مطرح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كتب فقهي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احكام العشرة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الحج مورد بحث قرار گرفته است</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كتاب شريف وسائل الشيعه كه به ترتيبِ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شرايع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تنظيم شده است، هر جا در كتاب شرايع بحثي به مناسبت ذكر شده، در وسائل الشيعه هم همين روش به كار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اين‌كه كتاب شريف تهذيب الاحكام شيخ طوسي هم بر غِرار و ترتيب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 شيخ مفيد نگاشته شده و در واقع شرح و مستند براي مقنعه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ابواب احكام العِشرة، بابي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ردّ غيبة المؤمن و تحريم سماعها بدون الرد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 اين مطلب هم لازم است كه هر جا حكم مسأله‌اي براي صاحب وسائل مشخص و محرز بوده، صريح فتوا داده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وجوب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باب حرمت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اگر جايي حكم مسأله براي ايشان واضح نبوده،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حكم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اين‌كه در اين‌جا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 وجوب ردّ غيبة المؤمن و تحريم سماعها بدون 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كه حكم مسأله براي ايشان واضح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رواياتي كه در اين باب ذكر شده را يكايك مورد بررسي قرار مي‌دهيم تا ببينيم آيا دالّ بر حرمت استماع غيبت است يا نه؟ و در صورت عدم دلالت بر حرمت استماع غيبت، آيا مي‌تواند مخصّص ادلّه‌ي حرمت استماع غيبت باشد يا نه؟</w:t>
      </w:r>
    </w:p>
    <w:p>
      <w:pPr>
        <w:pStyle w:val="BookText"/>
        <w:rPr/>
      </w:pPr>
      <w:r>
        <w:rPr>
          <w:rFonts w:ascii="Amiri" w:hAnsi="Amiri" w:eastAsia="Amiri" w:cs="Amiri"/>
          <w:color w:val="111111"/>
          <w:sz w:val="28"/>
          <w:sz w:val="28"/>
          <w:szCs w:val="28"/>
          <w:rtl w:val="true"/>
          <w:lang w:bidi="ar-SA"/>
        </w:rPr>
        <w:t>ـ روايت حمّاد بن عمرو و ابو أنس</w:t>
      </w:r>
    </w:p>
    <w:p>
      <w:pPr>
        <w:pStyle w:val="BookText"/>
        <w:rPr/>
      </w:pPr>
      <w:r>
        <w:rPr>
          <w:rFonts w:ascii="Amiri" w:hAnsi="Amiri" w:eastAsia="Amiri" w:cs="Amiri"/>
          <w:color w:val="111111"/>
          <w:sz w:val="28"/>
          <w:sz w:val="28"/>
          <w:szCs w:val="28"/>
          <w:rtl w:val="true"/>
          <w:lang w:bidi="ar-SA"/>
        </w:rPr>
        <w:t>مُحَمَّدُ بْنُ عَلِيِّ بْنِ الْحُسَيْنِ بِإِسْنَادِهِ عَنْ حَمَّادِ بْنِ عَمْرٍو وَ أَنَسِ بْنِ مُحَمَّدٍ عَنْ أَبِيهِ عَنْ جَعْفَرِ بْنِ مُحَمَّدٍ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عَلِيُّ مَنِ اغْتِيبَ عِنْدَهُ أَخُوهُ الْمُسْلِمُ فَاسْتَطَاعَ نَصْرَهُ فَلَمْ يَنْصُرْهُ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436"/>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نبي اكرم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وصيت خود به اميرالمؤمنين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 كه نزد او غيبت برادر مسلمانش شود و</w:t>
      </w:r>
    </w:p>
    <w:p>
      <w:pPr>
        <w:pStyle w:val="BookText"/>
        <w:rPr/>
      </w:pPr>
      <w:r>
        <w:rPr>
          <w:rFonts w:ascii="Amiri" w:hAnsi="Amiri" w:eastAsia="Amiri" w:cs="Amiri"/>
          <w:color w:val="111111"/>
          <w:sz w:val="28"/>
          <w:sz w:val="28"/>
          <w:szCs w:val="28"/>
          <w:rtl w:val="true"/>
          <w:lang w:bidi="ar-SA"/>
        </w:rPr>
        <w:t>بتواند او را ياري كند امّا ياري نكند، خداوند در دنيا و آخرت او را مورد خذلان قرار مي‌دهد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روايت از لحاظ سند به خاطر حمّاد بن عمرو و أنس بن محمّد و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اين روايت بر وجوب ردّ غيبت تمام است، امّا دلالتي بر حرمت استماع غيبت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دلالت ندارد اگر غيبتي مورد ردّ واقع شد استماع آن جايز است؛ چون در مقام بيان آن نيست، بلكه مي‌خواهد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نزد او غيبتي محقّق شد كه مي‌تواند دفاع كند ولي نكرد، مخذول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ابي الورد</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الْأَعْمَالِ وَ فِي عِقَابِ الْأَعْمَالِ عن مُحَمَّدُ بْنُ مُوسَى بْنِ الْمُتَوَكِّلِ عن عَبْدُ اللَّهِ بْنُ جَعْفَرٍ الْحِمْيَرِيُّ عَنْ مُحَمَّدِ بْنِ الْحُسَيْنِ بْنِ أَبِي الْخَطَّابِ عَنِ الْحَسَنِ بْنِ مَحْبُوبٍ عَنْ عَلِيِّ بْنِ رِئَابٍ عَنْ أَبِي الْوَرْدِ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اغْتِيبَ عِنْدَهُ أَخُوهُ الْمُؤْمِنُ فَنَصَرَهُ وَ أَعَانَهُ نَصَرَهُ اللَّهُ فِي الدُّنْيَا وَ الْآخِرَةِ وَ مَنِ اغْتِيبَ عِنْدَهُ أَخُوهُ الْمُؤْمِنُ فَلَمْ يَنْصُرْهُ وَ لَمْ يُعِنْهُ وَ لَمْ يَدْفَعْ عَنْهُ وَ هُوَ يَقْدِرُ عَلَى نُصْرَتِهِ وَ عَوْنِهِ إِلَّا خَفَضَهُ</w:t>
      </w:r>
      <w:r>
        <w:rPr>
          <w:rStyle w:val="FootnoteAnchor"/>
          <w:rtl w:val="true"/>
        </w:rPr>
        <w:footnoteReference w:id="437"/>
      </w:r>
      <w:r>
        <w:rPr>
          <w:rFonts w:ascii="Amiri" w:hAnsi="Amiri" w:eastAsia="Amiri" w:cs="Amiri"/>
          <w:color w:val="111111"/>
          <w:sz w:val="28"/>
          <w:sz w:val="28"/>
          <w:szCs w:val="28"/>
          <w:rtl w:val="true"/>
          <w:lang w:bidi="ar-SA"/>
        </w:rPr>
        <w:t>اللَّهُ فِي الدُّنْيَا وَ الْآخِرَةِ</w:t>
      </w:r>
      <w:r>
        <w:rPr>
          <w:rFonts w:eastAsia="Amiri" w:cs="Amiri" w:ascii="Amiri" w:hAnsi="Amiri"/>
          <w:color w:val="111111"/>
          <w:sz w:val="28"/>
          <w:szCs w:val="28"/>
          <w:rtl w:val="true"/>
          <w:lang w:bidi="ar-SA"/>
        </w:rPr>
        <w:t>»</w:t>
      </w:r>
      <w:r>
        <w:rPr>
          <w:rStyle w:val="FootnoteAnchor"/>
          <w:rtl w:val="true"/>
        </w:rPr>
        <w:footnoteReference w:id="438"/>
      </w:r>
    </w:p>
    <w:p>
      <w:pPr>
        <w:pStyle w:val="BookText"/>
        <w:rPr/>
      </w:pPr>
      <w:r>
        <w:rPr>
          <w:rFonts w:ascii="IRNazanin" w:hAnsi="IRNazanin" w:eastAsia="IRNazanin"/>
          <w:color w:val="111111"/>
          <w:sz w:val="28"/>
          <w:sz w:val="28"/>
          <w:szCs w:val="28"/>
          <w:rtl w:val="true"/>
          <w:lang w:bidi="fa-IR"/>
        </w:rPr>
        <w:t xml:space="preserve">ابوالورد از 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نزد او برادر مؤمنش مورد غيبت واقع شود و او ياريش كند، خداوند او را در دنيا و آخرت ياري مي‌كند، ولي اگر با اين‌كه مي‌تواند او را ياري و كمك كند ياري نكند و از او دفاع نكند، خداوند در دنيا و آخرت او را پايين مي‌كشد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اين روايت را كه هم شيخ صدوق و هم جناب برقي نقل كرده‌اند، از لحاظ سند به خاطر ابي الورد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دلالت روايت ابي الورد</w:t>
      </w:r>
    </w:p>
    <w:p>
      <w:pPr>
        <w:pStyle w:val="BookText"/>
        <w:rPr/>
      </w:pPr>
      <w:r>
        <w:rPr>
          <w:rFonts w:ascii="Amiri" w:hAnsi="Amiri" w:eastAsia="Amiri" w:cs="Amiri"/>
          <w:color w:val="111111"/>
          <w:sz w:val="28"/>
          <w:sz w:val="28"/>
          <w:szCs w:val="28"/>
          <w:rtl w:val="true"/>
          <w:lang w:bidi="ar-SA"/>
        </w:rPr>
        <w:t>دلالت اين روايت مانند روايت قبلي است، بلكه حتّي معلوم نيست دلالتي بر وجوب دفاع داشته باشد</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 دالّ بر رجحان دفاع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سكوني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ثَوَابِ الْأَعْمَالِ عَنْ أَبِيهِ عَنْ عَلِيِّ بْنِ إِبْرَاهِيمَ عَنْ أَبِيهِ عَنِ النَّوْفَلِيِّ عَنِ السَّكُونِيِّ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الْمُسْلِمِ وَجَبَتْ لَهُ الْجَنَّةُ الْبَتَّةَ</w:t>
      </w:r>
      <w:r>
        <w:rPr>
          <w:rFonts w:eastAsia="Amiri" w:cs="Amiri" w:ascii="Amiri" w:hAnsi="Amiri"/>
          <w:color w:val="111111"/>
          <w:sz w:val="28"/>
          <w:szCs w:val="28"/>
          <w:rtl w:val="true"/>
          <w:lang w:bidi="ar-SA"/>
        </w:rPr>
        <w:t>»</w:t>
      </w:r>
      <w:r>
        <w:rPr>
          <w:rStyle w:val="FootnoteAnchor"/>
          <w:rtl w:val="true"/>
        </w:rPr>
        <w:footnoteReference w:id="440"/>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سكوني از امام 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مي‌كند كه حضرت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 كه از آبروي برادر مسلمانش رد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دفاع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بهشت هرآينه بر او واجب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IRNazanin" w:hAnsi="IRNazanin" w:eastAsia="IRNazanin"/>
          <w:color w:val="111111"/>
          <w:sz w:val="28"/>
          <w:sz w:val="28"/>
          <w:szCs w:val="28"/>
          <w:rtl w:val="true"/>
          <w:lang w:bidi="fa-IR"/>
        </w:rPr>
        <w:t>اين روايت از لحاظ سند به خاطر نوفلي ـ هرچند بعضي او را توثيق مي‌كنند ـ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روايت سكوني</w:t>
      </w:r>
    </w:p>
    <w:p>
      <w:pPr>
        <w:pStyle w:val="BookText"/>
        <w:rPr/>
      </w:pPr>
      <w:r>
        <w:rPr>
          <w:rFonts w:ascii="IRNazanin" w:hAnsi="IRNazanin" w:eastAsia="IRNazanin"/>
          <w:color w:val="111111"/>
          <w:sz w:val="28"/>
          <w:sz w:val="28"/>
          <w:szCs w:val="28"/>
          <w:rtl w:val="true"/>
          <w:lang w:bidi="fa-IR"/>
        </w:rPr>
        <w:t>اين روايت نه دالّ بر وجوب رد است، نه دالّ بر جواز استماع غيبت در صورت ردّ آن است و نه دالّ بر حرمت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چيزي كه از اين روايت استفاده مي‌شود آن است كه اگر كسي ردّ غيبت كند بهشت بر او واجب مي‌شود، مانند بسياري از مستحبات كه اگر كسي انجام دهد بهشت بر او واجب مي‌شود، بنابراين دلالتي بر وجوب ردّ غيبت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ابراهيم بن عُمر اليماني</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ثَوَابِ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w:t>
      </w:r>
      <w:r>
        <w:rPr>
          <w:rStyle w:val="FootnoteAnchor"/>
          <w:rtl w:val="true"/>
        </w:rPr>
        <w:footnoteReference w:id="441"/>
      </w:r>
      <w:r>
        <w:rPr>
          <w:rFonts w:ascii="Amiri" w:hAnsi="Amiri" w:eastAsia="Amiri" w:cs="Amiri"/>
          <w:color w:val="111111"/>
          <w:sz w:val="28"/>
          <w:sz w:val="28"/>
          <w:szCs w:val="28"/>
          <w:rtl w:val="true"/>
          <w:lang w:bidi="ar-SA"/>
        </w:rPr>
        <w:t xml:space="preserve">عَنْ سَعْدٍ عَنْ أَحْمَدَ بْنِ أَبِي عَبْدِ اللَّهِ عَنْ أَبِيهِ عَنْ حَمَّادِ بْنِ عِيسَى عَنْ إِبْرَاهِيمَ بْنِ عُمَرَ الْيَمَانِيِّ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يُعِينُ مُؤْمِناً مَظْلُوماً إِلَّا كَانَ أَفْضَلَ مِنْ صِيَامِ شَهْرٍ وَ اعْتِكَافِهِ فِي الْمَسْجِدِ الْحَرَامِ وَ مَا</w:t>
      </w:r>
    </w:p>
    <w:p>
      <w:pPr>
        <w:pStyle w:val="BookText"/>
        <w:rPr/>
      </w:pPr>
      <w:r>
        <w:rPr>
          <w:rFonts w:ascii="Amiri" w:hAnsi="Amiri" w:eastAsia="Amiri" w:cs="Amiri"/>
          <w:color w:val="111111"/>
          <w:sz w:val="28"/>
          <w:sz w:val="28"/>
          <w:szCs w:val="28"/>
          <w:rtl w:val="true"/>
          <w:lang w:bidi="ar-SA"/>
        </w:rPr>
        <w:t>مِنْ مُؤْمِنٍ يَنْصُرُ أَخَاهُ وَ هُوَ يَقْدِرُ عَلَى نُصْرَتِهِ إِلَّا نَصَرَهُ اللَّهُ فِي الدُّنْيَا وَ الْآخِرَةِ وَ 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 xml:space="preserve">ابراهيم بن عمر اليماني از امام صادق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 كه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مؤمني نيست كه مؤمن مظلوم ديگري را كمك كند مگر اين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از يك ماه روزه‌داري و اعتكافش در مسجد الحرام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مؤمني نيست كه برادرش را كمك كند در حالي‌كه بر نصرتش قدرت دارد مگر اين‌كه خداوند او را در دنيا و آخرت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مؤمني نيست كه برادرش را مخذول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حالي‌كه قدرت بر ياري او دارد مگر اين‌كه خداوند او را در دنيا و آخرت مخذول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صحيحه‌ي ابراهيم بن عُمر</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روايت از لحظ سند تمام بوده و بر وجوب نصرت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دارد؛ مغتابي كه مظلوم واقع شده است؛ زيرا اين حق را داشته كه مورد غيبت واقع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توان دفاع از او اگر كسي دفاع نكند مخذول خداوند است و مخذول خداوند در جهنّم است؛ زيرا خذلان به معناي واگذاري در جايي است كه انسان احتياج به ياري دارد و در چنين جايي نتيجه‌ي خذلان از</w:t>
      </w:r>
    </w:p>
    <w:p>
      <w:pPr>
        <w:pStyle w:val="BookText"/>
        <w:rPr/>
      </w:pPr>
      <w:r>
        <w:rPr>
          <w:rFonts w:ascii="Amiri" w:hAnsi="Amiri" w:eastAsia="Amiri" w:cs="Amiri"/>
          <w:color w:val="111111"/>
          <w:sz w:val="28"/>
          <w:sz w:val="28"/>
          <w:szCs w:val="28"/>
          <w:rtl w:val="true"/>
          <w:lang w:bidi="ar-SA"/>
        </w:rPr>
        <w:t>طرف خداوند متعال، هلاكت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اين روايت دلالتي بر حرمت استماع غيبت يا دلالت بر جواز غيبت در صورت ردّ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عقاب الاعمال</w:t>
      </w:r>
    </w:p>
    <w:p>
      <w:pPr>
        <w:pStyle w:val="BookText"/>
        <w:rPr/>
      </w:pPr>
      <w:r>
        <w:rPr>
          <w:rFonts w:ascii="Amiri" w:hAnsi="Amiri" w:eastAsia="Amiri" w:cs="Amiri"/>
          <w:color w:val="111111"/>
          <w:sz w:val="28"/>
          <w:sz w:val="28"/>
          <w:szCs w:val="28"/>
          <w:rtl w:val="true"/>
          <w:lang w:bidi="ar-SA"/>
        </w:rPr>
        <w:t>وَ فِي عِقَابِ الْأَعْمَالِ بِإِسْنَادٍ تَقَدَّمَ فِي عِيَادَةِ الْمَرِيضِ</w:t>
      </w:r>
      <w:r>
        <w:rPr>
          <w:rStyle w:val="FootnoteAnchor"/>
          <w:rtl w:val="true"/>
        </w:rPr>
        <w:footnoteReference w:id="443"/>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فِي خُطْبَةٍ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رَدَّ عَنْ أَخِيهِ غِيبَةً سَمِعَهَا فِي مَجْلِسٍ رَدَّ اللَّهُ عَنْهُ أَلْفَ بَابٍ مِنَ الشَّرِّ فِي الدُّنْيَا وَ الْآخِرَةِ فَإِنْ لَمْ يَرُدَّ عَنْهُ وَ أَعْجَبَهُ كَانَ عَلَيْهِ كَوِزْرِ مَنِ اغْتَابَ</w:t>
      </w:r>
      <w:r>
        <w:rPr>
          <w:rFonts w:eastAsia="Amiri" w:cs="Amiri" w:ascii="Amiri" w:hAnsi="Amiri"/>
          <w:color w:val="111111"/>
          <w:sz w:val="28"/>
          <w:szCs w:val="28"/>
          <w:rtl w:val="true"/>
          <w:lang w:bidi="ar-SA"/>
        </w:rPr>
        <w:t>»</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 xml:space="preserve">كسي غيبتي را كه درباره‌ي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مجلسي شنيده رد كند، خداوند هزار باب شر در دنيا و آخرت را از او رد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مي‌بندد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را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نكند و خوشش هم بيايد، مثل وِزر غيبت كننده براي او هم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ناتمام است</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يرد عنه و أعجبه كان عليه</w:t>
      </w:r>
    </w:p>
    <w:p>
      <w:pPr>
        <w:pStyle w:val="BookText"/>
        <w:rPr/>
      </w:pPr>
      <w:r>
        <w:rPr>
          <w:rFonts w:ascii="IRNazanin" w:hAnsi="IRNazanin" w:eastAsia="IRNazanin"/>
          <w:color w:val="111111"/>
          <w:sz w:val="28"/>
          <w:sz w:val="28"/>
          <w:szCs w:val="28"/>
          <w:rtl w:val="true"/>
          <w:lang w:bidi="fa-IR"/>
        </w:rPr>
        <w:t>كوزر من إغتاب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اگر كسي نه رد كند و نه مُعجِب باشد ديگر وِزري بر او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مفهوم‌گيري از عبارت درست نيست؛ خصوصاً طبق مبناي ما كه گفتيم قضيه‌ي شرطيه دالّ بر مفهوم نيست مگر جايي كه قرينه‌اي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سكوني</w:t>
      </w:r>
    </w:p>
    <w:p>
      <w:pPr>
        <w:pStyle w:val="BookText"/>
        <w:rPr/>
      </w:pPr>
      <w:r>
        <w:rPr>
          <w:rFonts w:ascii="Amiri" w:hAnsi="Amiri" w:eastAsia="Amiri" w:cs="Amiri"/>
          <w:color w:val="111111"/>
          <w:sz w:val="28"/>
          <w:sz w:val="28"/>
          <w:szCs w:val="28"/>
          <w:rtl w:val="true"/>
          <w:lang w:bidi="ar-SA"/>
        </w:rPr>
        <w:t>الْحَسَنُ بْنُ مُحَمَّدٍ الطُّوسِيُّ</w:t>
      </w:r>
      <w:r>
        <w:rPr>
          <w:rStyle w:val="FootnoteAnchor"/>
          <w:rtl w:val="true"/>
        </w:rPr>
        <w:footnoteReference w:id="445"/>
      </w:r>
      <w:r>
        <w:rPr>
          <w:rFonts w:ascii="Amiri" w:hAnsi="Amiri" w:eastAsia="Amiri" w:cs="Amiri"/>
          <w:color w:val="111111"/>
          <w:sz w:val="28"/>
          <w:sz w:val="28"/>
          <w:szCs w:val="28"/>
          <w:rtl w:val="true"/>
          <w:lang w:bidi="ar-SA"/>
        </w:rPr>
        <w:t>فِي مَجَالِسِهِ عَنْ أَبِيهِ عَنْ مُحَمَّدِ بْنِ مُحَمَّدٍ عَنْ جَعْفَرِ بْنِ مُحَمَّدٍ عَنْ مُحَمَّدِ بْنِ هَمَّامٍ عَنْ حُمَيْدِ بْنِ زِيَادٍ عَنْ إِبْرَاهِيمَ بْنِ عَبْدِ اللَّهِ عَنِ الرَّبِيعِ بْنِ سُلَيْمَانَ عَنْ إِسْمَاعِيلَ بْنِ مُسْلِمٍ السَّكُونِيِّ عَنْ أَبِي عَبْدِ اللَّهِ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رَدَّ عَنْ عِرْضِ أَخِيهِ الْمُسْلِمِ كُتِبَ لَهُ الْجَنَّةُ الْبَتَّةَ وَ مَنْ أُتِيَ إِلَيْهِ مَعْرُوفٌ فَلْيُكَافِئْ فَإِنْ عَجَزَ فَلْيُثْنِ بِهِ فَإِنْ لَمْ يَفْعَلْ فَقَدْ كَفَرَ النِّعْمَةَ</w:t>
      </w:r>
      <w:r>
        <w:rPr>
          <w:rFonts w:eastAsia="Amiri" w:cs="Amiri" w:ascii="Amiri" w:hAnsi="Amiri"/>
          <w:color w:val="111111"/>
          <w:sz w:val="28"/>
          <w:szCs w:val="28"/>
          <w:rtl w:val="true"/>
          <w:lang w:bidi="ar-SA"/>
        </w:rPr>
        <w:t>»</w:t>
      </w:r>
      <w:r>
        <w:rPr>
          <w:rStyle w:val="FootnoteAnchor"/>
          <w:rtl w:val="true"/>
        </w:rPr>
        <w:footnoteReference w:id="446"/>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از آبروي برادر مؤمنش دفاع كند، براي او حتماً بهشت نوشته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براي ديگري كار نيكي انجام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خدمتي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 بايد جبران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جزاء دهد؛ مثلاً اگر هديه‌اي داد او هم هديه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نداشت، حداقل با زبان ثنا بگويد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تشكر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نه جبران كند و نه با زبان تشكر كند كفران نعمت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روايت از لحا‌ظ سند به خاطر بعضي 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اين روايت كه مربوط به ما نحن فيه مي‌شود، دلالتش مانند دلالت قبلي است؛ يعني دلالتي بر مدّعا ندارد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ابي الدرداء</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الطوسي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مُحَمَّدٍ عَنْ أَحْمَدَ بْنِ مُحَمَّدٍ عَنْ إِسْحَاقَ بْنِ عَبْدَانَ عَنْ مُحَمَّدِ بْنِ عَبْدِ اللَّهِ الْحَضْرَمِيِّ عَنْ مُحَمَّدِ بْنِ إِسْمَاعِيلَ الْأَحْمَسِيِّ عَنِ الْمُحَارِبِيِّ عَنِ ابْنِ أَبِي لَيْلَى عَنِ الْحَكَمِ بْنِ عُتَيْبَةَ عَنِ ابْنِ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رَجُلٌ مِنْ عِرْضِ رَجُلٍ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رَجُلٌ مِنَ الْقَوْمِ عَلَيْهِ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Style w:val="FootnoteAnchor"/>
          <w:rtl w:val="true"/>
        </w:rPr>
        <w:footnoteReference w:id="447"/>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الدرداء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نزد پيامبر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شخص ديگر چيزي گفت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آبروي آن شخص مي‌رفت، مردي در آن‌جا بود و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غايب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پس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از آبروي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كند اين براي او حجاب از آتش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روايت ابي الدرداء</w:t>
      </w:r>
    </w:p>
    <w:p>
      <w:pPr>
        <w:pStyle w:val="BookText"/>
        <w:rPr/>
      </w:pPr>
      <w:r>
        <w:rPr>
          <w:rFonts w:ascii="Amiri" w:hAnsi="Amiri" w:eastAsia="Amiri" w:cs="Amiri"/>
          <w:color w:val="111111"/>
          <w:sz w:val="28"/>
          <w:sz w:val="28"/>
          <w:szCs w:val="28"/>
          <w:rtl w:val="true"/>
          <w:lang w:bidi="ar-SA"/>
        </w:rPr>
        <w:t>اين روايت علاوه بر اين‌كه از لحاظ سند به خاطر عدّه‌اي از مجاهيل تا ابوالدرداء</w:t>
      </w:r>
      <w:r>
        <w:rPr>
          <w:rStyle w:val="FootnoteAnchor"/>
          <w:rtl w:val="true"/>
        </w:rPr>
        <w:footnoteReference w:id="448"/>
      </w:r>
    </w:p>
    <w:p>
      <w:pPr>
        <w:pStyle w:val="BookText"/>
        <w:rPr/>
      </w:pPr>
      <w:r>
        <w:rPr>
          <w:rFonts w:ascii="Amiri" w:hAnsi="Amiri" w:eastAsia="Amiri" w:cs="Amiri"/>
          <w:color w:val="111111"/>
          <w:sz w:val="28"/>
          <w:sz w:val="28"/>
          <w:szCs w:val="28"/>
          <w:rtl w:val="true"/>
          <w:lang w:bidi="ar-SA"/>
        </w:rPr>
        <w:t>مَجَالِسُ الصَّدُوقِ عَنْ جَعْفَرِ بْنِ مُحَمَّدٍ الْمَكِّيِّ عَنْ عَبْدِ اللَّهِ بْنِ إِسْحَاقَ الْمَدَائِنِيِّ عَنْ مُحَمَّدِ بْنِ زِيَادٍ عَنِ الْمُغِيرَةِ عَنْ سُفْيَانَ عَنْ هِشَامِ بْنِ عُرْوَةَ عَنْ أَبِيهِ عُرْوَةَ بْنِ الزُّبَيْرِ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فِي مَجْلِسٍ فِي مَسْجِدِ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فَتَذَاكَرْنَا أَعْمَالَ أَهْلِ بَدْرٍ وَ بَيْعَةَ الرِّضْوَانِ فَقَالَ أَبُو الدَّرْدَاءِ يَا قَوْمِ أَ لَا أُخْبِرُكُمْ بِأَقَلِّ الْقَوْمِ مَالًاوَ أَكْثَرِهِمْ وَرَعاً وَ أَشَدِّهِمِ اجْتِهَاداً فِي الْعِبَادَةِ قَالُوا مَنْ قَالَ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فَوَ اللَّهِ إِنْ كَانَ فِي جَمَاعَةِ أَهْلِ الْمَجْلِسِ إِلَّا مُعْرِضٌ عَنْهُ بِوَجْهِهِ ثُمَّ انْتَدَبَ لَهُ رَجُلٌ مِنَ الْأَنْصَارِ فَقَالَ لَهُ يَا عُوَيْمِرُ لَقَدْ تَكَلَّمْتَ بِكَلِمَةٍ مَا وَافَقَكَ عَلَيْهَا أَحَدٌ مُنْذُ أَتَيْتَ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الدَّرْدَاءِ يَا قَوْمِ إِنِّي قَائِلٌ مَا رَأَيْتُ وَ لْيَقُلْ كُلُّ قَوْمٍ مِنْكُمْ مَا رَأَوْا شَهِدْتُ عَلِيَّ بْنَ أَبِي طَالِبٍ بِشُوَيْحِطَاتِ النَّجَّارِ وَ قَدِ اعْتَزَلَ مِنْ مَوَالِيهِ وَ اخْتَفَى مِمَّنْ يَلِيهِ وَ اسْتَتَرَ بِمُغِيلَاتِ النَّخْلِ فَافْتَقَدْتُهُ وَ بَعُدَ عَلَيَّ مَكَانُهُ فَقُلْتُ لَحِقَ بِمَنْزِلِهِ فَإِذَا أَنَا بِصَوْتٍ حَزِينٍ وَ نَغْمَةٍ شَجِيٍّ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كَمْ مِنْ مُوبِقَةٍ حَمَلْتَ عَنِّي مُقَابَلَتَهَا بِنِعْمَتِكَ وَ كَمْ مِنْ جَرِيرَةٍ تَكَرَّمْتَ عَنْ كَشْفِهَا بِكَرَمِكَ إِلَهِي إِنْ طَالَ فِي عِصْيَانِكَ عُمُرِي وَ عَظُمَ فِي الصُّحُفِ ذَنْبِي فَمَا أَنَا أُؤَمِّلُ غَيْرَ غُفْرَانِكَ وَ لَا أَنَا بِرَاجٍ غَيْرَ رِضْوَانِكَ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فَشَغَلَنِي الصَّوْتُ وَ اقْتَفَيْتُ الْأَثَرَ فَإِذَا هُوَ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بِعَيْنِهِ فَاسْتَتَرْتُ لَهُ وَ أَخْمَلْتُ الْحَرَكَةَ فَرَكَعَ رَكَعَاتٍ فِي جَوْفِ اللَّيْلِ الْغَابِرِ ثُمَّ فَرَغَ إِلَى الدُّعَاءِ وَ الْبُكَاء وَ الْبَثِّ وَ الشَّكْوَى فَكَانَ مِمَّا بِهِ اللَّهَ نَاجَى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أُفَكِّرُ فِي عَفْوِكَ فَتَهُونُ عَلَيَّ خَطِيئَتِي ثُمَّ أَذْكُرُ الْعَظِيمَ مِنْ أَخْذِكَ فَتَعْظُمُ عَلَيَّ بَلِيَّتِي ثُمَّ قَالَ آهِ إِنْ أَنَا قَرَأْتُ فِي الصُّحُفِ سَيِّئَةً أَنَا نَاسِيهَا وَ أَنْتَ مُحْصِيهَا فَتَقُولُ خُذُوهُ فَيَا لَهُ مِنْ مَأْخُوذٍ لَا تُنْجِيهِ عَشِيرَتُهُ وَ لَا تَنْفَعُهُ قَبِيلَتُهُ يَرْحَمُهُ الْمَلَأُ إِذَا أُذِنَ فِيهِ بِالنِّدَاءِ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آهِ مِنْ نَارٍ تُنْضِجُ الْأَكْبَادَ وَ الْكُلَى آهِ مِنْ نَارٍ نَزَّاعَةٍ لِلشَّوَى آهِ مِنْ غَمْرَةٍ مِنْ مُلْهَبَاتِ 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ثُمَّ أَنْعَمَ فِي الْبُكَاءِ فَلَمْ أَسْمَعْ لَهُ حِسّاً وَ لَا حَرَكَةً فَقُلْتُ غَلَبَ عَلَيْهِ النَّوْمُ لِطُولِ السَّهَرِ أُوقِظُهُ لِصَلَاةِ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الدَّرْدَاءِ فَأَتَيْتُهُ فَإِذَا هُوَ كَالْخَشَبَةِ الْمُلْقَاةِ فَحَرَّكْتُهُ فَلَمْ يَتَحَرَّكْ وَ زَوَيْتُهُ فَلَمْ يَنْزَوِ فَقُلْتُ إنا لله و إنا اليه راجِعُونَ مَاتَ وَ اللَّهِ عَلِيُّ بْنُ أَبِي طَالِبٍ قَالَ فَأَتَيْتُ مَنْزِلَهُ مُبَادِراً أَنْعَاهُ إِلَيْهِمْ فَقَالَتْ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يَا أَبَا الدَّرْدَاءِ مَا كَانَ مِنْ شَأْنِهِ وَ مِنْ قَضِيَّتِهِ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فَأَخْبَرْتُهَا الْخَبَرَ فَقَالَتْ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يَا أَبَا الدَّرْدَاءِ الْغَشْيَةُ الَّتِي تَأْخُذُهُ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أَتَوْهُ بِمَاءٍ فَنَضَحُوهُ عَلَى وَجْهِهِ فَأَفَاقَ وَ نَظَرَ إِلَيَّ وَ أَنَا أَبْكِي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 بُكَاؤُكَ يَا أَبَا الدَّرْدَاءِ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مِمَّا أَرَاهُ تُنْزِلُهُ بِنَفْسِكَ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الدَّرْدَاءِ فَكَيْفَ وَ لَوْ رَأَيْتَنِي وَ دُعِيَ بِي إِلَى الْحِسَابِ وَ أَيْقَنَ أَهْلُ الْجَرَائِمِ بِالْعَذَابِ وَ احْتَوَشَتْنِي مَلَائِكَةٌ غِلَاظٌ وَ زَبَانِيَةٌ فِظَاظٌ فَوَقَفْتُ بَيْنَ يَدَيِ الْمَلِكِ الْجَبَّارِ قَدْ أَسْلَمَنِي الْأَحِبَّاءُ وَ رَحِمَنِي أَهْلُ الدُّنْيَا لَكُنْتَ أَشَدَّ رَحْمَةً لِي بَيْنَ يَدَيْ مَنْ لَا تَخْفَى عَلَيْهِ خَافِيَةٌ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الدَّرْدَاءِ فَوَ اللَّهِ مَا رَأَيْتُ ذَلِكَ لِأَحَدٍ مِنْ أَصْحَابِ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ناتمام است، دلالتي بر وجوب رد هم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دلالت بر جواز استماع براي رد هم نمي‌كند؛ چون حضرت از طريق عادي نمي‌دانستند كه اين شخص مي‌خواهد غيبت كند، بعد از اين‌كه كلامش به پايان رسيد معلوم شد كه غيبت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دالّ بر جواز استماع براي رد نيست، كما اين‌كه دلالت بر حرمت استماع هم نمي‌كند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وصيّت رسول خدا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ابوذر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الْحَسَنِ فِي الْمَجَالِسِ وَ الْأَخْبَارِ بِإِسْنَادِهِ عَنْ أَبِي ذَرٍّ عَنِ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مَنْ ذَبَّ عَنْ أَخِيهِ الْمُؤْمِنِ الْغِيبَةَ كَانَ حَقّاً عَلَى اللَّهِ أَنْ يُعْتِقَهُ مِنَ النَّارِ يَا أَبَا ذَرٍّ مَنِ اغْتِيبَ عِنْدَهُ أَخُوهُ الْمُؤْمِنُ وَ هُوَ</w:t>
      </w:r>
      <w:bookmarkStart w:id="655" w:name="pg2359_23602"/>
    </w:p>
    <w:p>
      <w:pPr>
        <w:pStyle w:val="BookText"/>
        <w:rPr/>
      </w:pPr>
      <w:bookmarkEnd w:id="655"/>
      <w:r>
        <w:rPr>
          <w:rFonts w:ascii="Amiri" w:hAnsi="Amiri" w:eastAsia="Amiri" w:cs="Amiri"/>
          <w:color w:val="111111"/>
          <w:sz w:val="28"/>
          <w:sz w:val="28"/>
          <w:szCs w:val="28"/>
          <w:rtl w:val="true"/>
          <w:lang w:bidi="ar-SA"/>
        </w:rPr>
        <w:t>يَسْتَطِيعُ نَصْرَهُ فَنَصَرَهُ نَصَرَهُ اللَّهُ عَزَّ وَ جَلَّ فِي الدُّنْيَا وَ الْآخِرَةِ وَ إِنْ خَذَلَهُ وَ هُوَ يَسْتَطِيعُ نَصْرَهُ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449"/>
      </w:r>
    </w:p>
    <w:p>
      <w:pPr>
        <w:pStyle w:val="BookText"/>
        <w:rPr/>
      </w:pPr>
      <w:r>
        <w:rPr>
          <w:rFonts w:ascii="IRNazanin" w:hAnsi="IRNazanin" w:eastAsia="IRNazanin"/>
          <w:color w:val="111111"/>
          <w:sz w:val="28"/>
          <w:sz w:val="28"/>
          <w:szCs w:val="28"/>
          <w:rtl w:val="true"/>
          <w:lang w:bidi="fa-IR"/>
        </w:rPr>
        <w:t>اي أباذر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برادر مؤمنش دفاع كند و غيبت درباره‌ي او را رد كند، بر خداوند متعال است كه او را از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اباذر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نزد او برادر مؤمنش غيبت شود و او در حالي‌كه مي‌تواند ياريش كند ياريش دهد، خداوند ـ عزّ وجلّ ـ در دنيا و آخرت او را ياري مي‌كند و اگر او را واگذارد در حالي‌كه مي‌تواند ياريش كند، خدا او را در دنيا و آخرت وامي‌گذارد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دلالت اين روايت هم مثل روايات سابق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روايات ديگري هم نظير اين روايات وجود دارد كه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تقدّم ما يدلّ علي ذلك</w:t>
      </w:r>
      <w:r>
        <w:rPr>
          <w:rFonts w:eastAsia="IRNazanin" w:cs="IRNazanin"/>
          <w:color w:val="111111"/>
          <w:sz w:val="28"/>
          <w:szCs w:val="28"/>
          <w:rtl w:val="true"/>
          <w:lang w:bidi="fa-IR"/>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6" w:name="__RefHeading___Toc2770679_3804643083"/>
      <w:bookmarkStart w:id="657" w:name="_Toc250"/>
      <w:bookmarkEnd w:id="656"/>
      <w:r>
        <w:rPr>
          <w:rtl w:val="true"/>
        </w:rPr>
        <w:t>سخن آخر در دلالت روايات لزوم ردّ غيبت، بر حرمت استماع</w:t>
      </w:r>
      <w:bookmarkEnd w:id="657"/>
    </w:p>
    <w:p>
      <w:pPr>
        <w:pStyle w:val="BookText"/>
        <w:rPr/>
      </w:pPr>
      <w:r>
        <w:rPr>
          <w:rFonts w:ascii="Amiri" w:hAnsi="Amiri" w:eastAsia="Amiri" w:cs="Amiri"/>
          <w:color w:val="111111"/>
          <w:sz w:val="28"/>
          <w:sz w:val="28"/>
          <w:szCs w:val="28"/>
          <w:rtl w:val="true"/>
          <w:lang w:bidi="ar-SA"/>
        </w:rPr>
        <w:t>همان‌طوري كه ملاحظه فرموديد، اين روايات علي‌رغم كثرت‌شان نه دلالتي بر حرمت استماع غيبت داشتند و نه بر جواز استماع براي رد، علي فرض حرمت استماع</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بله، اين روايات دلالت داشت بر اين‌كه بايد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w:t>
      </w:r>
      <w:bookmarkStart w:id="658" w:name="pg2359_23603"/>
    </w:p>
    <w:p>
      <w:pPr>
        <w:pStyle w:val="BookText"/>
        <w:rPr/>
      </w:pPr>
      <w:bookmarkEnd w:id="658"/>
      <w:r>
        <w:rPr>
          <w:rFonts w:ascii="IRNazanin" w:hAnsi="IRNazanin" w:eastAsia="IRNazanin"/>
          <w:color w:val="111111"/>
          <w:sz w:val="28"/>
          <w:sz w:val="28"/>
          <w:szCs w:val="28"/>
          <w:rtl w:val="true"/>
          <w:lang w:bidi="fa-IR"/>
        </w:rPr>
        <w:t>حفظ شود و اگر مؤمني در مجلسي مورد غيبت قرار گرفت، كسي كه مي‌تواند از او دفاع كند بايد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اين‌جا دليلي بر حرمت استماع غيبت بما هو استماع الغيبة پيدا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واحدي از اعاظم هم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دليلي بر حرمت استماع غيبت پيدا نكرديم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استماع غيبت بما هو استماع الغيبة حرام نيست</w:t>
      </w:r>
      <w:r>
        <w:rPr>
          <w:rFonts w:eastAsia="IRNazanin" w:cs="IRNazanin"/>
          <w:color w:val="111111"/>
          <w:sz w:val="28"/>
          <w:szCs w:val="28"/>
          <w:rtl w:val="true"/>
          <w:lang w:bidi="fa-IR"/>
        </w:rPr>
        <w:t>.</w:t>
      </w:r>
    </w:p>
    <w:p>
      <w:pPr>
        <w:pStyle w:val="Heading5"/>
        <w:numPr>
          <w:ilvl w:val="4"/>
          <w:numId w:val="1"/>
        </w:numPr>
        <w:rPr/>
      </w:pPr>
      <w:bookmarkStart w:id="659" w:name="__RefHeading___Toc2770681_3804643083"/>
      <w:bookmarkStart w:id="660" w:name="_Toc251"/>
      <w:bookmarkEnd w:id="659"/>
      <w:r>
        <w:rPr>
          <w:rtl w:val="true"/>
        </w:rPr>
        <w:t>دليل ما بر حرمت استماع غيبت</w:t>
      </w:r>
      <w:bookmarkEnd w:id="660"/>
    </w:p>
    <w:p>
      <w:pPr>
        <w:pStyle w:val="BookText"/>
        <w:rPr/>
      </w:pPr>
      <w:r>
        <w:rPr>
          <w:rFonts w:ascii="Amiri" w:hAnsi="Amiri" w:eastAsia="Amiri" w:cs="Amiri"/>
          <w:color w:val="111111"/>
          <w:sz w:val="28"/>
          <w:sz w:val="28"/>
          <w:szCs w:val="28"/>
          <w:rtl w:val="true"/>
          <w:lang w:bidi="ar-SA"/>
        </w:rPr>
        <w:t>روايتي كه از لحاظ سند قابل اعتماد باشد وجود دارد كه دالّ بر حرمت استماع غيبت است و آن صحيحه‌ي عبد الاعلي بن أعين است كه در ذيل 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صحيحه‌ي عبد الاعلي بن أعين</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إِبْرَاهِيمَ عَنْ أَبِيهِ عَنْ عَلِيِّ بْنِ أَسْبَاطٍ عَنْ سَيْفِ بْنِ عَمِيرَةَ عَنْ عَبْدِ الْأَعْلَى بْنِ أَعْيَنَ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يُؤْمِنُ بِاللَّهِ وَ الْيَوْمِ الْآخِرِ فَلَا يَجْلِسْ مَجْلِساً يُنْتَقَصُ فِيهِ إِمَامٌ أَوْ يُعَابُ فِيهِ مُؤْمِنٌ</w:t>
      </w:r>
      <w:r>
        <w:rPr>
          <w:rFonts w:eastAsia="Amiri" w:cs="Amiri" w:ascii="Amiri" w:hAnsi="Amiri"/>
          <w:color w:val="111111"/>
          <w:sz w:val="28"/>
          <w:szCs w:val="28"/>
          <w:rtl w:val="true"/>
          <w:lang w:bidi="ar-SA"/>
        </w:rPr>
        <w:t>»</w:t>
      </w:r>
      <w:r>
        <w:rPr>
          <w:rStyle w:val="FootnoteAnchor"/>
          <w:rtl w:val="true"/>
        </w:rPr>
        <w:footnoteReference w:id="451"/>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كه ايمان به خدا و روز قيامت دارد، در مجلسي كه تنقيص امامي مي‌شود يا از مؤمني عيب گرفته مي‌شود ننشيند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بررسي سند روايت</w:t>
      </w:r>
    </w:p>
    <w:p>
      <w:pPr>
        <w:pStyle w:val="BookText"/>
        <w:rPr/>
      </w:pPr>
      <w:r>
        <w:rPr>
          <w:rFonts w:ascii="Amiri" w:hAnsi="Amiri" w:eastAsia="Amiri" w:cs="Amiri"/>
          <w:color w:val="111111"/>
          <w:sz w:val="28"/>
          <w:sz w:val="28"/>
          <w:szCs w:val="28"/>
          <w:rtl w:val="true"/>
          <w:lang w:bidi="ar-SA"/>
        </w:rPr>
        <w:t xml:space="preserve">همه‌ي رُوات اين حديث ثقه‌اند به جز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الاعلي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توثيقي در كتب اربعه‌ي رجالي در مورد او ذكر نشده است، به همين خاطر بعضي در مثل اين سند توقّف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 به نظر مي‌آيد ايشان قابل توثيق باشند؛ زيرا شيخ 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رساله‌ي عدديه</w:t>
      </w:r>
      <w:r>
        <w:rPr>
          <w:rStyle w:val="FootnoteAnchor"/>
          <w:rtl w:val="true"/>
        </w:rPr>
        <w:footnoteReference w:id="452"/>
      </w:r>
      <w:r>
        <w:rPr>
          <w:rFonts w:ascii="Amiri" w:hAnsi="Amiri" w:eastAsia="Amiri" w:cs="Amiri"/>
          <w:color w:val="111111"/>
          <w:sz w:val="28"/>
          <w:sz w:val="28"/>
          <w:szCs w:val="28"/>
          <w:rtl w:val="true"/>
          <w:lang w:bidi="ar-SA"/>
        </w:rPr>
        <w:t>، بعضي رؤساي اصحاب ائمه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نام مي‌برد</w:t>
      </w:r>
      <w:r>
        <w:rPr>
          <w:rStyle w:val="FootnoteAnchor"/>
          <w:rtl w:val="true"/>
        </w:rPr>
        <w:footnoteReference w:id="453"/>
      </w:r>
      <w:r>
        <w:rPr>
          <w:rFonts w:ascii="Amiri" w:hAnsi="Amiri" w:eastAsia="Amiri" w:cs="Amiri"/>
          <w:color w:val="111111"/>
          <w:sz w:val="28"/>
          <w:sz w:val="28"/>
          <w:szCs w:val="28"/>
          <w:rtl w:val="true"/>
          <w:lang w:bidi="ar-SA"/>
        </w:rPr>
        <w:t>و مي‌فرمايد</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فقهاء أصحاب أبي جعفر محمد بن علي و أبي عبد الله جعفر بن محمد و أبي الحسن موسى بن جعفر و أبي الحسن علي بن موسى و أبي جعفر محمد بن علي و أبي الحسن علي بن محمد و أبي محمد الحسن بن علي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الأعلام الرؤساء المأخوذ عنهم الحلال و الحرام و الفتيا و الأحكام الذين لا يطعن عليهم و لا طريق إلى ذم واحد منهم و هم أصحاب الأصول المدونة و المصنفات المشهورة</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يكي از كساني كه نام مي‌برد همين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الاعلي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با چنين توثيقي از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وثاقت و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الاعلي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قرائن ديگري هم داريم كه مؤيّد كلام شيخ مفيد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سند روايت مذكور به نظر ما تام است و مي‌توانيم به آن اعتماد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استدلال به صحيحه‌ي عبد الاعلي بن أعين</w:t>
      </w:r>
    </w:p>
    <w:p>
      <w:pPr>
        <w:pStyle w:val="BookText"/>
        <w:rPr/>
      </w:pPr>
      <w:r>
        <w:rPr>
          <w:rFonts w:ascii="IRNazanin" w:hAnsi="IRNazanin" w:eastAsia="IRNazanin"/>
          <w:color w:val="111111"/>
          <w:sz w:val="28"/>
          <w:sz w:val="28"/>
          <w:szCs w:val="28"/>
          <w:rtl w:val="true"/>
          <w:lang w:bidi="fa-IR"/>
        </w:rPr>
        <w:t>از آن‌جايي كه غيبت مؤمن مصداق عيب گرفتن از اوست، پس طبق اين روايت، نشستن در مجلسي كه غيبت مؤمن مي‌شود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گرفتن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اعمّي است كه شامل حضور آن مؤمن در مجلس هم مي‌شود، ولي اين صورت فردِ نادر است؛ چون معمولاً عيوب افراد در غياب‌شان گفته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عيب گرفتن از مؤمن شامل غيبت هم مي‌شود و غيبت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عيب گرفتن از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در بعضي نُسَخ به جاي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 آن نسخه هم سندش تمام است و آن سندِ علي بن ابراهيم در تفسيرش مي‌باشد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ـ صحيحه‌ي عبد الاعلي بن اعين از تفسير علي بن ابراهيم</w:t>
      </w:r>
    </w:p>
    <w:p>
      <w:pPr>
        <w:pStyle w:val="BookText"/>
        <w:rPr/>
      </w:pPr>
      <w:r>
        <w:rPr>
          <w:rFonts w:ascii="Amiri" w:hAnsi="Amiri" w:eastAsia="Amiri" w:cs="Amiri"/>
          <w:color w:val="111111"/>
          <w:sz w:val="28"/>
          <w:sz w:val="28"/>
          <w:szCs w:val="28"/>
          <w:rtl w:val="true"/>
          <w:lang w:bidi="ar-SA"/>
        </w:rPr>
        <w:t xml:space="preserve">و رَوَاهُ عَلِيُّ بْنُ إِبْرَاهِيمَ فِي تَفْسِيرِهِ عَنْ أَحْمَدَ بْنِ إِدْرِيسَ عَنْ أَحْمَدَ بْنِ مُحَمَّدٍ عَنِ الْحُسَيْنِ بْنِ سَعِيدٍ عَنْ فَضَالَةَ بْنِ أَيُّوبَ عَنْ سَيْفِ بْنِ عَمِيرَةَ مِثْلَهُ إِلَّا أَنَّهُ قَالَ أَوْ يُغْتَابُ فِيهِ مُؤْمِنٌ،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همان‌طوري كه ملاحظه مي‌فرماييد، اين نسخه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يغتاب فيه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اين‌كه تعبير به صحيحه كرديم با غمض عين از مناقشه‌اي است كه در صحّت انتساب تفسير معروف به علي بن ابراهيم وجود دارد كه ـ إن‌شاءالله ـ در موقع مناسبي درباره‌ي آن سخن خواهيم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نشستن در مجلس با استماع تلازم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ممكن است فردي در مجلسي ننشسته باشد ولي استماع كند؛ مثلاً از طريق راديو بشنود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جلوس و نشستن خصوصيتي ندارد، بلكه در هر مكاني كه غيبت مؤمني شود مشمول روايت مي‌باشد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مؤيّد اين كلام</w:t>
      </w:r>
      <w:r>
        <w:rPr>
          <w:rStyle w:val="FootnoteAnchor"/>
          <w:rtl w:val="true"/>
        </w:rPr>
        <w:footnoteReference w:id="457"/>
      </w:r>
      <w:r>
        <w:rPr>
          <w:rFonts w:ascii="Amiri" w:hAnsi="Amiri" w:eastAsia="Amiri" w:cs="Amiri"/>
          <w:color w:val="111111"/>
          <w:sz w:val="28"/>
          <w:sz w:val="28"/>
          <w:szCs w:val="28"/>
          <w:rtl w:val="true"/>
          <w:lang w:bidi="ar-SA"/>
        </w:rPr>
        <w:t>، آيه‌ي شريفه‌اي است كه حضرت در ذيل روايت تلاوت مي‌فرمايد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بنابراين حضور در جايي كه از مؤمني غيبت مي‌شود جايز نيست،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ملاك، استماع غيبت باشد، پس اگر كسي در مجلسي حاضر باشد ولي گوشش را بگيرد، بايد بگوييم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اگر گوشش را بگيرد باز احتمال حرمت وجود دارد؛ زيرا مراد از عدم جلوس، عدم حضور مي‌باشد كه معنايي اعم از استماع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بيان ديگر هر جا استماع صادق بود حضور در آن مكان نيز صادق است، امّا اين‌طور نيست كه هر جا استماع صادق نبود حضور هم صادق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طبق اين روايت شريفه بايد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 در مجلسي كه در حضور مؤمني از او عيب گرفته مي‌شود و حتّي شنيدن آن عيب در مكان‌هاي ديگر جايز نيست، هرچند عيب آشكار باشد كه از مستثنيات غيبت است</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آن‌جايي كه اين روايت با دو نسخه‌ي متفاوت نقل شده كه در يكي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ديگري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نمي‌دانيم كدام صادر شده است، بايد به قدر متيقن اخذ كنيم كه قدر متيقن،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 عيب به نحو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Style w:val="FootnoteAnchor"/>
          <w:rtl w:val="true"/>
        </w:rPr>
        <w:footnoteReference w:id="4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نمي‌توانيم بگوييم اگر در حضور خود مؤمن هم عيب گرفته شود، نشستن در آن مجلس به عنوان غيبت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آن‌كه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يعاب فيه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منصرف از عيب آشكار است و فرضاً اگر شامل شود، مربوط به جايي است كه به عنوان عيب ذكر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شامل ذكر مثل أحول و أعمش</w:t>
      </w:r>
      <w:r>
        <w:rPr>
          <w:rStyle w:val="FootnoteAnchor"/>
          <w:rtl w:val="true"/>
        </w:rPr>
        <w:footnoteReference w:id="460"/>
      </w:r>
      <w:r>
        <w:rPr>
          <w:rFonts w:ascii="Amiri" w:hAnsi="Amiri" w:eastAsia="Amiri" w:cs="Amiri"/>
          <w:color w:val="111111"/>
          <w:sz w:val="28"/>
          <w:sz w:val="28"/>
          <w:szCs w:val="28"/>
          <w:rtl w:val="true"/>
          <w:lang w:bidi="ar-SA"/>
        </w:rPr>
        <w:t>بدون قصد انتقاص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نكته‌ي مهم‌تر آن‌كه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الاعلي بن أعين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حيث اين‌كه ذكر چه عيبي حرام است در مقام بيان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اركان اطلاق محقّق نمي‌شود تا كسي بگويد ذكر مثل أحول و أعمش هم مطابق اطلاق روايت،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عبد الاعلي بن أعين از مستطرفات سرائر</w:t>
      </w:r>
    </w:p>
    <w:p>
      <w:pPr>
        <w:pStyle w:val="BookText"/>
        <w:rPr/>
      </w:pPr>
      <w:r>
        <w:rPr>
          <w:rFonts w:ascii="IRNazanin" w:hAnsi="IRNazanin" w:eastAsia="IRNazanin"/>
          <w:color w:val="111111"/>
          <w:sz w:val="28"/>
          <w:sz w:val="28"/>
          <w:szCs w:val="28"/>
          <w:rtl w:val="true"/>
          <w:lang w:bidi="fa-IR"/>
        </w:rPr>
        <w:t>مرحوم ابن ادريس حلّي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فقهاي معروف شيعه در اواخر قرن پنجم </w:t>
      </w:r>
      <w:r>
        <w:rPr>
          <w:rFonts w:eastAsia="IRNazanin" w:cs="IRNazanin"/>
          <w:color w:val="111111"/>
          <w:sz w:val="28"/>
          <w:szCs w:val="28"/>
          <w:rtl w:val="true"/>
          <w:lang w:bidi="fa-IR"/>
        </w:rPr>
        <w:t>(</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آخر كتاب فقهي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مستطرفات و تحفه‌هايي از كتاب‌هاي مختلف گلچين كرده است و اسمش را مستطرفات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رواياتي كه گلچين كرده، همين روايت عبد الاعلي بن أعين است كه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ابي القاسم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مي‌كند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إِدْرِيسَ فِي آخِرِ السَّرَائِرِ نَقْلًا مِنْ كِتَابِ</w:t>
      </w:r>
    </w:p>
    <w:p>
      <w:pPr>
        <w:pStyle w:val="BookText"/>
        <w:rPr/>
      </w:pPr>
      <w:r>
        <w:rPr>
          <w:rFonts w:ascii="Amiri" w:hAnsi="Amiri" w:eastAsia="Amiri" w:cs="Amiri"/>
          <w:color w:val="111111"/>
          <w:sz w:val="28"/>
          <w:sz w:val="28"/>
          <w:szCs w:val="28"/>
          <w:rtl w:val="true"/>
          <w:lang w:bidi="ar-SA"/>
        </w:rPr>
        <w:t xml:space="preserve">رِوَايَةِ أَبِي الْقَاسِمِ بْنِ قُولَوَيْهِ عَنْ عَبْدِ الْأَعْلَى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يُؤْمِنُ بِاللَّهِ وَ الْيَوْمِ الْآخِرِ فَلَا يَجْلِسْ فِي مَجْلِسٍ يُسَبُّ فِيهِ إِمَامٌ أَوْ يُعَابُ فِيهِ مُسْلِمٌ إِنَّ اللَّهَ تَبَارَكَ وَ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رَأَيْتَ الَّذِينَ يَخُوضُونَ فِي آياتِنا</w:t>
      </w:r>
      <w:r>
        <w:rPr>
          <w:rFonts w:eastAsia="Amiri" w:cs="Amiri" w:ascii="Amiri" w:hAnsi="Amiri"/>
          <w:color w:val="111111"/>
          <w:sz w:val="28"/>
          <w:szCs w:val="28"/>
          <w:rtl w:val="true"/>
          <w:lang w:bidi="ar-SA"/>
        </w:rPr>
        <w:t>)</w:t>
      </w:r>
      <w:r>
        <w:rPr>
          <w:rStyle w:val="FootnoteAnchor"/>
          <w:rtl w:val="true"/>
        </w:rPr>
        <w:footnoteReference w:id="461"/>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نسخه‌هاي سرائر هم در اين‌كه عبارتِ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است 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متفاوت است</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علي ايّ حالٍ دلالت اين صحيحه بر حرمت استماع غيبت تمام است، روايات گذشته هم كه از لحاظ دلالت تام، ولي از لحاظ سند ناتمام بود مي‌تواند به عنوان مؤيّد آن باشد</w:t>
      </w:r>
      <w:r>
        <w:rPr>
          <w:rFonts w:eastAsia="IRNazanin" w:cs="IRNazanin"/>
          <w:color w:val="111111"/>
          <w:sz w:val="28"/>
          <w:szCs w:val="28"/>
          <w:rtl w:val="true"/>
          <w:lang w:bidi="fa-IR"/>
        </w:rPr>
        <w:t>.</w:t>
      </w:r>
      <w:bookmarkStart w:id="661" w:name="pg2359_23610"/>
    </w:p>
    <w:p>
      <w:pPr>
        <w:pStyle w:val="Heading3"/>
        <w:numPr>
          <w:ilvl w:val="2"/>
          <w:numId w:val="1"/>
        </w:numPr>
        <w:rPr/>
      </w:pPr>
      <w:bookmarkStart w:id="662" w:name="__RefHeading___Toc2770683_3804643083"/>
      <w:bookmarkStart w:id="663" w:name="_Toc252"/>
      <w:bookmarkEnd w:id="661"/>
      <w:bookmarkEnd w:id="662"/>
      <w:r>
        <w:rPr>
          <w:rtl w:val="true"/>
        </w:rPr>
        <w:t>استفاده‌ي حرمت استماع غيبت، از طريق عناوين ملازم با آن</w:t>
      </w:r>
      <w:bookmarkEnd w:id="663"/>
    </w:p>
    <w:p>
      <w:pPr>
        <w:pStyle w:val="Heading4"/>
        <w:numPr>
          <w:ilvl w:val="3"/>
          <w:numId w:val="1"/>
        </w:numPr>
        <w:rPr/>
      </w:pPr>
      <w:bookmarkStart w:id="664" w:name="__RefHeading___Toc2770685_3804643083"/>
      <w:bookmarkStart w:id="665" w:name="_Toc253"/>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بر فرض تمام نبودن حرمت استماع غيبت به عنوان استماع، مي‌توانيم تحت عناوين ديگري كه ملازمه‌ي زيادي با استماع دارند في‌الجمله استماع را نيز حرام بدانيم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عناوين عبارتند از</w:t>
      </w:r>
      <w:r>
        <w:rPr>
          <w:rFonts w:eastAsia="IRNazanin" w:cs="IRNazanin"/>
          <w:color w:val="111111"/>
          <w:sz w:val="28"/>
          <w:szCs w:val="28"/>
          <w:rtl w:val="true"/>
          <w:lang w:bidi="fa-IR"/>
        </w:rPr>
        <w:t>:</w:t>
      </w:r>
    </w:p>
    <w:p>
      <w:pPr>
        <w:pStyle w:val="Heading4"/>
        <w:numPr>
          <w:ilvl w:val="3"/>
          <w:numId w:val="1"/>
        </w:numPr>
        <w:rPr/>
      </w:pPr>
      <w:bookmarkStart w:id="666" w:name="__RefHeading___Toc2770687_3804643083"/>
      <w:bookmarkStart w:id="667" w:name="_Toc254"/>
      <w:bookmarkEnd w:id="666"/>
      <w:r>
        <w:rPr/>
        <w:t>1</w:t>
      </w:r>
      <w:r>
        <w:rPr>
          <w:rtl w:val="true"/>
        </w:rPr>
        <w:t xml:space="preserve">. </w:t>
      </w:r>
      <w:r>
        <w:rPr>
          <w:rtl w:val="true"/>
        </w:rPr>
        <w:t>رضايت به فعل حرام</w:t>
      </w:r>
      <w:bookmarkEnd w:id="667"/>
    </w:p>
    <w:p>
      <w:pPr>
        <w:pStyle w:val="BookText"/>
        <w:rPr/>
      </w:pPr>
      <w:r>
        <w:rPr>
          <w:rFonts w:ascii="IRNazanin" w:hAnsi="IRNazanin" w:eastAsia="IRNazanin"/>
          <w:color w:val="111111"/>
          <w:sz w:val="28"/>
          <w:sz w:val="28"/>
          <w:szCs w:val="28"/>
          <w:rtl w:val="true"/>
          <w:lang w:bidi="fa-IR"/>
        </w:rPr>
        <w:t xml:space="preserve">در صحيحه‌اي نقل شده كه شخصي از امام 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ما خبري رسيده است مبني بر اين‌كه در زمان ظهور حضرت مهدي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اولاد بني اميّه را به خاطر جنايات آباء‌شان به قتل مي‌رسانند، اين خبر چطور با آيه‌ي شريفه‌ي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تَزِرُ وازِرَةٌ وِزْرَ أُخْرى</w:t>
      </w:r>
      <w:r>
        <w:rPr>
          <w:rFonts w:eastAsia="IRNazanin" w:cs="IRNazanin"/>
          <w:color w:val="111111"/>
          <w:sz w:val="28"/>
          <w:szCs w:val="28"/>
          <w:rtl w:val="true"/>
          <w:lang w:bidi="fa-IR"/>
        </w:rPr>
        <w:t>)</w:t>
      </w:r>
      <w:r>
        <w:rPr>
          <w:rStyle w:val="FootnoteAnchor"/>
          <w:rtl w:val="true"/>
        </w:rPr>
        <w:footnoteReference w:id="4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گناه‌كاري، گناه ديگري را متحمّل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جمع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اولاد بني‌أميه چه ربطي به پدران منحوس‌شان كه آن جنايات را آفريدند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بني‌أميّه به افعال آباء‌شان راضي بوده و به آن افتخار مي‌كنند و كسي كه راضي به فعل قومي باشد در زمره‌ي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كأنّ خودش هم مرتكب آن فعل است</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تَزِرُ وازِرَةٌ وِزْرَ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اللَّهُ فِي جَمِيعِ أَقْوَالِهِ وَ لَكِنْ ذَرَارِيُّ قَتَلَةِ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يَرْضَوْنَ بِفِعَالِ آبَائِهِمْ وَ يَفْتَخِرُونَ بِهَا وَ مَنْ رَضِيَ شَيْئاً كَانَ كَمَنْ أَتَاهُ وَ لَوْ أَنَّ رَجُلًا قُتِلَ بِالْمَشْرِقِ فَرَضِيَ بِقَتْلِهِ رَجُلٌ بِالْمَغْرِبِ لَكَانَ الرَّاضِي عِنْدَ اللَّهِ عَزَّ وَ جَلَّ شَرِيكَ الْقَاتِلِ وَ إِنَّمَا يَقْتُلُهُمُ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لِرِضَاهُمْ بِفِعْلِ آبَائِهِمْ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وسائل الشيعة، ج </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 xml:space="preserve">، كتاب الامر بالمعروف و النهي عن المنكر، ابواب الامر و النهي، باب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8" w:name="pg2359_23611"/>
    </w:p>
    <w:p>
      <w:pPr>
        <w:pStyle w:val="BookText"/>
        <w:rPr/>
      </w:pPr>
      <w:bookmarkEnd w:id="668"/>
      <w:r>
        <w:rPr>
          <w:rFonts w:ascii="IRNazanin" w:hAnsi="IRNazanin" w:eastAsia="IRNazanin"/>
          <w:color w:val="111111"/>
          <w:sz w:val="28"/>
          <w:sz w:val="28"/>
          <w:szCs w:val="28"/>
          <w:rtl w:val="true"/>
          <w:lang w:bidi="fa-IR"/>
        </w:rPr>
        <w:t xml:space="preserve">از اين روايت استفاده مي‌شود كسي كه غيبت كند و ديگري فقط مستمع باشد به نحوي كه از اين استماع، رضايت به غيبت انتزاع شود، اين استماع از باب رضايت به فعل حرام، حرام است، هرچند قائل به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استماع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باشيم</w:t>
      </w:r>
      <w:r>
        <w:rPr>
          <w:rFonts w:eastAsia="IRNazanin" w:cs="IRNazanin"/>
          <w:color w:val="111111"/>
          <w:sz w:val="28"/>
          <w:szCs w:val="28"/>
          <w:rtl w:val="true"/>
          <w:lang w:bidi="fa-IR"/>
        </w:rPr>
        <w:t>.</w:t>
      </w:r>
    </w:p>
    <w:p>
      <w:pPr>
        <w:pStyle w:val="Heading4"/>
        <w:numPr>
          <w:ilvl w:val="3"/>
          <w:numId w:val="1"/>
        </w:numPr>
        <w:rPr/>
      </w:pPr>
      <w:bookmarkStart w:id="669" w:name="__RefHeading___Toc2770689_3804643083"/>
      <w:bookmarkStart w:id="670" w:name="_Toc255"/>
      <w:bookmarkEnd w:id="669"/>
      <w:r>
        <w:rPr/>
        <w:t>2</w:t>
      </w:r>
      <w:r>
        <w:rPr>
          <w:rtl w:val="true"/>
        </w:rPr>
        <w:t xml:space="preserve">. </w:t>
      </w:r>
      <w:r>
        <w:rPr>
          <w:rtl w:val="true"/>
        </w:rPr>
        <w:t>دفع منكر</w:t>
      </w:r>
      <w:bookmarkEnd w:id="670"/>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بحث حكم إعانت بر إثم بيان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نهي از منكر واجب است دفع منكر هم واجب است؛ يعني بايد از اوّل مانع وقوع منكر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در مجلسي حاضر است و مي‌داند بناست غيبت حرام محقّق شود، لازم است مانع غيبت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اگرچه عنوان دفع منكر واجب است، ولي از آن‌جايي كه دفع غيبت با عدم استماع غيبت ملازمه دارد؛ چون از تحقّق غيبت جلوگيري مي‌كند، از اين جهت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حق ندارد استماع غيبت كند، گرچه به عنوان استماع حرام نباشد</w:t>
      </w:r>
      <w:r>
        <w:rPr>
          <w:rFonts w:eastAsia="IRNazanin" w:cs="IRNazanin"/>
          <w:color w:val="111111"/>
          <w:sz w:val="28"/>
          <w:szCs w:val="28"/>
          <w:rtl w:val="true"/>
          <w:lang w:bidi="fa-IR"/>
        </w:rPr>
        <w:t>.</w:t>
      </w:r>
      <w:bookmarkStart w:id="671" w:name="pg2359_23612"/>
    </w:p>
    <w:p>
      <w:pPr>
        <w:pStyle w:val="Heading4"/>
        <w:numPr>
          <w:ilvl w:val="3"/>
          <w:numId w:val="1"/>
        </w:numPr>
        <w:rPr/>
      </w:pPr>
      <w:bookmarkStart w:id="672" w:name="__RefHeading___Toc2770691_3804643083"/>
      <w:bookmarkStart w:id="673" w:name="_Toc256"/>
      <w:bookmarkEnd w:id="671"/>
      <w:bookmarkEnd w:id="672"/>
      <w:r>
        <w:rPr/>
        <w:t>3</w:t>
      </w:r>
      <w:r>
        <w:rPr>
          <w:rtl w:val="true"/>
        </w:rPr>
        <w:t xml:space="preserve">. </w:t>
      </w:r>
      <w:r>
        <w:rPr>
          <w:rtl w:val="true"/>
        </w:rPr>
        <w:t>تشويق منكر</w:t>
      </w:r>
      <w:bookmarkEnd w:id="673"/>
    </w:p>
    <w:p>
      <w:pPr>
        <w:pStyle w:val="BookText"/>
        <w:rPr/>
      </w:pPr>
      <w:r>
        <w:rPr>
          <w:rFonts w:ascii="IRNazanin" w:hAnsi="IRNazanin" w:eastAsia="IRNazanin"/>
          <w:color w:val="111111"/>
          <w:sz w:val="28"/>
          <w:sz w:val="28"/>
          <w:szCs w:val="28"/>
          <w:rtl w:val="true"/>
          <w:lang w:bidi="fa-IR"/>
        </w:rPr>
        <w:t>اگر استماع غيبت موجب تشويق غيبت كننده باشد، از باب تشويق منكر حرام است؛ چون تشويق منكر مانند اتيان منكر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استدلالي ديگر بر حرمت استماع غيبت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مفهومي است كه طرف اضافه دارد و تا مستمعي نباشد غيبت محقّق نمي‌شود؛ مثلاً اگر كسي به تنهايي عيوب ديگران را بگويد و حديث نفس كند غيبت صادق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تا استماعي از طرف ديگران نباشد غيبت محقّق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استماع غيبت از اين بابت كه محقِّق، بلكه مقوّم معناي غيبت است، حرام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اين استدلال</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استدلال ناتمام است؛ زيرا صِرف اين‌كه تحقّق غيبت منوط به استماع است، دليل نمي‌شود كه از لحاظ حكم هم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و استماع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براي تحقّق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مضروب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تا مضروبي نباشد ضرب محقّق نمي‌شود، آيا اگر جايي ضرب حرام باشد، مثلاً كسي ظلماًً و عدواناً به پاي ديگري ضربه بزند، بايد مضروب شدن هم حرام باشد و لذا بايد فرار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مضروب شدن كمتر از آن حدّي باشد كه مي‌دانيم شارع به تحقّق آن راضي نيست، و إلا بيشتر از آن ميزان كسي حق ندارد مضروب واقع شود</w:t>
      </w:r>
      <w:r>
        <w:rPr>
          <w:rFonts w:eastAsia="IRNazanin" w:cs="IRNazanin"/>
          <w:color w:val="111111"/>
          <w:sz w:val="28"/>
          <w:szCs w:val="28"/>
          <w:rtl w:val="true"/>
          <w:lang w:bidi="fa-IR"/>
        </w:rPr>
        <w:t>.</w:t>
      </w:r>
      <w:bookmarkStart w:id="674" w:name="pg2359_23613"/>
    </w:p>
    <w:p>
      <w:pPr>
        <w:pStyle w:val="BookText"/>
        <w:rPr/>
      </w:pPr>
      <w:bookmarkEnd w:id="674"/>
      <w:r>
        <w:rPr>
          <w:rFonts w:ascii="IRNazanin" w:hAnsi="IRNazanin" w:eastAsia="IRNazanin"/>
          <w:color w:val="111111"/>
          <w:sz w:val="28"/>
          <w:sz w:val="28"/>
          <w:szCs w:val="28"/>
          <w:rtl w:val="true"/>
          <w:lang w:bidi="fa-IR"/>
        </w:rPr>
        <w:t xml:space="preserve">پس با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ولي نمي‌توانيم بگوييم مضروب شدن حرام است، در حالي‌كه ضرب بدون مضروب محقّق نمي‌شود و مي‌توان گفت وابستگي ضرب به مضروب، بيشتر از وابستگي مفهوم غيبت به استماع است؛ چون غيبت كننده حداقل خودش مي‌تواند بشنود، ولي ضرب بدون مضروب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ملازمه‌اي بين حكم غيبت و استماع غيبت نيست و عقل هم چنين حكمي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صِرف اين كه استماع غيبت، مقوّم تحقّق غيبت است حكم غيبت را داشته باشد، بايد بگوييم غيبت‌شونده هم با تحقّق غيبت مرتكب حرام مي‌شود؛ چون تا غيبت شونده‌اي نباشد غيبت محقّق نمي‌شود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صِرف اين‌كه غيبت‌كننده، غيبت‌شونده و سامع، تكويناً مقوّم غيبت هستند لازم نمي‌آيد كه حكم‌شان هم يكسان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استدلال ناتمام است</w:t>
      </w:r>
      <w:r>
        <w:rPr>
          <w:rFonts w:eastAsia="IRNazanin" w:cs="IRNazanin"/>
          <w:color w:val="111111"/>
          <w:sz w:val="28"/>
          <w:szCs w:val="28"/>
          <w:rtl w:val="true"/>
          <w:lang w:bidi="fa-IR"/>
        </w:rPr>
        <w:t>.</w:t>
      </w:r>
    </w:p>
    <w:p>
      <w:pPr>
        <w:pStyle w:val="Heading3"/>
        <w:numPr>
          <w:ilvl w:val="2"/>
          <w:numId w:val="1"/>
        </w:numPr>
        <w:rPr/>
      </w:pPr>
      <w:bookmarkStart w:id="675" w:name="__RefHeading___Toc2770693_3804643083"/>
      <w:bookmarkStart w:id="676" w:name="_Toc257"/>
      <w:bookmarkEnd w:id="675"/>
      <w:r>
        <w:rPr>
          <w:rtl w:val="true"/>
        </w:rPr>
        <w:t>حكم استماع، در صورت جواز غيبت</w:t>
      </w:r>
      <w:bookmarkEnd w:id="676"/>
    </w:p>
    <w:p>
      <w:pPr>
        <w:pStyle w:val="Heading4"/>
        <w:numPr>
          <w:ilvl w:val="3"/>
          <w:numId w:val="1"/>
        </w:numPr>
        <w:rPr/>
      </w:pPr>
      <w:bookmarkStart w:id="677" w:name="__RefHeading___Toc2770695_3804643083"/>
      <w:bookmarkStart w:id="678" w:name="_Toc258"/>
      <w:bookmarkEnd w:id="677"/>
      <w:r>
        <w:rPr>
          <w:rtl w:val="true"/>
        </w:rPr>
        <w:t>اشاره</w:t>
      </w:r>
      <w:bookmarkEnd w:id="678"/>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بنابر مبناي مختار كه استماع غيبت را مطلقاً حرام دانستيم، آيا شنيدن غيبتي كه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مجوّز غيبت دارد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البته فرض كلام در جايي است كه علم داريم مجوّز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صورت شك را بعداً بررسي خواهيم كرد</w:t>
      </w:r>
      <w:r>
        <w:rPr>
          <w:rFonts w:eastAsia="Amiri" w:cs="Amiri" w:ascii="Amiri" w:hAnsi="Amiri"/>
          <w:color w:val="111111"/>
          <w:sz w:val="28"/>
          <w:szCs w:val="28"/>
          <w:rtl w:val="true"/>
          <w:lang w:bidi="ar-SA"/>
        </w:rPr>
        <w:t>).</w:t>
      </w:r>
      <w:bookmarkStart w:id="679" w:name="pg2359_23614"/>
    </w:p>
    <w:p>
      <w:pPr>
        <w:pStyle w:val="Heading4"/>
        <w:numPr>
          <w:ilvl w:val="3"/>
          <w:numId w:val="1"/>
        </w:numPr>
        <w:rPr/>
      </w:pPr>
      <w:bookmarkStart w:id="680" w:name="__RefHeading___Toc2770697_3804643083"/>
      <w:bookmarkStart w:id="681" w:name="_Toc259"/>
      <w:bookmarkEnd w:id="679"/>
      <w:bookmarkEnd w:id="680"/>
      <w:r>
        <w:rPr>
          <w:rtl w:val="true"/>
        </w:rPr>
        <w:t>احتمالات مختلف در مسأله</w:t>
      </w:r>
      <w:bookmarkEnd w:id="681"/>
    </w:p>
    <w:p>
      <w:pPr>
        <w:pStyle w:val="Heading5"/>
        <w:numPr>
          <w:ilvl w:val="4"/>
          <w:numId w:val="1"/>
        </w:numPr>
        <w:rPr/>
      </w:pPr>
      <w:bookmarkStart w:id="682" w:name="__RefHeading___Toc2770699_3804643083"/>
      <w:bookmarkStart w:id="683" w:name="_Toc260"/>
      <w:bookmarkEnd w:id="682"/>
      <w:r>
        <w:rPr>
          <w:rtl w:val="true"/>
        </w:rPr>
        <w:t>اشاره</w:t>
      </w:r>
      <w:bookmarkEnd w:id="683"/>
    </w:p>
    <w:p>
      <w:pPr>
        <w:pStyle w:val="BookText"/>
        <w:rPr/>
      </w:pPr>
      <w:r>
        <w:rPr>
          <w:rFonts w:ascii="IRNazanin" w:hAnsi="IRNazanin" w:eastAsia="IRNazanin"/>
          <w:color w:val="111111"/>
          <w:sz w:val="28"/>
          <w:sz w:val="28"/>
          <w:szCs w:val="28"/>
          <w:rtl w:val="true"/>
          <w:lang w:bidi="fa-IR"/>
        </w:rPr>
        <w:t>حالات مختلفي براي مسأله متصوّر است كه هر كدام را بايد جداگانه بررسي كنيم</w:t>
      </w:r>
      <w:r>
        <w:rPr>
          <w:rFonts w:eastAsia="IRNazanin" w:cs="IRNazanin"/>
          <w:color w:val="111111"/>
          <w:sz w:val="28"/>
          <w:szCs w:val="28"/>
          <w:rtl w:val="true"/>
          <w:lang w:bidi="fa-IR"/>
        </w:rPr>
        <w:t>:</w:t>
      </w:r>
    </w:p>
    <w:p>
      <w:pPr>
        <w:pStyle w:val="Heading5"/>
        <w:numPr>
          <w:ilvl w:val="4"/>
          <w:numId w:val="1"/>
        </w:numPr>
        <w:rPr/>
      </w:pPr>
      <w:bookmarkStart w:id="684" w:name="__RefHeading___Toc2770701_3804643083"/>
      <w:bookmarkStart w:id="685" w:name="_Toc261"/>
      <w:bookmarkEnd w:id="684"/>
      <w:r>
        <w:rPr/>
        <w:t>1</w:t>
      </w:r>
      <w:r>
        <w:rPr>
          <w:rtl w:val="true"/>
        </w:rPr>
        <w:t xml:space="preserve">. </w:t>
      </w:r>
      <w:r>
        <w:rPr>
          <w:rtl w:val="true"/>
        </w:rPr>
        <w:t>شنيدن غيبتي كه تخصّصاً از موضوع غيبت خارج است</w:t>
      </w:r>
      <w:bookmarkEnd w:id="685"/>
    </w:p>
    <w:p>
      <w:pPr>
        <w:pStyle w:val="BookText"/>
        <w:rPr/>
      </w:pPr>
      <w:r>
        <w:rPr>
          <w:rFonts w:ascii="IRNazanin" w:hAnsi="IRNazanin" w:eastAsia="IRNazanin"/>
          <w:color w:val="111111"/>
          <w:sz w:val="28"/>
          <w:sz w:val="28"/>
          <w:szCs w:val="28"/>
          <w:rtl w:val="true"/>
          <w:lang w:bidi="fa-IR"/>
        </w:rPr>
        <w:t xml:space="preserve">بعضي از مستثنيات غيبت را گفتيم تخصّصاً از موضوع غيبت خارج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غيبت متجاهر به فسق كه كشف عمّا ستره الله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چون اصلاً غيبت صادق نيست استماع آن هم استماع غيبت نيست و لذا از اين باب حرام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صحيحه‌ي عبد الأعلي بن أعين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كَانَ يُؤْمِنُ بِاللَّهِ وَ الْيَوْمِ الْآخِرِ فَلَا يَجْلِسْ مَجْلِساً يُنْتَقَصُ فِيهِ إِمَامٌ أَوْ يُعَابُ فِيهِ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شنيدن چنين مواردي هم مي‌شود؛ زيرا گرچه غيبت صادق نيست، ولي عيب مؤمن بيان مي‌شود</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ـ همان‌طور كه قبلاً اشاره كرديم ـ در مقام بيان اين‌كه چه عيبي حرام است نمي‌باشد، بلكه در صدد بيان اين است كه حضور در مكاني كه عيب مؤمن آورده مي‌شود جايز نيست، امّا اين‌كه ذكر چه عيبي جايز و كدام حرام است، بايد از دليل ديگر استفاده شود</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bookmarkStart w:id="686" w:name="pg2359_23615"/>
    </w:p>
    <w:p>
      <w:pPr>
        <w:pStyle w:val="BookText"/>
        <w:rPr/>
      </w:pPr>
      <w:bookmarkEnd w:id="686"/>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مي‌توانيم بگوييم اصلاً صحيحه‌ي عبد الأعلي بن أعين از موارد استماع عيب مجاهر به فسق منصرف است؛ چون او خودش با تجاهر بيان‌گر عيبش است، بلكه ذكر چنين عيبي اساساً عيب آوردن و عيب گرفتن از او نيست</w:t>
      </w:r>
      <w:r>
        <w:rPr>
          <w:rFonts w:eastAsia="IRNazanin" w:cs="IRNazanin"/>
          <w:color w:val="111111"/>
          <w:sz w:val="28"/>
          <w:szCs w:val="28"/>
          <w:rtl w:val="true"/>
          <w:lang w:bidi="fa-IR"/>
        </w:rPr>
        <w:t>.</w:t>
      </w:r>
    </w:p>
    <w:p>
      <w:pPr>
        <w:pStyle w:val="Heading5"/>
        <w:numPr>
          <w:ilvl w:val="4"/>
          <w:numId w:val="1"/>
        </w:numPr>
        <w:rPr/>
      </w:pPr>
      <w:bookmarkStart w:id="687" w:name="__RefHeading___Toc2770703_3804643083"/>
      <w:bookmarkStart w:id="688" w:name="_Toc262"/>
      <w:bookmarkEnd w:id="687"/>
      <w:r>
        <w:rPr/>
        <w:t>2</w:t>
      </w:r>
      <w:r>
        <w:rPr>
          <w:rtl w:val="true"/>
        </w:rPr>
        <w:t xml:space="preserve">. </w:t>
      </w:r>
      <w:r>
        <w:rPr>
          <w:rtl w:val="true"/>
        </w:rPr>
        <w:t>شنيدن غيبتي كه براي غيبت كننده به خاطر اضطرار، تقيّه و يا عدم بلوغ، جايز است</w:t>
      </w:r>
      <w:bookmarkEnd w:id="68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مي‌دانيم كه در مواردي غيبت جايز است؛ مثلاً شخصي كه مضطرّ به غيبت باشد، از 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اضطروا اليه</w:t>
      </w:r>
      <w:r>
        <w:rPr>
          <w:rFonts w:eastAsia="Amiri" w:cs="Amiri" w:ascii="Amiri" w:hAnsi="Amiri"/>
          <w:color w:val="111111"/>
          <w:sz w:val="28"/>
          <w:szCs w:val="28"/>
          <w:rtl w:val="true"/>
          <w:lang w:bidi="ar-SA"/>
        </w:rPr>
        <w:t>»</w:t>
      </w:r>
      <w:r>
        <w:rPr>
          <w:rStyle w:val="FootnoteAnchor"/>
          <w:rtl w:val="true"/>
        </w:rPr>
        <w:footnoteReference w:id="466"/>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محرّم الا و قد احلّه الاضطرار</w:t>
      </w:r>
      <w:r>
        <w:rPr>
          <w:rFonts w:eastAsia="Amiri" w:cs="Amiri" w:ascii="Amiri" w:hAnsi="Amiri"/>
          <w:color w:val="111111"/>
          <w:sz w:val="28"/>
          <w:szCs w:val="28"/>
          <w:rtl w:val="true"/>
          <w:lang w:bidi="ar-SA"/>
        </w:rPr>
        <w:t>»</w:t>
      </w:r>
      <w:r>
        <w:rPr>
          <w:rStyle w:val="FootnoteAnchor"/>
          <w:rtl w:val="true"/>
        </w:rPr>
        <w:footnoteReference w:id="467"/>
      </w:r>
      <w:r>
        <w:rPr>
          <w:rFonts w:ascii="IRNazanin" w:hAnsi="IRNazanin" w:eastAsia="IRNazanin"/>
          <w:color w:val="111111"/>
          <w:sz w:val="28"/>
          <w:sz w:val="28"/>
          <w:szCs w:val="28"/>
          <w:rtl w:val="true"/>
          <w:lang w:bidi="fa-IR"/>
        </w:rPr>
        <w:t>حرمتي براي او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كسي كه به سن بلوغ نرسيده باشد،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 عن الصبي حتّي</w:t>
      </w:r>
      <w:bookmarkStart w:id="689" w:name="pg2359_23616"/>
    </w:p>
    <w:p>
      <w:pPr>
        <w:pStyle w:val="BookText"/>
        <w:rPr/>
      </w:pPr>
      <w:bookmarkEnd w:id="689"/>
      <w:r>
        <w:rPr>
          <w:rFonts w:ascii="Amiri" w:hAnsi="Amiri" w:eastAsia="Amiri" w:cs="Amiri"/>
          <w:color w:val="111111"/>
          <w:sz w:val="28"/>
          <w:sz w:val="28"/>
          <w:szCs w:val="28"/>
          <w:rtl w:val="true"/>
          <w:lang w:bidi="ar-SA"/>
        </w:rPr>
        <w:t>يحتلم</w:t>
      </w:r>
      <w:r>
        <w:rPr>
          <w:rFonts w:eastAsia="Amiri" w:cs="Amiri" w:ascii="Amiri" w:hAnsi="Amiri"/>
          <w:color w:val="111111"/>
          <w:sz w:val="28"/>
          <w:szCs w:val="28"/>
          <w:rtl w:val="true"/>
          <w:lang w:bidi="ar-SA"/>
        </w:rPr>
        <w:t>»</w:t>
      </w:r>
      <w:r>
        <w:rPr>
          <w:rStyle w:val="FootnoteAnchor"/>
          <w:rtl w:val="true"/>
        </w:rPr>
        <w:footnoteReference w:id="468"/>
      </w:r>
      <w:r>
        <w:rPr>
          <w:rFonts w:ascii="IRNazanin" w:hAnsi="IRNazanin" w:eastAsia="IRNazanin"/>
          <w:color w:val="111111"/>
          <w:sz w:val="28"/>
          <w:sz w:val="28"/>
          <w:szCs w:val="28"/>
          <w:rtl w:val="true"/>
          <w:lang w:bidi="fa-IR"/>
        </w:rPr>
        <w:t>غيبت براي او حرام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همين‌طور غيبت اگر در مقام تقيّه باشد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گرچه ارتكاب غيبت براي مضطر و غير بالغ و در مقام تقيّه جايز است، امّا مي‌توانيم بگوييم استماع چنين غيبتي به اطلاق صحيحه‌ي عبد الأعلي بن أعين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يَجْلِسْ مَجْلِساً يُنْتَقَصُ فِيهِ إِمَامٌ أَوْ يُعَابُ فِيهِ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و جواز غيبت دليل براي جواز استماع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استماع چنين غيبتي جايز نيست، هرچند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نمي‌توان نهي از منكر كرد؛ چون او مجوّز دارد و كار حرامي مرتكب نمي‌شود</w:t>
      </w:r>
      <w:r>
        <w:rPr>
          <w:rFonts w:eastAsia="IRNazanin" w:cs="IRNazanin"/>
          <w:color w:val="111111"/>
          <w:sz w:val="28"/>
          <w:szCs w:val="28"/>
          <w:rtl w:val="true"/>
          <w:lang w:bidi="fa-IR"/>
        </w:rPr>
        <w:t>.</w:t>
      </w:r>
    </w:p>
    <w:p>
      <w:pPr>
        <w:pStyle w:val="Heading5"/>
        <w:numPr>
          <w:ilvl w:val="4"/>
          <w:numId w:val="1"/>
        </w:numPr>
        <w:rPr/>
      </w:pPr>
      <w:bookmarkStart w:id="690" w:name="__RefHeading___Toc2770705_3804643083"/>
      <w:bookmarkStart w:id="691" w:name="_Toc263"/>
      <w:bookmarkEnd w:id="690"/>
      <w:r>
        <w:rPr/>
        <w:t>3</w:t>
      </w:r>
      <w:r>
        <w:rPr>
          <w:rtl w:val="true"/>
        </w:rPr>
        <w:t xml:space="preserve">. </w:t>
      </w:r>
      <w:r>
        <w:rPr>
          <w:rtl w:val="true"/>
        </w:rPr>
        <w:t>شنيدن غيبت ظالم در مقام انتصار</w:t>
      </w:r>
      <w:bookmarkEnd w:id="691"/>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مواردي كه مي‌دانيم شخصي مظلوم واقع شده و براي انتصار غيبت مي‌كند، اگر استماع در طريق انتصار واقع شده و نصرت مظلوم باشد جايز است؛ زيرا نصرت مظلوم، جايز و دفع ظلم از مؤمن، راجح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حتّي مي‌توانيم بگوييم اين استماعِ غيبت مصداق احسان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ظالم است نيز مي‌باشد؛ چون او را از ظلم باز مي‌دارد، كما اين‌كه در روايتي يكي از حقوق برادر مؤمن را نصرت او ظالماً و مظلوماً بيان مي‌كند و مي‌فرمايد</w:t>
      </w:r>
      <w:r>
        <w:rPr>
          <w:rFonts w:eastAsia="IRNazanin" w:cs="IRNazanin"/>
          <w:color w:val="111111"/>
          <w:sz w:val="28"/>
          <w:szCs w:val="28"/>
          <w:rtl w:val="true"/>
          <w:lang w:bidi="fa-IR"/>
        </w:rPr>
        <w:t>:</w:t>
      </w:r>
      <w:bookmarkStart w:id="692" w:name="pg2359_23617"/>
    </w:p>
    <w:p>
      <w:pPr>
        <w:pStyle w:val="BookText"/>
        <w:rPr/>
      </w:pPr>
      <w:bookmarkEnd w:id="6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يَنْصُرُهُ ظَالِماً وَ مَظْلُوماً فَأَمَّا نُصْرَتُهُ ظَالِماً فَيَرُدُّهُ عَنْ ظُلْمِهِ وَ أَمَّا نُصْرَتُهُ مَظْلُوماً فَيُعِينُهُ عَلَى أَخْذِ حَقِّهِ</w:t>
      </w:r>
      <w:r>
        <w:rPr>
          <w:rFonts w:eastAsia="Amiri" w:cs="Amiri" w:ascii="Amiri" w:hAnsi="Amiri"/>
          <w:color w:val="111111"/>
          <w:sz w:val="28"/>
          <w:szCs w:val="28"/>
          <w:rtl w:val="true"/>
          <w:lang w:bidi="ar-SA"/>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يكي ديگر از حقوق برادر مؤمن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ظالماً و مظلوماً ياري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ياري او ظالماً به اين است كه او را از ظلم كردن منع كند و ياري او مظلوماً به اين است كه او را در گرفتن حقّش ياري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استماع در طريق انتصار نباشد باز هم بعيد نيست بگوييم بالملازمة العرفية جايز است؛ زيرا وقتي خداوند متعال به مظلوم اين حق را مي‌دهد كه عليه ظالم فرياد بكشد و جهر به سوء كند، اگر بگوييم هيچ كس حقِّ شنيدن اين جهر به سوء را ندارد، عرفاً حقِّ جهر، لغو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حسب فهم عرفي، جواز جهر به سوء براي مظلوم با جواز استماع آن ملازمه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به دلالت التزامي مي‌گوييم استماع غيبتي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مظلوم واقع شده باشد، حتّي اگر در طريق انتصار نباشد جايز است</w:t>
      </w:r>
      <w:r>
        <w:rPr>
          <w:rFonts w:eastAsia="IRNazanin" w:cs="IRNazanin"/>
          <w:color w:val="111111"/>
          <w:sz w:val="28"/>
          <w:szCs w:val="28"/>
          <w:rtl w:val="true"/>
          <w:lang w:bidi="fa-IR"/>
        </w:rPr>
        <w:t>.</w:t>
      </w:r>
    </w:p>
    <w:p>
      <w:pPr>
        <w:pStyle w:val="Heading3"/>
        <w:numPr>
          <w:ilvl w:val="2"/>
          <w:numId w:val="1"/>
        </w:numPr>
        <w:rPr/>
      </w:pPr>
      <w:bookmarkStart w:id="693" w:name="__RefHeading___Toc2770707_3804643083"/>
      <w:bookmarkStart w:id="694" w:name="_Toc264"/>
      <w:bookmarkEnd w:id="693"/>
      <w:r>
        <w:rPr>
          <w:rtl w:val="true"/>
        </w:rPr>
        <w:t>حكم استماع در صورت شك در جواز غيبت</w:t>
      </w:r>
      <w:bookmarkEnd w:id="694"/>
    </w:p>
    <w:p>
      <w:pPr>
        <w:pStyle w:val="Heading4"/>
        <w:numPr>
          <w:ilvl w:val="3"/>
          <w:numId w:val="1"/>
        </w:numPr>
        <w:rPr/>
      </w:pPr>
      <w:bookmarkStart w:id="695" w:name="__RefHeading___Toc2770709_3804643083"/>
      <w:bookmarkStart w:id="696" w:name="_Toc265"/>
      <w:bookmarkEnd w:id="695"/>
      <w:r>
        <w:rPr>
          <w:rtl w:val="true"/>
        </w:rPr>
        <w:t>اشاره</w:t>
      </w:r>
      <w:bookmarkEnd w:id="696"/>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مواردي كه شك داريم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مجوّز غيبت دارد يا نه؛ مثلاً شك داريم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مجاهر به فسق است يا نه، شنيدن چنين غيبتي چه حكمي دارد؟ و بر فرض عدم جواز استماع</w:t>
      </w:r>
    </w:p>
    <w:p>
      <w:pPr>
        <w:pStyle w:val="BookText"/>
        <w:rPr/>
      </w:pPr>
      <w:r>
        <w:rPr>
          <w:rFonts w:ascii="Amiri" w:hAnsi="Amiri" w:eastAsia="Amiri" w:cs="Amiri"/>
          <w:color w:val="111111"/>
          <w:sz w:val="28"/>
          <w:sz w:val="28"/>
          <w:szCs w:val="28"/>
          <w:rtl w:val="true"/>
          <w:lang w:bidi="ar-SA"/>
        </w:rPr>
        <w:t>غيبت، آيا نهي از منكر واجب است يا نه؟</w:t>
      </w:r>
    </w:p>
    <w:p>
      <w:pPr>
        <w:pStyle w:val="BookText"/>
        <w:rPr/>
      </w:pPr>
      <w:r>
        <w:rPr>
          <w:rFonts w:ascii="IRNazanin" w:hAnsi="IRNazanin" w:eastAsia="IRNazanin"/>
          <w:color w:val="111111"/>
          <w:sz w:val="28"/>
          <w:sz w:val="28"/>
          <w:szCs w:val="28"/>
          <w:rtl w:val="true"/>
          <w:lang w:bidi="fa-IR"/>
        </w:rPr>
        <w:t>در اين‌كه نهي از منكر واجب نيست نبايد دغدغه كرد؛ زيرا نهايت اين است كه ادلّه‌ي نهي از منكر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يجب النهي عن كلّ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شك داريم كه آيا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غيبت مرتكب منكر مي‌شود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جايي اگر به اطلاق يا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 النهي عن كل منكر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كنيم و بگوييم نهي از منكر واجب است، در واقع تمسّك به عام در شبهه‌ي مصداقيه‌ي خودش كرده‌ايم كه احدي از اهل علم آن را جايز نمي‌داند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ديگر اصالة الصحة در فعل مسلم جاري است كه قابل مناقشه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جايي كه امكان حمل فعل مسلمان بر صحّت باشد، بايد آن را بر صحّت حمل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نهي از منكر در فرض شك، لازم نيست و اگر كسي بخواهد با استصحاب عدم إجهار، اثبات اتيان منكر از جانب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كند، مي‌گوييم اين استصحاب مُثبِت است، كه توضيح آن خواهد آمد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براي رسيدگي به حكم استماع در صورت شك بايد صورت هاي مختلف غيبت از حيث جريان اصل موضوعي و عدم جريان آن جداگانه بررسي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عنوان مثال، شكّ در جواز غيبت به خاطر شكّ در مظلوم 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بررسي مي‌كنيم</w:t>
      </w:r>
      <w:r>
        <w:rPr>
          <w:rFonts w:eastAsia="IRNazanin" w:cs="IRNazanin"/>
          <w:color w:val="111111"/>
          <w:sz w:val="28"/>
          <w:szCs w:val="28"/>
          <w:rtl w:val="true"/>
          <w:lang w:bidi="fa-IR"/>
        </w:rPr>
        <w:t>: </w:t>
      </w:r>
      <w:bookmarkStart w:id="697" w:name="pg2359_23619"/>
    </w:p>
    <w:p>
      <w:pPr>
        <w:pStyle w:val="Heading4"/>
        <w:numPr>
          <w:ilvl w:val="3"/>
          <w:numId w:val="1"/>
        </w:numPr>
        <w:rPr/>
      </w:pPr>
      <w:bookmarkStart w:id="698" w:name="__RefHeading___Toc2770711_3804643083"/>
      <w:bookmarkStart w:id="699" w:name="_Toc266"/>
      <w:bookmarkEnd w:id="697"/>
      <w:bookmarkEnd w:id="698"/>
      <w:r>
        <w:rPr>
          <w:rtl w:val="true"/>
        </w:rPr>
        <w:t>شكّ در جواز غيبت به خاطر شكّ در مثل مظلوميّت مغتاب</w:t>
      </w:r>
      <w:bookmarkEnd w:id="699"/>
    </w:p>
    <w:p>
      <w:pPr>
        <w:pStyle w:val="BookText"/>
        <w:rPr/>
      </w:pPr>
      <w:r>
        <w:rPr>
          <w:rFonts w:ascii="IRNazanin" w:hAnsi="IRNazanin" w:eastAsia="IRNazanin"/>
          <w:color w:val="111111"/>
          <w:sz w:val="28"/>
          <w:sz w:val="28"/>
          <w:szCs w:val="28"/>
          <w:rtl w:val="true"/>
          <w:lang w:bidi="fa-IR"/>
        </w:rPr>
        <w:t xml:space="preserve">اگر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ظلم شده، ولي ما نمي‌دانيم واقعاً مظلوم است يا نه؟ شايد نه تنها مظلوم نباشد، بلكه ظالم هم باشد و شايد اصلاً فرد را اشتباه گرفته و ظالم، شخص ديگري است و بالجمله در مظلوم 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داشتيم، در اينجا حكم چيست؟</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واقعي استماع را طبق صحيحه‌ي عبد الاعلي بن اعين و آيه‌ي شريفه‌ي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يُحِبُّ اللَّهُ الْجَهْرَ بِالسُّوءِ مِنَ الْقَوْلِ إِلاَّ مَنْ ظُلِم</w:t>
      </w:r>
      <w:r>
        <w:rPr>
          <w:rFonts w:eastAsia="Amiri" w:cs="Amiri" w:ascii="Amiri" w:hAnsi="Amiri"/>
          <w:color w:val="111111"/>
          <w:sz w:val="28"/>
          <w:szCs w:val="28"/>
          <w:rtl w:val="true"/>
          <w:lang w:bidi="ar-SA"/>
        </w:rPr>
        <w:t>)</w:t>
      </w:r>
      <w:r>
        <w:rPr>
          <w:rStyle w:val="FootnoteAnchor"/>
          <w:rtl w:val="true"/>
        </w:rPr>
        <w:footnoteReference w:id="470"/>
      </w:r>
      <w:r>
        <w:rPr>
          <w:rFonts w:ascii="IRNazanin" w:hAnsi="IRNazanin" w:eastAsia="IRNazanin"/>
          <w:color w:val="111111"/>
          <w:sz w:val="28"/>
          <w:sz w:val="28"/>
          <w:szCs w:val="28"/>
          <w:rtl w:val="true"/>
          <w:lang w:bidi="fa-IR"/>
        </w:rPr>
        <w:t>بيان كرديم كه استماع غيبت از كسي كه في‌الواقع مؤمن بوده و ظالم نباشد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في‌الواقع مؤمن نباشد يا ظالم باشد استماع غيبتش جايز است؛ يعني در حقيقت، اطلاق صحيحه‌ي عبد الاعلي بن أعين به وسيله‌ي آيه‌ي شريفه‌ي فوق و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لَمَنِ انْتَصَرَ بَعْدَ ظُلْمِهِ فَأُولئِكَ ما عَلَيْهِمْ مِنْ سَبيل</w:t>
      </w:r>
      <w:r>
        <w:rPr>
          <w:rFonts w:eastAsia="IRNazanin" w:cs="IRNazanin"/>
          <w:color w:val="111111"/>
          <w:sz w:val="28"/>
          <w:szCs w:val="28"/>
          <w:rtl w:val="true"/>
          <w:lang w:bidi="fa-IR"/>
        </w:rPr>
        <w:t>)</w:t>
      </w:r>
      <w:r>
        <w:rPr>
          <w:rStyle w:val="FootnoteAnchor"/>
          <w:rtl w:val="true"/>
        </w:rPr>
        <w:footnoteReference w:id="471"/>
      </w:r>
      <w:r>
        <w:rPr>
          <w:rFonts w:ascii="IRNazanin" w:hAnsi="IRNazanin" w:eastAsia="IRNazanin"/>
          <w:color w:val="111111"/>
          <w:sz w:val="28"/>
          <w:sz w:val="28"/>
          <w:szCs w:val="28"/>
          <w:rtl w:val="true"/>
          <w:lang w:bidi="fa-IR"/>
        </w:rPr>
        <w:t>تقييد خورده و نتيجه اين‌چنين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لايجلس مجلساً يغتاب فيه مؤمن إلا أن يكون المغتاب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منتصراً بعد ظلمه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مي‌توانيم ماحصل آن را براي سهولت، اين‌طور بيان كنيم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لايجوز الاستماع إلي اغتياب مؤمن إلا أن يكون ظالماً</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در مقام شك كه نمي‌دانيم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است يا نه، معلوم است كه نه مي‌توانيم به دليل خاص تمسّك كنيم و نه به عام؛ زيرا تمسّك به عام يا خاص در شبهه‌ي مصداقيه ـ چه شبهه‌ي مصداقيه‌ي خودِ عام و چه شبهه‌ي مصداقيه‌ي مخصّص ـ جايز نيست</w:t>
      </w:r>
      <w:r>
        <w:rPr>
          <w:rStyle w:val="FootnoteAnchor"/>
          <w:rtl w:val="true"/>
        </w:rPr>
        <w:footnoteReference w:id="4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احراز غير ظالم بودن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جريان اصل</w:t>
      </w:r>
    </w:p>
    <w:p>
      <w:pPr>
        <w:pStyle w:val="BookText"/>
        <w:rPr/>
      </w:pPr>
      <w:r>
        <w:rPr>
          <w:rFonts w:ascii="IRNazanin" w:hAnsi="IRNazanin" w:eastAsia="IRNazanin"/>
          <w:color w:val="111111"/>
          <w:sz w:val="28"/>
          <w:sz w:val="28"/>
          <w:szCs w:val="28"/>
          <w:rtl w:val="true"/>
          <w:lang w:bidi="fa-IR"/>
        </w:rPr>
        <w:t xml:space="preserve">مرحوم آخوند در آخر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تمسّك به عام در شبهه‌ي مصداقيه‌ي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ايقاظي را مطرح كرده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مي‌توان با اجراي اصل موضوعي، مصداقي را در مخصّص ادراج يا از آن اخراج كرد و در عام داخل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ي بحث، استصحاب عدم ازلي را مطرح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فرمايش جناب آخوند به نظر ما هم درست بود و ما در اين بحث، از ايشان تبعيت كرديم</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 نحن فيه هم مي‌توانيم از اين روش استفاده كنيم و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w:t>
      </w:r>
      <w:r>
        <w:rPr>
          <w:rStyle w:val="FootnoteAnchor"/>
          <w:rtl w:val="true"/>
        </w:rPr>
        <w:footnoteReference w:id="474"/>
      </w:r>
      <w:r>
        <w:rPr>
          <w:rFonts w:ascii="IRNazanin" w:hAnsi="IRNazanin" w:eastAsia="IRNazanin"/>
          <w:color w:val="111111"/>
          <w:sz w:val="28"/>
          <w:sz w:val="28"/>
          <w:szCs w:val="28"/>
          <w:rtl w:val="true"/>
          <w:lang w:bidi="fa-IR"/>
        </w:rPr>
        <w:t xml:space="preserve">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بالوجدان، و ظالم نبودن او نسبت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استصحاب احراز مي‌كنيم؛ يعني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 تكليف، نسبت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نبود، شك مي‌كنيم كه نسبت به او ظالم شده يا نه، استصحاب عدم نعتي جاري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 ضمّ وجدان به اصل، غيبت در اين مورد، غيبت مؤمن غير ظالم است و مشمول حكم عام</w:t>
      </w:r>
      <w:r>
        <w:rPr>
          <w:rStyle w:val="FootnoteAnchor"/>
          <w:rtl w:val="true"/>
        </w:rPr>
        <w:footnoteReference w:id="475"/>
      </w:r>
      <w:r>
        <w:rPr>
          <w:rFonts w:ascii="Amiri" w:hAnsi="Amiri" w:eastAsia="Amiri" w:cs="Amiri"/>
          <w:color w:val="111111"/>
          <w:sz w:val="28"/>
          <w:sz w:val="28"/>
          <w:szCs w:val="28"/>
          <w:rtl w:val="true"/>
          <w:lang w:bidi="ar-SA"/>
        </w:rPr>
        <w:t>مي‌شود، در نتيجه استماع غيبت او حرام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مي‌توانيم با ضمّ وجدان به اصل، احراز كنيم غيبتي كه مرتكب مي‌شود حرام است؛ يعني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بالوجدان مؤمن است و از اوّل تكليف نسبت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ظالم نبوده، الآن شك مي‌كنيم كه نسبت به او ظالم شده تا غيبتش بر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باشد يا نه، استصحاب عدم نعتي مي‌كنيم و با ضمّ وجدان به اصل، موضوع براي حرمت غيبت احراز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غيبتي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مي‌شود حرام و در نتيجه نهي از منكرِ او واجب است</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مواردي كه مربوط به فعل غير است استصحاب جاري نيست؛ چون شك مربوط به مستمع است و اگر بخواهيم با استصحابي كه در حقّ مستمع جاري است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مرتكب حرام بدانيم، استصحاب مثبِت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در چنين مواردي اصالة الصحة جاري مي‌شود كه مقدّم بر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نه تنها نهي از منكرِ او واجب نيست، بلكه چه بسا حرام باشد؛ چون دادنِ نسبت حرام به مؤمن و هتك او است</w:t>
      </w:r>
      <w:r>
        <w:rPr>
          <w:rFonts w:eastAsia="IRNazanin" w:cs="IRNazanin"/>
          <w:color w:val="111111"/>
          <w:sz w:val="28"/>
          <w:szCs w:val="28"/>
          <w:rtl w:val="true"/>
          <w:lang w:bidi="fa-IR"/>
        </w:rPr>
        <w:t>.</w:t>
      </w:r>
      <w:bookmarkStart w:id="700" w:name="pg2359_23622"/>
    </w:p>
    <w:p>
      <w:pPr>
        <w:pStyle w:val="Heading4"/>
        <w:numPr>
          <w:ilvl w:val="3"/>
          <w:numId w:val="1"/>
        </w:numPr>
        <w:rPr/>
      </w:pPr>
      <w:bookmarkStart w:id="701" w:name="__RefHeading___Toc2770713_3804643083"/>
      <w:bookmarkStart w:id="702" w:name="_Toc267"/>
      <w:bookmarkEnd w:id="700"/>
      <w:bookmarkEnd w:id="701"/>
      <w:r>
        <w:rPr>
          <w:rtl w:val="true"/>
        </w:rPr>
        <w:t>قول مختار در مقام شك</w:t>
      </w:r>
      <w:bookmarkEnd w:id="702"/>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نتيجه‌ي نهايي اين شد كه در مقام شك، در صورت جريان مثل استصحاب مذكور، استماع جايز نيست ـ البته استدراكي نسبت به عدم جواز استماع در اين صورت در مباحث آتي ذكر خواهيم كرد ـ همچنين نهي از منكر هم نسبت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استدلال ميرزا محمّد تقي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جواز استماع غيبت حين شك</w:t>
      </w:r>
    </w:p>
    <w:p>
      <w:pPr>
        <w:pStyle w:val="BookText"/>
        <w:rPr/>
      </w:pPr>
      <w:r>
        <w:rPr>
          <w:rFonts w:ascii="Amiri" w:hAnsi="Amiri" w:eastAsia="Amiri" w:cs="Amiri"/>
          <w:color w:val="111111"/>
          <w:sz w:val="28"/>
          <w:sz w:val="28"/>
          <w:szCs w:val="28"/>
          <w:rtl w:val="true"/>
          <w:lang w:bidi="ar-SA"/>
        </w:rPr>
        <w:t>ميرزا محمّد تقي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r>
        <w:rPr>
          <w:rStyle w:val="FootnoteAnchor"/>
          <w:rtl w:val="true"/>
        </w:rPr>
        <w:footnoteReference w:id="476"/>
      </w:r>
    </w:p>
    <w:p>
      <w:pPr>
        <w:pStyle w:val="BookText"/>
        <w:rPr/>
      </w:pPr>
      <w:r>
        <w:rPr>
          <w:rFonts w:ascii="IRNazanin" w:hAnsi="IRNazanin" w:eastAsia="IRNazanin"/>
          <w:color w:val="111111"/>
          <w:sz w:val="28"/>
          <w:sz w:val="28"/>
          <w:szCs w:val="28"/>
          <w:rtl w:val="true"/>
          <w:lang w:bidi="fa-IR"/>
        </w:rPr>
        <w:t xml:space="preserve">پس از آن‌كه ميرزاي بزرگ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نظر گروهي از مردم به رهبري ديني و سياسي او متوجّه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سامرّا به اقامه‌ي وظايف شرعي و تدريس و تربيت طلاب پرداخت و اهل علم در محضر درسش حاضر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 تا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اقامت داشت و سپس به كاظمين رفت و مدتي بعد به كربلا رفت و تا پايان عمر در آن‌جا ماند و به تأليف، تدريس و تربيت شاگردان خود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ويژگي‌هاي اخلاقي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و قناعت</w:t>
      </w:r>
    </w:p>
    <w:p>
      <w:pPr>
        <w:pStyle w:val="BookText"/>
        <w:rPr/>
      </w:pPr>
      <w:r>
        <w:rPr>
          <w:rFonts w:ascii="IRNazanin" w:hAnsi="IRNazanin" w:eastAsia="IRNazanin"/>
          <w:color w:val="111111"/>
          <w:sz w:val="28"/>
          <w:sz w:val="28"/>
          <w:szCs w:val="28"/>
          <w:rtl w:val="true"/>
          <w:lang w:bidi="fa-IR"/>
        </w:rPr>
        <w:t>شيخ آقا بزرگ تهراني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او انسان را به ياد خدا مي‌آورد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رخسار قدسيان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كسي چيزي درخواست نمي‌كرد، حتّي وقتي تشنه مي‌شد خود بلند مي‌شد و آب مي‌آشاميد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در امر خوراك و پوشاك و مسكن خويش بسيار قانع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اموال فراواني كه از آفريقا، ايران، عراق، عربستان و شيخ نشين‌هاي خليج و ديگر نقاط به دستش مي‌رسيد، خانه‌اي استيجاري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از بزرگان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ديدم پيراهن ميرزا وصله‌هاي زيادي دارد به فرزندش ميرزا عبدالحسين گفتم چرا پيراهن وي 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او زعيم و قائد بي‌نظير انقلاب عراق است و با موقعيّت وي هيچ تناسبي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در شيراز مزرعه‌اي دارد كه از اجدادش به او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 ساليانه‌ي اين مزرعه چيزي در حدود صد تومان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خرج زن و بچه و ديگر مخارج خود را كه شامل خوراك و پوشاك و اجاره‌ي منزل مي‌شود، تنها از اين راه تامين مي‌كند و چون اين مبلغ نيازمندي‌هاي ضروري خانواده را تأمين نمي‌كند، پدرم به لباسي كهنه بسنده مي‌كند و چيز ديگري را جايگزين آن نمي‌كند تا از همان صد تومان همه‌ي مخارج خانواده را تامين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غيرت ديني</w:t>
      </w:r>
    </w:p>
    <w:p>
      <w:pPr>
        <w:pStyle w:val="BookText"/>
        <w:rPr/>
      </w:pPr>
      <w:r>
        <w:rPr>
          <w:rFonts w:ascii="IRNazanin" w:hAnsi="IRNazanin" w:eastAsia="IRNazanin"/>
          <w:color w:val="111111"/>
          <w:sz w:val="28"/>
          <w:sz w:val="28"/>
          <w:szCs w:val="28"/>
          <w:rtl w:val="true"/>
          <w:lang w:bidi="fa-IR"/>
        </w:rPr>
        <w:t>ميرزا محمّد تقي، پيشواي انقلاب عراق و نخستين فروزنده‌ي شعله آن، از بزرگ‌ترين عالمان و مشهورترين چهره‌هاي عصر خويش در علم و تقوا و غيرت ديني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موضع‌گيري با عظمت وي در برابر دولت انگليس در واقعه‌ي انقلاب عراق و طلب حقوق بر باد رفته‌ي مردم آن ديار و امر به دفاع و صدور آن فتواي پر أهمّيت كه عراق را دگرگون كرد، يكي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به سبب عظمت اين شخص در جامعه و مكانتي بود كه در دل‌هاي مردم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حق، هر چه داشت و هر نيرو و امكاني كه در توانش بود در اين راه گذاشت، حتي فرزندان خود را و در همين جريان بود كه پسرش ميرزا محمّد رضا دستگير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بردباري و فروتني</w:t>
      </w:r>
    </w:p>
    <w:p>
      <w:pPr>
        <w:pStyle w:val="BookText"/>
        <w:rPr/>
      </w:pPr>
      <w:r>
        <w:rPr>
          <w:rFonts w:ascii="IRNazanin" w:hAnsi="IRNazanin" w:eastAsia="IRNazanin"/>
          <w:color w:val="111111"/>
          <w:sz w:val="28"/>
          <w:sz w:val="28"/>
          <w:szCs w:val="28"/>
          <w:rtl w:val="true"/>
          <w:lang w:bidi="fa-IR"/>
        </w:rPr>
        <w:t>آيت الله ميرزا محمّد تقي شيرازي فردي بسيار خويشتن‌دار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وي مشاهده نشد كه حتي نسبت به كساني كه درباره‌ي او جسارت و بي‌ادبي كردند خشمگين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 هميشه با نشاط بود و تبسّمي بر لب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خشوع و تواضع وي باعث مي‌شد كه نگاهش را هرگز به بالا نيندازد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تدريس بر فراز منبر، به پايين نظر مي‌افكند نه به صورت شاگردانش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صلابت</w:t>
      </w:r>
    </w:p>
    <w:p>
      <w:pPr>
        <w:pStyle w:val="BookText"/>
        <w:rPr/>
      </w:pPr>
      <w:r>
        <w:rPr>
          <w:rFonts w:ascii="IRNazanin" w:hAnsi="IRNazanin" w:eastAsia="IRNazanin"/>
          <w:color w:val="111111"/>
          <w:sz w:val="28"/>
          <w:sz w:val="28"/>
          <w:szCs w:val="28"/>
          <w:rtl w:val="true"/>
          <w:lang w:bidi="fa-IR"/>
        </w:rPr>
        <w:t>در برابر دشمن متجاوز و ستمگران، با ابّهت و با صلابت بود و حاضر نبود با هيچ يك از سران انگليسي در هر رتبه‌اي كه باشد ملاقات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نماينده‌ي بريتانيا در آن زمان در عراق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سرپرسي كاكس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وي درخواست ملاقات كرد، ولي همواره از جانب ميرزا جواب رد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كاكس از گرفتن وقت ملاقات با او نااميد شد تصميم گرفت بدون وقت قبلي و ناگهاني با او ديدار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وقتي به اين عمل اقدام ورزيد نه‌تنها با خوش‌آمد گويي ميرزا مواجه نشد، بلكه جناب ميرزا با چهره‌ي گرفته و آكنده از خشم و نفرت، پشت به او كرد و كاكس با حالتي شكست خورده از آن‌جا خارج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 العمل ميرزا در مقابل او نه به اين دليل بود كه كه كاكس فردي خارجي به شمار مي‌آمد، بلكه به اين سبب بود كه او سركرده‌ي متجاوزان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دوران سياسي</w:t>
      </w:r>
    </w:p>
    <w:p>
      <w:pPr>
        <w:pStyle w:val="BookText"/>
        <w:rPr/>
      </w:pPr>
      <w:r>
        <w:rPr>
          <w:rFonts w:ascii="IRNazanin" w:hAnsi="IRNazanin" w:eastAsia="IRNazanin"/>
          <w:color w:val="111111"/>
          <w:sz w:val="28"/>
          <w:sz w:val="28"/>
          <w:szCs w:val="28"/>
          <w:rtl w:val="true"/>
          <w:lang w:bidi="fa-IR"/>
        </w:rPr>
        <w:t>نجف كه در جنگ جهاني اوّل تحت اشغال نيروهاي بيگانه درآمده بود، در راه دفاع از هستي و موجوديت خود محل مشورت و رايزني زعماي انديشمند و پيشگامان مسلح عشاير و نيز محل تشكيل انجمن‌هاي‌سياسي و اجتماعي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مسير بود كه رهبري انقلاب به پرچمداري و پيشوايي مرجع مذهبي، مرحوم ميرزا محمّدتقي شيرازي مسير شايسته‌ي خود را 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ميرزاي دوم با كمال صلابت و ايمان و در اوج شجاعت ديني و آگاهي و هوشياري اسلامي در برابر نيروهاي استعمار بريتانيا موضع خود را انتخاب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ميرزاي دوم با تلاش پرثمر به مقابله و دفاع پرداخت و هنگامي كه به مراحل باريك رسيد، امر به دفاع از حريم اسلام داد و با صدور فتواي انقلابي و پر هميّت خود عراق را تكان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آيت الله ميرزا محمّد تقي شيرازي فتواي مشهور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فتواي دفاعيه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مجوّزي رسمي براي نهضت مسلحانه‌ي مردم عراق بود، بدين صورت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مطالبه‌ي حقوق بر عراقيان واجب است و بر آنان واجب است در ضمن درخواست‌هاي خويش رعايت آرامش و امنيت را بنمايند و در صورتي كه انگلستان از پذيرش درخواست‌هايشان خودداري ورزد، جايز است به قوه‌ي دفاعي متوسل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 الله شيرازي به رغم كهولت و ناتواني جسمي به انقلاب و امور مربوط به آن بسيار أهمّيت مي‌داد و براي پيشبرد اهداف مقدس انقلاب عراق و تامين نيازمندي‌هاي جبهه، هرچه از دستش برمي‌آمد انجام مي‌داد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علماي مشهور و مجتهدين بزرگي كه در آن جنگ و جهاد ضد استعماري به همراه ميرزاي دوم شركت 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سيّد محمّد طباطبايي فرزند ارشد آيت الله العظمي سيّد كاظم يزدي، آيت الله آقاي سيّد مصطفي كاشاني و فرزند برومندش آيت الله سيّد ابو القاسم كاشاني، آيت الله سيّد محمّد تقي خوانساري، آيت الله شيخ محمّد باقر زنجاني و ديگران بودند كه هر يك در رهبري نهضت اسلامي پايه‌گذاري شده توسط ميرزاي دوم، نقش حساس و تاريخ‌سازي به عهده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هفته‌ها و ماه‌ها در مناطق كوهستاني عراق كه سنگر مجاهدين اسلامي بود، در اطراف بصره، العماره، ناصريه و كوت به دفاع در مقابل نيروهاي انگليسي و مبارزه با نيروهاي مهاجم پرداختند و از كشور اسلامي عراق حمايت و پاسداري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حمايت آنان در حقيقت تنها حمايت از يك كشور نبود، بلكه حمايت از سنگر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و آثار</w:t>
      </w:r>
    </w:p>
    <w:p>
      <w:pPr>
        <w:pStyle w:val="BookText"/>
        <w:rPr/>
      </w:pPr>
      <w:r>
        <w:rPr>
          <w:rFonts w:ascii="IRNazanin" w:hAnsi="IRNazanin" w:eastAsia="IRNazanin"/>
          <w:color w:val="111111"/>
          <w:sz w:val="28"/>
          <w:sz w:val="28"/>
          <w:szCs w:val="28"/>
          <w:rtl w:val="true"/>
          <w:lang w:bidi="fa-IR"/>
        </w:rPr>
        <w:t>دقّت نظر و ژرف‌كاوي ميرزا در مسائل پيچيده‌ي علمي درسش را پر بركت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ويژگي موجب گشت كه از اين نابغه‌ي ميدان علم و انديشه، شاگردان بسياري پرورش يابند، شاگرداني كه برخي از آنان با اين‌كه به مرحله‌ي اجتهاد رسيده بودند در درس ايشان حاضر مي‌شدند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شاگردان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آيت الله شيخ آقا بزرگ تهراني، آيت الله شيخ عبدالكريم حائري، آيت الله شيخ محمّد جواد بلاغي نجفي، آيت الله حاج آقا حسين طباطبايي قمي، سيّد جمال الدين موسوي گلپايگاني، آيت الله شيخ محمّد كاظم شيرازي، آيت الله شيخ محمّدعلي شاه‌آبادي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اخلاق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آيت الله شهاب الدين مرعشي نجفي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ميرزا محمّد تقي تأليفات علمي بسياري دارد كه بخشي از آن به چاپ رسيده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حاشيه بر مكاسب شيخ انصاري، حاشيه بر فرائد الاصول شيخ انصاري، شرح منظومه‌ي رضاعيه‌ي سيّد صدرالدين عاملي، رساله در خلل، القصائد الفاخرة في مدح العترة الطاهرة، حاشيه بر العروة الوثقي و خيرة العباد ليوم المعاد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w:t>
      </w:r>
    </w:p>
    <w:p>
      <w:pPr>
        <w:pStyle w:val="BookText"/>
        <w:rPr/>
      </w:pPr>
      <w:r>
        <w:rPr>
          <w:rFonts w:ascii="IRNazanin" w:hAnsi="IRNazanin" w:eastAsia="IRNazanin"/>
          <w:color w:val="111111"/>
          <w:sz w:val="28"/>
          <w:sz w:val="28"/>
          <w:szCs w:val="28"/>
          <w:rtl w:val="true"/>
          <w:lang w:bidi="fa-IR"/>
        </w:rPr>
        <w:t xml:space="preserve">در يكي از روزها وقتي آيت الله شيرازي براي خواندن نماز به صحن مطهر امام 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مي‌رفت، با تعداد زيادي از جنازه‌هاي شهدا كه از جبهه‌هاي جنگ آورده شده بود مواجه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اثر نامطلوبي بر وي گذارد، به طوري كه اين آخرين روزي بود كه وي براي اداي فريضه‌ي نماز از منزلش خارج شد؛ چون وضعيت مزاجي وي بعد از آن، رو به وخامت گذاشت و به بستر بيماري افتاد و چيزي نگذشت كه دعوت حق را لبيك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سرانجام در سوم ذيحجه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در حساس‌ترين و بحراني‌ترين دوران انقلاب، ايشان در كربلا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جنازه‌ي او در ميان شيعيان عزادار عتبات تشييع شد و شيخ الشريعه‌ي اصفهاني بر او نماز خواند و در يكي از حجره‌هاي زاويه‌ي جنوبي صحن حسيني دفن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خدا بر او باد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غروي</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مرد فوق العاده‌اي در علم و تقوا</w:t>
      </w:r>
    </w:p>
    <w:p>
      <w:pPr>
        <w:pStyle w:val="BookText"/>
        <w:rPr/>
      </w:pPr>
      <w:r>
        <w:rPr>
          <w:rFonts w:ascii="IRNazanin" w:hAnsi="IRNazanin" w:eastAsia="IRNazanin"/>
          <w:color w:val="111111"/>
          <w:sz w:val="28"/>
          <w:sz w:val="28"/>
          <w:szCs w:val="28"/>
          <w:rtl w:val="true"/>
          <w:lang w:bidi="fa-IR"/>
        </w:rPr>
        <w:t>بودند و بعد از ميرزاي شيرازي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كه ظاهراً دايي ايشان بودند ـ عهده‌دار مرجعيت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 اعاظم نقل شده كه اگر شيخ انصاري، ميرزاي شيرازي بزرگ و ميرزا محمّد تقي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مسأله‌اي يك فتوا داشته باشند، من يقين مي‌كنم كه حكم الله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كلام گرچه در واقع مبالغه است، ولي نشانگر عظمت علمي اين فقيه بزرگ در مجامع علمي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خدمات زيادي هم انجام داده‌اند، از جمله ثورة العشرين عراق مرهون زحمات ايشان است</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ايشان در حاشيه‌ي دقيق و پرمغز و در عين حال مختصرشان بر مكاسب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به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جاري باشد، از آن‌جايي كه مثبتات أمارات حجّت است پس بر استصحاب عدم ظالم بودن و نظاير آن مقدّم مي‌شود، بنابراين استماع غيبت او هم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مطلب</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اصالة الصحة از آن‌جايي كه مستند به ظهور حال است پس جزء ظهورات قرار مي‌گيرد و ظهورات هم چون أماره هستند پس مثبتات‌شان حجّت است و بر اصول هم مقدّمند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نسبت</w:t>
      </w:r>
    </w:p>
    <w:p>
      <w:pPr>
        <w:pStyle w:val="BookText"/>
        <w:rPr/>
      </w:pPr>
      <w:r>
        <w:rPr>
          <w:rFonts w:ascii="IRNazanin" w:hAnsi="IRNazanin" w:eastAsia="IRNazanin"/>
          <w:color w:val="111111"/>
          <w:sz w:val="28"/>
          <w:sz w:val="28"/>
          <w:szCs w:val="28"/>
          <w:rtl w:val="true"/>
          <w:lang w:bidi="fa-IR"/>
        </w:rPr>
        <w:t xml:space="preserve">به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الصحة جاري باشد لوازم آن هم ثابت مي‌شود و بر استصحاب عدم ظالم 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استماع غيبت در هنگام شك جايز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براي توضيح بيشتر حجيّت لوازم اصالة الصحة مثالي ذكر كرده و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مالك أمه‌اي است چنان‌چه با خيار فسخ او را بفروشد، اگر در زمان خيار، در أمه تصرّف مالكانه كند ـ مثلاً به بدن او دست بزند يا نگاه محرمانه به او كند ـ لازمه‌ي جريان اصالة الصحة در فعل بايع و عدم حمل آن بر گناه، اين است كه بگوييم إعمال خيار كرده است؛ زيرا اگر إعمال خيار نكرده باشد بايد بگوييم تصرّفش حرام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براي حمل فعل بايع بر صحّت و ظهور حال مسلم در عدم انجام حرام، لوازم آن را هم قبول مي‌كنيم و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آناًمّا قبل از تصرّف، با إعمال خيار، معامله را فسخ كرده و در نتيجه تصرّف مالكانه بعد از فسخ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مثال، حكم به فسخ معامله هيچ مستندي جز اصالة الصحة در فعل مسلم ـ كه منشأ آن ظهور حال مسلم در عدم ارتكاب حرام است ـ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نحن فيه هم اين‌چنين است؛ با اجراي اصالة الصحة در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آن اثبات مي‌شود، در نتيجه استماع غيبتِ مشكوك در مثل ما نحن فيه جايز است</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نقد استدلال ميرزا محمّد تقي 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لازمه‌ي كلام ايشان آن است كه قائل به اصالة العدالة شوند؛ زيرا ظهور حال مسلم اين است كه مرتكب گناه نمي‌شود؛ يعني اگر شكّ در عدالت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معناي بر صراط مستقيم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شخصي داشته باشيم بايد بگوييم مقتضاي ظاهر حال او اين است كه هيچ وقت مرتكب گناه نشده و حتّي ملكه‌ي عدالت را هم واجد است؛ چون لازمه‌ي اين‌كه كسي يك عمر گناه انجام نداده باشد آن است كه ملكه‌ي اجتناب از گناه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حالي‌كه گمان نمي‌كنيم اين محقّق، ملتزم به اين لوازم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اصالة الصحة در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جاري مي‌شود، در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دو اصل با هم تعارض مي‌كنند و نتيجه اين مي‌شود كه دوباره با جريان استصحابي كه گفتيم و ضمّ وجدان به اصل، استماع جايز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ظهوري كه بگوييم مسلمان مرتكب فعل حرام نمي‌شود، دليلي از شرع بر آن وجود ندارد و مورد قبول عُقلا هم نيست كه سيره‌ي عقلا باشد و بخواهيم با عدم ردع، امضاي آن را از شرع اثبات كنيم</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قبول داريم كه افعال، داراي ظهور هستند، امّا ظهور افعال مثل ظهور گفتار است؛ مثلاً وقتي كسي جنسي را به ديگري مي‌دهد و در مقابل، پول دريافت مي‌كند به منزله‌ي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 و اشتريتُ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فعلي مانند قول، دلالت ظهوري بر مطلبي داشته باشد حجّت است، ولي هيچ‌گاه عدم ارتكاب گناه، مدلول فعل نيست تا در آن ظهور داشته</w:t>
      </w:r>
    </w:p>
    <w:p>
      <w:pPr>
        <w:pStyle w:val="BookText"/>
        <w:rPr/>
      </w:pP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حرف كه بگوييم فعل ظهور در عدم ارتكاب گناه دارد، درست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فقه دو نوع اصالة الصحة 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نوع اوّلِ اصالة الصحة آن است كه فقط به معناي تبرئه كردن مسلمان از عمل حرام است بدون اين‌كه آثار ديگري بر آن مترتّب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مردي به نحوي كه فقط با زوجه مي‌توان صحبت كرد با زني صحبت كند، در اين‌جا اصالة الصحة يا حمل فعل مؤمن بر صحّت اقتضا مي‌كند كه يك مَحمل شرعي براي آن درست كنيم و مثلاً بگوييم حتماً همسرش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اين‌طور نيست كه بتوانيم تمام آثار زوجيّت را بر آن بار كنيم؛ مثلاً وقتي آن زن از دنيا رفت بگوييم اين مرد مي‌تواند از آن زن به عنوان شوهر ارث ببرد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زيرا چنين لوازمي مدلول ادلّه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اجراي اين نوع از اصالة الصحة منجرّ به تناقض هم شد، از آن‌جايي كه مثبتات آن حجّت نيست مانعي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كسي در جواب اين سؤال كه آيا فلان كار زشت را مرتكب شدي، انكار كند و بگويد مرتكب نشدم، به مقتضاي اصالة الصحة كلام او پذيرفته مي‌شود و اگر ديگري هم كلام او را رد كند و بگويد دروغ مي‌گويد، باز به مقتضاي اصالة الصحة كلام او هم پذيرفته مي‌شود؛ به اين معنا كه حمل بر دروغ نمي‌شود، امّا لازمه‌اش آن نيست كه بگوييم پس شخص اوّل دروغ گفته است، بلكه فقط عمل هر دو نفر از حرمت تبرئه مي‌شود</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ديگري از اصالة الصحة اين است كه اگر كسي اركان عملي را</w:t>
      </w:r>
    </w:p>
    <w:p>
      <w:pPr>
        <w:pStyle w:val="BookText"/>
        <w:rPr/>
      </w:pPr>
      <w:r>
        <w:rPr>
          <w:rFonts w:ascii="IRNazanin" w:hAnsi="IRNazanin" w:eastAsia="IRNazanin"/>
          <w:color w:val="111111"/>
          <w:sz w:val="28"/>
          <w:sz w:val="28"/>
          <w:szCs w:val="28"/>
          <w:rtl w:val="true"/>
          <w:lang w:bidi="fa-IR"/>
        </w:rPr>
        <w:t>انجام داد امّا نمي‌دانيم به طور صحيح واقع شد يا نه، حمل بر صحّت مي‌كنيم و آثار عمل صحيح را بر آن بار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اركان بيع واقع شد و بايع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مشتري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امّا شك مي‌كنيم آيا شروطِ صحّت بيع را رعايت كرده‌اند كه مثلاً غرري نباشد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اين‌جا به مقتضاي اصالة الصحة مي‌گوييم اين عقد، به طور صحيح واقع شده و آثار عقد صحيح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كسي را براي خواندن نماز اجير كرديم و مي‌دانيم نمازها را خوانده، ولي شك مي‌كنيم به نحو صحيح خوانده يا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قرائتش صحيح بوده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الصحة جاري مي‌كنيم و در نتيجه ذمّه‌ي ميّت بريء شده است</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نوع از اصالة الصحة مدركش ظهور حال مسلِم بما هو مسلم نيست، بلكه مدركش در بعضي موارد، سيره‌ي عقلايي ممضاي شارع است و در بعضي موارد، ادلّه‌ي خاصّه است كه به مقدار دلالتش مي‌پذيريم و ـ إن‌شاءالله ـ در بحث اصالة الصحة بيان خواهيم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در مثل اين قسم از اصالة الصحة نيز چه بسا مثبتات آن حجّت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كسي بعد از نماز شك مي‌كند كه آيا وضو داشت يا نه، مقتضاي قاعده‌ي فراغ آن است كه بگوييم نمازش صحيح بوده؛ يعني با وضو بوده است، امّا براي نماز بعدي بايد وضو بگيرد؛ زيرا استصحاب عدم طهارت جاري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كسي در اين‌جا بگويد اگر وضو داشته پس براي نماز بعدي احتياج نيست وضو بگيرد و اگر وضو نداشته پس نماز قبلي هم باطل بوده، اين حرف باطل است؛ چون مثبتات اين اصول، حجّت</w:t>
      </w:r>
    </w:p>
    <w:p>
      <w:pPr>
        <w:pStyle w:val="BookText"/>
        <w:rPr/>
      </w:pPr>
      <w:r>
        <w:rPr>
          <w:rFonts w:ascii="IRNazanin" w:hAnsi="IRNazanin" w:eastAsia="IRNazanin"/>
          <w:color w:val="111111"/>
          <w:sz w:val="28"/>
          <w:sz w:val="28"/>
          <w:szCs w:val="28"/>
          <w:rtl w:val="true"/>
          <w:lang w:bidi="fa-IR"/>
        </w:rPr>
        <w:t>نيست و مانعي ندارد كه قائل به هر دو حكم شويم؛ چون خود شارع چنين قرار داده است و ما بيان كيفيت دلالت ادلّه بر اين دو حكم و حلّ مشكل آن را هم در جاي خود بيان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مطالبي كه مرحوم ميرزا محمّد تقي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فرمودند ـ اگر ما هم آن مطالب را بپذيريم ـ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ايشان از باب اصالة الصحة به معناي دوم است، به همين خاطر لوازم آن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اصالة الصحة در مورد غيبت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معناي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تبرئه كردن فعل او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مثبتات آن حجّت نيست و لذا قابل جمع با اصالة الصحة در مورد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يعني در مورد فعل هر دو اصالة الصحة جاري است و نتيجه اين مي‌شود كه موضوع حرمت استماع، با همان ضمّ وجدان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استماع غيبت حرام است ولي نهي از منكر جايز نيست؛ چون نمي‌دانيم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حرامي را مرتكب شده باشد و اگر بخواهيم با استصحاب اثبات كنيم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بوده است، مثبِت خواهد بود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استدلال ديگري بر حرمت استماع غيبت در مقام شكّ در وجود مجوّز</w:t>
      </w:r>
    </w:p>
    <w:p>
      <w:pPr>
        <w:pStyle w:val="BookText"/>
        <w:rPr/>
      </w:pPr>
      <w:r>
        <w:rPr>
          <w:rFonts w:ascii="IRNazanin" w:hAnsi="IRNazanin" w:eastAsia="IRNazanin"/>
          <w:color w:val="111111"/>
          <w:sz w:val="28"/>
          <w:sz w:val="28"/>
          <w:szCs w:val="28"/>
          <w:rtl w:val="true"/>
          <w:lang w:bidi="fa-IR"/>
        </w:rPr>
        <w:t>بعضي استدلال ديگري بر حرمت استماع غيبت در مقام شك ارائه داده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ادلّه‌ي حرمت استماع غيبت، موارد مشكوك را هم شامل مي‌شود و اختصاص به مواردي كه مي‌دانيم مجوّزي براي غيبت نيست، ندارد؛ زيرا در اكثر موارد غيبت، مستمع نمي‌داند آيا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اين غيبت است يا نه؟ آيا مجهر به فسق بوده يا نه؟ آيا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ظلم قرار داده يا نه؟ و بالاخره سامع نمي‌داند مجوّز استماع غيبت دارد يا نه؟ اين‌كه كسي بداند براي غيبت هيچ مجوّزي وجود ندارد بسيار نادر است و روايت بر مورد بسيار نادر حمل نمي‌شود، بلكه مي‌گوييم اين ادلّه شامل موارد مشكوك هم مي‌شود؛ يعني نشستن در مجلسي كه نمي داني مجوّز استماع غيبت داري يا نه، جايز نيست</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اصلاً نوبت به استصحاب نمي‌رسد، بلكه خود ادلّه بيان‌گر عدم جواز استماع غيبت در صورت شك است و اين بر لوازم اصالة الصحة نسبت به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مقدّم است؛ زيرا حتّي اگر همانند ميرزا محمّد تقي 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مثبتات اصالة الصحة را حجّت بدانيم، ديگر در مثل مواردي كه دليل حرمتِ استماع شاملش مي‌شود نمي‌توانيم به آن تمسّك كنيم؛ چون تمسّك به اصالة الصحة در مقام شك است و اين روايت بيان مي‌كند كه در</w:t>
      </w:r>
    </w:p>
    <w:p>
      <w:pPr>
        <w:pStyle w:val="BookText"/>
        <w:rPr/>
      </w:pPr>
      <w:r>
        <w:rPr>
          <w:rFonts w:ascii="IRNazanin" w:hAnsi="IRNazanin" w:eastAsia="IRNazanin"/>
          <w:color w:val="111111"/>
          <w:sz w:val="28"/>
          <w:sz w:val="28"/>
          <w:szCs w:val="28"/>
          <w:rtl w:val="true"/>
          <w:lang w:bidi="fa-IR"/>
        </w:rPr>
        <w:t>مقام شك بايد از استماع پرهيز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بله، نسبت به خود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اصالة الصحة جاري است، امّا لوازمش در اين‌جا حجّت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نقد استدلال</w:t>
      </w:r>
    </w:p>
    <w:p>
      <w:pPr>
        <w:pStyle w:val="BookText"/>
        <w:rPr/>
      </w:pPr>
      <w:r>
        <w:rPr>
          <w:rFonts w:ascii="IRNazanin" w:hAnsi="IRNazanin" w:eastAsia="IRNazanin"/>
          <w:color w:val="111111"/>
          <w:sz w:val="28"/>
          <w:sz w:val="28"/>
          <w:szCs w:val="28"/>
          <w:rtl w:val="true"/>
          <w:lang w:bidi="fa-IR"/>
        </w:rPr>
        <w:t>اين استدلال ناتمام است؛ زيرا اين‌كه اگر روايت را مطابق ظاهرش معنا كنيم موارد روايت، نادر مي‌شود پس بايد روايت را به نحوي معنا كنيم كه موارد بيشتري را دربرگيرد، دليل نمي‌شود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موارد شك را هم شامل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نيست احكام و قواعدي كه مصاديق كمي براي آن پيدا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موارد روايت، نادر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مواردي كه بعضي تفكّهاً و براي سرگرمي و بدون هيچ غرض عقلايي غيبت مي‌كنند كم نيست و چون في‌نفسه موارد آن كم نيست در نتيجه استدلال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آخر در استماع غيبت</w:t>
      </w:r>
    </w:p>
    <w:p>
      <w:pPr>
        <w:pStyle w:val="BookText"/>
        <w:rPr/>
      </w:pPr>
      <w:r>
        <w:rPr>
          <w:rFonts w:ascii="IRNazanin" w:hAnsi="IRNazanin" w:eastAsia="IRNazanin"/>
          <w:color w:val="111111"/>
          <w:sz w:val="28"/>
          <w:sz w:val="28"/>
          <w:szCs w:val="28"/>
          <w:rtl w:val="true"/>
          <w:lang w:bidi="fa-IR"/>
        </w:rPr>
        <w:t>پس تنها استدلال بر حرمت استماع غيبت در صورت شك، همان احراز موضوع با ضمّ وجدان به اصل است كه در كلمات محقّق ايرواني هم وجود دارد</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جمع‌بندي و نتيجه‌ي نهايي اين شد كه استماع غيبت مادامي كه علم به مجوّز نباشد جايز نيست و در موارد شك هم اگر حالت سابقه‌اش عدم مجوّز باشد استماع جايز نيست، هرچند نهي از منكر هم لزومي ندارد بلكه چه بسا حرام باشد؛ يعني نهي از منكر مستلزم نسبت دادن ارتكاب حرام به مؤمن و اهانت به او باشد</w:t>
      </w:r>
      <w:r>
        <w:rPr>
          <w:rFonts w:eastAsia="IRNazanin" w:cs="IRNazanin"/>
          <w:color w:val="111111"/>
          <w:sz w:val="28"/>
          <w:szCs w:val="28"/>
          <w:rtl w:val="true"/>
          <w:lang w:bidi="fa-IR"/>
        </w:rPr>
        <w:t>.</w:t>
      </w:r>
      <w:bookmarkStart w:id="703" w:name="pg2359_23635"/>
    </w:p>
    <w:p>
      <w:pPr>
        <w:pStyle w:val="Heading3"/>
        <w:numPr>
          <w:ilvl w:val="2"/>
          <w:numId w:val="1"/>
        </w:numPr>
        <w:rPr/>
      </w:pPr>
      <w:bookmarkStart w:id="704" w:name="__RefHeading___Toc2770715_3804643083"/>
      <w:bookmarkStart w:id="705" w:name="_Toc268"/>
      <w:bookmarkEnd w:id="703"/>
      <w:bookmarkEnd w:id="704"/>
      <w:r>
        <w:rPr>
          <w:rtl w:val="true"/>
        </w:rPr>
        <w:t>آيا وجوب ردّ غيبت، همان وجوب نهي از منكر است؟</w:t>
      </w:r>
      <w:bookmarkEnd w:id="705"/>
    </w:p>
    <w:p>
      <w:pPr>
        <w:pStyle w:val="BookText"/>
        <w:rPr/>
      </w:pPr>
      <w:r>
        <w:rPr>
          <w:rFonts w:ascii="IRNazanin" w:hAnsi="IRNazanin" w:eastAsia="IRNazanin"/>
          <w:color w:val="111111"/>
          <w:sz w:val="28"/>
          <w:sz w:val="28"/>
          <w:szCs w:val="28"/>
          <w:rtl w:val="true"/>
          <w:lang w:bidi="fa-IR"/>
        </w:rPr>
        <w:t>رواياتي ـ از جمله يك روايت صحيح ـ دلالت بر وجوب ردّ غيبت داشتند كه ما هم اين وجوب را پذيرفتيم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سؤالي كه مطرح مي‌شود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وجوب ردّ غيبت، همان وجوب نهي و دفع منكر است يا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مستقلّي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Heading3"/>
        <w:numPr>
          <w:ilvl w:val="2"/>
          <w:numId w:val="1"/>
        </w:numPr>
        <w:rPr/>
      </w:pPr>
      <w:bookmarkStart w:id="706" w:name="__RefHeading___Toc2770717_3804643083"/>
      <w:bookmarkStart w:id="707" w:name="_Toc269"/>
      <w:bookmarkEnd w:id="706"/>
      <w:r>
        <w:rPr>
          <w:rtl w:val="true"/>
        </w:rPr>
        <w:t>وحدت ردّ غيبت با نهي از منكر در نظر محقّق ايرواني</w:t>
      </w:r>
      <w:r>
        <w:rPr>
          <w:rtl w:val="true"/>
        </w:rPr>
        <w:t xml:space="preserve">- </w:t>
      </w:r>
      <w:r>
        <w:rPr>
          <w:rtl w:val="true"/>
        </w:rPr>
        <w:t xml:space="preserve">قدس سره </w:t>
      </w:r>
      <w:r>
        <w:rPr>
          <w:rtl w:val="true"/>
        </w:rPr>
        <w:t>-</w:t>
      </w:r>
      <w:bookmarkEnd w:id="707"/>
    </w:p>
    <w:p>
      <w:pPr>
        <w:pStyle w:val="BookText"/>
        <w:rPr/>
      </w:pPr>
      <w:r>
        <w:rPr>
          <w:rFonts w:ascii="Amiri" w:hAnsi="Amiri" w:eastAsia="Amiri" w:cs="Amiri"/>
          <w:color w:val="111111"/>
          <w:sz w:val="28"/>
          <w:sz w:val="28"/>
          <w:szCs w:val="28"/>
          <w:rtl w:val="true"/>
          <w:lang w:bidi="ar-SA"/>
        </w:rPr>
        <w:t>جناب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اين است كه ردّ غيبت، غير از نهي غيبت است</w:t>
      </w:r>
      <w:r>
        <w:rPr>
          <w:rStyle w:val="FootnoteAnchor"/>
          <w:rtl w:val="true"/>
        </w:rPr>
        <w:footnoteReference w:id="478"/>
      </w:r>
      <w:r>
        <w:rPr>
          <w:rFonts w:ascii="Amiri" w:hAnsi="Amiri" w:eastAsia="Amiri" w:cs="Amiri"/>
          <w:color w:val="111111"/>
          <w:sz w:val="28"/>
          <w:sz w:val="28"/>
          <w:szCs w:val="28"/>
          <w:rtl w:val="true"/>
          <w:lang w:bidi="ar-SA"/>
        </w:rPr>
        <w:t>، امّا مرحوم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غيبت همان نهي از غيبت است؛ زيرا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الرّد هو المنع و الدّفع</w:t>
      </w:r>
      <w:r>
        <w:rPr>
          <w:rFonts w:eastAsia="Amiri" w:cs="Amiri" w:ascii="Amiri" w:hAnsi="Amiri"/>
          <w:color w:val="111111"/>
          <w:sz w:val="28"/>
          <w:szCs w:val="28"/>
          <w:rtl w:val="true"/>
          <w:lang w:bidi="ar-SA"/>
        </w:rPr>
        <w:t>»</w:t>
      </w:r>
      <w:r>
        <w:rPr>
          <w:rStyle w:val="FootnoteAnchor"/>
          <w:rtl w:val="true"/>
        </w:rPr>
        <w:footnoteReference w:id="479"/>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منع و دفع، و ظاهر اخبار لزومِ ردّ غيبت، ردّ قول است نه ردّ معناي مقول و ابطال آن و اين عبارةٌ أخراي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 از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كلام محقّق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ظاهراً فرمايش محقّق ايرواني ناتمام است و حق با مرحوم شيخ است؛ زيرا</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همه‌ي روايات،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نيامده است، در بعضي روايات از جمله در صحيحه‌ي ابراهيم بن عمر اليماني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نصرت برادر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عِقَابِ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أَحْمَدَ بْنِ إِدْرِيسَ عَنْ أَحْمَدَ بْنِ مُحَمَّدٍ عَنِ ابْنِ فَضَّالٍ عَنْ حَمَّادِ بْنِ عِيسَى عَنْ إِبْرَاهِيمَ بْنِ عُمَرَ الْيَمَانِيِّ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Fonts w:eastAsia="Amiri" w:cs="Amiri" w:ascii="Amiri" w:hAnsi="Amiri"/>
          <w:color w:val="111111"/>
          <w:sz w:val="28"/>
          <w:szCs w:val="28"/>
          <w:rtl w:val="true"/>
          <w:lang w:bidi="ar-SA"/>
        </w:rPr>
        <w:t>»</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بله، اين را مي‌توان پذيرفت كه گاهي نصرت برادر مؤمن به مانع شدن از تحقّق غيبت درباره‌ي اوست، ولي گاهي هم نصرت مؤمن با توضيح دادن است؛ مثلاً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اين‌طور كه مي‌گويي نبوده و برداشت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مغتابِ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 است و او چنين عملي انجام نداده 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پس اين فرمايش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يعني دفع و منع و آن‌هم ردّ خود قول نه مقول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نتيجه‌ي جمود بر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درست نمي‌باشد؛ چون كلمه‌ي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همه‌ي روايات نيست</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فرض اين‌كه در همه‌ي روايات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باشد، به چه دليل مي‌فرماييد مراد از رد، ردّ قول است نه مقول، در حالي‌كه از بعضي روايات استفاده مي‌شود ردّ مقول مراد است،</w:t>
      </w:r>
    </w:p>
    <w:p>
      <w:pPr>
        <w:pStyle w:val="BookText"/>
        <w:rPr/>
      </w:pPr>
      <w:r>
        <w:rPr>
          <w:rFonts w:ascii="Amiri" w:hAnsi="Amiri" w:eastAsia="Amiri" w:cs="Amiri"/>
          <w:color w:val="111111"/>
          <w:sz w:val="28"/>
          <w:sz w:val="28"/>
          <w:szCs w:val="28"/>
          <w:rtl w:val="true"/>
          <w:lang w:bidi="ar-SA"/>
        </w:rPr>
        <w:t>مانند روايت ابي الدرداء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مُحَمَّدٍ الطُّوسِيُّ فِي مَجَالِسِهِ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أَبِيهِ عَنْ مُحَمَّدِ بْنِ مُحَمَّدٍ عَنْ أَحْمَدَ بْنِ مُحَمَّدٍ عَنْ إِسْحَاقَ بْنِ عَبْدَانَ عَنْ مُحَمَّدِ بْنِ عَبْدِ اللَّهِ الْحَضْرَمِيِّ عَنْ مُحَمَّدِ بْنِ إِسْمَاعِيلَ الْأَحْمَسِيِّ عَنِ الْمُحَارِبِيِّ عَنِ ابْنِ أَبِي لَيْلَى عَنِ الْحَكَمِ بْنِ عُتَيْبَةَ عَنِ ابْنِ أَبِي الدَّرْدَاءِ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نَالَ رَجُلٌ مِنْ عِرْضِ رَجُلٍ عِنْدَ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رَجُلٌ مِنَ الْقَوْمِ عَلَيْهِ فَقَالَ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رَدَّ عَنْ عِرْضِ أَخِيهِ كَانَ لَهُ حِجَاباً مِنَ النَّارِ</w:t>
      </w:r>
      <w:r>
        <w:rPr>
          <w:rFonts w:eastAsia="Amiri" w:cs="Amiri" w:ascii="Amiri" w:hAnsi="Amiri"/>
          <w:color w:val="111111"/>
          <w:sz w:val="28"/>
          <w:szCs w:val="28"/>
          <w:rtl w:val="true"/>
          <w:lang w:bidi="ar-SA"/>
        </w:rPr>
        <w:t>»</w:t>
      </w:r>
      <w:r>
        <w:rPr>
          <w:rStyle w:val="FootnoteAnchor"/>
          <w:rtl w:val="true"/>
        </w:rPr>
        <w:footnoteReference w:id="481"/>
      </w:r>
    </w:p>
    <w:p>
      <w:pPr>
        <w:pStyle w:val="BookText"/>
        <w:rPr/>
      </w:pPr>
      <w:r>
        <w:rPr>
          <w:rFonts w:ascii="IRNazanin" w:hAnsi="IRNazanin" w:eastAsia="IRNazanin"/>
          <w:color w:val="111111"/>
          <w:sz w:val="28"/>
          <w:sz w:val="28"/>
          <w:szCs w:val="28"/>
          <w:rtl w:val="true"/>
          <w:lang w:bidi="fa-IR"/>
        </w:rPr>
        <w:t xml:space="preserve">واضح است كه ردّ در اين روايت به معناي نهي نيست؛ چون آن مرد نهي از منكر نكرد بلكه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 كرد و حضرت هم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 كه از آبروي برادرش دفاع كند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بسياري از موارد، بعد از اين‌كه غيبت واقع شد ديگران متوجّه مي‌شوند كه غيبت شده است؛ مثلاً شخصي ابتدا عمل زشتي را توصيف مي‌كند و در آخر يك جمله مي‌گويد كه عامل آن زشتي‌ها مثلاً زيد بود و با همين كلمه، غيبت محقّق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چگونه مي‌توان او را از غيبت منع كرد با فرض آن‌كه تصميم بر تكرار سخن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بفرماييد كه ردّ به معناي نهي است، لازمه‌اش آن است كه هيچ چيزي در اين‌جا واجب نباشد</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فرمايش محقّق ايرواني ـ علي‌رغم دقّتي كه دارند ـ</w:t>
      </w:r>
      <w:bookmarkStart w:id="708" w:name="pg2359_23638"/>
    </w:p>
    <w:p>
      <w:pPr>
        <w:pStyle w:val="BookText"/>
        <w:rPr/>
      </w:pPr>
      <w:bookmarkEnd w:id="708"/>
      <w:r>
        <w:rPr>
          <w:rFonts w:ascii="Amiri" w:hAnsi="Amiri" w:eastAsia="Amiri" w:cs="Amiri"/>
          <w:color w:val="111111"/>
          <w:sz w:val="28"/>
          <w:sz w:val="28"/>
          <w:szCs w:val="28"/>
          <w:rtl w:val="true"/>
          <w:lang w:bidi="ar-SA"/>
        </w:rPr>
        <w:t>تمام نيست</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2770719_3804643083"/>
      <w:bookmarkStart w:id="710" w:name="_Toc270"/>
      <w:bookmarkEnd w:id="709"/>
      <w:r>
        <w:rPr>
          <w:rtl w:val="true"/>
        </w:rPr>
        <w:t>آيا با شك در اين‌كه غيبت كننده مجوّز دارد، ردّ غيبت واجب است؟</w:t>
      </w:r>
      <w:bookmarkEnd w:id="710"/>
    </w:p>
    <w:p>
      <w:pPr>
        <w:pStyle w:val="Heading4"/>
        <w:numPr>
          <w:ilvl w:val="3"/>
          <w:numId w:val="1"/>
        </w:numPr>
        <w:rPr/>
      </w:pPr>
      <w:bookmarkStart w:id="711" w:name="__RefHeading___Toc2770721_3804643083"/>
      <w:bookmarkStart w:id="712" w:name="_Toc271"/>
      <w:bookmarkEnd w:id="711"/>
      <w:r>
        <w:rPr>
          <w:rtl w:val="true"/>
        </w:rPr>
        <w:t>اشاره</w:t>
      </w:r>
      <w:bookmarkEnd w:id="712"/>
    </w:p>
    <w:p>
      <w:pPr>
        <w:pStyle w:val="BookText"/>
        <w:rPr/>
      </w:pPr>
      <w:r>
        <w:rPr>
          <w:rFonts w:ascii="Amiri" w:hAnsi="Amiri" w:eastAsia="Amiri" w:cs="Amiri"/>
          <w:color w:val="111111"/>
          <w:sz w:val="28"/>
          <w:sz w:val="28"/>
          <w:szCs w:val="28"/>
          <w:rtl w:val="true"/>
          <w:lang w:bidi="ar-SA"/>
        </w:rPr>
        <w:t xml:space="preserve">بعد از اين‌كه اثبات كرديم ردّ غيبت غير از نهي از منكر است، اين سؤال مطرح مي‌شود كه آيا ردّ غيبت ـ همانند نهي از منكر ـ اختصاص به مواردي دارد كه علم داريم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نحو حرام مرتكب غيبت شده است يا اين‌كه در موارد شك هم بايد ردّ غيبت كرد؟</w:t>
      </w:r>
    </w:p>
    <w:p>
      <w:pPr>
        <w:pStyle w:val="BookText"/>
        <w:rPr/>
      </w:pPr>
      <w:r>
        <w:rPr>
          <w:rFonts w:ascii="IRNazanin" w:hAnsi="IRNazanin" w:eastAsia="IRNazanin"/>
          <w:color w:val="111111"/>
          <w:sz w:val="28"/>
          <w:sz w:val="28"/>
          <w:szCs w:val="28"/>
          <w:rtl w:val="true"/>
          <w:lang w:bidi="fa-IR"/>
        </w:rPr>
        <w:t xml:space="preserve">از آن‌جايي كه در موارد شك، با ضمّ وجدان به اصل احراز كرديم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غيبت نيست و لذا استماع غيبتش جايز نيست، موضوع براي وجوب ردّ غيبت هم احراز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ردّ غيبت در مقام شك، واجب است</w:t>
      </w:r>
      <w:r>
        <w:rPr>
          <w:rFonts w:eastAsia="IRNazanin" w:cs="IRNazanin"/>
          <w:color w:val="111111"/>
          <w:sz w:val="28"/>
          <w:szCs w:val="28"/>
          <w:rtl w:val="true"/>
          <w:lang w:bidi="fa-IR"/>
        </w:rPr>
        <w:t>.</w:t>
      </w:r>
    </w:p>
    <w:p>
      <w:pPr>
        <w:pStyle w:val="Heading4"/>
        <w:numPr>
          <w:ilvl w:val="3"/>
          <w:numId w:val="1"/>
        </w:numPr>
        <w:rPr/>
      </w:pPr>
      <w:bookmarkStart w:id="713" w:name="__RefHeading___Toc2770723_3804643083"/>
      <w:bookmarkStart w:id="714" w:name="_Toc272"/>
      <w:bookmarkEnd w:id="713"/>
      <w:r>
        <w:rPr>
          <w:rtl w:val="true"/>
        </w:rPr>
        <w:t>ملاحظاتي در ردّ غيبت</w:t>
      </w:r>
      <w:bookmarkEnd w:id="714"/>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ردّ غيبت به نحوي نباشد كه موجب تعيير و نسبت دادن حرام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شود؛ زيرا همان‌طوري كه بيان كرديم، در مقام شك،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صحّت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بايد به گونه‌اي ردّ غيبت شود كه هم دفاع از آبروي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موجب وهن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اگر احتمال مي‌دهيم تظلّماً غيبت مي‌كند كاري نكنيم كه تظلّم او بي‌اثر شود، بلكه اگر به قصد كمك به او كلامش را استماع كنيم و تحقيق كنيم كه واقع چيست، بعيد نيست جايز باشد؛ زيرا</w:t>
      </w:r>
    </w:p>
    <w:p>
      <w:pPr>
        <w:pStyle w:val="BookText"/>
        <w:rPr/>
      </w:pPr>
      <w:r>
        <w:rPr>
          <w:rFonts w:ascii="IRNazanin" w:hAnsi="IRNazanin" w:eastAsia="IRNazanin"/>
          <w:color w:val="111111"/>
          <w:sz w:val="28"/>
          <w:sz w:val="28"/>
          <w:szCs w:val="28"/>
          <w:rtl w:val="true"/>
          <w:lang w:bidi="fa-IR"/>
        </w:rPr>
        <w:t>ادلّه‌ي حرمت استماع غيبت و وجوب ردّ غيبت، بالاتر از ادلّه‌ي حرمت نفس غيبت نيست و نمي‌توان گفت حتّي شامل چنين موردي نيز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به مناسبت حكم و موضوع از چنين موردي منصرف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ثابت نشد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ظالم بوده، مادامي كه مجلس غيبت باقي است سامع بايد ردّ غيبت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كيفيت ردّ غيبت نسبت به شرايط،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همان‌طوري كه مرحوم شيخ هم بيان فرمود، اگر غيبت در مورد عيوب دنيوي است، اگر امكان توجيه باشد بايد توجيه كنيم و اگر قابل توجيه نباشد بگوييم اين‌ها در حقيقت عيب نيست، عيب آن چيزي است كه در نظر خداوند متعال عيب باشد، اين يك ابتلايي براي اوست و چه بسا موجب غفران گناهانش شود و اجر اخروي براي او در پي داشته باشد</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هم غيبت در مورد عيوب اخروي است و عصياني مرتكب شده باشد، باز در وهله‌ي اوّل آن را توجيه كنيم و بگوييم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 آن زني كه با او حرف مي‌زد همسرش بوده يا غفلت كرده يا با يكي از محارمش اشتباه گرفته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نحوي كه علي وجه الحرام نبوده است و اگر به قول مرحوم شيخ هيچ راهي براي</w:t>
      </w:r>
      <w:bookmarkStart w:id="715" w:name="pg2359_23640"/>
    </w:p>
    <w:p>
      <w:pPr>
        <w:pStyle w:val="BookText"/>
        <w:rPr/>
      </w:pPr>
      <w:bookmarkEnd w:id="715"/>
      <w:r>
        <w:rPr>
          <w:rFonts w:ascii="IRNazanin" w:hAnsi="IRNazanin" w:eastAsia="IRNazanin"/>
          <w:color w:val="111111"/>
          <w:sz w:val="28"/>
          <w:sz w:val="28"/>
          <w:szCs w:val="28"/>
          <w:rtl w:val="true"/>
          <w:lang w:bidi="fa-IR"/>
        </w:rPr>
        <w:t>توجيه نبود ـ كه معمولاً اتفاق نمي‌افتد ـ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مؤمن عصمت ندارد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العصمة لأهلها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هم به خدا پناه نبريم ممكن است دچار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مؤمني گاهي گرفتار گناه شود، ولي معمولاً زود توفيق توبه پيدا مي‌كند و ايشان قاعدتاً توبه كرده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التَّائِبُ مِنَ الذَّنْبِ كَمَنْ لَا ذَنْبَ لَهُ</w:t>
      </w:r>
      <w:r>
        <w:rPr>
          <w:rFonts w:eastAsia="IRNazanin" w:cs="IRNazanin"/>
          <w:color w:val="111111"/>
          <w:sz w:val="28"/>
          <w:szCs w:val="28"/>
          <w:rtl w:val="true"/>
          <w:lang w:bidi="fa-IR"/>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6" w:name="__RefHeading___Toc2770725_3804643083"/>
      <w:bookmarkStart w:id="717" w:name="_Toc273"/>
      <w:bookmarkEnd w:id="716"/>
      <w:r>
        <w:rPr>
          <w:rtl w:val="true"/>
        </w:rPr>
        <w:t>آيا با علم به اين‌كه غيبت كننده مجوز غيبت دارد، باز ردّ غيبت واجب است؟</w:t>
      </w:r>
      <w:bookmarkEnd w:id="717"/>
    </w:p>
    <w:p>
      <w:pPr>
        <w:pStyle w:val="BookText"/>
        <w:rPr/>
      </w:pPr>
      <w:r>
        <w:rPr>
          <w:rFonts w:ascii="Amiri" w:hAnsi="Amiri" w:eastAsia="Amiri" w:cs="Amiri"/>
          <w:color w:val="111111"/>
          <w:sz w:val="28"/>
          <w:sz w:val="28"/>
          <w:szCs w:val="28"/>
          <w:rtl w:val="true"/>
          <w:lang w:bidi="ar-SA"/>
        </w:rPr>
        <w:t>اين مسأله نيازمند تفصيل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مجوّز غيبت، تجاهر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معلوم است كه ردّ غيبت واجب نيست؛ زيرا اصلاً از موضوع غيبت خارج است و غيبتي نيست تا ردّ آن واجب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بعضي روايات به جاي 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غيبت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 عن عرض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است و اين تعبير شامل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مي‌شود و لذا بايد ردّ كرد</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متجاهر خودش عِرض خود را برده است، براي خودش عِرضي به جا نگذاشته تا ردّ كنيم، چنان‌كه 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ألقي جلباب الحياء فلا غيبة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استفاده مي‌شود كسي كه پرده‌ي حيا</w:t>
      </w:r>
    </w:p>
    <w:p>
      <w:pPr>
        <w:pStyle w:val="BookText"/>
        <w:rPr/>
      </w:pPr>
      <w:r>
        <w:rPr>
          <w:rFonts w:ascii="IRNazanin" w:hAnsi="IRNazanin" w:eastAsia="IRNazanin"/>
          <w:color w:val="111111"/>
          <w:sz w:val="28"/>
          <w:sz w:val="28"/>
          <w:szCs w:val="28"/>
          <w:rtl w:val="true"/>
          <w:lang w:bidi="fa-IR"/>
        </w:rPr>
        <w:t xml:space="preserve">را دريده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خودش، خودش را بي‌آبرو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متجاهر اصلاً آبرويي ندارد تا آن را ردّ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آبرويش از بين برود،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وجوب ردّ غيبت، به مناسبت حكم و موضوع از مثل چنين مواردي منصرف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اگر مجوّز غيبت، ظالم 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باز مي‌گوييم روايات دالّ بر وجوب ردّ غيبت شامل آن نمي‌شود؛ زيرا اين مورد با ادلّه‌ي خاص تجويز غيبت شده كه يكي از آن ادلّه، انتصار مظلوم است و اگر دفاع از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 چه انتصاري براي مظلوم باقي 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قبلاً اشاره كرديم كه در صورت شك هم ردّ غيبت علي الاطلاق جايز نيست</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جواز غيبت از باب تزاحم باشد مي‌گوييم اگر ردّ غيبت موجب ابطال غرضي باشد كه از غيبت مورد انتظار بود، ردّ واجب نيست، امّا اگر ردّ كردن موجب ابطال آن غرض نمي‌شود بعيد نيست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غيبت و نصرت برادر مسلمان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موارد فرق دارد و بايد دقّت شود</w:t>
      </w:r>
      <w:r>
        <w:rPr>
          <w:rFonts w:eastAsia="IRNazanin" w:cs="IRNazanin"/>
          <w:color w:val="111111"/>
          <w:sz w:val="28"/>
          <w:szCs w:val="28"/>
          <w:rtl w:val="true"/>
          <w:lang w:bidi="fa-IR"/>
        </w:rPr>
        <w:t>.</w:t>
      </w:r>
      <w:bookmarkStart w:id="718" w:name="pg2359_23642"/>
    </w:p>
    <w:p>
      <w:pPr>
        <w:pStyle w:val="Heading3"/>
        <w:numPr>
          <w:ilvl w:val="2"/>
          <w:numId w:val="1"/>
        </w:numPr>
        <w:rPr/>
      </w:pPr>
      <w:bookmarkStart w:id="719" w:name="__RefHeading___Toc2770727_3804643083"/>
      <w:bookmarkStart w:id="720" w:name="_Toc274"/>
      <w:bookmarkEnd w:id="718"/>
      <w:bookmarkEnd w:id="719"/>
      <w:r>
        <w:rPr>
          <w:rtl w:val="true"/>
        </w:rPr>
        <w:t>آيا مدح در حضور و غيبت در غياب، عقاب را دو برابر مي‌كند؟</w:t>
      </w:r>
      <w:bookmarkEnd w:id="720"/>
    </w:p>
    <w:p>
      <w:pPr>
        <w:pStyle w:val="BookText"/>
        <w:rPr/>
      </w:pPr>
      <w:r>
        <w:rPr>
          <w:rFonts w:ascii="Amiri" w:hAnsi="Amiri" w:eastAsia="Amiri" w:cs="Amiri"/>
          <w:color w:val="111111"/>
          <w:sz w:val="28"/>
          <w:sz w:val="28"/>
          <w:szCs w:val="28"/>
          <w:rtl w:val="true"/>
          <w:lang w:bidi="ar-SA"/>
        </w:rPr>
        <w:t>مرحوم 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قد يتضاعف عقاب المغتاب إذا كان ممّن يمدح المغتاب في حضوره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صاحبه ذو اللسانين</w:t>
      </w:r>
      <w:r>
        <w:rPr>
          <w:rStyle w:val="FootnoteAnchor"/>
          <w:rtl w:val="true"/>
        </w:rPr>
        <w:footnoteReference w:id="484"/>
      </w:r>
    </w:p>
    <w:p>
      <w:pPr>
        <w:pStyle w:val="BookText"/>
        <w:rPr/>
      </w:pPr>
      <w:r>
        <w:rPr>
          <w:rFonts w:ascii="IRNazanin" w:hAnsi="IRNazanin" w:eastAsia="IRNazanin"/>
          <w:color w:val="111111"/>
          <w:sz w:val="28"/>
          <w:sz w:val="28"/>
          <w:szCs w:val="28"/>
          <w:rtl w:val="true"/>
          <w:lang w:bidi="fa-IR"/>
        </w:rPr>
        <w:t xml:space="preserve">اگر كسي كه غيبت ديگري مي‌كند، در حضورش او را مدح كند عقابش مضاعف مي‌شود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لسان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اللسانين ناميده مي‌شود</w:t>
      </w:r>
      <w:r>
        <w:rPr>
          <w:rFonts w:eastAsia="IRNazanin" w:cs="IRNazanin"/>
          <w:color w:val="111111"/>
          <w:sz w:val="28"/>
          <w:szCs w:val="28"/>
          <w:rtl w:val="true"/>
          <w:lang w:bidi="fa-IR"/>
        </w:rPr>
        <w:t>.</w:t>
      </w:r>
    </w:p>
    <w:p>
      <w:pPr>
        <w:pStyle w:val="Heading3"/>
        <w:numPr>
          <w:ilvl w:val="2"/>
          <w:numId w:val="1"/>
        </w:numPr>
        <w:rPr/>
      </w:pPr>
      <w:bookmarkStart w:id="721" w:name="__RefHeading___Toc2770729_3804643083"/>
      <w:bookmarkStart w:id="722" w:name="_Toc275"/>
      <w:bookmarkEnd w:id="721"/>
      <w:r>
        <w:rPr>
          <w:rtl w:val="true"/>
        </w:rPr>
        <w:t>ذو اللسانين يا ذو وجهين چه كساني هستند؟</w:t>
      </w:r>
      <w:bookmarkEnd w:id="722"/>
    </w:p>
    <w:p>
      <w:pPr>
        <w:pStyle w:val="Heading4"/>
        <w:numPr>
          <w:ilvl w:val="3"/>
          <w:numId w:val="1"/>
        </w:numPr>
        <w:rPr/>
      </w:pPr>
      <w:bookmarkStart w:id="723" w:name="__RefHeading___Toc2770731_3804643083"/>
      <w:bookmarkStart w:id="724" w:name="_Toc276"/>
      <w:bookmarkEnd w:id="723"/>
      <w:r>
        <w:rPr>
          <w:rtl w:val="true"/>
        </w:rPr>
        <w:t>اشاره</w:t>
      </w:r>
      <w:bookmarkEnd w:id="724"/>
    </w:p>
    <w:p>
      <w:pPr>
        <w:pStyle w:val="BookText"/>
        <w:rPr/>
      </w:pPr>
      <w:r>
        <w:rPr>
          <w:rFonts w:ascii="IRNazanin" w:hAnsi="IRNazanin" w:eastAsia="IRNazanin"/>
          <w:color w:val="111111"/>
          <w:sz w:val="28"/>
          <w:sz w:val="28"/>
          <w:szCs w:val="28"/>
          <w:rtl w:val="true"/>
          <w:lang w:bidi="fa-IR"/>
        </w:rPr>
        <w:t xml:space="preserve">در روايات از چنين افرادي ـ كه در غياب ديگري غيبت و در حضورش مدح او مي‌كنند ـ به ذو اللسانين تعبير شده است كه خداوند متعال برايشان دو زبان از آتش قرار مي‌دهد، هرچند كه به امر مباحي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مدح كرده باشند</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صاحب 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الحج، ابواب احكام العِشْرة، بابي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تحريم كون الانسان ذا وجهين و لسانين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گرچه هر يك از لحاظ سند ناتمام است، ولي از مجموع آن‌ها ـ به علّت كثرت‌شان ـ اطمينان به صدور اجمالي حاصل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ذيل، شماري از آن‌ها را مي‌آوريم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ابن أبي يعفور</w:t>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بْنِ عِيسَى عَنْ مُحَمَّدِ بْنِ سِنَانٍ عَنْ عَوْنٍ الْقَلَانِسِيِّ عَنِ ابْنِ أَبِي يَعْفُورٍ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الْمُسْلِمِينَ بِوَجْهَيْنِ وَ لِسَانَيْنِ جَاءَ يَوْمَ الْقِيَامَةِ وَ لَهُ لِسَانَانِ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عِقَابِ الْأَعْمَالِ عَنْ أَبِيهِ عَنْ سَعْدِ بْنِ عَبْدِ اللَّهِ عَنْ أَحْمَدَ بْنِ مُحَمَّدٍ عَنْ مُحَمَّدِ بْنِ الْحُسَيْنِ بْنِ أَبِي الْخَطَّابِ عَنْ مُحَمَّدِ بْنِ سِنَانٍ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مَعَانِي الْأَخْبَارِ عَنْ مُحَمَّدِ بْنِ الْحَسَنِ عَنْ أَحْمَدَ بْنِ إِدْرِيسَ عَنْ مُحَمَّدِ بْنِ أَحْمَدَ بْنِ يَحْيَى عَنْ مُوسَى بْنِ عِمْرَانَ عَنِ ابْنِ سِنَانٍ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النَّاسَ بِوَجْهٍ وَ غَابَهُمْ بِوَجْهٍ</w:t>
      </w:r>
      <w:r>
        <w:rPr>
          <w:rFonts w:eastAsia="Amiri" w:cs="Amiri" w:ascii="Amiri" w:hAnsi="Amiri"/>
          <w:color w:val="111111"/>
          <w:sz w:val="28"/>
          <w:szCs w:val="28"/>
          <w:rtl w:val="true"/>
          <w:lang w:bidi="ar-SA"/>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كسي كه با دو چهره و دو زبان با مسلمانان برخورد كند، روز قيامت با دو زبان از آتش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اين روايت را جناب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عقاب الاعمال و معاني الاخبار با اسناد ديگري ذكر فرموده است، ولي روايت معاني الاخبار تفاوتي با روايت عقاب الاعمال دارد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محمّد بن سنان كه مختلفٌ</w:t>
      </w:r>
    </w:p>
    <w:p>
      <w:pPr>
        <w:pStyle w:val="BookText"/>
        <w:rPr/>
      </w:pPr>
      <w:r>
        <w:rPr>
          <w:rFonts w:ascii="IRNazanin" w:hAnsi="IRNazanin" w:eastAsia="IRNazanin"/>
          <w:color w:val="111111"/>
          <w:sz w:val="28"/>
          <w:sz w:val="28"/>
          <w:szCs w:val="28"/>
          <w:rtl w:val="true"/>
          <w:lang w:bidi="fa-IR"/>
        </w:rPr>
        <w:t>فيه است و در نزد ما وثاقتش ثابت نيست و همچنين عون القلانسي، ناتمام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الزّهري</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عَنْ أَحْمَدَ بْنِ مُحَمَّدِ بْنِ خَالِدٍ عَنْ عُثْمَانَ بْنِ عِيسَى عَنْ أَبِي شَيْبَةَ عَنِ الزُّهْرِيِّ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الْعَبْدُ عَبْدٌ يَكُونُ ذَا وَجْهَيْنِ وَ ذَا لِسَانَيْنِ يُطْرِي أَخَاهُ شَاهِداً وَ يَأْكُلُهُ غَائِباً إِنْ أُعْطِيَ حَسَدَهُ وَ إِنِ ابْتُلِيَ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الْحُسَيْنُ بْنُ سَعِيدٍ فِي كِتَابِ الزُّهْدِ عَنْ عَلِيِّ بْنِ النُّعْمَانِ عَنِ ابْنِ مُسْكَانَ عَنْ دَاوُدَ عَنْ أَبِي شَيْبَةَ الزُّهْرِيِّ عَنْ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فِي الْخِصَالِ عَنْ مُحَمَّدِ بْنِ الْحَسَنِ عَنِ الصَّفَّارِ عَنْ مُحَمَّدِ بْنِ الْحُسَيْنِ عَنْ عَلِيِّ بْنِ النُّعْمَانِ عَنْ عَبْدِ اللَّهِ بْنِ مُسْكَانَ عَنْ دَاوُدَ بْنِ فَرْقَدٍ عَنْ أَبِي شَيْبَةَ الزُّهْرِيِّ 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أَخَاهُ فِي اللَّهِ</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فِي الْمَجَالِسِ وَ فِي مَعَانِي الْأَخْبَارِ عَنْ مُحَمَّدِ بْنِ عَلِيٍّ مَاجِيلَوَيْهِ عَنْ مُحَمَّدِ بْنِ يَحْيَى الْعَطَّارِ عَنْ مُحَمَّدِ بْنِ الْحُسَيْنِ بْنِ أَبِي الْخَطَّابِ عَنِ الْحَسَنِ بْنِ عَلِيِّ بْنِ فَضَّالٍ عَنْ عَلِيِّ بْنِ النُّعْمَانِ</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 xml:space="preserve">بد بنده‌اي است كسي كه داراي دو چهره و دو زبان است؛ در حضور برادرش او را ثنا مي‌گويد و در غيابش او را مي‌خورد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غيبتش مي‌كند؛ اشاره است به آيه‌ي شريفه‌ي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أيحب أحدكم أن يأكل لحم أخيه ميتاً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روايت را حسين بن سعيد در كتاب الزهد و جناب صدوق در كتاب‌هاي خصال و معاني الاخبار و أمالي آورده‌اند كه البته در كتاب خصال، اندك تفاوتي ديده مي‌شود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از لحاظ سند به خاطر ابي شيبة الزهري ناتمام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بعضي نسخ ابن شيبة عن الزهري دارد كه در اين صورت هم به خاطر ابن شيبه و الزهري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مرفوعه‌ي عبد الرحمن بن حمّاد</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إِبْرَاهِيمَ عَنْ أَبِيهِ عَنْ عَلِيِّ بْنِ أَسْبَاطٍ عَنْ عَبْدِ الرَّحْمَنِ بْنِ حَمَّادٍ 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اللَّهُ تَبَارَكَ وَ تَعَالَى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لِيَكُنْ لِسَانُكَ فِي السِّرِّ وَ الْعَلَانِيَةِ لِسَاناً وَاحِداً وَ كَذَلِكَ قَلْبُكَ إِنِّي أُحَذِّرُكَ نَفْسَكَ وَ كَفَى بِكَ خَبِيراً لَا يَصْلُحُ لِسَانَانِ فِي فَمٍ وَاحِدٍ وَ لَا سَيْفَانِ فِي غِمْدٍ وَاحِدٍ وَ لَا قَلْبَانِ فِي صَدْرٍ وَاحِدٍ وَ كَذَلِكَ الْأَذْهَانُ</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عَلِيِّ بْنِ الْحُسَيْنِ فِي كِتَابِ عِقَابِ الْأَعْمَالِ عَنْ مُحَمَّدِ بْنِ مُوسَى بْنِ الْمُتَوَكِّلِ عَنِ السَّعْدَآبَادِيِّ عَنْ</w:t>
      </w:r>
    </w:p>
    <w:p>
      <w:pPr>
        <w:pStyle w:val="BookText"/>
        <w:rPr/>
      </w:pPr>
      <w:r>
        <w:rPr>
          <w:rFonts w:ascii="Amiri" w:hAnsi="Amiri" w:eastAsia="Amiri" w:cs="Amiri"/>
          <w:color w:val="111111"/>
          <w:sz w:val="28"/>
          <w:sz w:val="28"/>
          <w:szCs w:val="28"/>
          <w:rtl w:val="true"/>
          <w:lang w:bidi="ar-SA"/>
        </w:rPr>
        <w:t>أَحْمَدَ بْنِ أَبِي عَبْدِ اللَّهِ عَنْ عِدَّةٍ مِنْ أَصْحَابِنَا عَنْ عَلِيِّ بْنِ أَسْبَاطٍ مِثْلَهُ</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مضمره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به عيسي بن مريم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 عيسي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در نهان و آشكار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و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واحد باشد، قلبت هم در نهان و آشكار واحد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ظاهراً مقصود از واحد بودن قلب اين است كه در لسان نگويي دوستت دارم، ولي در قلب دشمن داشته باشي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از نفست برحذر مي‌دارم و خودت خبير به خود هستي، دو زبان در يك دهان شايسته نيست و دو شمشير در يك غلاف نگنجد و دو قلب در يك سينه نباشد و همچنين است اذهان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كه در كافي و در كتاب عقاب الاعمال صدوق هم نقل شده است، از لحاظ سند به خاطر مرفوعه بودن تمام نيست، علاوه بر آن‌كه مضمره هم هست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زيد بن علي</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كِتَابِ عِقَابِ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الْحَسَنِ عَنِ الصَّفَّارِ عَنِ الْمُنَبِّهِ بْنِ عَبْدِ اللَّهِ عَنِ الْحُسَيْنِ بْنِ عُلْوَانَ عَنْ عَمْرِو بْنِ خَالِدٍ عَنْ زَيْدِ بْنِ عَلِيٍّ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ذُو الْوَجْهَيْنِ دَالِعاً لِسَانُهُ فِي قَفَاهُ</w:t>
      </w:r>
    </w:p>
    <w:p>
      <w:pPr>
        <w:pStyle w:val="BookText"/>
        <w:rPr/>
      </w:pPr>
      <w:r>
        <w:rPr>
          <w:rFonts w:ascii="Amiri" w:hAnsi="Amiri" w:eastAsia="Amiri" w:cs="Amiri"/>
          <w:color w:val="111111"/>
          <w:sz w:val="28"/>
          <w:sz w:val="28"/>
          <w:szCs w:val="28"/>
          <w:rtl w:val="true"/>
          <w:lang w:bidi="ar-SA"/>
        </w:rPr>
        <w:t>وَ آخَرُ مِنْ قُدَّامِهِ يَلْتَهِبَانِ نَاراً حَتَّى يَلْهَبَا جَسَدَهُ ثُمَّ يُقَالُ هَذَا الَّذِي كَانَ فِي الدُّنْيَا ذَا وَجْهَيْنِ وَ لِسَانَيْنِ يُعْرَفُ بِذَلِكَ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أَبِيهِ عَنْ مُحَمَّدِ بْنِ يَحْيَى عَنْ مُحَمَّدِ بْنِ أَحْمَدَ عَنْ أَحْمَدَ بْنِ أَبِي عَبْدِ اللَّهِ عَنْ أَبِي الْجَوْزَاءِ عَنِ الْحُسَيْنِ بْنِ عُلْوَانَ مِثْلَهُ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دو چهره روز قيامت مي‌آيد در حالي‌كه زبانش از پشت‌سر بيرون آمده</w:t>
      </w:r>
      <w:r>
        <w:rPr>
          <w:rStyle w:val="FootnoteAnchor"/>
          <w:rtl w:val="true"/>
        </w:rPr>
        <w:footnoteReference w:id="49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ديگري از جلو و هر دو از آتش ملتهبند تا اين‌كه تمام جسدش را ملتهب مي‌كنند، سپس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كسي است كه در دنيا داراي دو چهره و دو زبان بود و به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شناخته مي‌شود</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روايت از لحاظ سند به خاطر حسين بن علوان و عمرو بن خالد ناتمام است، ولي برخي از اين روايت به موثّقه تعبير كرده‌اند كه ظاهراً دليلش اعتماد به توثيقات عامّه است</w:t>
      </w:r>
      <w:r>
        <w:rPr>
          <w:rFonts w:eastAsia="Amiri" w:cs="Amiri" w:ascii="Amiri" w:hAnsi="Amiri"/>
          <w:color w:val="111111"/>
          <w:sz w:val="28"/>
          <w:szCs w:val="28"/>
          <w:rtl w:val="true"/>
          <w:lang w:bidi="ar-SA"/>
        </w:rPr>
        <w:t>.</w:t>
      </w:r>
      <w:bookmarkStart w:id="725" w:name="pg2359_23648"/>
    </w:p>
    <w:p>
      <w:pPr>
        <w:pStyle w:val="Heading4"/>
        <w:numPr>
          <w:ilvl w:val="3"/>
          <w:numId w:val="1"/>
        </w:numPr>
        <w:rPr/>
      </w:pPr>
      <w:bookmarkStart w:id="726" w:name="__RefHeading___Toc2770733_3804643083"/>
      <w:bookmarkStart w:id="727" w:name="_Toc277"/>
      <w:bookmarkEnd w:id="725"/>
      <w:bookmarkEnd w:id="726"/>
      <w:r>
        <w:rPr>
          <w:rtl w:val="true"/>
        </w:rPr>
        <w:t>توضيحي درباره‌ي استفاده‌ي توثيقات عامّه از كامل الزيارات</w:t>
      </w:r>
      <w:bookmarkEnd w:id="727"/>
    </w:p>
    <w:p>
      <w:pPr>
        <w:pStyle w:val="BookText"/>
        <w:rPr/>
      </w:pPr>
      <w:r>
        <w:rPr>
          <w:rFonts w:ascii="IRNazanin" w:hAnsi="IRNazanin" w:eastAsia="IRNazanin"/>
          <w:color w:val="111111"/>
          <w:sz w:val="28"/>
          <w:sz w:val="28"/>
          <w:szCs w:val="28"/>
          <w:rtl w:val="true"/>
          <w:lang w:bidi="fa-IR"/>
        </w:rPr>
        <w:t xml:space="preserve">بعضي از اعاظم قائل بودند هر كسي كه صاحب كامل الزيارات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محمّد بن قولويه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 كامل الزيارات نقل روايت كند ثقه است؛ چون ايشان در ابتداي كتاب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روايات اين كتاب را از طريق مشايخ ثقات نقل 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كلام ايشان توثيق عامّي است براي راويان كتاب كامل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 ما قبلاً به طور مفصّل بيان كرديم اين حرف تمام نيست؛ زيرا كساني در سند كامل الزيارات واقع شده‌اند كه واضح الضعف، واضح الفسق و واضح الكذب‌اند، پس نمي‌توان قبول كرد تمام راويان كامل الزيارات ثقاتند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بعضي با روشن شدن اين اشكالات از اين مبنا رفع يد كرده‌اند، ولي بعضي ديگر قائل شده‌اند به اين‌كه منظورِ مرحوم ابن قولويه، مشايخ بلاواسطه است و قائل به وثاقت مشايخ بلاواسطه‌ي ابن قولويه شده‌اند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ما در توضيح كلام ابن قولويه گفتيم آن كلام مبني بر غلبه است و منظورشان اين است كه كتاب كامل الزيارات مطالبش مُتقن و صحيح است و از راويان ثقه نقل شده است، امّا منظور اين نيست كه هيچ راوي غير ثقه‌اي در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اين‌كه مرحوم كليني نيز نظير اين مطالب را درباره‌ي كتاب كافي در مقدّمه‌ي 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اوّل من لايحضره الفقيه هم نظير اين مطالب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اين است كه در اين كتب، بنا بر اتقان و صحت است و از ثقات نقل مي‌شود، امّا ممكن است</w:t>
      </w:r>
      <w:bookmarkStart w:id="728" w:name="pg2359_23649"/>
    </w:p>
    <w:p>
      <w:pPr>
        <w:pStyle w:val="BookText"/>
        <w:rPr/>
      </w:pPr>
      <w:bookmarkEnd w:id="728"/>
      <w:r>
        <w:rPr>
          <w:rFonts w:ascii="IRNazanin" w:hAnsi="IRNazanin" w:eastAsia="IRNazanin"/>
          <w:color w:val="111111"/>
          <w:sz w:val="28"/>
          <w:sz w:val="28"/>
          <w:szCs w:val="28"/>
          <w:rtl w:val="true"/>
          <w:lang w:bidi="fa-IR"/>
        </w:rPr>
        <w:t>روايتي هم به عنوان تأييد از غير ثقات نقل شود كه با آن كلام منافاتي ندارد؛ چون در مقام تغليب بوده نه مقام تحقيق و دقّت</w:t>
      </w:r>
      <w:r>
        <w:rPr>
          <w:rFonts w:eastAsia="IRNazanin" w:cs="IRNazanin"/>
          <w:color w:val="111111"/>
          <w:sz w:val="28"/>
          <w:szCs w:val="28"/>
          <w:rtl w:val="true"/>
          <w:lang w:bidi="fa-IR"/>
        </w:rPr>
        <w:t>.</w:t>
      </w:r>
    </w:p>
    <w:p>
      <w:pPr>
        <w:pStyle w:val="Heading4"/>
        <w:numPr>
          <w:ilvl w:val="3"/>
          <w:numId w:val="1"/>
        </w:numPr>
        <w:rPr/>
      </w:pPr>
      <w:bookmarkStart w:id="729" w:name="__RefHeading___Toc2770735_3804643083"/>
      <w:bookmarkStart w:id="730" w:name="_Toc278"/>
      <w:bookmarkEnd w:id="729"/>
      <w:r>
        <w:rPr>
          <w:rtl w:val="true"/>
        </w:rPr>
        <w:t>استفاده‌ي توثيقات عامّه از تفسير علي بن ابراهيم</w:t>
      </w:r>
      <w:bookmarkEnd w:id="730"/>
    </w:p>
    <w:p>
      <w:pPr>
        <w:pStyle w:val="BookText"/>
        <w:rPr/>
      </w:pPr>
      <w:r>
        <w:rPr>
          <w:rFonts w:ascii="IRNazanin" w:hAnsi="IRNazanin" w:eastAsia="IRNazanin"/>
          <w:color w:val="111111"/>
          <w:sz w:val="28"/>
          <w:sz w:val="28"/>
          <w:szCs w:val="28"/>
          <w:rtl w:val="true"/>
          <w:lang w:bidi="fa-IR"/>
        </w:rPr>
        <w:t>يكي ديگر از توثيقات عامّه كه بعضي به آن ملتزمند، رُوات تفسير علي بن ابراهيم قمي است كه اشكال ما به توثيقات عامّه‌ي كامل الزيارات در اين‌جا هم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آن‌كه نسخه‌اي از تفسير علي بن ابراهيم كه اكنون در دست ماست، استناد كامل آن به علي بن ابراهيم ثابت نيست</w:t>
      </w:r>
      <w:r>
        <w:rPr>
          <w:rFonts w:eastAsia="IRNazanin" w:cs="IRNazanin"/>
          <w:color w:val="111111"/>
          <w:sz w:val="28"/>
          <w:szCs w:val="28"/>
          <w:rtl w:val="true"/>
          <w:lang w:bidi="fa-IR"/>
        </w:rPr>
        <w:t>.</w:t>
      </w:r>
    </w:p>
    <w:p>
      <w:pPr>
        <w:pStyle w:val="Heading4"/>
        <w:numPr>
          <w:ilvl w:val="3"/>
          <w:numId w:val="1"/>
        </w:numPr>
        <w:rPr/>
      </w:pPr>
      <w:bookmarkStart w:id="731" w:name="__RefHeading___Toc2770737_3804643083"/>
      <w:bookmarkStart w:id="732" w:name="_Toc279"/>
      <w:bookmarkEnd w:id="731"/>
      <w:r>
        <w:rPr>
          <w:rtl w:val="true"/>
        </w:rPr>
        <w:t>توثيق مشايخ اصحاب اجماع</w:t>
      </w:r>
      <w:bookmarkEnd w:id="732"/>
    </w:p>
    <w:p>
      <w:pPr>
        <w:pStyle w:val="BookText"/>
        <w:rPr/>
      </w:pPr>
      <w:r>
        <w:rPr>
          <w:rFonts w:ascii="IRNazanin" w:hAnsi="IRNazanin" w:eastAsia="IRNazanin"/>
          <w:color w:val="111111"/>
          <w:sz w:val="28"/>
          <w:sz w:val="28"/>
          <w:szCs w:val="28"/>
          <w:rtl w:val="true"/>
          <w:lang w:bidi="fa-IR"/>
        </w:rPr>
        <w:t xml:space="preserve">يكي ديگر از توثيقات عامّه، توثيق مشايخ اصحاب اجماع است كه حداقل بعضي در خصوص مشايخ ثلاثه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بن يحيي، محمّد بن ابي عمير و احمد بن محمّد بن ابي نصر 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شده‌اند كه اين بزرگواران از هركس نقل روايت كرده‌اند ـ هرچند با واسطه ـ او ثقه است، كه درباره‌ي آن هم بحث مفصّلي شد و علي‌رغم اين‌كه بعضي از اهل دقّت قائل به آن هستند ما چنين توثيق عامّي را نپذيرفتيم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ايّ حالٍ روايت زيد بن علي به نظر ما از لحاظ سند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ابو هريره</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الْخَلِيلِ بْنِ أَحْمَدَ عَنِ ابْنِ مَنِيعٍ عَنْ أَبِي بَكْرٍ بْنِ أَبِي</w:t>
      </w:r>
    </w:p>
    <w:p>
      <w:pPr>
        <w:pStyle w:val="BookText"/>
        <w:rPr/>
      </w:pPr>
      <w:r>
        <w:rPr>
          <w:rFonts w:ascii="Amiri" w:hAnsi="Amiri" w:eastAsia="Amiri" w:cs="Amiri"/>
          <w:color w:val="111111"/>
          <w:sz w:val="28"/>
          <w:sz w:val="28"/>
          <w:szCs w:val="28"/>
          <w:rtl w:val="true"/>
          <w:lang w:bidi="ar-SA"/>
        </w:rPr>
        <w:t>شَيْبَةَ عَنْ أَبِي مُعَاوِيَةَ عَنِ الْأَعْمَشِ عَنْ أَبِي صَالِحٍ 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شَرَّ النَّاسِ عِنْدَ اللَّهِ يَوْمَ الْقِيَامَةِ ذُو الْوَجْهَيْنِ</w:t>
      </w:r>
      <w:r>
        <w:rPr>
          <w:rFonts w:eastAsia="Amiri" w:cs="Amiri" w:ascii="Amiri" w:hAnsi="Amiri"/>
          <w:color w:val="111111"/>
          <w:sz w:val="28"/>
          <w:szCs w:val="28"/>
          <w:rtl w:val="true"/>
          <w:lang w:bidi="ar-SA"/>
        </w:rPr>
        <w:t>»</w:t>
      </w:r>
      <w:r>
        <w:rPr>
          <w:rStyle w:val="FootnoteAnchor"/>
          <w:rtl w:val="true"/>
        </w:rPr>
        <w:footnoteReference w:id="491"/>
      </w:r>
    </w:p>
    <w:p>
      <w:pPr>
        <w:pStyle w:val="BookText"/>
        <w:rPr/>
      </w:pPr>
      <w:r>
        <w:rPr>
          <w:rFonts w:ascii="IRNazanin" w:hAnsi="IRNazanin" w:eastAsia="IRNazanin"/>
          <w:color w:val="111111"/>
          <w:sz w:val="28"/>
          <w:sz w:val="28"/>
          <w:szCs w:val="28"/>
          <w:rtl w:val="true"/>
          <w:lang w:bidi="fa-IR"/>
        </w:rPr>
        <w:t>بدترين مردم نزد خداوند در روز قيامت، انسان‌هاي دو چهره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سند اين روايت هم معلوم است كه ناتمام است؛ چون افرادي مثل ابوهريره در سند قرار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عمّار</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 فِي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الخَلِيلِ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مَنِيعٍ عَنِ ابْنِ أَبِي شَيْبَةَ عَنِ الرُّكَيْنِ عَنِ النُّعَيْمِ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كَانَ لَهُ وَجْهَانِ فِي الدُّنْيَا كَانَ لَهُ يَوْمَ الْقِيَامَةِ لِسَانَانِ مِنْ نَارٍ</w:t>
      </w:r>
      <w:r>
        <w:rPr>
          <w:rFonts w:eastAsia="Amiri" w:cs="Amiri" w:ascii="Amiri" w:hAnsi="Amiri"/>
          <w:color w:val="111111"/>
          <w:sz w:val="28"/>
          <w:szCs w:val="28"/>
          <w:rtl w:val="true"/>
          <w:lang w:bidi="ar-SA"/>
        </w:rPr>
        <w:t>»</w:t>
      </w:r>
      <w:r>
        <w:rPr>
          <w:rStyle w:val="FootnoteAnchor"/>
          <w:rtl w:val="true"/>
        </w:rPr>
        <w:footnoteReference w:id="492"/>
      </w:r>
    </w:p>
    <w:p>
      <w:pPr>
        <w:pStyle w:val="BookText"/>
        <w:rPr/>
      </w:pPr>
      <w:r>
        <w:rPr>
          <w:rFonts w:ascii="IRNazanin" w:hAnsi="IRNazanin" w:eastAsia="IRNazanin"/>
          <w:color w:val="111111"/>
          <w:sz w:val="28"/>
          <w:sz w:val="28"/>
          <w:szCs w:val="28"/>
          <w:rtl w:val="true"/>
          <w:lang w:bidi="fa-IR"/>
        </w:rPr>
        <w:t>كسي كه در دنيا داراي دو چهره باشد، روز قيامت هم داراي دو زبان از آتش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از لحاظ سند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عقاب الاعمال</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عِقَابِ الْأَعْمَالِ</w:t>
      </w:r>
    </w:p>
    <w:p>
      <w:pPr>
        <w:pStyle w:val="BookText"/>
        <w:rPr/>
      </w:pPr>
      <w:r>
        <w:rPr>
          <w:rFonts w:ascii="Amiri" w:hAnsi="Amiri" w:eastAsia="Amiri" w:cs="Amiri"/>
          <w:color w:val="111111"/>
          <w:sz w:val="28"/>
          <w:sz w:val="28"/>
          <w:szCs w:val="28"/>
          <w:rtl w:val="true"/>
          <w:lang w:bidi="ar-SA"/>
        </w:rPr>
        <w:t>بِإِسْنَادٍ تَقَدَّمَ فِي عِيَادَةِ الْمَرِيضِ</w:t>
      </w:r>
      <w:r>
        <w:rPr>
          <w:rStyle w:val="FootnoteAnchor"/>
          <w:rtl w:val="true"/>
        </w:rPr>
        <w:footnoteReference w:id="493"/>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خُطْبَةٍ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مَنْ كَانَ ذَا وَجْهَيْنِ وَ ذَا لِسَانَيْنِ كَانَ ذَا وَجْهَيْنِ وَ ذَا لِسَانَيْنِ يَوْمَ الْقِيَامَةِ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نَارٍ</w:t>
      </w:r>
      <w:r>
        <w:rPr>
          <w:rFonts w:eastAsia="Amiri" w:cs="Amiri" w:ascii="Amiri" w:hAnsi="Amiri"/>
          <w:color w:val="111111"/>
          <w:sz w:val="28"/>
          <w:szCs w:val="28"/>
          <w:rtl w:val="true"/>
          <w:lang w:bidi="ar-SA"/>
        </w:rPr>
        <w:t>)»</w:t>
      </w:r>
      <w:r>
        <w:rPr>
          <w:rStyle w:val="FootnoteAnchor"/>
          <w:rtl w:val="true"/>
        </w:rPr>
        <w:footnoteReference w:id="49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كسي كه داراي دو چهره و دو زبان باشد، روز قيامت هم داراي دو چهره و دو زبان از آتش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هم از لحاظ سند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عون بن معين بيّاع القلانس</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عَنْ مُحَمَّدِ بْنِ الْحَسَنِ عَنْ أَحْمَدَ بْنِ إِدْرِيسَ عَنْ مُحَمَّدِ بْنِ أَحْمَدَ بْنِ يَحْيَى عَنْ مُوسَى بْنِ عُمَرَ الْبَغْدَادِيِّ عَنِ ابْنِ سِنَانٍ عَنْ عَوْنِ بْنِ مُعِينٍ بَيَّاعِ الْقَلَانِسِ عَنْ عَبْدِ اللَّهِ بْنِ أَبِي يَعْفُورٍ قَالَ سَمِعْتُ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النَّاسَ بِوَجْهٍ وَ عَابَهُمْ بِوَجْهٍ جَاءَ يَوْمَ الْقِيَامَةِ وَ لَهُ لِسَانَانِ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الْخِصَالِ عَنْ أَبِيهِ عَنْ أَحْمَدَ بْنِ إِدْرِيسَ مِثْلَهُ</w:t>
      </w:r>
      <w:r>
        <w:rPr>
          <w:rFonts w:eastAsia="Amiri" w:cs="Amiri" w:ascii="Amiri" w:hAnsi="Amiri"/>
          <w:color w:val="111111"/>
          <w:sz w:val="28"/>
          <w:szCs w:val="28"/>
          <w:rtl w:val="true"/>
          <w:lang w:bidi="ar-SA"/>
        </w:rPr>
        <w:t>.</w:t>
      </w:r>
      <w:r>
        <w:rPr>
          <w:rStyle w:val="FootnoteAnchor"/>
          <w:rtl w:val="true"/>
        </w:rPr>
        <w:footnoteReference w:id="495"/>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كسي كه وقتي با مردم روبرو مي‌شود با چهره‌ا‌ي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مي‌شود ولي با چهره‌ي ديگري عيب آن‌ها را مي‌گيرد، روز قيامت در حالي‌كه دو زبان از آتش دارد،</w:t>
      </w:r>
      <w:bookmarkStart w:id="733" w:name="pg2359_23652"/>
    </w:p>
    <w:p>
      <w:pPr>
        <w:pStyle w:val="BookText"/>
        <w:rPr/>
      </w:pPr>
      <w:bookmarkEnd w:id="733"/>
      <w:r>
        <w:rPr>
          <w:rFonts w:ascii="Amiri" w:hAnsi="Amiri" w:eastAsia="Amiri" w:cs="Amiri"/>
          <w:color w:val="111111"/>
          <w:sz w:val="28"/>
          <w:sz w:val="28"/>
          <w:szCs w:val="28"/>
          <w:rtl w:val="true"/>
          <w:lang w:bidi="ar-SA"/>
        </w:rPr>
        <w:t>مي‌آيد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روايت هم از لحاظ سند به خاطر محمّد بن سنان ناتمام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حفص بن غياث</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عَنْ عَلِيِّ بْنِ أَحْمَدَ عَنْ مُحَمَّدِ بْنِ جَعْفَرٍ الْأَسَدِيِّ عَنْ مُوسَى بْنِ عِمْرَانَ النَّخَعِيِّ عَنِ الْحُسَيْنِ بْنِ يَزِيدَ النَّوْفَلِيِّ عَنْ حَفْصِ بْنِ غِيَاثٍ عَنِ الصَّادِقِ جَعْفَرِ بْنِ مُحَمَّدٍ عَنْ آبَائِهِ 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مَدَحَ أَخَاهُ الْمُؤْمِنَ فِي وَجْهِهِ وَ اغْتَابَهُ مِنْ وَرَائِهِ فَقَدِ انْقَطَعَ مَا بَيْنَهُمَا مِنَ الْعِصْمَةِ</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كسي كه برادر مؤمنش را در روبرو مدح كند و پشت‌سر غيبت كند، رابطه‌ي برادري بينشان منقطع مي‌شود</w:t>
      </w:r>
      <w:r>
        <w:rPr>
          <w:rFonts w:eastAsia="IRNazanin" w:cs="IRNazanin"/>
          <w:color w:val="111111"/>
          <w:sz w:val="28"/>
          <w:szCs w:val="28"/>
          <w:rtl w:val="true"/>
          <w:lang w:bidi="fa-IR"/>
        </w:rPr>
        <w:t>.</w:t>
      </w:r>
    </w:p>
    <w:p>
      <w:pPr>
        <w:pStyle w:val="Heading4"/>
        <w:numPr>
          <w:ilvl w:val="3"/>
          <w:numId w:val="1"/>
        </w:numPr>
        <w:rPr/>
      </w:pPr>
      <w:bookmarkStart w:id="734" w:name="__RefHeading___Toc2770739_3804643083"/>
      <w:bookmarkStart w:id="735" w:name="_Toc280"/>
      <w:bookmarkEnd w:id="734"/>
      <w:r>
        <w:rPr>
          <w:rtl w:val="true"/>
        </w:rPr>
        <w:t>نتيجه‌گيري از روايات ذو وجهين</w:t>
      </w:r>
      <w:bookmarkEnd w:id="735"/>
    </w:p>
    <w:p>
      <w:pPr>
        <w:pStyle w:val="BookText"/>
        <w:rPr/>
      </w:pPr>
      <w:r>
        <w:rPr>
          <w:rFonts w:ascii="IRNazanin" w:hAnsi="IRNazanin" w:eastAsia="IRNazanin"/>
          <w:color w:val="111111"/>
          <w:sz w:val="28"/>
          <w:sz w:val="28"/>
          <w:szCs w:val="28"/>
          <w:rtl w:val="true"/>
          <w:lang w:bidi="fa-IR"/>
        </w:rPr>
        <w:t>از اين ده روايت با توجّه به اين‌كه اعاظم آن‌ها را ـ در كافي و غير آن ـ نقل كرده‌اند و مؤيّداتي هم براي آن وجود دارد، اطمينان حاصل مي‌شود كه أشدّيت عذاب ذو وجهين في‌الجمله صادر شده است، گرچه هر كدام به تنهايي سند تامّي ندارد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نتيجه مي‌گيريم دو رويي و دو زباني گناهي است كه</w:t>
      </w:r>
    </w:p>
    <w:p>
      <w:pPr>
        <w:pStyle w:val="BookText"/>
        <w:rPr/>
      </w:pPr>
      <w:r>
        <w:rPr>
          <w:rFonts w:ascii="Amiri" w:hAnsi="Amiri" w:eastAsia="Amiri" w:cs="Amiri"/>
          <w:color w:val="111111"/>
          <w:sz w:val="28"/>
          <w:sz w:val="28"/>
          <w:szCs w:val="28"/>
          <w:rtl w:val="true"/>
          <w:lang w:bidi="ar-SA"/>
        </w:rPr>
        <w:t>في‌الجمله عذابش بيشتر از عذاب غيبت است و غيبتي كه مقرون به مدح در حضور باشد داراي حرمت شديدتري است، به نحوي كه بالخصوص از آن نام برده شده است و تنها ثمره‌ي اين بحث، مضاعف بودن عذاب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بله، از آن‌جايي كه ما در مورد كبيره بودن غيبت بيان كرديم كه بستگي به مورد غيبت دارد و اگر مربوط به عيب جزئي دنيوي باشد نمي‌توانيم بگوييم كبيره است، امّا با وجود اين روايات مي‌گوييم اين غيبتي كه در مورد عيب دنيوي جزئي است و كبيره نيست، اگر همراه با مدح در حضور باشد احتياطاً بر آن حكم كبيره بار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در جايي گناه كبيره حكم خاصّي داشته باشد احتياطاً آن حكم بار مي‌شود، گرچه باز هم قول به كبيره بودن چنين غيبتي با مدح در حضور، مشكل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تقييد محقّق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تحقّق مصداق ذو اللسانين</w:t>
      </w:r>
    </w:p>
    <w:p>
      <w:pPr>
        <w:pStyle w:val="BookText"/>
        <w:rPr/>
      </w:pPr>
      <w:r>
        <w:rPr>
          <w:rFonts w:ascii="IRNazanin" w:hAnsi="IRNazanin" w:eastAsia="IRNazanin"/>
          <w:color w:val="111111"/>
          <w:sz w:val="28"/>
          <w:sz w:val="28"/>
          <w:szCs w:val="28"/>
          <w:rtl w:val="true"/>
          <w:lang w:bidi="fa-IR"/>
        </w:rPr>
        <w:t>مرحوم ايرواني اطلاق كلام شيخ در تحقّق ذو وجهين به مجرد بيان مدح كسي در حضورش و غيبت در غيابش را نمي‌پذيرد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روايات ذو اللسانين مواردي نيست كه در حضور كسي از صفاتي كه در او هست مدح معمولي كنند و در غيابش از او غيبت كنند، بلكه مصداق روايات ذو اللسانين اين است كه شخصي را به يكي از دو نحو ذيل مدح كنند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مدحي كه از آن استفاده شود ممدوح، استحقاق مدح دارد، نه اين‌كه صِرفاً يك صفت او را بيان كند، بلكه چنان او را مدح كند كه يعني اين شخص، انسان شايسته‌اي است و مستحقّ</w:t>
      </w:r>
    </w:p>
    <w:p>
      <w:pPr>
        <w:pStyle w:val="BookText"/>
        <w:rPr/>
      </w:pPr>
      <w:r>
        <w:rPr>
          <w:rFonts w:ascii="IRNazanin" w:hAnsi="IRNazanin" w:eastAsia="IRNazanin"/>
          <w:color w:val="111111"/>
          <w:sz w:val="28"/>
          <w:sz w:val="28"/>
          <w:szCs w:val="28"/>
          <w:rtl w:val="true"/>
          <w:lang w:bidi="fa-IR"/>
        </w:rPr>
        <w:t>مدح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مدحي كه از آن استفاده شود اين شخص فقط صفات خوب دارد و صفت بدي از او نمي‌شناسم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طريق إلي ذمّه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حضورش چنين مدحي كنند و در غياب او زبان به مذمّت گشوده و با ذكر عيبش غيبت او كنند، مصداق ذو اللسانين است</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احياناً بعضي صفات حسنه‌ي غيبت شونده را در حضورش بگويند ولي مدح به گونه‌اي نباشد كه استفاده شود اين شخص شايسته‌ي مدح است، به چنين شخصي ذواللسانين گفته نمي‌شود؛ زيرا وصف ذواللسانين بر كسي صادق است كه با هر دو زبان، عصيان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زباني كه در پشت‌سر است، به دليل غيبت گناه‌كار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زباني كه در حضور است، به يكي از دو وجهي كه گفتيم، اهل عصيان مي‌شود؛ چون يا گفته است اين شخص شايسته‌ي مدح است پس ديگر نبايد مذمّت شود، و يا گفته است كه طريقي براي مذمّتش نيست و در عين حال با غيبتش او را</w:t>
      </w:r>
    </w:p>
    <w:p>
      <w:pPr>
        <w:pStyle w:val="BookText"/>
        <w:rPr/>
      </w:pPr>
      <w:r>
        <w:rPr>
          <w:rFonts w:ascii="IRNazanin" w:hAnsi="IRNazanin" w:eastAsia="IRNazanin"/>
          <w:color w:val="111111"/>
          <w:sz w:val="28"/>
          <w:sz w:val="28"/>
          <w:szCs w:val="28"/>
          <w:rtl w:val="true"/>
          <w:lang w:bidi="fa-IR"/>
        </w:rPr>
        <w:t>مذمّت مي‌كند، پس مرتكب دروغ شده و با دروغ معصيت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شخصي كه با لسانش دو معصيت مي‌كند داراي دو لسان از آتش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لسان روبرو كه لسان كذب است و ديگري لسان ماوراء كه لسان غيبت است</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نقد كلام مرحوم ايرواني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فرمودند اگر مدح به‌گونه‌اي باشد كه بگويد اين شخص شايسته‌ي مدح علي الاطلاق است و هيچ ذمّي مناسب او نيست، در اين صورت چون لسان مدحش لسان كذب است و غيبت هم مي‌كند ذا لسانين بر او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مدح در حدّي نباشد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ذمّي مناسب او نيست و فقط شايسته‌ي مدح است، در اين صورت چون لسان مدحش لسان كذب نيست ـ زيرا به نحو جزئي شايسته‌ي مدح بوده است ـ پس ذا لسانين هم بر او صادق نيست و تحت آن روايات قرار نمي‌گيرد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حالي‌كه از بيشتر رواياتِ اين باب استفاده مي‌شود اگر در حضورش هر نوع مدحي كند و در غياب، غيبتش كند اين شخص ذا لسانين است، هرچند لسان مدحش در حضور، لسان كذب نباشد و به قول مرحوم شيخ مدحش مباح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نمونه از اين روايات اشاره مي‌كنيم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الزهري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يُطْرِي أَخَاهُ شَاهِداً وَ يَأْكُلُهُ غَائِباً</w:t>
      </w:r>
      <w:r>
        <w:rPr>
          <w:rFonts w:eastAsia="Amiri" w:cs="Amiri" w:ascii="Amiri" w:hAnsi="Amiri"/>
          <w:color w:val="111111"/>
          <w:sz w:val="28"/>
          <w:szCs w:val="28"/>
          <w:rtl w:val="true"/>
          <w:lang w:bidi="ar-SA"/>
        </w:rPr>
        <w:t>»</w:t>
      </w:r>
      <w:r>
        <w:rPr>
          <w:rStyle w:val="FootnoteAnchor"/>
          <w:rtl w:val="true"/>
        </w:rPr>
        <w:footnoteReference w:id="499"/>
      </w:r>
      <w:r>
        <w:rPr>
          <w:rFonts w:ascii="Amiri" w:hAnsi="Amiri" w:eastAsia="Amiri" w:cs="Amiri"/>
          <w:color w:val="111111"/>
          <w:sz w:val="28"/>
          <w:sz w:val="28"/>
          <w:szCs w:val="28"/>
          <w:rtl w:val="true"/>
          <w:lang w:bidi="ar-SA"/>
        </w:rPr>
        <w:t>، روايت عون بن معين بيّاع القلانس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لَقِيَ النَّاسَ بِوَجْهٍ</w:t>
      </w:r>
    </w:p>
    <w:p>
      <w:pPr>
        <w:pStyle w:val="BookText"/>
        <w:rPr/>
      </w:pPr>
      <w:r>
        <w:rPr>
          <w:rFonts w:ascii="Amiri" w:hAnsi="Amiri" w:eastAsia="Amiri" w:cs="Amiri"/>
          <w:color w:val="111111"/>
          <w:sz w:val="28"/>
          <w:sz w:val="28"/>
          <w:szCs w:val="28"/>
          <w:rtl w:val="true"/>
          <w:lang w:bidi="ar-SA"/>
        </w:rPr>
        <w:t>وَ عَابَهُمْ بِوَجْهٍ</w:t>
      </w:r>
      <w:r>
        <w:rPr>
          <w:rFonts w:eastAsia="Amiri" w:cs="Amiri" w:ascii="Amiri" w:hAnsi="Amiri"/>
          <w:color w:val="111111"/>
          <w:sz w:val="28"/>
          <w:szCs w:val="28"/>
          <w:rtl w:val="true"/>
          <w:lang w:bidi="ar-SA"/>
        </w:rPr>
        <w:t>»</w:t>
      </w:r>
      <w:r>
        <w:rPr>
          <w:rStyle w:val="FootnoteAnchor"/>
          <w:rtl w:val="true"/>
        </w:rPr>
        <w:footnoteReference w:id="500"/>
      </w:r>
      <w:r>
        <w:rPr>
          <w:rFonts w:ascii="Amiri" w:hAnsi="Amiri" w:eastAsia="Amiri" w:cs="Amiri"/>
          <w:color w:val="111111"/>
          <w:sz w:val="28"/>
          <w:sz w:val="28"/>
          <w:szCs w:val="28"/>
          <w:rtl w:val="true"/>
          <w:lang w:bidi="ar-SA"/>
        </w:rPr>
        <w:t>يا روايت حفص بن غياث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مَدَحَ أَخَاهُ الْمُؤْمِنَ فِي وَجْهِهِ وَ اغْتَابَهُ مِنْ وَرَائِهِ</w:t>
      </w:r>
      <w:r>
        <w:rPr>
          <w:rFonts w:eastAsia="Amiri" w:cs="Amiri" w:ascii="Amiri" w:hAnsi="Amiri"/>
          <w:color w:val="111111"/>
          <w:sz w:val="28"/>
          <w:szCs w:val="28"/>
          <w:rtl w:val="true"/>
          <w:lang w:bidi="ar-SA"/>
        </w:rPr>
        <w:t>»</w:t>
      </w:r>
      <w:r>
        <w:rPr>
          <w:rStyle w:val="FootnoteAnchor"/>
          <w:rtl w:val="true"/>
        </w:rPr>
        <w:footnoteReference w:id="501"/>
      </w:r>
      <w:r>
        <w:rPr>
          <w:rFonts w:ascii="Amiri" w:hAnsi="Amiri" w:eastAsia="Amiri" w:cs="Amiri"/>
          <w:color w:val="111111"/>
          <w:sz w:val="28"/>
          <w:sz w:val="28"/>
          <w:szCs w:val="28"/>
          <w:rtl w:val="true"/>
          <w:lang w:bidi="ar-SA"/>
        </w:rPr>
        <w:t>، همه‌ي اين روايات اطلاق دارد و شامل صورت مدحِ مباح هم مي‌شود</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بله، نكته‌اي را كه مي‌توان از روايات استظهار كرد ـ اعتبار هم به آن كمك مي‌كند ـ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ذولسانين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كسي اطلاق مي‌شود كه با عنايت، اين دو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 و ذم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انجام مي‌دهد و توجّه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ارتكازاً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دو نقش بازي مي‌كند، امّا اگر توجّهي به اين معنا نداشته باشد؛ مثلاً هميشه او را تعريف مي‌كرد و اتفاقاً يك غيبتي هم كرد و عنايتي روي اين نداشته كه در حضور او مدح و در غياب او مذمّت كند، نمي‌توانيم بگوييم مشمول روايت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قيدي را كه مرحوم ايرواني بيان فرمود مبني بر لزوم كذب بودنِ لسان مدح، براي تحقّق عنوان ذو لسانين، مي‌گوييم از روايات چنين استفاده‌اي نمي‌شود، بلكه مستفاد از روايات، اطلاق است</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همان‌طور كه بيان شد، سند اين روايات ناتمام بود و فقط از طريق تعدّد روايات به همراه بعضي قرائن ارتكازيه، اطمينان به صدور مي‌يابيم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ممكن است كسي بگويد در چنين</w:t>
      </w:r>
      <w:bookmarkStart w:id="736" w:name="pg2359_23657"/>
    </w:p>
    <w:p>
      <w:pPr>
        <w:pStyle w:val="BookText"/>
        <w:rPr/>
      </w:pPr>
      <w:bookmarkEnd w:id="736"/>
      <w:r>
        <w:rPr>
          <w:rFonts w:ascii="IRNazanin" w:hAnsi="IRNazanin" w:eastAsia="IRNazanin"/>
          <w:color w:val="111111"/>
          <w:sz w:val="28"/>
          <w:sz w:val="28"/>
          <w:szCs w:val="28"/>
          <w:rtl w:val="true"/>
          <w:lang w:bidi="fa-IR"/>
        </w:rPr>
        <w:t>مواردي بايد اخذ به قدر متيقّني شود كه جامع بين همه‌ي روايات است و جامع، همان مطلبي است كه محقّق ايرواني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ممكن است از اين طريق، همراه جناب ايرواني شويم و بگوييم ذولسانين كسي است كه لسان مدحش لسان كذب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آخر در تعريف ذو لسانين</w:t>
      </w:r>
    </w:p>
    <w:p>
      <w:pPr>
        <w:pStyle w:val="BookText"/>
        <w:rPr/>
      </w:pPr>
      <w:r>
        <w:rPr>
          <w:rFonts w:ascii="Amiri" w:hAnsi="Amiri" w:eastAsia="Amiri" w:cs="Amiri"/>
          <w:color w:val="111111"/>
          <w:sz w:val="28"/>
          <w:sz w:val="28"/>
          <w:szCs w:val="28"/>
          <w:rtl w:val="true"/>
          <w:lang w:bidi="ar-SA"/>
        </w:rPr>
        <w:t>ذولسانين كسي است كه در حضور شخصي مدح او و در غيابش، غيبت او كند و لسان مدحش لسان كذب باشد</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2770741_3804643083"/>
      <w:bookmarkStart w:id="738" w:name="_Toc281"/>
      <w:bookmarkEnd w:id="737"/>
      <w:r>
        <w:rPr>
          <w:rtl w:val="true"/>
        </w:rPr>
        <w:t>آيا غيبت بر بهتان هم اطلاق مي‌شود؟</w:t>
      </w:r>
      <w:bookmarkEnd w:id="738"/>
    </w:p>
    <w:p>
      <w:pPr>
        <w:pStyle w:val="Heading4"/>
        <w:numPr>
          <w:ilvl w:val="3"/>
          <w:numId w:val="1"/>
        </w:numPr>
        <w:rPr/>
      </w:pPr>
      <w:bookmarkStart w:id="739" w:name="__RefHeading___Toc2770743_3804643083"/>
      <w:bookmarkStart w:id="740" w:name="_Toc282"/>
      <w:bookmarkEnd w:id="739"/>
      <w:r>
        <w:rPr>
          <w:rtl w:val="true"/>
        </w:rPr>
        <w:t>اشاره</w:t>
      </w:r>
      <w:bookmarkEnd w:id="740"/>
    </w:p>
    <w:p>
      <w:pPr>
        <w:pStyle w:val="BookText"/>
        <w:rPr/>
      </w:pPr>
      <w:r>
        <w:rPr>
          <w:rFonts w:ascii="IRNazanin" w:hAnsi="IRNazanin" w:eastAsia="IRNazanin"/>
          <w:color w:val="111111"/>
          <w:sz w:val="28"/>
          <w:sz w:val="28"/>
          <w:szCs w:val="28"/>
          <w:rtl w:val="true"/>
          <w:lang w:bidi="fa-IR"/>
        </w:rPr>
        <w:t>مرحوم شيخ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در روايات، بر بهتان هم اطلاق غيبت شده است</w:t>
      </w:r>
      <w:r>
        <w:rPr>
          <w:rStyle w:val="FootnoteAnchor"/>
          <w:rtl w:val="true"/>
        </w:rPr>
        <w:footnoteReference w:id="503"/>
      </w:r>
      <w:r>
        <w:rPr>
          <w:rFonts w:ascii="Amiri" w:hAnsi="Amiri" w:eastAsia="Amiri" w:cs="Amiri"/>
          <w:color w:val="111111"/>
          <w:sz w:val="28"/>
          <w:sz w:val="28"/>
          <w:szCs w:val="28"/>
          <w:rtl w:val="true"/>
          <w:lang w:bidi="ar-SA"/>
        </w:rPr>
        <w:t>به عنوان مثال در روايت علقمه مي‌فرمايد</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الْمَجَالِسِ عَنْ أَبِيهِ عَنْ عَلِيِّ بْنِ مُحَمَّدِ بْنِ قُتَيْبَةَ عَنْ حَمْدَانَ بْنِ سُلَيْمَانَ عَنْ نُوحِ بْنِ شُعَيْبٍ عَنْ مُحَمَّدِ بْنِ إِسْمَاعِيلَ عَنْ صَالِحِ بْنِ عُقْبَةَ عَنْ عَلْقَمَةَ بْنِ مُحَمَّدٍ عَنِ الصَّادِقِ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لَمْ تَرَهُ بِعَيْنِكَ يَرْتَكِبُ ذَنْباً وَ لَمْ يَشْهَدْ عَلَيْهِ عِنْدَكَ شَاهِدَانِ فَهُوَ مِنْ أَهْلِ الْعَدَالَةِ وَ السَّتْرِ وَ شَهَادَتُهُ مَقْبُولَةٌ وَ إِنْ كَانَ فِي نَفْسِهِ مُذْنِباً وَ مَنِ اغْتَابَهُ بِمَا فِيهِ فَهُوَ خَارِجٌ عَنْ وَلَايَةِ</w:t>
      </w:r>
    </w:p>
    <w:p>
      <w:pPr>
        <w:pStyle w:val="BookText"/>
        <w:rPr/>
      </w:pPr>
      <w:r>
        <w:rPr>
          <w:rFonts w:ascii="Amiri" w:hAnsi="Amiri" w:eastAsia="Amiri" w:cs="Amiri"/>
          <w:color w:val="111111"/>
          <w:sz w:val="28"/>
          <w:sz w:val="28"/>
          <w:szCs w:val="28"/>
          <w:rtl w:val="true"/>
          <w:lang w:bidi="ar-SA"/>
        </w:rPr>
        <w:t>اللَّهِ تَعَالَى ذِكْرُهُ دَاخِلٌ فِي وَلَايَةِ الشَّيْطَانِ وَ لَقَدْ حَدَّثَنِي أَبِي عَنْ أَبِيهِ عَنْ آبَائِهِ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فَقَدِ انْقَطَعَتِ الْعِصْمَةُ بَيْنَهُمَا وَ كَانَ الْمُغْتَابُ فِي النَّارِ خَالِداً فِيهَا وَ بِئْسَ الْمَصِيرُ</w:t>
      </w:r>
      <w:r>
        <w:rPr>
          <w:rFonts w:eastAsia="Amiri" w:cs="Amiri" w:ascii="Amiri" w:hAnsi="Amiri"/>
          <w:color w:val="111111"/>
          <w:sz w:val="28"/>
          <w:szCs w:val="28"/>
          <w:rtl w:val="true"/>
          <w:lang w:bidi="ar-SA"/>
        </w:rPr>
        <w:t>»</w:t>
      </w:r>
      <w:r>
        <w:rPr>
          <w:rStyle w:val="FootnoteAnchor"/>
          <w:rtl w:val="true"/>
        </w:rPr>
        <w:footnoteReference w:id="504"/>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 را كه به چشم خودت نبيني مرتكب گناهي شده باشد و يا دو شاهد براي تو عليه او شهادت نداده باشند، از اهل عدالت و ستر است و شهادتش مقبول است، هرچند در نفس خود گناه‌كار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 شخصي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غيبتش كرد به عيبي كه در او وجود دارد، از ولايت خداوند متعال خارج و در ولايت شيطان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تحقيق،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پدرش از پدرانش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كسي مؤمني را غيبت كند به عيبي كه در اوست، خداوند متعال آن دو را هرگز در بهشت جمع نمي‌كند</w:t>
      </w:r>
      <w:r>
        <w:rPr>
          <w:rStyle w:val="FootnoteAnchor"/>
          <w:rtl w:val="true"/>
        </w:rPr>
        <w:footnoteReference w:id="505"/>
      </w:r>
      <w:r>
        <w:rPr>
          <w:rFonts w:ascii="Amiri" w:hAnsi="Amiri" w:eastAsia="Amiri" w:cs="Amiri"/>
          <w:color w:val="111111"/>
          <w:sz w:val="28"/>
          <w:sz w:val="28"/>
          <w:szCs w:val="28"/>
          <w:rtl w:val="true"/>
          <w:lang w:bidi="ar-SA"/>
        </w:rPr>
        <w:t xml:space="preserve">و كسي كه غيبت كند به عيبي كه در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عصمت</w:t>
      </w:r>
      <w:r>
        <w:rPr>
          <w:rStyle w:val="FootnoteAnchor"/>
          <w:rtl w:val="true"/>
        </w:rPr>
        <w:footnoteReference w:id="506"/>
      </w:r>
      <w:r>
        <w:rPr>
          <w:rFonts w:ascii="IRNazanin" w:hAnsi="IRNazanin" w:eastAsia="IRNazanin"/>
          <w:color w:val="111111"/>
          <w:sz w:val="28"/>
          <w:sz w:val="28"/>
          <w:szCs w:val="28"/>
          <w:rtl w:val="true"/>
          <w:lang w:bidi="fa-IR"/>
        </w:rPr>
        <w:t>بين آن دو قطع مي‌شود و غيبت كننده در آتش هميشگي خواهد بود</w:t>
      </w:r>
      <w:r>
        <w:rPr>
          <w:rStyle w:val="FootnoteAnchor"/>
          <w:rtl w:val="true"/>
        </w:rPr>
        <w:footnoteReference w:id="507"/>
      </w:r>
    </w:p>
    <w:p>
      <w:pPr>
        <w:pStyle w:val="BookText"/>
        <w:rPr/>
      </w:pPr>
      <w:r>
        <w:rPr>
          <w:rFonts w:ascii="IRNazanin" w:hAnsi="IRNazanin" w:eastAsia="IRNazanin"/>
          <w:color w:val="111111"/>
          <w:sz w:val="28"/>
          <w:sz w:val="28"/>
          <w:szCs w:val="28"/>
          <w:rtl w:val="true"/>
          <w:lang w:bidi="fa-IR"/>
        </w:rPr>
        <w:t>و چه بد جايگاهي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روايت از لحاظ سند به خاطر بعضي افراد مجهول، ناتمام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افتراء</w:t>
      </w:r>
      <w:r>
        <w:rPr>
          <w:rStyle w:val="FootnoteAnchor"/>
          <w:rtl w:val="true"/>
        </w:rPr>
        <w:footnoteReference w:id="508"/>
      </w:r>
      <w:r>
        <w:rPr>
          <w:rFonts w:ascii="IRNazanin" w:hAnsi="IRNazanin" w:eastAsia="IRNazanin"/>
          <w:color w:val="111111"/>
          <w:sz w:val="28"/>
          <w:sz w:val="28"/>
          <w:szCs w:val="28"/>
          <w:rtl w:val="true"/>
          <w:lang w:bidi="fa-IR"/>
        </w:rPr>
        <w:t>يعني نسبت دادن عمل يا صفت ناپسندي به كسي در حالي‌كه في‌الواقع آن صفت يا عمل را نداشته باشد، ولي غيبت يعني كشف عيب مستور ديگران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در پاسخ به كلام مرحوم شيخ مي‌گوييم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غيبت بر بهتان، اطلاق مجازي است؛ چون در مادّه‌ي غيبت،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بدگويي در غياب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نهفته است و اگر در حضور او حتّي عيب موجود هم گفته شود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تعيير مؤمن و عيب گرفتن از مؤمن است و حرام، امّا غيبت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در آيه‌ي شريفه غيبت را به خوردن ميته‌ي برادر تشبيه كرده، به اعتبار غايب بودن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اين‌كه به بهتان اطلاق غيبت شده، معناي حقيقي نيست بلكه استعمال مجازي است؛ زيرا در بهتان، حضور و غياب دخالت ندارد و معناي عرفي و شرعي غيبت هم گذشت</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گناه بهتان شديدتر از گناه غيبت است؛ چون در غيبت، امر زشتي را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 مرتكب شده بود بيان مي‌كند، امّا در بهتان، عمل زشتي كه مرتكب نشده به او نسبت مي‌دهد، بنابراين بهتان قبيح‌تر از غيبت است</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w:t>
      </w:r>
      <w:bookmarkStart w:id="741" w:name="pg2359_23660"/>
    </w:p>
    <w:p>
      <w:pPr>
        <w:pStyle w:val="Heading4"/>
        <w:numPr>
          <w:ilvl w:val="3"/>
          <w:numId w:val="1"/>
        </w:numPr>
        <w:rPr/>
      </w:pPr>
      <w:bookmarkStart w:id="742" w:name="__RefHeading___Toc2770745_3804643083"/>
      <w:bookmarkStart w:id="743" w:name="_Toc283"/>
      <w:bookmarkEnd w:id="741"/>
      <w:bookmarkEnd w:id="742"/>
      <w:r>
        <w:rPr>
          <w:rtl w:val="true"/>
        </w:rPr>
        <w:t>بهتان غيابي در نگاه شيخ انصاري</w:t>
      </w:r>
      <w:r>
        <w:rPr>
          <w:rtl w:val="true"/>
        </w:rPr>
        <w:t xml:space="preserve">- </w:t>
      </w:r>
      <w:r>
        <w:rPr>
          <w:rtl w:val="true"/>
        </w:rPr>
        <w:t xml:space="preserve">قدس سره </w:t>
      </w:r>
      <w:r>
        <w:rPr>
          <w:rtl w:val="true"/>
        </w:rPr>
        <w:t xml:space="preserve">- </w:t>
      </w:r>
      <w:r>
        <w:rPr>
          <w:rtl w:val="true"/>
        </w:rPr>
        <w:t>داراي سه عقاب كذب، غيبت و مركّب است</w:t>
      </w:r>
      <w:r>
        <w:rPr>
          <w:rtl w:val="true"/>
        </w:rPr>
        <w:t>:</w:t>
      </w:r>
      <w:bookmarkEnd w:id="743"/>
    </w:p>
    <w:p>
      <w:pPr>
        <w:pStyle w:val="Heading5"/>
        <w:numPr>
          <w:ilvl w:val="4"/>
          <w:numId w:val="1"/>
        </w:numPr>
        <w:rPr/>
      </w:pPr>
      <w:bookmarkStart w:id="744" w:name="__RefHeading___Toc2770747_3804643083"/>
      <w:bookmarkStart w:id="745" w:name="_Toc284"/>
      <w:bookmarkEnd w:id="744"/>
      <w:r>
        <w:rPr>
          <w:rtl w:val="true"/>
        </w:rPr>
        <w:t>اشاره</w:t>
      </w:r>
      <w:bookmarkEnd w:id="745"/>
    </w:p>
    <w:p>
      <w:pPr>
        <w:pStyle w:val="BookText"/>
        <w:rPr/>
      </w:pPr>
      <w:r>
        <w:rPr>
          <w:rFonts w:ascii="Amiri" w:hAnsi="Amiri" w:eastAsia="Amiri" w:cs="Amiri"/>
          <w:color w:val="111111"/>
          <w:sz w:val="28"/>
          <w:sz w:val="28"/>
          <w:szCs w:val="28"/>
          <w:rtl w:val="true"/>
          <w:lang w:bidi="ar-SA"/>
        </w:rPr>
        <w:t>مرحوم شيخ مي‌فرمايد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إغتياب مؤمن بما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دو مفسده‌ي كذب و غيبت است و تعدّد عقاب دارد؛ هم از حيث كذب، هم از حيث غيبت و هم از جهت تركيب اين دو</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46" w:name="__RefHeading___Toc2770749_3804643083"/>
      <w:bookmarkStart w:id="747" w:name="_Toc285"/>
      <w:bookmarkEnd w:id="746"/>
      <w:r>
        <w:rPr>
          <w:rtl w:val="true"/>
        </w:rPr>
        <w:t>نقد كلام مرحوم شيخ</w:t>
      </w:r>
      <w:bookmarkEnd w:id="747"/>
    </w:p>
    <w:p>
      <w:pPr>
        <w:pStyle w:val="BookText"/>
        <w:rPr/>
      </w:pPr>
      <w:r>
        <w:rPr>
          <w:rFonts w:ascii="IRNazanin" w:hAnsi="IRNazanin" w:eastAsia="IRNazanin"/>
          <w:color w:val="111111"/>
          <w:sz w:val="28"/>
          <w:sz w:val="28"/>
          <w:szCs w:val="28"/>
          <w:rtl w:val="true"/>
          <w:lang w:bidi="fa-IR"/>
        </w:rPr>
        <w:t>اين كلام مرحوم شيخ مورد نقد محشّين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فرمودند علاوه بر كذب و غيبت، مركّب هم عقاب دارد، عقاب مركّب به چه دليل است؟ مركّب، غير از اين دو عنوان نيست</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غيبت را هم ندارد؛ چون گفتيم غيبت بر ذكر عيب موجود در غياب شخص اطلاق مي‌شود و اگر آن عيب در شخص نباشد غيبت نيست، بلكه بهتان است كه البته گناهش سنگين‌تر از گناه غيبت است، نه اين‌كه دو گناه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گناه كذب و ديگري گناه غيبت و يا از تركيب اين دو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كذب و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سومي پديد آيد</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bookmarkStart w:id="748" w:name="pg2359_23661"/>
    </w:p>
    <w:p>
      <w:pPr>
        <w:pStyle w:val="BookText"/>
        <w:rPr/>
      </w:pPr>
      <w:bookmarkEnd w:id="748"/>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جدايي غير از غيبت است كه چه در حضور شخص و چه در غياب باشد از آن‌جايي كه افترا است گناهش شديد‌تر از غيبت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غيبت هم براي مواردي است كه در غياب شخص، عيب مستور كسي بيان شود</w:t>
      </w:r>
      <w:r>
        <w:rPr>
          <w:rFonts w:eastAsia="IRNazanin" w:cs="IRNazanin"/>
          <w:color w:val="111111"/>
          <w:sz w:val="28"/>
          <w:szCs w:val="28"/>
          <w:rtl w:val="true"/>
          <w:lang w:bidi="fa-IR"/>
        </w:rPr>
        <w:t>.</w:t>
      </w:r>
    </w:p>
    <w:p>
      <w:pPr>
        <w:pStyle w:val="Heading3"/>
        <w:numPr>
          <w:ilvl w:val="2"/>
          <w:numId w:val="1"/>
        </w:numPr>
        <w:rPr/>
      </w:pPr>
      <w:bookmarkStart w:id="749" w:name="__RefHeading___Toc2770751_3804643083"/>
      <w:bookmarkStart w:id="750" w:name="_Toc286"/>
      <w:bookmarkEnd w:id="749"/>
      <w:r>
        <w:rPr>
          <w:rtl w:val="true"/>
        </w:rPr>
        <w:t>دو نكته‌ي مهم در تتميم بحث غيبت</w:t>
      </w:r>
      <w:bookmarkEnd w:id="750"/>
    </w:p>
    <w:p>
      <w:pPr>
        <w:pStyle w:val="Heading4"/>
        <w:numPr>
          <w:ilvl w:val="3"/>
          <w:numId w:val="1"/>
        </w:numPr>
        <w:rPr/>
      </w:pPr>
      <w:bookmarkStart w:id="751" w:name="__RefHeading___Toc2770753_3804643083"/>
      <w:bookmarkStart w:id="752" w:name="_Toc287"/>
      <w:bookmarkEnd w:id="751"/>
      <w:r>
        <w:rPr/>
        <w:t>1</w:t>
      </w:r>
      <w:r>
        <w:rPr>
          <w:rtl w:val="true"/>
        </w:rPr>
        <w:t xml:space="preserve">. </w:t>
      </w:r>
      <w:r>
        <w:rPr>
          <w:rtl w:val="true"/>
        </w:rPr>
        <w:t>آيا رضايت غيبت شونده موجب حلّيت غيبت مي‌شود؟</w:t>
      </w:r>
      <w:bookmarkEnd w:id="752"/>
    </w:p>
    <w:p>
      <w:pPr>
        <w:pStyle w:val="BookText"/>
        <w:rPr/>
      </w:pPr>
      <w:r>
        <w:rPr>
          <w:rFonts w:ascii="IRNazanin" w:hAnsi="IRNazanin" w:eastAsia="IRNazanin"/>
          <w:color w:val="111111"/>
          <w:sz w:val="28"/>
          <w:sz w:val="28"/>
          <w:szCs w:val="28"/>
          <w:rtl w:val="true"/>
          <w:lang w:bidi="fa-IR"/>
        </w:rPr>
        <w:t>گاهي از بعضي شنيده مي‌شود كه مي‌گويند هر كسي مرتكب غيبت من شود رضايت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گاهي هم برخي ـ اهل علم ـ مي‌گويند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مي‌دهيد غيبت شما كنيم؟ يا بناست بعداً غيبت شما كنيم، راضي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رضايت، بعد از غيبت باشد معلوم است كه عمل پسنديده‌اي است، امّا اگر قبل از عمل باشد آيا اين رضايت موجب سقوط حرمت غيبت مي‌شود؟</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فرض كلام در مواردي است كه ابراز رضايت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باشد، امّا در جايي كه ابراز رضايت جايز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موارد قذف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بود و نبود رضايت تأثيري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كلام در مواردي است كه رضايت جايز است؛ مثلاً كسي درباره‌ي عيب</w:t>
      </w:r>
    </w:p>
    <w:p>
      <w:pPr>
        <w:pStyle w:val="BookText"/>
        <w:rPr/>
      </w:pPr>
      <w:r>
        <w:rPr>
          <w:rFonts w:ascii="IRNazanin" w:hAnsi="IRNazanin" w:eastAsia="IRNazanin"/>
          <w:color w:val="111111"/>
          <w:sz w:val="28"/>
          <w:sz w:val="28"/>
          <w:szCs w:val="28"/>
          <w:rtl w:val="true"/>
          <w:lang w:bidi="fa-IR"/>
        </w:rPr>
        <w:t>دنيوي مستور خود به بعضي مي‌گويد اگر شما اين عيب مرا بگوييد راضي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رضايت، براي جواز غيبت كافي است؟</w:t>
      </w:r>
    </w:p>
    <w:p>
      <w:pPr>
        <w:pStyle w:val="BookText"/>
        <w:rPr/>
      </w:pPr>
      <w:r>
        <w:rPr>
          <w:rFonts w:ascii="IRNazanin" w:hAnsi="IRNazanin" w:eastAsia="IRNazanin"/>
          <w:color w:val="111111"/>
          <w:sz w:val="28"/>
          <w:sz w:val="28"/>
          <w:szCs w:val="28"/>
          <w:rtl w:val="true"/>
          <w:lang w:bidi="fa-IR"/>
        </w:rPr>
        <w:t>در پاسخ اين پرسش عرض مي‌كنيم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مغتاب راضي است امّا در عين حال ناراحت هم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يكي از بستگانش مال او را تصرّف كند، كه ناراحت مي‌شود، گريه هم مي‌كند ولي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 قيامت به خاطر اين كار مؤاخذه‌ات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رضايت به اين معناست كه حاضر نيست به خاطر غيبت او كسي به جهنّم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رضايتِ به اين معنا مي‌گوييم مادامي‌كه موضوع غيبت با وجود رضايت باقي باشد،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عمّا ستره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كند، وجهي براي سقوط حرمت آن وجود ندارد مگر به دو بيان كه بايد بررسي شود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استحلال از غيبت واجب است و بعضي روايات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غيبت نشدن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با رضايت او حرمتش ساقط مي‌شود، مانند حرمت تصرّف در مال مؤمن كه اگر راضي به تصرّف باشد و اذن تصرّف بدهد حرمتش ساقط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لايحل لأحد أن يتصرّف في مال أخيه إلا باذنه</w:t>
      </w:r>
      <w:r>
        <w:rPr>
          <w:rFonts w:eastAsia="IRNazanin" w:cs="IRNazanin"/>
          <w:color w:val="111111"/>
          <w:sz w:val="28"/>
          <w:szCs w:val="28"/>
          <w:rtl w:val="true"/>
          <w:lang w:bidi="fa-IR"/>
        </w:rPr>
        <w:t>»</w:t>
      </w:r>
      <w:r>
        <w:rPr>
          <w:rStyle w:val="FootnoteAnchor"/>
          <w:rtl w:val="true"/>
        </w:rPr>
        <w:footnoteReference w:id="5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عِرض هم مي‌گوييم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لايحلّ لاحد أن يغتاب</w:t>
      </w:r>
    </w:p>
    <w:p>
      <w:pPr>
        <w:pStyle w:val="BookText"/>
        <w:rPr/>
      </w:pPr>
      <w:r>
        <w:rPr>
          <w:rFonts w:ascii="IRNazanin" w:hAnsi="IRNazanin" w:eastAsia="IRNazanin"/>
          <w:color w:val="111111"/>
          <w:sz w:val="28"/>
          <w:sz w:val="28"/>
          <w:szCs w:val="28"/>
          <w:rtl w:val="true"/>
          <w:lang w:bidi="fa-IR"/>
        </w:rPr>
        <w:t>مؤمناً إلا بإذنه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بيان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آن‌جايي كه وجوب استحلال براي ما ثابت نشد و آن روايات از لحاظ دلالت يا سند تام نبود، پس از اين طريق نمي‌توانيم بگوييم با رضايت، حرمت غيبت ساقط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اين‌كه هر حقّ الناسي با اسقاط ساقط نمي‌شود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برخي حقوق الناس با اسقاط ساقط مي‌شود، ولي اين كليّت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حتّي مي‌توان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گاهي خودِ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ذي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حق ندارد ابراز رضايت كند؛ زيرا عمل مرضيّ او موجب ذلّت و حطّ شأن او نزد مردم مي‌شود، در حالي‌كه عِرض مؤمن توسط هر كسي از جمله خودش بايد حفظ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چندين روايت به اين مضمون هست كه در بين آن‌ها روايت معتبر هم داريم،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روايت سماعه</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 جَلَّ فَوَّضَ إِلَى الْمُؤْمِنِ أُمُورَهُ كُلَّهَا وَ لَمْ يُفَوِّضْ إِلَيْهِ أَنْ يُذِلَّ نَفْسَهُ، أَلَمْ تَسْمَعْ لِقَوْلِ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فَالْمُؤْمِنُ يَنْبَغِي أَنْ يَكُونَ عَزِيزاً وَ</w:t>
      </w:r>
    </w:p>
    <w:p>
      <w:pPr>
        <w:pStyle w:val="BookText"/>
        <w:rPr/>
      </w:pPr>
      <w:r>
        <w:rPr>
          <w:rFonts w:ascii="Amiri" w:hAnsi="Amiri" w:eastAsia="Amiri" w:cs="Amiri"/>
          <w:color w:val="111111"/>
          <w:sz w:val="28"/>
          <w:sz w:val="28"/>
          <w:szCs w:val="28"/>
          <w:rtl w:val="true"/>
          <w:lang w:bidi="ar-SA"/>
        </w:rPr>
        <w:t>لَا يَكُونَ ذَلِيلًا يُعِزُّهُ اللَّهُ بِالْإِيمَانِ وَ الْإِسْلَامِ</w:t>
      </w:r>
      <w:r>
        <w:rPr>
          <w:rFonts w:eastAsia="Amiri" w:cs="Amiri" w:ascii="Amiri" w:hAnsi="Amiri"/>
          <w:color w:val="111111"/>
          <w:sz w:val="28"/>
          <w:szCs w:val="28"/>
          <w:rtl w:val="true"/>
          <w:lang w:bidi="ar-SA"/>
        </w:rPr>
        <w:t>»</w:t>
      </w:r>
      <w:r>
        <w:rPr>
          <w:rStyle w:val="FootnoteAnchor"/>
          <w:rtl w:val="true"/>
        </w:rPr>
        <w:footnoteReference w:id="513"/>
      </w:r>
    </w:p>
    <w:p>
      <w:pPr>
        <w:pStyle w:val="BookText"/>
        <w:rPr/>
      </w:pPr>
      <w:r>
        <w:rPr>
          <w:rFonts w:ascii="IRNazanin" w:hAnsi="IRNazanin" w:eastAsia="IRNazanin"/>
          <w:color w:val="111111"/>
          <w:sz w:val="28"/>
          <w:sz w:val="28"/>
          <w:szCs w:val="28"/>
          <w:rtl w:val="true"/>
          <w:lang w:bidi="fa-IR"/>
        </w:rPr>
        <w:t xml:space="preserve">خداوند ـ عزّ و جل ـ هر چيزي را به مؤمن تفويض كرده است، ولي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اختياري به او نداده است كه خود را ذليل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قول خداوند ـ عزّ و جلّ ـ را نشنيدي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براي خداوند است و براي رسول او و براي 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كه مؤمن عزيز باشد و ذليل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به ايمان و اسلام عزيز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كسي عيبي مخفي ـ حتّي دنيايي تا چه رسد به ديني ـ داشته باشد كه ذكر آن موجب ذلّت نفس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گردد، چنين ذكري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حتّي خودِ صاحب عيب هم حق ندارد چنين عيبي را ابراز كند؛ مثلاً گناهي مرتكب شده است، بايد آن را بپوشاند و مخفي كند و حقّ ابراز آن را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ادلّه‌ي حرمت غيبت، از صورتي كه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راضي باشد منصرف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بيان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وجهي براي اين انصراف وجود ندارد و ادلّه‌ي حرمت، مادامي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كشف عمّا ستره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باشد شاملش مي‌شود</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 اوّل، رضايت مغتاب نمي‌تواند موجب سقوط حرمت شود؛ زيرا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لايغتب بعضكم بعضاً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چنين فردي هم مي‌شود؛ چون فرض اين است كه مغتاب ناراحت هم مي‌شود، ذكر عيب مستور هم هست، پس مقوّمات غيبت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اين‌كه</w:t>
      </w:r>
    </w:p>
    <w:p>
      <w:pPr>
        <w:pStyle w:val="BookText"/>
        <w:rPr/>
      </w:pPr>
      <w:r>
        <w:rPr>
          <w:rFonts w:ascii="Amiri" w:hAnsi="Amiri" w:eastAsia="Amiri" w:cs="Amiri"/>
          <w:color w:val="111111"/>
          <w:sz w:val="28"/>
          <w:sz w:val="28"/>
          <w:szCs w:val="28"/>
          <w:rtl w:val="true"/>
          <w:lang w:bidi="ar-SA"/>
        </w:rPr>
        <w:t>در قيامت طلبكار نيست، ولي اين مجوّز غيبت نمي‌شود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رضايت مغتاب كاملاً از طيب خاطر باشد؛ يعني با گفتن ديگري هيچ ضربه‌اي به او نمي‌خورد و مانند آن است كه گفتن ديگري و نگفتن او ـ حداقل نسبت به شخص غيبت شونده ـ مساوي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يك شخصِ با روحيه‌اي است كه چند كلمه پشت‌سر او حرف زدن تأثيري در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حرمتِ اين فرض مشكل است؛ زيرا ـ همان‌گونه كه قبلاً گفتيم ـ ما اطلاقي در مورد غيبت نداريم و بايد قدر متيقّن‌ها را أخذ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بسياري از لغويين، تعريف غيبت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ذكرك أخاك بما يسوءه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يذكر الانسان خلفه بما يسوءه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كردند؛ يعني ذكري كه طرف را ناراحت مي‌كند و فرض ما اين است كه واقعاً طيب خاطر دارد و ناراحت نمي‌شود، مشكل است ملتزم به حرمت چنين فرضي باشيم؛ چون از اوّل نمي‌دانيم واقعاً اين فرض شامل غيبت مي‌شود يا نه</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هرچند احتياط، به اجتناب از اين موارد است، ولي با اين قيد، ديگر نمي‌توانيم حكم به حرمت كنيم</w:t>
      </w:r>
      <w:r>
        <w:rPr>
          <w:rFonts w:eastAsia="IRNazanin" w:cs="IRNazanin"/>
          <w:color w:val="111111"/>
          <w:sz w:val="28"/>
          <w:szCs w:val="28"/>
          <w:rtl w:val="true"/>
          <w:lang w:bidi="fa-IR"/>
        </w:rPr>
        <w:t>. </w:t>
      </w:r>
      <w:bookmarkStart w:id="753" w:name="pg2359_23666"/>
    </w:p>
    <w:p>
      <w:pPr>
        <w:pStyle w:val="Heading4"/>
        <w:numPr>
          <w:ilvl w:val="3"/>
          <w:numId w:val="1"/>
        </w:numPr>
        <w:rPr/>
      </w:pPr>
      <w:bookmarkStart w:id="754" w:name="__RefHeading___Toc2770755_3804643083"/>
      <w:bookmarkStart w:id="755" w:name="_Toc288"/>
      <w:bookmarkEnd w:id="753"/>
      <w:bookmarkEnd w:id="754"/>
      <w:r>
        <w:rPr/>
        <w:t>2</w:t>
      </w:r>
      <w:r>
        <w:rPr>
          <w:rtl w:val="true"/>
        </w:rPr>
        <w:t xml:space="preserve">. </w:t>
      </w:r>
      <w:r>
        <w:rPr>
          <w:rtl w:val="true"/>
        </w:rPr>
        <w:t>آيا با إخبار ثقه، استحقاق غيبت شخص ثابت مي‌شود؟</w:t>
      </w:r>
      <w:bookmarkEnd w:id="755"/>
    </w:p>
    <w:p>
      <w:pPr>
        <w:pStyle w:val="BookText"/>
        <w:rPr/>
      </w:pPr>
      <w:r>
        <w:rPr>
          <w:rFonts w:ascii="IRNazanin" w:hAnsi="IRNazanin" w:eastAsia="IRNazanin"/>
          <w:color w:val="111111"/>
          <w:sz w:val="28"/>
          <w:sz w:val="28"/>
          <w:szCs w:val="28"/>
          <w:rtl w:val="true"/>
          <w:lang w:bidi="fa-IR"/>
        </w:rPr>
        <w:t xml:space="preserve">بيان شد در مواردي كه علم به حرمت غيبت داريم استماع آن هم حرام است و اگر دانستيم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غيبت دارد استماعش هم جايز است و در موارد شك، با ضمّ وجدان به اصل مي‌توانيم موضوع حرمت استماع را احراز كنيم، گرچه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صحّت مي‌كنيم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سؤالي كه اين‌جا مطرح است اين‌كه آيا در موارد شك، با استناد به خبر ثقه، استحقاق غيبتِ مغتاب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مي‌شود كه در نتيجه غيبت و استماع آن جايز باشد، يا خير؟</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به اين سؤال بايد مبناي ما در اين‌كه آيا در ثبوت موضوعات، بيّنه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شاهدين عدلين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يا شاهد واحد عادل، بلكه ثقه هم كافي است، روشن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كسي قائل به كافي بودن قول ثقه در غير باب قضاوت باشد ـ كما قوّيناه في مبحث الطهارة</w:t>
      </w:r>
      <w:r>
        <w:rPr>
          <w:rStyle w:val="FootnoteAnchor"/>
          <w:rtl w:val="true"/>
        </w:rPr>
        <w:footnoteReference w:id="515"/>
      </w:r>
      <w:r>
        <w:rPr>
          <w:rFonts w:ascii="IRNazanin" w:hAnsi="IRNazanin" w:eastAsia="IRNazanin"/>
          <w:color w:val="111111"/>
          <w:sz w:val="28"/>
          <w:sz w:val="28"/>
          <w:szCs w:val="28"/>
          <w:rtl w:val="true"/>
          <w:lang w:bidi="fa-IR"/>
        </w:rPr>
        <w:t>ـ مي‌گوييم در اين مورد هم بايد كافي بداند؛ يعني اگر ثقه‌اي ـ چه رسد به عادل ـ خبر داد كه مغتاب، مستحقّ غيبت است، پذيرفته مي‌شود و استماع غيبت جايز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اين‌جا نكته‌ا‌ي بسيار مهم استفاده مي‌شود كه اگر غيبت كننده مسبوق به عدالت باشد ـ بدانيم عادل است</w:t>
      </w:r>
      <w:r>
        <w:rPr>
          <w:rStyle w:val="FootnoteAnchor"/>
          <w:rtl w:val="true"/>
        </w:rPr>
        <w:footnoteReference w:id="516"/>
      </w:r>
      <w:r>
        <w:rPr>
          <w:rFonts w:ascii="Amiri" w:hAnsi="Amiri" w:eastAsia="Amiri" w:cs="Amiri"/>
          <w:color w:val="111111"/>
          <w:sz w:val="28"/>
          <w:sz w:val="28"/>
          <w:szCs w:val="28"/>
          <w:rtl w:val="true"/>
          <w:lang w:bidi="ar-SA"/>
        </w:rPr>
        <w:t>ـ و احتمال بدهيم با مجوّز شرعي غيبت مي‌كند، طبق</w:t>
      </w:r>
    </w:p>
    <w:p>
      <w:pPr>
        <w:pStyle w:val="BookText"/>
        <w:rPr/>
      </w:pPr>
      <w:r>
        <w:rPr>
          <w:rFonts w:ascii="IRNazanin" w:hAnsi="IRNazanin" w:eastAsia="IRNazanin"/>
          <w:color w:val="111111"/>
          <w:sz w:val="28"/>
          <w:sz w:val="28"/>
          <w:szCs w:val="28"/>
          <w:rtl w:val="true"/>
          <w:lang w:bidi="fa-IR"/>
        </w:rPr>
        <w:t>اين مبنا مي‌گوييم همين</w:t>
      </w:r>
      <w:r>
        <w:rPr>
          <w:rStyle w:val="FootnoteAnchor"/>
          <w:rtl w:val="true"/>
        </w:rPr>
        <w:footnoteReference w:id="517"/>
      </w:r>
      <w:r>
        <w:rPr>
          <w:rFonts w:ascii="IRNazanin" w:hAnsi="IRNazanin" w:eastAsia="IRNazanin"/>
          <w:color w:val="111111"/>
          <w:sz w:val="28"/>
          <w:sz w:val="28"/>
          <w:szCs w:val="28"/>
          <w:rtl w:val="true"/>
          <w:lang w:bidi="fa-IR"/>
        </w:rPr>
        <w:t xml:space="preserve">براي جواز استماع غيبت او كافي است؛ زيرا اگرچه بالمطابقه نمي‌گويد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مستحقّ غيبت است و من مجوّز غيبت دارم، ولي از آن‌جايي كه عادل است و فرضاً التفات هم به مسأله دارد، لازمه‌ي غيبت كردن او اين است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استحقاق غيبت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مجاهر است يا ظالم است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مخصوصاً اگر اين غيبت در مورد خودش و به نفع خودش نباشد؛ مثلاً در مورد يك موضوع اجتماعي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استماع غيبت هم جايز است و اين بيان نظير كلام مرحوم ميرزا محمّد تقي شيرازي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حال مسلِم اين است كه خلاف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 ما به جاي مسلِم مي‌گوييم ظهور حال عادل اين‌چنين است و دلالت التزاميه‌ي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مثبتات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تأكيد مي‌كنم كه اين بيان، طبق مبنايي است كه قول عدل واحد را حتّي در اين موارد نافذ مي‌داند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طبق اين مبنا شنيدن غيبتِ غيبت كننده‌اي كه عادل و ملتفت است و احتمال مي‌دهيم مجوّز شرعي دارد، جايز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بر صحّت فعل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بر صحّت در مواردي است كه مشكوك باشيم، ولي با عادل بودن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حجّيت لوازم قول او ديگر شكّي باقي نمي‌ماند تا اصالة الصحة جاري شود</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سَهْلُ بْنُ زِيَادٍ عَنْ يَحْيَى بْنِ الْمُبَارَكِ عَنْ عَبْدِ اللَّهِ بْنِ جَبَلَةَ عَنْ مُحَمَّدِ بْنِ الْفُضَيْلِ عَنْ أَبِي الْحَسَنِ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جُعِلْتُ فِدَاكَ الرَّجُلُ مِنْ إِخْوَانِي يَبْلُغُنِي عَنْهُ الشَّيْ‌ءُ الَّذِي أَكْرَهُهُ فَأَسْأَلُهُ عَنْ ذَلِكَ فَيُنْكِرُ ذَلِكَ وَ قَدْ أَخْبَرَنِي عَنْهُ قَوْمٌ ثِقَاتٌ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مُحَمَّدُ كَذِّبْ سَمْعَكَ وَ بَصَرَكَ عَنْ أَخِيكَ فَإِنْ شَهِدَ عِنْدَكَ خَمْسُونَ قَسَامَةً وَ قَالَ لَكَ قَوْلًا فَصَدِّقْهُ وَ كَذِّبْهُمْ لَا تُذِيعَنَّ عَلَيْهِ شَيْئاً تَشِينُهُ بِهِ وَ تَهْدِمُ بِهِ مُرُوءَتَهُ فَتَكُونَ مِنَ الَّذِينَ قَالَ اللَّهُ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يُحِبُّونَ أَنْ تَشِيعَ الفاحِشَةُ فِي الَّذِينَ آمَنُوا لَهُمْ عذابٌ أَلِيمٌ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كتاب الروضة، حديث محاسبة النفس، ح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روايت منافي با مطلبي است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ثقه‌اي اخباري به استحقاق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كرد يا عادلي مرتكب غيبت شخصي شد، مي‌توانيم نتيجه بگيريم كه مغتاب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غيبت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بين مثل اين روايات و ادله‌ي دالّ بر حجيت قول عادل، اين است كه اين روايات را حمل مي‌كنيم بر صورتي كه هيچ حكمي بر فسق مشهودٌ عليه بار نمي‌شود، امّا در جايي كه حكمي بر آن بار مي‌شود قطعاً اين روايات ناظر به آن‌جا نيست؛ مثلاً اگر در مورد امام جماعتي حتي يك عادل شهادت داد كه فلان عمل زشت را مرتكب شده است نمي‌توان ديگر به او اقتدا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 در جايي كه هيچ حكمي بر آن بار نمي‌شود بهتر است حتّي سوء ظني هم به او پيدا نشود</w:t>
      </w:r>
      <w:r>
        <w:rPr>
          <w:rFonts w:eastAsia="IRNazanin" w:cs="IRNazanin"/>
          <w:color w:val="111111"/>
          <w:sz w:val="28"/>
          <w:szCs w:val="28"/>
          <w:rtl w:val="true"/>
          <w:lang w:bidi="fa-IR"/>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756" w:name="pg2359_23669"/>
    </w:p>
    <w:p>
      <w:pPr>
        <w:pStyle w:val="Heading2"/>
        <w:numPr>
          <w:ilvl w:val="1"/>
          <w:numId w:val="1"/>
        </w:numPr>
        <w:rPr/>
      </w:pPr>
      <w:bookmarkStart w:id="757" w:name="__RefHeading___Toc2770757_3804643083"/>
      <w:bookmarkStart w:id="758" w:name="_Toc289"/>
      <w:bookmarkEnd w:id="756"/>
      <w:bookmarkEnd w:id="757"/>
      <w:r>
        <w:rPr>
          <w:rtl w:val="true"/>
        </w:rPr>
        <w:t xml:space="preserve">حقوق اخوان در كلام مرحوم شيخ </w:t>
      </w:r>
      <w:r>
        <w:rPr>
          <w:rtl w:val="true"/>
        </w:rPr>
        <w:t>(</w:t>
      </w:r>
      <w:r>
        <w:rPr>
          <w:rtl w:val="true"/>
        </w:rPr>
        <w:t>قدس سره</w:t>
      </w:r>
      <w:r>
        <w:rPr>
          <w:rtl w:val="true"/>
        </w:rPr>
        <w:t>)</w:t>
      </w:r>
      <w:bookmarkEnd w:id="758"/>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59" w:name="__RefHeading___Toc2770759_3804643083"/>
      <w:bookmarkStart w:id="760" w:name="_Toc290"/>
      <w:bookmarkEnd w:id="759"/>
      <w:r>
        <w:rPr>
          <w:rtl w:val="true"/>
        </w:rPr>
        <w:t>اشاره</w:t>
      </w:r>
      <w:bookmarkEnd w:id="760"/>
    </w:p>
    <w:p>
      <w:pPr>
        <w:pStyle w:val="BookText"/>
        <w:rPr/>
      </w:pPr>
      <w:r>
        <w:rPr>
          <w:rFonts w:ascii="IRNazanin" w:hAnsi="IRNazanin" w:eastAsia="IRNazanin"/>
          <w:color w:val="111111"/>
          <w:sz w:val="28"/>
          <w:sz w:val="28"/>
          <w:szCs w:val="28"/>
          <w:rtl w:val="true"/>
          <w:lang w:bidi="fa-IR"/>
        </w:rPr>
        <w:t>مرحوم شيخ در پايان بحث غيبت به مناسبت، بحثي را درباره‌ي حقوق برادران ايماني مطرح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ابتدا صحيحه‌ي مُرازم را در أهمّيت اداي حقّ مؤمن ذكر مي‌كند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ـ صحيحه‌ي مرازم</w:t>
      </w:r>
    </w:p>
    <w:p>
      <w:pPr>
        <w:pStyle w:val="BookText"/>
        <w:rPr/>
      </w:pPr>
      <w:r>
        <w:rPr>
          <w:rFonts w:ascii="Amiri" w:hAnsi="Amiri" w:eastAsia="Amiri" w:cs="Amiri"/>
          <w:color w:val="111111"/>
          <w:sz w:val="28"/>
          <w:sz w:val="28"/>
          <w:szCs w:val="28"/>
          <w:rtl w:val="true"/>
          <w:lang w:bidi="ar-SA"/>
        </w:rPr>
        <w:t xml:space="preserve">مُحَمَّدُ بْنُ يَعْقُوبَ عَنْ مُحَمَّدِ بْنِ يَحْيَى عَنْ أَحْمَدَ بْنِ مُحَمَّدٍ عَنِ الْحَسَنِ بْنِ مَحْبُوبٍ عَنْ جَمِيلٍ عَنْ مُرَازِمٍ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خداوند متعال به چيزي افضل از أداي حقّ مؤمن عبادت نشده است</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طبق اين روايت، أداي حقّ مؤمن از بالاترين عبادات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مواردي أفعل التفضيلي كه به كار مي‌رود أفعل التفضيل حقيقي و صد درصد نيست بلكه نِسبي است؛ يعني نسبت به عبادات عاديّه أفضل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شيخ در ادامه روايت جامعي را در حقوق مؤمن ذكر مي‌فرمايد كه حدود سي حق براي مؤمن را مي‌شمارد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ـ روايت كنز الفوائد</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عَلِيٍّ الْكَرَاجُكِيُّ فِي كَنْزِ الْفَوَائِدِ عَنِ الْحُسَيْنِ بْنِ مُحَمَّدِ بْنِ عَلِيٍّ الصَّيْرَفِيِّ عَنْ مُحَمَّدِ بْنِ عَلِيٍّ الْجِعَابِيِّ عَنِ الْقَاسِمِ بْنِ مُحَمَّدِ بْنِ جَعْفَرٍ الْعَلَوِيِّ عَنْ أَبِيهِ عَنْ آبَائِهِ عَنْ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لِلْمُسْلِمِ عَلَى أَخِيهِ ثَلَاثُونَ حَقّاً لَا بَرَاءَةَ لَهُ مِنْهَا إِلَّا بِالْأَدَاءِ أَوِ الْعَفْوِ يَغْفِرُ زَلَّتَهُ وَ يَرْحَمُ عَبْرَتَهُ وَ يَسْتُرُ عَوْرَتَهُ وَ يُقِيلُ عَثْرَتَهُ وَ يَقْبَلُ مَعْذِرَتَهُ وَ يَرُدُّ غِيبَتَهُ وَ يُدِيمُ نَصِيحَتَهُ وَ يَحْفَظُ خُلَّتَهُ وَ يَرْعَى ذِمَّتَهُ وَ يَعُودُ مَرْضَتَهُ وَ يَشْهَدُ مَيْتَتَهُ وَ يُجِيبُ دَعْوَتَهُ وَ يَقْبَلُ هَدِيَّتَهُ وَ يُكَافِئُ صِلَتَهُ وَ يَشْكُرُ نِعْمَتَهُ وَ يُحْسِنُ نُصْرَتَهُ وَ يَحْفَظُ حَلِيلَتَهُ وَ يَقْضِي حَاجَتَهُ وَ يَشْفَعُ مَسْأَلَتَهُ وَ يُسَمِّتُ عَطْسَتَهُ وَ يُرْشِدُ ضَالَّتَهُ وَ يَرُدُّ سَلَامَهُ وَ يُطَيِّبُ كَلَامَهُ وَ يُبِرُّ إِنْعَامَهُ وَ يُصَدِّقُ أَقْسَامَهُ وَ يُوَالِيوَلِيَّهُ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يَنْصُرُهُ ظَالِماً وَ مَظْلُوماً فَأَمَّا نُصْرَتُهُ ظَالِماً فَيَرُدُّهُ عَنْ ظُلْمِهِ وَ أَمَّا نُصْرَتُهُ مَظْلُوماً فَيُعِينُهُ عَلَى أَخْذِ حَقِّهِ وَ لَا يُسْلِمُهُ وَ لَا يَخْذُلُهُ وَ يُحِبُّ لَهُ مِنَ الْخَيْرِ مَا يُحِبُّ لِنَفْسِهِ وَ يَكْرَهُ لَهُ مِنَ الشَّرِّ مَا يَكْرَهُ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أَحَدَكُمْ</w:t>
      </w:r>
    </w:p>
    <w:p>
      <w:pPr>
        <w:pStyle w:val="BookText"/>
        <w:rPr/>
      </w:pPr>
      <w:r>
        <w:rPr>
          <w:rFonts w:ascii="Amiri" w:hAnsi="Amiri" w:eastAsia="Amiri" w:cs="Amiri"/>
          <w:color w:val="111111"/>
          <w:sz w:val="28"/>
          <w:sz w:val="28"/>
          <w:szCs w:val="28"/>
          <w:rtl w:val="true"/>
          <w:lang w:bidi="ar-SA"/>
        </w:rPr>
        <w:t>لَيَدَعُ مِنْ حُقُوقِ أَخِيهِ شَيْئاً فَيُطَالِبُهُ بِهِ يَوْمَ الْقِيَامَةِ فَيُقْضَى لَهُ وَ عَلَيْهِ</w:t>
      </w:r>
      <w:r>
        <w:rPr>
          <w:rFonts w:eastAsia="Amiri" w:cs="Amiri" w:ascii="Amiri" w:hAnsi="Amiri"/>
          <w:color w:val="111111"/>
          <w:sz w:val="28"/>
          <w:szCs w:val="28"/>
          <w:rtl w:val="true"/>
          <w:lang w:bidi="ar-SA"/>
        </w:rPr>
        <w:t>»</w:t>
      </w:r>
      <w:r>
        <w:rPr>
          <w:rStyle w:val="FootnoteAnchor"/>
          <w:rtl w:val="true"/>
        </w:rPr>
        <w:footnoteReference w:id="520"/>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 برادرش سي حق دارد كه ذمّه‌اش بريء نمي‌شود مگر با اداء آن حقوق يا عفو آن مسلمان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قرائني كه وجود دارد، مراد از مسلمان همان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قرآن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المؤمنون إخوة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لغزشش را ببخشايد و اشكش را مورد ترحّم قرار دهد و عورتش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بپوشاند و از لغزشش چشم‌پوشي كند و عذرش را بپذيرد و غيبت عليه او را رد كند و هميشه با او 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 غلّ و غش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نصيحت به معناي پند دادن نيست، به معناي صاف و پاك بودن با كسي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دوستي‌اش را حفظ كند و وعده‌اي كه داد مراعات كند و در بيماريش عيادتش كند 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جنازه‌اش حاضر شود و دعوتش را اجابت كند و هديه‌اش را بپذيرد و در مقابل هم جبران كند و نعمتش را قدرداني كند و خوب ياري‌اش كند و حرمت او را در مورد همسرش حفظ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همسرش را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نيازهايش را برآورده كند و درخواستش را به انجام رساند و عطسه‌اش را تسميت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روايتي در خصوص عطسه دارد كه اگر مؤمني عطسه كرد و برادرش تسميت نكرد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يرحمك الله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به نفع كسي كه عطسه</w:t>
      </w:r>
    </w:p>
    <w:p>
      <w:pPr>
        <w:pStyle w:val="BookText"/>
        <w:rPr/>
      </w:pPr>
      <w:r>
        <w:rPr>
          <w:rFonts w:ascii="IRNazanin" w:hAnsi="IRNazanin" w:eastAsia="IRNazanin"/>
          <w:color w:val="111111"/>
          <w:sz w:val="28"/>
          <w:sz w:val="28"/>
          <w:szCs w:val="28"/>
          <w:rtl w:val="true"/>
          <w:lang w:bidi="fa-IR"/>
        </w:rPr>
        <w:t>كرده و عليه كسي كه تسميت نكرده حكم مي‌شود، البته آخر اين روايت نيز همين مطلب براي تمام اين حقوق به صورت كلّي بيان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چيزي از او گم شد راهنمايي‌اش كند و سلامش را جواب بدهد و با او خوب سخن بگويد و اگر انعامي كرد خوب آن را تحويل بگيرد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اگر به او انعام كرد خوب انعام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معناي اوّل به ذهن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قسَمي خورد تصديقش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قسمي در حقّ او خورد عملي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 او را دوست بدارد و دشمنش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 در اين‌جا متفاوت است و در بعضي نسخه‌ها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يعادي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يعني با دشمنش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ظالماً و مظلوماً او را ياري كند، نصرت او ظالماً به اين است كه او را از ظلم منع كند و نصرت او مظلوماً به اين است كه در گرفتن حقّش كمك كند، و او را وانگذارد و براي او از خير هر آن‌چه براي خودش مي‌خواهد بخواهد و هر بدي كه براي خود زشت مي‌شمارد براي او هم زشت بدارد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حقوق برادرش را وا‌گذارد، پس او روز قيامت حقّش را مطالبه مي‌كند و به نفع آن برادر و عليه او حكم مي‌شود</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شيخ در توضيح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فيقضي له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آن مقاماتي را كه براي ادا كنندگان حقوق آماده شده است به</w:t>
      </w:r>
      <w:bookmarkStart w:id="761" w:name="pg2359_23675"/>
    </w:p>
    <w:p>
      <w:pPr>
        <w:pStyle w:val="BookText"/>
        <w:rPr/>
      </w:pPr>
      <w:bookmarkEnd w:id="761"/>
      <w:r>
        <w:rPr>
          <w:rFonts w:ascii="Amiri" w:hAnsi="Amiri" w:eastAsia="Amiri" w:cs="Amiri"/>
          <w:color w:val="111111"/>
          <w:sz w:val="28"/>
          <w:sz w:val="28"/>
          <w:szCs w:val="28"/>
          <w:rtl w:val="true"/>
          <w:lang w:bidi="ar-SA"/>
        </w:rPr>
        <w:t>او نمي‌دهند</w:t>
      </w:r>
      <w:r>
        <w:rPr>
          <w:rStyle w:val="FootnoteAnchor"/>
          <w:rtl w:val="true"/>
        </w:rPr>
        <w:footnoteReference w:id="5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اين توضيح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فيقضي له و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سازگاري ندارد؛ چون با ندادن آن مقام به او چيزي نصيبِ آن برادر كه محِقّ است و حقّش ضايع شده نمي‌شود، در حالي‌كه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فيقضي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بهتر است اين‌طور معنا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كرامتي كه اگر حق را ادا مي‌كرد به او مي‌دادند، با ضايع كردن حق، ديگر به او نمي‌دهند و به برادري كه محِقّ است مي‌دهند</w:t>
      </w:r>
      <w:r>
        <w:rPr>
          <w:rFonts w:eastAsia="IRNazanin" w:cs="IRNazanin"/>
          <w:color w:val="111111"/>
          <w:sz w:val="28"/>
          <w:szCs w:val="28"/>
          <w:rtl w:val="true"/>
          <w:lang w:bidi="fa-IR"/>
        </w:rPr>
        <w:t>.</w:t>
      </w:r>
    </w:p>
    <w:p>
      <w:pPr>
        <w:pStyle w:val="Heading3"/>
        <w:numPr>
          <w:ilvl w:val="2"/>
          <w:numId w:val="1"/>
        </w:numPr>
        <w:rPr/>
      </w:pPr>
      <w:bookmarkStart w:id="762" w:name="__RefHeading___Toc2770761_3804643083"/>
      <w:bookmarkStart w:id="763" w:name="_Toc291"/>
      <w:bookmarkEnd w:id="762"/>
      <w:r>
        <w:rPr>
          <w:rtl w:val="true"/>
        </w:rPr>
        <w:t>كلام مرحوم شيخ</w:t>
      </w:r>
      <w:r>
        <w:rPr>
          <w:rtl w:val="true"/>
        </w:rPr>
        <w:t xml:space="preserve">- </w:t>
      </w:r>
      <w:r>
        <w:rPr>
          <w:rtl w:val="true"/>
        </w:rPr>
        <w:t xml:space="preserve">قدس سره </w:t>
      </w:r>
      <w:r>
        <w:rPr>
          <w:rtl w:val="true"/>
        </w:rPr>
        <w:t xml:space="preserve">- </w:t>
      </w:r>
      <w:r>
        <w:rPr>
          <w:rtl w:val="true"/>
        </w:rPr>
        <w:t>در اختصاص حقوق إخوان به عاملين آن</w:t>
      </w:r>
      <w:bookmarkEnd w:id="763"/>
    </w:p>
    <w:p>
      <w:pPr>
        <w:pStyle w:val="Heading4"/>
        <w:numPr>
          <w:ilvl w:val="3"/>
          <w:numId w:val="1"/>
        </w:numPr>
        <w:rPr/>
      </w:pPr>
      <w:bookmarkStart w:id="764" w:name="__RefHeading___Toc2770763_3804643083"/>
      <w:bookmarkStart w:id="765" w:name="_Toc292"/>
      <w:bookmarkEnd w:id="764"/>
      <w:r>
        <w:rPr>
          <w:rtl w:val="true"/>
        </w:rPr>
        <w:t>اشاره</w:t>
      </w:r>
      <w:bookmarkEnd w:id="765"/>
    </w:p>
    <w:p>
      <w:pPr>
        <w:pStyle w:val="BookText"/>
        <w:rPr/>
      </w:pPr>
      <w:r>
        <w:rPr>
          <w:rFonts w:ascii="IRNazanin" w:hAnsi="IRNazanin" w:eastAsia="IRNazanin"/>
          <w:color w:val="111111"/>
          <w:sz w:val="28"/>
          <w:sz w:val="28"/>
          <w:szCs w:val="28"/>
          <w:rtl w:val="true"/>
          <w:lang w:bidi="fa-IR"/>
        </w:rPr>
        <w:t>مرحوم شيخ در ادامه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حقوقي كه در اين روايت ذكر شده حقوق بزرگي است و به قرينه‌ي بعضي روايات ديگر، ظاهر اين است كه مربوط به برادري است كه خودش هم عارف به چنين حقوق و ملتزم به اداي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برادري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عارف به چنين حقوق و اهل رعايت آن نيست، ديگر مشمول روايت نمي‌شود</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شاهد اين مطلب رواياتي است</w:t>
      </w:r>
      <w:r>
        <w:rPr>
          <w:rStyle w:val="FootnoteAnchor"/>
          <w:rtl w:val="true"/>
        </w:rPr>
        <w:footnoteReference w:id="523"/>
      </w:r>
      <w:r>
        <w:rPr>
          <w:rFonts w:ascii="Amiri" w:hAnsi="Amiri" w:eastAsia="Amiri" w:cs="Amiri"/>
          <w:color w:val="111111"/>
          <w:sz w:val="28"/>
          <w:sz w:val="28"/>
          <w:szCs w:val="28"/>
          <w:rtl w:val="true"/>
          <w:lang w:bidi="ar-SA"/>
        </w:rPr>
        <w:t>كه حداقل يكي صحيحه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عَلِيِّ بْنِ الْحُسَيْنِ فِي الْخِصَالِ عَنْ أَبِيهِ عَنْ أَحْمَدَ بْنِ إِدْرِيسَ عَنْ مُحَمَّدِ بْنِ أَحْمَدَ عَنْ عَبْدِ اللَّهِ بْنِ أَحْمَدَ الرَّازِيِّ عَنْ بَكْرِ بْنِ صَالِحٍ عَنْ إِسْمَاعِيلَ بْنِ مِهْرَانَ عَنْ مُحَمَّدِ بْنِ حَفْصٍ عَنْ يَعْقُوبَ بْنِ بَشِيرٍ عَنْ جَابِرٍ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كِتَابِ الْإِخْوَانِ عَنْ أَبِيهِ عَنْ مُحَمَّدِ بْنِ يَحْيَى عَنْ أَحْمَدَ بْنِ مُحَمَّدِ بْنِ عِيسَى عَنْ بَعْضِ أَصْحَابِهِ عَنْ يُونُسَ بْنِ عَبْدِ الرَّحْمَنِ عَنْ أَبِي جَعْفَرٍ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قَامَ إِلَى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بِالْبَصْرَةِ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 إِخْوَانُ الثِّقَةِ وَ إِخْوَانُ الْمُكَاشَرَةِ فَأَمَّا إِخْوَانُ الثِّقَةِ فَهُمْ كَالْكَفِّ وَ الْجَنَاحِ وَ الْأَهْلِ وَ الْمَالِ فَإِذَا كُنْتَ مِنْ أَخِيكَ عَلَى ثِقَةٍ فَابْذُلْ لَهُ مَالَكَ وَ يَدَكَ وَ صَافِ مَنْ صَافَاهُ وَ عَادِ مَنْ عَادَاهُ وَ اكْتُمْ سِرَّهُ وَ أَعِنْهُ وَ أَظْهِرْ مِنْهُ الْحَسَنَ وَ اعْلَمْ أَيُّهَا السَّائِلُ أَنَّهُمْ أَعَزُّ مِنَ الْكِبْرِيتِ الْأَحْمَرِ وَ أَمَّا إِخْوَانُ الْمُكَاشَرَةِ فَإِنَّكَ تُصِيبُ مِنْهُمْ لَذَّتَكَ فَلَا تَقْطَعَنَّ ذَلِكَ مِنْهُمْ وَ لَا تَطْلُبَنَّ مَا وَرَاءَ ذَلِكَ مِنْ ضَمِيرِهِمْ وَ ابْذُلْ لَهُمْ مَا بَذَلُوا لَكَ مِنْ طَلَاقَةِ الْوَجْهِ وَ حَلَاوَةِ اللِّسَانِ</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رَوَاهُ الْكُلَيْنِيُّ عَنْ عِدَّةٍ مِنْ أَصْحَابِنَا عَنْ أَحْمَدَ بْنِ مُحَمَّدِ بْنِ خَالِدٍ عَنْ إِسْمَاعِيلَ بْنِ مِهْرَانَ عَنْ يُونُسَ بْنِ</w:t>
      </w:r>
    </w:p>
    <w:p>
      <w:pPr>
        <w:pStyle w:val="BookText"/>
        <w:rPr/>
      </w:pPr>
      <w:r>
        <w:rPr>
          <w:rFonts w:ascii="Amiri" w:hAnsi="Amiri" w:eastAsia="Amiri" w:cs="Amiri"/>
          <w:color w:val="111111"/>
          <w:sz w:val="28"/>
          <w:sz w:val="28"/>
          <w:szCs w:val="28"/>
          <w:rtl w:val="true"/>
          <w:lang w:bidi="ar-SA"/>
        </w:rPr>
        <w:t xml:space="preserve">يَعْقُوبَ عَنْ أَبِي مَرْيَمَ الْأَنْصَارِيِّ عَنْ 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وقتي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بودند، شخصي بلند شد و به 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درباره‌ي برادران سخن بگوييد،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دوصنف‌اند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اخوان ثقه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برادراني كه به هم وابسته‌اند و قابل اعتمادند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ديگري اخوان مُكاشره</w:t>
      </w:r>
      <w:r>
        <w:rPr>
          <w:rStyle w:val="FootnoteAnchor"/>
          <w:rtl w:val="true"/>
        </w:rPr>
        <w:footnoteReference w:id="525"/>
      </w:r>
    </w:p>
    <w:p>
      <w:pPr>
        <w:pStyle w:val="BookText"/>
        <w:rPr/>
      </w:pPr>
      <w:r>
        <w:rPr>
          <w:rFonts w:ascii="Amiri" w:hAnsi="Amiri" w:eastAsia="Amiri" w:cs="Amiri"/>
          <w:color w:val="111111"/>
          <w:sz w:val="28"/>
          <w:sz w:val="28"/>
          <w:szCs w:val="28"/>
          <w:rtl w:val="true"/>
          <w:lang w:bidi="ar-SA"/>
        </w:rPr>
        <w:t xml:space="preserve">مُحَمَّدُ بْنُ يَعْقُوبَ عَنْ عَلِيِّ بْنِ إِبْرَاهِيمَ عَنْ أَبِيهِ عَنِ ابْنِ أَبِيعُمَيْرٍ عَنْ هِشَامِ بْنِ سَالِمٍ عَنْ 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عَاشَتْ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أَبِيهَا خَمْسَةً وَ سَبْعِينَ يَوْماً لَمْ تُرَ كَاشِرَةً وَ لَا ضَاحِكَةً تَأْتِي قُبُورَ الشُّهَدَاءِ فِي كُلِّ جُمْعَةٍ مَرَّتَيْنِ الْإِثْنَيْنَ وَ الْخَمِيسَ فَتَقُولُ هَاهُنَا كَانَ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الله عليه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كَانَ الْمُشْرِكُونَ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 ج</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هشام بن سالم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طبق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و پنج روز زندگي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خيلي نمي‌توان اعتماد كرد؛ زيرا اوائل در خط كوفي نقطه نمي‌گذاشتند، حتي در بعضي خط‌هاي نزديك به زمان ما هم داريم كه بعضي عادت نداشتند نقطه بگذارند، به همين خاطر خيلي نمي‌توان بين سبعين و تسعين فرق گذاشت، شايد تسعين بوده؛ چون تسعين هم چهارتا دندانه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الآن رسم شده دندانه‌ي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بلندتر مي‌نويسند ولي در قديم اين‌طور نبود، و همه‌ي مستنسخين هم خوش‌خط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خيلي نمي‌توان اعتماد كرد كه اين روايت هفتاد و پنج روز بيان كرده باشد، شايد نود و پنج روز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اين هفتاد و پنج روز نه خندان ديده شدند و نه حتي دندان‌هاي حضرت ديده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دوشنبه و پنج‌شنبه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زيارت قبور شهدا مي‌رفتند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نكته‌ي 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در بعضي روايات به معناي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والد ما ـ أعلي مقامه الشريف ـ حدود چهل سال قبل، اين نكته را به من فرمودند كه در بعضي روايات، جمعه به معناي هفته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در همين روايت به معناي هفته آمده؛ چون خود روايت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دو بار در دوشنبه و پنج‌شنبه به زيارت قبور شهدا مي‌رفتند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روايتي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عَلِيٌّ عَنْ مُحَمَّدِ بْنِ عِيسَى عَنْ يُونُسَ عَمَّنْ ذَكَرَهُ عَنْ أَبِي عَبْدِ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صلي الله عليه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 لِرَجُلٍ لَا يُفَرِّغُ نَفْسَهُ فِي كُلِّ جُمُعَةٍ لِأَمْرِ دِينِهِ فَيَتَعَاهَدُهُ وَ يَسْأَلُ عَنْ دِينِهِ وَ فِي رِوَايَةٍ أُخْرَى لِكُلِّ مُسْلِمٍ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باب سؤال العالم و تذاكره، ح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ظاهراً اين‌جا مقصود اين نيست كه در روز جمعه فقط خود را فارغ كند، بلكه در طول هفته مراد است، آن‌هم في‌الجمله نه اين‌كه به اندازه‌ي يك روز خصوصيت داشته باشد</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برادراني كه به هم</w:t>
      </w:r>
    </w:p>
    <w:p>
      <w:pPr>
        <w:pStyle w:val="BookText"/>
        <w:rPr/>
      </w:pPr>
      <w:r>
        <w:rPr>
          <w:rFonts w:ascii="IRNazanin" w:hAnsi="IRNazanin" w:eastAsia="IRNazanin"/>
          <w:color w:val="111111"/>
          <w:sz w:val="28"/>
          <w:sz w:val="28"/>
          <w:szCs w:val="28"/>
          <w:rtl w:val="true"/>
          <w:lang w:bidi="fa-IR"/>
        </w:rPr>
        <w:t>لبخند مي‌زنند و انسي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برادراني كه ثقه هستند و مي‌توان به آن‌ها اعتماد كرد، مثل كف دست، بال، أهل و مال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برادري قابل اعتماد بود مال، نعمت و توانت را براي او بذل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او دوست و با صفا است تو هم با او با صفا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اصطلاح با او صاف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كسي با او دشمن است تو هم با او دشمن باش، سرّش را كتمان كن و خوبي‌هاي او را إظهار كن، و اي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اينان كم‌ياب‌تر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كبريت احمر</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اخوان مكاشره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يعني برادراني كه با آن‌ها انس داريد و به هم لبخند مي‌زنيد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مجالست مي‌كني و لذّت مي‌بري، اين نوع مجالست را با آن‌ها قطع نكن ولي بيش از آن هم از آن‌ها انتظار و درخواست نداشته باش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فقط در همين حد هستند كه بنشينيد، بگوييد، لبخند بزنند و بعد</w:t>
      </w:r>
      <w:bookmarkStart w:id="766" w:name="pg2359_23679"/>
    </w:p>
    <w:p>
      <w:pPr>
        <w:pStyle w:val="BookText"/>
        <w:rPr/>
      </w:pPr>
      <w:bookmarkEnd w:id="766"/>
      <w:r>
        <w:rPr>
          <w:rFonts w:ascii="Amiri" w:hAnsi="Amiri" w:eastAsia="Amiri" w:cs="Amiri"/>
          <w:color w:val="111111"/>
          <w:sz w:val="28"/>
          <w:sz w:val="28"/>
          <w:szCs w:val="28"/>
          <w:rtl w:val="true"/>
          <w:lang w:bidi="ar-SA"/>
        </w:rPr>
        <w:t>بروند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آن‌ها با خوش‌رويي و شيرين‌زباني برخورد مي‌كنند تو هم با آن‌ها همين رفتار را داشته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استفاده‌ي مرحوم شيخ از اين روايت آن است كه با اخوان مكاشره بيش از بذل طلاقتِ وجه و حلاولت لسان لازم نيست، و إلا وجهي نداشت كه حضرت دو صنف كنند و در مورد صنف اوّل بفرمايند مال، توان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خرج او كن، ولي در مورد اخوان مكاشره بفرمايند بذل طلاقت وجه كافي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معلوم مي‌شود اين حقوق سي‌گانه مربوط به كسي است كه خودش عارف به اين حقوق و ملتزم به اداي آن است</w:t>
      </w:r>
      <w:r>
        <w:rPr>
          <w:rFonts w:eastAsia="IRNazanin" w:cs="IRNazanin"/>
          <w:color w:val="111111"/>
          <w:sz w:val="28"/>
          <w:szCs w:val="28"/>
          <w:rtl w:val="true"/>
          <w:lang w:bidi="fa-IR"/>
        </w:rPr>
        <w:t>.</w:t>
      </w:r>
    </w:p>
    <w:p>
      <w:pPr>
        <w:pStyle w:val="Heading4"/>
        <w:numPr>
          <w:ilvl w:val="3"/>
          <w:numId w:val="1"/>
        </w:numPr>
        <w:rPr/>
      </w:pPr>
      <w:bookmarkStart w:id="767" w:name="__RefHeading___Toc2770765_3804643083"/>
      <w:bookmarkStart w:id="768" w:name="_Toc293"/>
      <w:bookmarkEnd w:id="767"/>
      <w:r>
        <w:rPr>
          <w:rtl w:val="true"/>
        </w:rPr>
        <w:t>اشكال سيّد خويي</w:t>
      </w:r>
      <w:r>
        <w:rPr>
          <w:rtl w:val="true"/>
        </w:rPr>
        <w:t xml:space="preserve">- </w:t>
      </w:r>
      <w:r>
        <w:rPr>
          <w:rtl w:val="true"/>
        </w:rPr>
        <w:t xml:space="preserve">قدس سره </w:t>
      </w:r>
      <w:r>
        <w:rPr>
          <w:rtl w:val="true"/>
        </w:rPr>
        <w:t xml:space="preserve">- </w:t>
      </w:r>
      <w:r>
        <w:rPr>
          <w:rtl w:val="true"/>
        </w:rPr>
        <w:t>بر كلام مرحوم شيخ</w:t>
      </w:r>
      <w:bookmarkEnd w:id="768"/>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سيّد خويي در اعتراض به اين كلام مرحوم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سي‌گانه مربوط به همه‌ي مؤمنين نيست، بلكه مربوط به كسي است كه خودش هم عارف به اين حقوق و ملتزم به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شيخ تفسير غريبي از روايت ارائه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آن است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در صدد بيان مراتب برادري است كه برخي در مرتبه‌ي بالاي برادري مي‌باشند و شايسته‌ي اعتماد از هر جهت هستند و برخي در مرتبه‌ي پايين بوده و شايسته‌ي اعتماد از هر جهت نمي‌باشند و فقط به همان اندازه‌ا‌ي كه از خوش‌رويي و زبان شيرين بذل مي‌كنند، به آنان بذل شود</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bookmarkStart w:id="769" w:name="pg2359_23680"/>
    </w:p>
    <w:p>
      <w:pPr>
        <w:pStyle w:val="Heading4"/>
        <w:numPr>
          <w:ilvl w:val="3"/>
          <w:numId w:val="1"/>
        </w:numPr>
        <w:rPr/>
      </w:pPr>
      <w:bookmarkStart w:id="770" w:name="__RefHeading___Toc2770767_3804643083"/>
      <w:bookmarkStart w:id="771" w:name="_Toc294"/>
      <w:bookmarkEnd w:id="769"/>
      <w:bookmarkEnd w:id="770"/>
      <w:r>
        <w:rPr>
          <w:rtl w:val="true"/>
        </w:rPr>
        <w:t>نقد كلام سيد خويي</w:t>
      </w:r>
      <w:r>
        <w:rPr>
          <w:rtl w:val="true"/>
        </w:rPr>
        <w:t xml:space="preserve">- </w:t>
      </w:r>
      <w:r>
        <w:rPr>
          <w:rtl w:val="true"/>
        </w:rPr>
        <w:t xml:space="preserve">قدس سره </w:t>
      </w:r>
      <w:r>
        <w:rPr>
          <w:rtl w:val="true"/>
        </w:rPr>
        <w:t>-</w:t>
      </w:r>
      <w:bookmarkEnd w:id="771"/>
    </w:p>
    <w:p>
      <w:pPr>
        <w:pStyle w:val="BookText"/>
        <w:rPr/>
      </w:pPr>
      <w:r>
        <w:rPr>
          <w:rFonts w:ascii="IRNazanin" w:hAnsi="IRNazanin" w:eastAsia="IRNazanin"/>
          <w:color w:val="111111"/>
          <w:sz w:val="28"/>
          <w:sz w:val="28"/>
          <w:szCs w:val="28"/>
          <w:rtl w:val="true"/>
          <w:lang w:bidi="fa-IR"/>
        </w:rPr>
        <w:t>كلام مرحوم شيخ تفسير غريبي نيست بلكه قريب است؛ زيرا اين‌كه حضرت تقسيم اخوان مي‌فرماينشد كه در مورد اخوان ثقه اين كارها را انجام بده و در مورد اخوان مكاشره صِرف بذل طلاقت وجه كافي است، معلوم است كه تقسيم قاطع شركت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مورد اخوان مكاشره هم همان حقوق لازم بود پس چرا تقسيم؟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مي‌توانستند بفرمايند اخوان مكاشره اين‌چنين هستند كه حق را ادا نمي‌كنند، در حالي‌كه چنين نفرمودند، بلكه فرمودند همان مقداري كه آن‌ها انجام مي‌دهند تو هم انجام بده، بيشتر لازم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از اين روايت استفاده مي‌شود كه مراتب بالاي حقوق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بذل مال و توان، دوستي و صاف بودن با دوستانِ او، دشمني با دشمنان او، كتمان سر و اظهار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به مؤمنين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اخوان 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امّا بعضي حقوق ديگر مانند غيبت نكردن، ردّ غيبت، كمك كردن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همه‌ي مؤمنين است و در حقيقت سيد خويي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را معناي روايت دانسته‌اند و در لُباب، با نتيجه‌گيري شيخ موافق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پايان بحث غيبت</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الحمد لله رب العالمين علي إنعامه و توفيقه</w:t>
      </w:r>
      <w:bookmarkStart w:id="772" w:name="pg2359_23681"/>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73" w:name="__RefHeading___Toc2770769_3804643083"/>
      <w:bookmarkStart w:id="774" w:name="_Toc295"/>
      <w:bookmarkEnd w:id="772"/>
      <w:bookmarkEnd w:id="773"/>
      <w:r>
        <w:rPr>
          <w:rtl w:val="true"/>
        </w:rPr>
        <w:t>كتاب‌نامه</w:t>
      </w:r>
      <w:bookmarkEnd w:id="7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قرآن كريم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الاستبصار فيما اختلف من الاخبار،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الموسوى خرسان،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الكتب الاسلامية، چاپ اوّل،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طوسي، ابو جعفر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 تحقيقات اسلامي مؤسسه‌ي بعثت، ناشر دار الثقافة،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شيخ صدوق، محمّد بن علي ابن بابويه قمي، ناشر كتابچي، چاپ ششم،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الأمان من أخطار الأسفار و الأزمان، سيد ابن طاووس، رضي الدين علي بن موسي حلّي،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مؤسسه آل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بحار الانوار الجامعة لدرر اخبار الائمة الاطهار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جمعى از محققان،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مؤسسه‌ي الطبع و النشر،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 من جواهر القاموس، حسيني زبيدي، سيّد محمّد مرتضي،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شيري،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الفكر للطباعة و النشر و التوزيع،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التبيان في تفسير القرآن، شيخ طوسي، ابو جعفر محمّد بن حسن، 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قصيرعاملى،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ناشر دار احياء التراث العربي، بيروت ـ لبنان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 العقول، ابن شعبه حراني، حسن بن علي،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ناشر جامعه‌ي مدرّسين، چاپ دوم،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تفسير القمي، علي بن ابراهيم قمي،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طيب موسوي جزائري،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الكتاب،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تنبيه الخواطر و نزهة النواظر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ورّام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ورّام بن ابي فراس، مسعود بن عيسي،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مكتبه فقيه،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الاخبار، شعيري، محمّد بن محمّد، ناشر مطبعة حيدرية، چاپ اوّل، نجف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السعادات، ملا محمّد مهدي نراقي،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تحقيق و تعليق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محمد كلانتر، مطبعة النعمان، النجف الاشرف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جامع المقاصد في شرح القواعد، محقّق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على بن حسين عاملى،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ـ ايران،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الكلام في شرح شرايع الاسلام، صاحب الجواهر، نجفي، محمّد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قوچاني ـ علي آخوندي،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احياء التراث العربي، چاپ هفتم،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حاشيه المكاسب، ايرواني، علي بن عبد الحسين نجفي،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فرهنگ و ارشاد اسلامي،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خاتمة المستدرك، محدّث نوري، ميرزا 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الخصال، شيخ صدوق، محمّد بن علي ابن بابوبه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جامعه مدرسين، چاپ اوّل،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العلّامة الحلّي ـ خلاصة الأقوال في معرفة أحوال الرجال، علّامه</w:t>
      </w:r>
    </w:p>
    <w:p>
      <w:pPr>
        <w:pStyle w:val="BookText"/>
        <w:rPr/>
      </w:pPr>
      <w:r>
        <w:rPr>
          <w:rFonts w:ascii="IRNazanin" w:hAnsi="IRNazanin" w:eastAsia="IRNazanin"/>
          <w:color w:val="111111"/>
          <w:sz w:val="28"/>
          <w:sz w:val="28"/>
          <w:szCs w:val="28"/>
          <w:rtl w:val="true"/>
          <w:lang w:bidi="fa-IR"/>
        </w:rPr>
        <w:t xml:space="preserve">حلّي، حسن بن يوسف بن مطهر اسدي، ناشر دار الذخائر، چاپ دوم،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النجاشي، نجاشي، ابو الحسن احمد بن علي،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موسي شبيري زنجاني ناشر دفتر انتشارات اسلامي وابسته به جامعه‌ي مدرّسين حوزه‌ي علميه 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الرد علي اصحاب العدد ـ جوابات اهل الموصل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رساله‌ي عدديه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شيخ مفيد، محمّد بن محمّد بن نعمان عكبري،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نجف، ناشر كنگره‌ي جهاني هزاره‌ي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 ضمن جلد نهم از مجموعه مصنفات شيخ مفيد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أبي داود، أبو داود سليمان بن الأشعث بن إسحاق بن بشير بن شداد بن عمرو الأزدي السِّجِسْتاني،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محيي الدين عبد الحميد، ناشر المكتبة العصرية،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صيدا ـ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سنن الترمذي، محمد بن عيسى أبو عيسى الترمذي السلمي، محقق أحمد محمد شاكر و آخرون، 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 بيروت</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الكافي ـ الأصول و الروضة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للمولى صالح المازندراني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مازندرانى، محمد صالح بن احمد،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المكتبة الإسلامية، چاپ اول،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الصحاح ـ تاج اللغة و صحاح العربية، جوهري، اسماعيل بن حماد،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العلم للملابين، چاپ اوّل،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صحيح البخاري، محمد بن إسماعيل أبو عبدالله البخاري الجعفي،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زهير بن ناصر الناصر،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طوق النجاة، چاپ اوّل،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الصحيفة السجادية، امام سيد الساجدين، علي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دفتر نشر الهادي،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الصحيفة السجادية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فيض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چهارم على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و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نقى فيض الاسلام اصفهانى، ناشر فقيه،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العدة، شيخ طوسى، ابو جعفر محمد بن الحسن،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چاپخانه ستاره، چاپ اول،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علل الشرايع، شيخ صدوق، محمّد بن علي بن بابويه قمي، ناشر كتاب‌فروشي داوري، چاپ اول،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عوالي اللئالي العزيزية، احسايي، ابن ابي جمهور، محمّد بن علي، ناشر دار سيد الشهداء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عيون اخبار الرضا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شيخ صدوق، محمّد بن علي ابن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لاجوردي،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جهان، چاپ اوّل،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غرر الحكم و درر الكلم، تميمي آمدي، عبد الواحد بن محمّد،</w:t>
      </w:r>
    </w:p>
    <w:p>
      <w:pPr>
        <w:pStyle w:val="BookText"/>
        <w:rPr/>
      </w:pP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مهدي رجايي، ناشر دار الكتاب الاسلامي،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الغيبة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الغيبة للحجة، شيخ طوسى،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 الله تهرانى و على احمد ناصح، ناشر دار المعارف الإسلامية، چاپ اول،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 شيخ طوسي، ابو جعفر محمّد بن الحسن،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صادق آل بحر العلوم، ناشر المكتبة الرضوية، چاپ اوّل،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 كليني، ابو جعفر محمّد بن يعقوب،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اكبر غفاري ـ محمد آخوندي،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الكتب الاسلامية، چاپ چهارم،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كلينى، ابو جعفر محمد بن يعقوب،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جلد، ناشر دار الحديث، چاپ اول،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كامل الزيارات، ابن قولويه قمي، ابو القاسم جعفر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الحسين امينى، ناشر دار المرتضويه، چاپ اوّل،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نجف اشرف ـ عراق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العين، فراهيدي، خليل بن احمد،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مهدي مخزومي و ابراهيم سامرّايي،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نشر هجرت، چاپ دوم،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المكاسب المحرمة و البيع و الخيارات، شيخ انصاري، مرتضي بن محمّد امين انصاري دزفولي،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گروه پژوهش در كنگره،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كنگره‌ي جهاني بزرگداشت شيخ اعظم انصاري،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كشف الريبة، شهيد ثاني، زين الدين بن علي، ناشر دار المرتضوي للنشر، چاپ سوم،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 ابن منظور، ابو الفضل جمال الدين محمّد بن مكرم،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فارس صاحب الجوائب،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الفكر للطباعة و النشر و التوزيع ـ دار صادر، چاپ سوم،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 طريحي، فخر الدين،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احمد حسيني،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مرتضوي، چاپ سوم،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البيان في تفسير القرآن، طبرسي، فضل بن حسن، مقدمه‌ي محمّد جواد بلاغي،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انتشارات ناصر خسرو، چاپ سوم،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المحاسن، برقي، ابو جعفر احمد بن محمّد بن خالد،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محدث،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الكتب الاسلاميه، چاپ دوم،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مرآة العقول في شرح اخبار آل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علّامه مجلسي، محمّد باقر بن محمّد تقي،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هاشم رسولي،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دار الكتب الاسلاميه، چاپ دوم،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مستدرك الوسائل و مستنبط المسائل، محدّث نوري، ميرزا</w:t>
      </w:r>
    </w:p>
    <w:p>
      <w:pPr>
        <w:pStyle w:val="BookText"/>
        <w:rPr/>
      </w:pPr>
      <w:r>
        <w:rPr>
          <w:rFonts w:ascii="IRNazanin" w:hAnsi="IRNazanin" w:eastAsia="IRNazanin"/>
          <w:color w:val="111111"/>
          <w:sz w:val="28"/>
          <w:sz w:val="28"/>
          <w:szCs w:val="28"/>
          <w:rtl w:val="true"/>
          <w:lang w:bidi="fa-IR"/>
        </w:rPr>
        <w:t>حسين،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مستند الشيعة في احكام الشريعة، نراقي، مولي احمد بن محمّد مهدي،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الفقاهة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المكاسب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خويي، سيّد ابو القاسم موسوي، مقرّر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توحيدي،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مصباح الشريعة، منسوب به امام ششم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ناشر اعلمى، چاپ اول،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بيروت ـ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المنير في غريب الشرح الكبير للرافعي، فيومي، احمد بن محمّد مقري، ناشر منشورات دار الرضي، چاپ اوّل، قم ـ ايران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معاني الاخبار، شيخ صدوق، محمّد بن علي بن بابويه قمي، 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اكبر غفارى، ناشر دفتر انتشارات اسلامي وابسته به جامعه مدرّسين حوزه علميه 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قم ـ ايران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معجم رجال الحديث و تفصيل طبقات الرجال، خويي، سيّد ابوالقاسم موسوي،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الفاظ القرآن، اصفهاني، حسين بن محمّد راغب،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صفوان عدنان داودي، ناشر دار العلم ـ الدار الشامية، چاپ اوّل،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لبنان ـ سوريه</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مقامات السالكين، دارابى، محمد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جعفر نبوى، نشر مرصاد، ،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المكاسب المحرمة، امام خميني، سيّد روح الله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مؤسسه‌ي تنظيم و نشر آثار امام خميني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لايحضره الفقيه،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اكبر غفارى،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دفتر انتشارات اسلامي وابسته به جامعه‌ي مدرّسين حوزه‌ي علميه قم، چاپ دوم،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في شرح نهج البلاغة، هاشمي خويي، ميرزا حبيب الله ـ حسن زاده آملي، حسن ـ كمره‌اي، محمّد باقر،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ميانجي،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مكتبة الاسلامية، چاپ چهارم،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تهران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النهاية في غريب الحديث و الاثر، ابن اثير جزري، مبارك بن محمّد،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طناحى، محمود محمد،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ناشر مطبوعاتي اسماعيليان، چاپ چهارم،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للصبحي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سيّد رضي، محمّد بن حسين موسوي،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فيض الاسلام، ناشر هجرت، چاپ اوّل،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وسائل الشيعة ـ تفصيل وسائل الشيعة إلى تحصيل مسائل الشريعة، شيخ حرّ عاملي، محمّد بن حسن،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مؤسسه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ناشر مؤسسه‌ي آل البيت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الهداية في الاصول و الفروع ـ هداية المتعلمين، شيخ صدوق، محمّد بن علي بن بابويه قمي، 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مؤسسه‌ي 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مؤسسه‌ي امام هادي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قم ـ ايران</w:t>
      </w:r>
      <w:r>
        <w:rPr>
          <w:rFonts w:eastAsia="IRNazanin" w:cs="IRNazanin"/>
          <w:color w:val="111111"/>
          <w:sz w:val="28"/>
          <w:szCs w:val="28"/>
          <w:rtl w:val="true"/>
          <w:lang w:bidi="fa-IR"/>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الوافي، فيض كاشانى، ملا محمد محسن بن شاه مرتضى،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جلد، كتابخانه امام أمير المؤمنين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اصفهان ـ ايران</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اى كسانى كه ايمان آورديد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بسيارى از گمان ها بپرهيزيد؛ چرا كه بعضى از گمان ها گناه است، و هرگز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كار ديگران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تجسّس نكنيد و هيچ يك از شما ديگرى را غيبت نكند؛ آيا كسى از شما دوست دارد كه گوشت برادر مرده‌ي خود را بخورد؟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ناپسند مى‌داريد،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خداوند پروا كنيد كه خداوند توبه‌پذير و مهربان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الحجرات، آيه‌ي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أَبَا ذَرٍّ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سِبَابُ الْمُسْلِمِ فُسُوقٌ، وَ قِتَالُهُ كُفْرٌ، وَ أَكْلُ لَحْمِهِ مِنْ مَعَاصِي اللَّهِ، وَ حُرْمَةُ مَالِهِ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الْغِيبَةُ؟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ذِكْرُكَ أَخَاكَ بِمَا يَكْرَهُهُ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فِيهِ ذَاكَ الَّذِي يُذْكَرُ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إِذَا ذَكَرْتَهُ بِمَا هُوَ فِيهِ فَقَدِ اغْتَبْتَهُ، وَ إِذَا ذَكَرْتَهُ بِمَا لَيْسَ فِيهِ فَقَدْ 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الامالي للشيخ الطوسي،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عَلِيِّ بْنِ إِبْرَاهِيمَ عَنْ مُحَمَّدِ بْنِ عِيسَى عَنْ يُونُسَ بْنِ عَبْدِ الرَّحْمَنِ عَنْ عَبْدِ الرَّحْمَنِ بْنِ سَيَابَةَ قَالَ سَمِعْتُ أَبَا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الْغِيبَةُ أَنْ تَقُولَ فِي أَخِيكَ مَا سَتَرَهُ اللَّهُ عَلَيْهِ وَ أَمَّا الْأَمْرُ الظَّاهِرُ مِثْلَ الْحِدَّةِ وَ الْعَجَلَةِ فَلَا وَ الْبُهْتَانُ أَنْ تَقُولَ فِيهِ مَا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رساله‌ي حاضر بر اساس نظم مباحث مرحوم شيخ انصاري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كتاب مكاسب محرمه‌ي ايشان تنظيم شده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فقط در مواردي كه غيبت مصداق ظلم باشد عقل حكم به حرمت آن مي‌كند و در مواردِ غير از آن بياني ندارد</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إغتياب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فاعل و اسم مفعول به يك شكل خوانده مي‌شود؛ زيرا اسم فاعل مي‌شود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مُغتَيِب و ياء كه حرف علّه‌ي ماقبل مفتوح است به اعلال قلب به الف شده، مي‌شود مُغتاب و اسم مفعول هم مُغتَيَب بوده و باز ياء ماقبل مفتوح قلب به الف شده، مغتاب مي‌گردد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فجعل المؤمن أخاً و عِرضُه كَلَحمِهِ و التَّفَكّه به أَكلاً و عدمُ شعوره بذلك بمنزلة حالة موته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الجزء الاول، النوع الرابع، الرابعة عشر الغيبة،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بحيي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ابْنِ عِيسَى عَنِ ابْنِ فَضَّالٍ وَ الْحَجَّالِ عَنْ عَلِيِّ بْنِ عُقْبَةَ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الْمُؤْمِنُ أَخُو الْمُؤْمِنِ عَيْنُهُ وَ دَلِيلُهُ لَا يَخُونُهُ وَ لَا يَظْلِمُهُ وَ لَا يَغُشُّهُ وَ لَا يَعِدُهُ عِدَةً فَيُخْلِفَهُ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الهمزة، آيه‌ي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احتمالاً منظور حضرت استاد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عبارات ديگر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ادامه‌ي آيه‌ي مباركه است كه خداوند از آيات سوم به بعد، وعيد آتش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تاء در هُمَزَة براي‌تأنيث نيست، بلكه براي مبالغه است؛ يعني كسي كه زياد همز مي‌كند و اين كلمه براي مذكر و مؤنث، يكسان به كار مي‌رود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آيه‌ي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الفاظ القرآن، همز، ص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زياد الأعجم</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لمز</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لغويّين از خاصّه و عامّه بسيارند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خاصّه، چهار نفر مشهورند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خليل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سكّيت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اصلاح المنطق،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دُريد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جَمْهَرة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مُجْمَل و مقاييس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از مشهورين عامّه مثل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محمود فيروزآبادى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قاموس المحيط،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جوهرى فارابى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صحاح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قتيبة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ادب الكاتب،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ازهرى نيشابورى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تهذيب اللغة،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عبيدة هروى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غريبَيْن،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مصنَّف،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محكم،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صغانى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عُباب و تكملة 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زمخشرى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فائق و اساس البلاغة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نهاية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برداشت از كتاب مقامات السالكين،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به نقل از ابن انباري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 الأَنباري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الهَامِزُ و الهَمَّازُ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العَيَّابُ</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ذلك بالشِّدْقِ و العين و الرأْس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للعياشي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 هم نظير اين مطلب را با عباراتي ديگر نقل 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الْفَضْلُ بْنُ الْحَسَنِ الطَّبْرِسِيُّ فِي مَجْمَعِ الْبَيَانِ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 اللَّهُ الْجَهْرَ بِالسُّوءِ مِنَ الْقَوْلِ إِلَّا 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الضَّيْفَ يَنْزِلُ بِالرَّجُلِ فَلَا يُحْسِنُ ضِيَافَتَهُ فَلَا جُنَاحَ عَلَيْهِ أَنْ يَذْكُرَ سُوءَ مَا فَعَلَهُ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آيه‌ي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عمير؛ يكنى أبا أحمد من موالي الأزد و اسم أبي عمير زياد و كان من أوثق الناس عند الخاصة و العامة و أنسكهم نسكا و أورعهم و أعبدهم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ذكره الجاحظ في كتابه في فخر قحطان على عدنان بهذه الصفة التي وصفناه و ذكر أنه كان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واحد أهل زمانه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الأشياء كلها أدرك من الأئمة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إبراهيم موسى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يرو عنه و روى عن أبي الحسن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عنه أحمد بن محمد بن عيسى كتب مائة رجل من رجال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الغيبة و البهت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طبق مرسله ي ابن ابي عمير، هر غيبتي مصداق اشاعه ي فحشاست نه بعضي از انواع غيبت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الصفار و ايوب ابن نوح هر دو ثقه‌اند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ابي عمير هم كه توضيحش در ضمن روايت قبل گذشت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للصدوق، المجلس الرابع و الخمسون،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 بن أعين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عن ابن بطة عن أحمد بن محمّد بن عيسى عن ابن أبي عمير و ابن أبي نجران جميعا عن محمّد بن حمران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فهرست الطوسي، ص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 النهدي؛ أبو جعفر ثقة كوفي الأصل نزل 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له كتاب أخبرنا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أسباط بن سالم في دهليزه يوم الأربعاء عشيا لأربع ليال خلون من شعبان سنة ثلاثين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حمران و لهذا الكتاب رواة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حمران النهدي؛ أبو جعفر ثقة كوفي الأصل نزل جرجرايا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روى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كتاب أخبرنا أحمد بن محمّد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أحمد بن محمّد بن سعيد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الحسن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علي بن أسباط بن سالم في دهليزه يوم الأربعاء عشيا لأربع ليال خلون من شعبان سنة ثلاثين و مائتين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حمران و لهذا الكتاب رواة كثيرة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حرمت غيبت جزء مسلّمات اسلام است و بررسي روايات به اين خاطر است كه ببينيم در روايات چه خصوصيات ديگري براي حرمت غيبت از حيث سعه يا ضيق يا خصوصيات ديگر وجود دارد، وگرنه حرمت غيبت مفروغٌ عنه است و ما در صدد اثبات حرمت غيبت از طريق روايات نيستيم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انصاري، الجزء الاول، النوع الرابع، الرابعة عشرة الغيبة،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الشَّيْخُ أَبُو جَعْفَرٍ مُحَمَّدُ بْنُ الْحَسَنِ بْنِ عَلِيٍّ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أَخْبَرَنَا جَمَاعَةٌ، عَنْ أَبِي الْمُفَضَّلِ،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رَجَاءُ بْنُ يَحْيَى بْنِ الْحُسَيْنِ الْعَبَرْتَائِيُّ الْكَاتِبُ سَنَةَ أَرْبَعَ عَشْرَةَ وَ ثَلَاثِ مِائَةٍ وَ فِيهَا مَاتَ،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الْحَسَنِ بْنِ شَمُّونٍ،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عَبْدُ اللَّهِ بْنُ عَبْدِ الرَّحْمَنِ الْأَصَمُّ، عَنِ الْفُضَيْلِ بْنِ يَسَارٍ، عَنْ وَهْبِ بْنِ عَبْدِ اللَّهِ بْنِ أَبِي ذُبَيٍّ الْهُنَائِيِّ،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حَدَّثَنِي أَبُو حَرْبِ بْنُ أَبِي الْأَسْوَدِ الدُّؤَلِيُّ، عَنْ أَبِيهِ أَبِي الْأَسْوَدِ،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قَدِمْتُ الرَّبَذَةَ فَدَخَلْتُ عَلَى أَبِي ذَرٍّ جُنْدَبِ بْنِ جُنَادَةَ فَحَدَّثَنِي أَبُو ذَرٍّ،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ذَاتَ يَوْمٍ فِي صَدْرِ نَهَارِهِ عَلَى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مَسْجِدِهِ، فَلَمْ أَرَ فِي الْمَسْجِدِ أَحَداً مِنَ النَّاسِ إِلَّا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جَانِبِهِ جَالِسٌ، فَاغْتَنَمْتُ خَلْوَةَ الْمَسْجِدِ،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بِأَبِي أَنْتَ وَ أُمِّي أَوْصِنِي بِوَصِيَّةٍ يَنْفَعُنِي اللَّهُ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نَعَمْ وَ أَكْرِمْ بِكَ يَا أَبَا ذَرٍّ، إِنَّكَ مِنَّا أَهْلَ الْبَيْتِ، وَ إِنِّي مُوصِيكَ بِوَصِيَّةٍ إِذَا حَفِظْتَهَا فَإِنَّهَا جَامِعَةٌ لِطُرُقِ الْخَيْرِ وَ سُبُلِهِ، فَإِنَّكَ إِنْ حَفِظْتَهَا كَانَ لَكَ بِهَا كِفْلَانِ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اعْبُدِ اللَّهَ كَأَنَّكَ تَرَاهُ، فَإِنْ كُنْتَ لَا تَرَاهُ فَإِنَّهُ ـ عَزَّ وَ جَلَّ ـ يَرَاكَ، وَ اعْلَمْ أَنَّ أَوَّلَ عِبَادَتِهِ الْمَعْرِفَةُ بِهِ بِأَنَّهُ الْأَوَّلُ قَبْلَ كُلِّ شَيْ‌ءٍ فَلَا شَيْ‌ءَ قَبْلَهُ، وَ الْفَرْدُ فَلَا ثَانِيَ مَعَهُ، وَ الْبَاقِي لَا إِلَى غَايَةٍ، فَاطِرَ السَّمَاوَاتِ وَ الْأَرْضِ وَ مَا فِيهِمَا وَ مَا بَيْنَهُمَا مِنْ شَيْ‌ءٍ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أَبَا ذَرٍّ، إِيَّاكَ وَ الْغِيبَةَ، فَإِنَّ الْغِيبَةَ أَشَدُّ مِنَ الزِّنَا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مجلس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سند اين روايت قابل اعتماد نيست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مجموعه‌ي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الغيبة،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قابل اعتماد نيست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حَدَّثَنَا مُحَمَّدُ بْنُ يَحْيَى الْعَطَّارُ قَالَ حَدَّثَنَا مُحَمَّدُ بْنُ أَحْمَدَ قَالَ حَدَّثَنَا أَبُو عَبْدِ اللَّهِ الرَّازِيُّ عَنِ الْحَسَنِ بْنِ عَلِيِّ بْنِ النُّعْمَانِ عَنْ أَسْبَاطِ بْنِ مُحَمَّدٍ يَرْفَعُهُ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الاختصاص،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مرفوعه است</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تنبيه الخواطر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مجموعه‌ي ورّام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الغيبة،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وضعيت أنَس معلوم است كه شخص مورد اعتمادي نيست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غيبت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عمّا ستره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تعريف كنيم هر غيبتي مصداق بردنِ عِرض مسلمان خواهد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تشابهي بين ربا و ريختن عرض مسلمان مي‌تواند باشد؟ پاسخ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ربا يعني چيزي را به ظلم از ديگري بگيرند، حال گاهي مالش را مي‌گيرند و گاهي آبرويش را و معلوم است كه أهمّيت آبرو بالاتر از مال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پرسش از طرف شاگردان حضرت استاد مطرح گرديد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للشعيري، الفصل التاسع و المائة في الغيبة، ص </w:t>
      </w:r>
      <w:r>
        <w:rPr>
          <w:rFonts w:eastAsia="IRNazanin" w:cs="IRNazanin"/>
          <w:b w:val="false"/>
          <w:bCs w:val="false"/>
          <w:i w:val="false"/>
          <w:iCs w:val="false"/>
          <w:color w:val="333333"/>
          <w:sz w:val="20"/>
          <w:szCs w:val="20"/>
        </w:rPr>
        <w:t>146</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شدّت كراهت عملي نمي تواند مانع قبولي نماز و صوم شود، بلكه فقط حرام بودن عمل مي تواند مانع قبولي صلاة و صوم، آن‌هم به مدت چهل روز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 الْحُسَيْنِ بْنِ أَحْمَدَ بْنِ إِدْرِيسَ عَنْ أَبِيهِ عَنْ مُحَمَّدِ بْنِ الْحُسَيْنِ بْنِ أَبِي الْخَطَّابِ عَنِ الْمُغِيرَةِ بْنِ مُحَمَّدٍ عَنْ بَكْرِ بْنِ خُنَيْسٍ عَنْ أَبِي عَبْدِ اللَّهِ الشَّامِيِّ عَنْ نَوْفٍ الْبِكَالِيِّ قَالَ أَتَيْتُ أَمِيرَ 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فِي رَحْبَةِ مَسْجِدِ الْكُوفَةِ فَقُلْتُ السَّلَامُ عَلَيْكَ يَا أَمِيرَ الْمُؤْمِنِينَ وَ رَحْمَةُ اللَّهِ وَ بَرَكَاتُهُ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عَلَيْكَ السَّلَامُ يَا نَوْفُ وَ رَحْمَةُ اللَّهِ وَ بَرَكَاتُهُ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لَهُ يَا أَمِيرَ الْمُؤْمِنِينَ عِظْنِي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نَوْفُ أَحْسِنْ يُحْسَنْ إِلَيْكَ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قُلْتُ زِدْنِي قَالَ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عِقَابِ الْأَعْمَالِ بِإِسْنَادٍ تَقَدَّمَ فِي بَابِ عِيَادَةِ الْمَرِيضِ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مُحَمَّدِ بْنِ مُوسَى بْنِ الْمُتَوَكِّلِ عَنْ مُحَمَّدِ بْنِ جَعْفَرٍ عَنْ مُوسَى بْنِ عِمْرَانَ عَنْ عَمِّهِ الْحُسَيْنِ بْنِ زَيْدٍ عَنْ حَمَّادِ بْنِ عَمْرٍو النَّصِيبِيِّ عَنْ أَبِي الْحَسَنِ الْخُرَاسَانِيِّ عَنْ مَيْسَرَةَ عَنْ أَبِي عَائِشَةَ عَنْ يَزِيدَ بْنِ عُمَرَ عَنْ عَبْدِ الْعَزِيزِ عَنْ أَبِي سَلَمَةَ بْنِ عَبْدِ الرَّحْمَنِ عَنْ أَبِي هُرَيْرَةَ وَ عَبْدِ اللَّهِ 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فِي خُطْبَةٍ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اغْتَابَ أَخَاهُ الْمُسْلِمَ بَطَلَ صَوْمُهُ وَ نُقِضَ وُضُوؤُهُ فَإِنْ مَاتَ وَ هُوَ كَذَلِكَ مَاتَ وَ هُوَ مُسْتَحِلٌّ لِمَا حَرَّمَ اللَّهُ إِلَى أَنْ قَالَ وَ مَنْ مَشَى فِي عَوْنِ أَخِيهِ وَ مَنْفَعَتِهِ فَلَهُ ثَوَابُ الْمُجَاهِدِينَ فِي سَبِيلِ اللَّهِ وَ مَنْ مَشَى فِي عَيْبِ أَخِيهِ وَ كَشْفِ عَوْرَتِهِ كَانَتْ أَوَّلُ خُطْوَةٍ خَطَاهَا وَضَعَهَا فِي جَهَنَّمَ وَ كَشَفَ اللَّهُ عَوْرَتَهُ عَلَى رُءُوسِ الْخَلَائِقِ وَ مَنْ مَشَى إِلَى ذِي قَرَابَةٍ وَ ذِي رَحِمٍ يَسْأَلُ بِهِ أَعْطَاهُ اللَّهُ أَجْرَ مِائَةِ شَهِيدٍ فَإِنْ سَأَلَ بِهِ وَ وَصَلَهُ بِمَالِهِ وَ نَفْسِهِ جَمِيعاً كَانَ لَهُ بِكُلِّ خُطْوَةٍ أَرْبَعُونَ أَلْفَ أَلْفِ حَسَنَةٍ وَ رُفِعَ لَهُ أَرْبَعُونَ أَلْفَ أَلْفِ دَرَجَةٍ وَ كَأَنَّمَا عَبَدَ اللَّهَ عَزَّ وَ جَلَّ مِائَةَ سَنَةٍ وَ مَنْ مَشَى فِي فَسَادِ مَا بَيْنَهُمَا وَ قَطِيعَةِ بَيْنِهِمَا غَضِبَ اللَّهُ عَزَّ وَ جَلَّ عَلَيْهِ وَ لَعَنَهُ فِي الدُّنْيَا وَ الْآخِرَةِ وَ كَانَ عَلَيْهِ مِنَ الْوِزْرِ كَعِدْلِ قَاطِعِ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شيخ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به جاي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وجه دلالت خيلي روشن است، ولي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في‌الجمله حرمت غيبت را اثبات مي‌كند، آن‌هم بعضي از مصاديق غيبت را نه عنوان خاصّ غيبت و تمام مواردش را</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الغيبة،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كشف الريبة، ص </w:t>
      </w:r>
      <w:r>
        <w:rPr>
          <w:rFonts w:eastAsia="IRNazanin" w:cs="IRNazanin"/>
          <w:b w:val="false"/>
          <w:bCs w:val="false"/>
          <w:i w:val="false"/>
          <w:iCs w:val="false"/>
          <w:color w:val="333333"/>
          <w:sz w:val="20"/>
          <w:szCs w:val="20"/>
        </w:rPr>
        <w:t>11</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أكل الحسنات إمّا أن يكون على وجه الإحباط أو لاضمحلال ثوابها في جنب عقابه أو لأنها تنقل الحسنات إلى المغتاب كما في غير واحد من الأخبار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الجزء الاول، النوع الرابع، الرابعة عشرة الغيبة،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شيخ متعرض دو معناي احباط نشده‌اند، ولي طبق قاعده بايد معناي دوم را اراده كرده باشند كه مطابق نظر شيعه است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الزلزلة، آيات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آيه‌ي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الغيبة حرام على كل مسلم و إن الغيبة لتأكل الحسنات كما تأكل النار الحطب و أكل الحسنات إما أن يكون على وجه الإحباط أو لاضمحلال ثوابها في جنب عقابه أو لأنها تنقل الحسنات إلى المغتاب كما في غير واحد من الأخبار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يؤتى بأحد يوم القيامة فيوقف بين يدي الرب عز و جل و يدفع إليه كتابه فلا يرى حسناته فيه فيقول إلهي ليس هذا كتابي لا أرى فيه حسناتي فيقال له إن ربك لا يضل و لا ينسى ذهب عملك باغتياب الناس ثم يؤتى بآخر و يدفع إليه كتابه فيرى فيه طاعات كثيرة فيقول إلهي ما هذا كتابي فإني ما عملت هذه الطاعات فيقال له إن فلانا اغتابك فدفعت حسناته إليك الخبر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النوع الرابع، الرابعة عشرة الغيبة،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تحريم اغتياب المؤمن،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ظاهر هذه الأخبار كون الغيبة من الكبائر كما ذكر جماعة بل أشد من بعضها و عُدّ في غير واحد من الأخبار من الكبائر الخيانة و يمكن إرجاع الغيبة إليها فأيّ خيانة أعظم من التفكه بلحم الأخ على غفلة منه و عدم شعوره بذلك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كيف كان فما سمعناه من بعض من عاصرناه من الوسوسة في عدها من الكبائر إظهار في غير المحل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النوع الرابع، الرابعة عشرة الغيبة،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اگر از گناهان بزرگى كه از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نهى شده‌ايد دورى گزينيد بدي‌هاى شما را از شما مى‌زداييم و شما را در جايگاهى ارجمند درمى‌آوريم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كسانى كه از گناهان بزرگ و زشتكاري‌ها خود را به دور مى‌دارند و چون به خشم در مى‌آيند، درمى‌گذرند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الشوري، آيه‌ي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آنان كه از گناهان بزرگ و زشتكاري‌ها ـ جز لغزش‌هاى كوچك ـ خوددارى مى‌ورزند، پروردگارت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به آن‌ها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فراخ‌آمرزش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از آن‌دم كه شما را از زمين پديد آورد و از همان‌گاه كه در شكم‌هاى مادرانتان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زهدان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نهفته بوديد،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 داناتر است، پس خودتان را پاك مشماريد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پرهيزگارى ورزد داناتر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النجم، آيه‌ي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اشتهر بين الفقهاء التفصيل بين الكبيرة و الصغيرة حكما و موضوعا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اختلف كلماتهم في تفسيرهما على نحو لا يمكن الجمع بينها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الكبيرة كل ذنب توعد اللّه عليه بالعذاب في كتابه العزيز، بل ربما نسب هذا القول الى المشهور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كل ذنب رتب الشارع المقدس عليه حدا، أو صرح فيه بالوعيد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كل معصية تؤذن بقلة اعتناء فاعلها بالدين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علمت حرمته بدليل قاطع فهو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كلما توعد عليه توعدا شديدا في الكتاب أو السنة فهو من الكبائر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الى غير ذلك من التفاسير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الكبائر تنافي العدالة دون الصغائر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التحقيق ما ذكرناه في مبحث العدالة من كتاب الصلاة من أن المعاصي كلها كبيرة و إن كان بعضها أكبر من بعضها الآخر، كالشرك باللّه العظيم، فإنه من أعظم المعاصي و قتل النفوس محترمة، فإنه أعظم من بقية الذنوب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و إنما أطلقت الكبيرة عليها بالتشكيك على اختلاف مراتبها شدة و ضعفها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المكاسب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تعريف با بسياري از روايات ما سازگار است، از جمله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عبارات جناب 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مجمع البيان اين است كه اين قول، قول شيعه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تصريح دارد كه كبيره بودن، نِسبي است و بعضي از گناهان نسبت به گناهِ پايين‌تر، كبيره و نسبت به گناهِ بالاتر، صغيره است و از اين جهت است كه مي‌گوييم كبائر و صغائر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الجهاد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عرب شدن بعد از اين‌كه هجرت كرد؛ يعني عرب بياباني شدن و مصداق آيه‌ي كريمه‌ي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الاعراب اشدّ كفراً و نفاقاً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شدن؛ يعني بعد از آن‌كه انسان به مكاني مهاجرت كرد كه مي‌تواند در آن‌جا شعائر اسلامي را اقامه كند، به سرزميني برود كه امكان اين امر در آن‌جا نباشد و نتواند وظايف شرعي خود را انجام دهد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الجهاد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كسي كه نسبت به والدين خود منع احسان كند عاق والدين گفته مي‌شود، بر خلاف تصوّر عرف كه فكر مي‌كنند عاق والدين كسي است كه مورد نفرين والدين قرار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كلمه‌ي والدين در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عاقِ والدين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بايد مفعولي معنا شود نه فاعلي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الرِّشَا فِي الْحُكْمِ فَهُوَ الْكُفْرُ بِاللَّهِ الْعَظِيمِ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ما يكتسب به، 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الجهاد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صحة التوبة من الكبائر،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الانبياء، آيه‌ي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اصرار بر گناه به معناي تكرار نيست، بلكه به معناي عدم پشيماني و مصمّم بر انجام گناه باشد، هرچند يك‌بار انجام داده باشد</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آيه‌ي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استثناء از فواحش و گناهان كبيره، مناسبات حكم و موضوع و شواهد، مؤيّد اين معناست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اللمم،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الجهاد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 هذه الأخبار كون الغيبة من الكبائر كما ذكر جماعة بل أشد من بعضها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النوع الرابع، الرابعة عشرة الغيبة،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فأيّ خيانة أعظم من التفكه بلحم الأخ على غفلة منه و عدم شعوره بذلك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عُيُونِ الْأَخْبَارِ بِأَسَانِيدِهِ عَنِ الْفَضْلِ بْنِ شَاذَانَ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إِلَى الْمَأْمُونِ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الْإِيمَانُ هُوَ أَدَاءُ الْأَمَانَةِ وَ اجْتِنَابُ جَمِيعِ الْكَبَائِرِ وَ هُوَ مَعْرِفَةٌ بِالْقَلْبِ وَ إِقْرَارٌ بِاللِّسَانِ وَ عَمَلٌ بِالْأَرْكَانِ إِلَى أَنْ قَالَ وَ اجْتِنَابُ الْكَبَائِرِ وَ هِيَ قَتْلُ النَّفْسِ الَّتِي حَرَّمَ اللَّهُ تَعَالَى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الزِّنَا وَ اللِّوَاطُ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عَلَى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الجهاد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بِإِسْنَادِهِ عَنِ الْأَعْمَشِ عَنْ جَعْفَرِ بْنِ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شَرَائِعِ الدِّينِ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الْكَبَائِرُ مُحَرَّمَةٌ وَ هِيَ الشِّرْكُ بِاللَّهِ وَ قَتْلُ النَّفْسِ الَّتِي حَرَّمَ اللَّهُ وَ عُقُوقُ الْوَالِدَيْنِ وَ الْفِرَارُ مِنَ الزَّحْفِ وَ أَكْلُ مَالِ الْيَتِيمِ ظُلْماً وَ أَكْلُ الرِّبَا بَعْدَ الْبَيِّنَةِ وَ قَذْفُ الْمُحْصَنَاتِ وَ بَعْدَ ذَلِكَ الزِّنَا وَ اللِّوَاطُ وَ السَّرِقَةُ وَ أَكْلُ الْمَيْتَةِ وَ الدَّمِ وَ لَحْمِ الْخِنْزِيرِ وَ مَا أُهِلَّ لِغَيْرِ اللَّهِ بِهِ مِنْ غَيْرِ ضَرُورَةٍ وَ أَكْلُ السُّحْتِ وَ الْبَخْسُ فِي الْمِيزَانِ وَ الْمِكْيَالِ وَ الْمَيْسِرُ وَ شَهَادَةُ الزُّورِ وَ الْيَأْسُ مِنْ رَوْحِ اللَّهِ وَ الْأَمْنُ مِنْ مَكْرِ اللَّهِ وَ الْقُنُوطُ مِنْ رَحْمَةِ اللَّهِ وَ تَرْكُ مُعَاوَنَةِ الْمَظْلُومِينَ وَ الرُّكُونُ إِلَى الظَّالِمِينَ وَ الْيَمِينُ الْغَمُوسُ وَ حَبْسُ الْحُقُوقِ مِنْ غَيْرِ عُسْرٍ وَ اسْتِعْمَالُ التَّكَبُّرِ وَ التَّجَبُّرُ وَ الْكَذِبُ وَ الْإِسْرَافُ وَ التَّبْذِيرُ وَ الْخِيَانَةُ وَ الِاسْتِخْفَافُ بِالْحَجِّ وَ الْمُحَارَبَةُ لِأَوْلِيَاءِ اللَّهِ وَ الْمَلَاهِي الَّتِي تَصُدُّ عَنْ ذِكْرِ اللَّهِ عَزَّ وَ جَلَّ مَكْرُوهَةٌ كَالْغِنَاءِ وَ ضَرْبِ الْأَوْتَارِ وَ الْإِصْرَارُ عَلَى صَغَائِرِ الذُّنُوبِ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روايات، يكي از حقوق مؤمن را غيبت نشدنِ او شمرده اند، بنابراين كسي او را غيبت كند در حقّ برادر مؤمنش خيانت كرده است و احتمال اين‌كه اين از حقوق مستحبه است نه واجب، پذيرفته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به شما فرمان مى‌دهد كه امانت‌ها را به صاحبان آن‌ها ردّ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ابتدا خانه را بنا كن سپس به فكر نقش و نگار آن باش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مَثَل براي زماني است كه قصد اثبات فرعي را داشته باشند كه هنوز اصلش ثابت نباشد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مَثَل فارسي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برادري خودت را ثابت كن بعد ادّعاي ارث كن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تحريم اغتياب المؤمن،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خَطَبَنَا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فَذَكَرَ الرِّبَا وَ عَظَّمَ شَأْنَهُ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الدِّرْهَمَ يُصِيبُهُ الرَّجُلُ مِنَ الرِّبَا أَعْظَمُ عِنْدَ اللَّهِ فِي الْخَطِيئَةِ مِنْ سِتٍّ وَ ثَلَاثِينَ زَنْيَةً يَزْنِيهَا الرَّجُلُ وَ إِنَّ أَرْبَى الرِّبَا عِرْضُ الرَّجُلِ الْمُسْلِمِ وَ أَوْحَى اللَّهُ عَزَّ وَ جَلَّ إِلَى مُوسَى بْنِ عِمْرَانَ أَنَّ الْمُغْتَابَ إِذَا تَابَ فَهُوَ آخِرُ مَنْ يَدْخُلُ الْجَنَّةَ وَ إِنْ لَمْ يَتُبْ فَهُوَ أَوَّلُ مَنْ يَدْخُلُ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الغيبة،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هنوز هم برخي مجتهدنماها نظرات خلاف واقعي درباره‌ي ربا مي‌دهند و برخي اقسام بيّن ربا را مي‌خواهند از دايره‌ي حرمت خارج كنند و بحث رباي مصرفي و سرمايه گذاري را مطرح مي‌كنند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اختلاف در عدد تشبيه بين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مي‌تواند شاهد بر مبالغه بودن اين اعداد باشد، و إلا مي‌بايست در تمامي روايات، عدد يكي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آيه‌ي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يَعْقُوبَ عَنْ عِدَّةٍ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أَحْمَدَ بْنِ مُحَمَّدِ بْنِ خَالِدٍ عَنْ عَبْدِ الْعَظِيمِ بْنِ عَبْدِ اللَّهِ الْحَسَنِيِّ قَالَ حَدَّثَنِي أَبُو جَعْفَرٍ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سَمِعْتُ أَبِي يَقُولُ سَمِعْتُ أَبِي مُوسَى بْنَ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دَخَلَ عَمْرُو بْنُ عُبَيْدٍ عَلَى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فَلَمَّا سَلَّمَ وَ جَلَسَ تَلَا هَذِهِ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الَّذِينَ يَجْتَنِبُونَ كَبائِرَ الْإِثْمِ وَ الْفَواحِشَ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أَمْسَكَ فَقَالَ لَهُ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أَسْكَتَكَ؟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أُحِبُّ أَنْ أَعْرِفَ الْكَبَائِرَ مِنْ كِتَابِ اللَّهِ عَزَّ وَ جَلَّ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يَا عَمْرُو أَكْبَرُ الْكَبَائِرِ الْإِشْرَاكُ بِاللَّهِ يَقُولُ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يُشْرِكْ بِاللّهِ فَقَدْ حَرَّمَ اللّهُ عَلَيْهِ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بَعْدَهُ الْإِيَاسُ مِنْ رَوْحِ اللَّهِ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يَيْأَسُ مِنْ رَوْحِ اللّهِ إِلَّا الْقَوْمُ الْكافِرُونَ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الْأَمْنُ مِنْ مَكْرِ اللَّهِ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فَلا يَأْمَنُ مَكْرَ اللّهِ إِلَّا الْقَوْمُ الْخاسِرُونَ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مِنْهَا عُقُوقُ الْوَالِدَيْنِ لِأَنَّ اللَّهَ سُبْحَانَهُ جَعَلَ الْعَاقَّ جَبَّاراً شَقِيّاً وَ قَتْلُ النَّفْسِ الَّتِي حَرَّمَ اللَّهُ إِلَّا بِالْحَقِّ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فَجَزاؤُهُ جَهَنَّمُ خالِداً 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الْآيَةِ وَ قَذْفُ الْمُحْصَنَةِ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لُعِنُوا فِي الدُّنْيا وَ الْآخِرَةِ وَ لَهُمْ عَذابٌ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 مَالِ الْيَتِيمِ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يَأْكُلُونَ فِي بُطُونِهِمْ ناراً وَ سَيَصْلَوْنَ سَعِيراً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الْفِرَارُ مِنَ الزَّحْفِ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يُوَلِّهِمْ يَوْمَئِذٍ دُبُرَهُ إِلّا مُتَحَرِّفاً لِقِتالٍ أَوْ مُتَحَيِّزاً إِلى فِئَةٍ فَقَدْ باءَ بِغَضَبٍ مِنَ اللّهِ وَ مَأْواهُ جَهَنَّمُ وَ بِئْسَ الْمَصِيرُ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أَكْلُ الرِّبَا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الَّذِينَ يَأْكُلُونَ الرِّبا لا يَقُومُونَ إِلّا كَما يَقُومُ الَّذِي يَتَخَبَّطُهُ الشَّيْطانُ مِنَ الْمَسِّ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السِّحْرُ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لَقَدْ عَلِمُوا لَمَنِ اشْتَراهُ ما لَهُ فِي الْآخِرَةِ مِنْ خَلاقٍ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الزِّنَا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يَفْعَلْ ذلِكَ يَلْقَ أَثاماً يُضاعَفْ لَهُالْعَذابُ يَوْمَ الْقِيامَةِ وَ يَخْلُدْ فِيهِ مُهاناً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الْيَمِينُ الْغَمُوسُ الْفَاجِرَةُ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يَشْتَرُونَ بِعَهْدِ اللّهِ وَ أَيْمانِهِمْ ثَمَناً قَلِيلًا أُولئِكَ لا خَلاقَ لَهُمْ فِي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الْغُلُولُ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يَغْلُلْ يَأْتِ بِما غَلَّ 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مَنْعُ الزَّكَاةِ الْمَفْرُوضَةِ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فَتُكْوى بِها جِباهُهُمْ وَ جُنُوبُهُمْ وَ ظُهُورُهُمْ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شَهَادَةُ الزُّورِ وَ كِتْمَانُ الشَّهَادَةِ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مَنْ يَكْتُمْها فَإِنَّهُ آثِمٌ قَلْبُهُ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شُرْبُ الْخَمْرِ لِأَنَّ اللَّهَ عَزَّ وَ جَلَّ نَهَى عَنْهَا كَمَا نَهَى عَنْ عِبَادَةِ الْأَوْثَانِ وَ تَرْكُ الصَّلَاةِ مُتَعَمِّداً أَوْ شَيْئاً مِمَّا فَرَضَ اللَّهُ عَزَّ وَ جَلَّ لِأَنَّ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مَنْ تَرَكَ الصَّلَاةَ مُتَعَمِّداً فَقَدْ بَرِئَ مِنْ ذِمَّةِ اللَّهِ وَ ذِمَّةِ رَسُولِهِ وَ نَقْضُ الْعَهْدِ وَ قَطِيعَةُ الرَّحِمِ لِأَنَّ اللَّهَ عَزَّ وَ جَلَّ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لَهُمُ اللَّعْنَةُ وَ لَهُمْ سُوءُ الدّارِ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فَخَرَجَ عَمْرٌو وَ لَهُ صُرَاخٌ مِنْ بُكَائِهِ وَ هُوَ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مَنْ قَالَ بِرَأْيِهِ وَ نَازَعَكُمْ فِي الْفَضْلِ وَ الْعِلْمِ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باب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 بْنُ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أَبِي عَنِ ابْنِ أَبِي عُمَيْرٍ عَنْ هِشَامٍ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مَنْ قَالَ فِي مُؤْمِنٍ مَا رَأَتْ عَيْنَاهُ وَ مَا سَمِعَتْ أُذُنَاهُ كَانَ مِنَ الَّذِينَ قَالَ اللَّهُ فِيهِمْ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الَّذِينَ يُحِبُّونَ أَنْ تَشِيعَ الْفاحِشَةُ فِي الَّذِينَ آمَنُوا لَهُمْ عَذابٌ أَلِيمٌ فِي الدُّنْيا وَ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ظاهر الأخبار اختصاص حرمة الغيبة بالمؤمن فيجوز اغتياب المخالف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الرابعة عشرة الغيبة،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الْحُسَيْنِ عَنْ أَحْمَدَ بْنِ مُحَمَّدِ بْنِ أَبِي نَصْرٍ عَنْ دَاوُدَ بْنِ سِرْحَانَ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مجالست اهل المعاصي،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شيخ در بحث جواز غيبت مخالفين دليلي ارائه نداده‌اند و ظاهراً بيان حضرت استاد در انتساب استدلال به شيخ، مربوط به استدلال ايشان در جواز غيبت اهل بدعت است كه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منها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مستثنيات الغيبة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قصد حسم مادة فساد المغتاب عن الناس كالمبتدع الذي يخاف من إضلاله الناس و يدل عليه مضافا إلى أن مصلحة دفع فتنته عن الناس أولى من ستر المغتاب، ما عن الكافي بسنده الصحيح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الرابعة عشرة الغيبة،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گرچه في الواقع تمام مخالفين بدعت گذار هستند، ولي شايد نتوان بر همه ي آن ها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صادق دانست؛ چون بعضي از آن ها واقعاً معتقدند كه معتقداتشان را از كتاب و سنت گرفته اند و بر چنين كسي بعيد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بدعت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صادق باشد و تمام احكامي كه براي أهل بدعت جاري است بر آن ها هم جاري باشد</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9584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اين استدلال قابل مناقشه است؛ زيرا روايت شريفه در صدد بيان حصر نيست و اثبات شيء نفي ما عدا نمي‌كند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كسي بگويد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 الْمُؤْمِنُونَ إِخْوَةٌ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استدلال مي‌كنيم كه اشكال عدم حصر نباشد، ولي اين آيه هم در مقام بيان حصر و نفي اخوت مسلمان با مؤمن نيست، بلكه در صدد بيان رجحان اصلاح ذات البين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مُحَمَّدٍ عَنْ عَلِيِّ بْنِ الْعَبَّاسِ عَنِ الْحَسَنِ بْنِ عَبْدِ الرَّحْمَنِ عَنْ عَاصِمِ بْنِ حُمَيْدٍ عَنْ أَبِي حَمْزَةَ عَنْ 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إِنَّ بَعْضَ أَصْحَابِنَا يَفْتَرُونَ وَ يَقْذِفُونَ مَنْ خَالَفَهُمْ فَقَالَ لِي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الْكَفُّ عَنْهُمْ أَجْمَل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الصبيان أو المجانين غير المميزين فلا شبهة في جواز اغتيابهم، لأن الأمور الصادرة منهم لا تعد عيبا حتى يكون ذكرها كشفا لما ستره اللّه عليهم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النسبة بين الغيبة و البهتان عموم من وجه؛ بل التحقيق أنّ بين عنواني الغيبة و البهتان عموما من وجه، فإنّ الغيبة عرفا ذكر السوء خلف المغتاب، كان فيه أم لا، و البهتان الافتراء عليه، كان حاضرا أم غائبا، فلا تقابل بينهما بالتباين و يصحّ التقابل بينهما لما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للإمام الخميني،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قيد مستورية العيب أيضا ليس من قيود موضوعها عرفا و لغة، كما تشهد به جميع الكلمات المتقدّمة من اللغويّين و التعاريف المتقدّمة من الفقهاء، فإنّه ليس في واحد منها ذكر عن اعتباره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ربّما يقال بظهور كلام صاحب الصحاح و المجمع في اعتباره، حيث قالا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هو أن يتكلّم خلف إنسان مستور بما يغمّه لو سمعه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ظاهر في التكلّم بشي‌ء 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أنت خبير بما فيه، فإنّ المراد بالإنسان المستور هو العفيف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للإمام الخميني،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مفردات ألفاظ القرآن، ذيل غيب، ص </w:t>
      </w:r>
      <w:r>
        <w:rPr>
          <w:rFonts w:eastAsia="IRNazanin" w:cs="IRNazanin"/>
          <w:b w:val="false"/>
          <w:bCs w:val="false"/>
          <w:i w:val="false"/>
          <w:iCs w:val="false"/>
          <w:color w:val="333333"/>
          <w:sz w:val="20"/>
          <w:szCs w:val="20"/>
        </w:rPr>
        <w:t>617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تاج اللغة و صحاح العربية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ذيل غيب،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رَجُل مَسْتُورٌ و سَتِيرٌ، أى عَفِيف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677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توهّم نشود كه انسان مستور يعني انسان غايب؛ زيرا با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به معناي پشت‌سر مغتاب است غايب بودن شخص را مي‌فهماند و از سوي ديگر، مستور به معناي عفيف است نه غايب</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الْمُفِيدُ فِي الْإِخْتِصَاصِ،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أَلْقَى جِلْبَابَ الْحَيَاءِ فَلَا غِيبَةَ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الْقُطْبُ الرَّاوَنْدِيُّ فِي لُبِّ اللُّبَابِ،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تاج العروس شرح كتاب قاموس المحيط است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من جواهر القاموس،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غيب،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ابن اثير جزري، متوفاي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و الأثر،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الغين مع الياء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فيومى، احمد بن محمّد مقرى، متوفاي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المصباح المنير في غريب الشرح الكبير للرافعي،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استثناء موضعين لجواز الغيبة من دون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إذا كان المغتاب متجاهراً بالفسق؛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قد تقدم عن الصحاح أخذ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المغتاب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فِي الْمَجَالِسِ وَ الْأَخْبَارِ بِإِسْنَادِهِ الْآتِي عَنْ أَبِي ذَرٍّ 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وَصِيَّةٍ 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أَبَا ذَرٍّ إِيَّاكَ وَ الْغِيبَةَ فَإِنَّ الْغِيبَةَ أَشَدُّ مِنَ الزِّنَا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وَ لِمَ ذَاكَ يَا رَسُولَ اللَّهِ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الرَّجُلَ يَزْنِي فَيَتُوبُ إِلَى اللَّهِ فَيَتُوبُ اللَّهُ عَلَيْهِ وَ الْغِيبَةُ لَا تُغْفَرُ حَتَّى يَغْفِرَهَا صَاحِبُهَا يَا أَبَا ذَرٍّ سِبَابُ الْمُسْلِمِ فُسُوقٌ وَ قِتَالُهُ كُفْرٌ وَ أَكْلُ لَحْمِهِ مِنْ مَعَاصِي اللَّهِ وَ حُرْمَةُ مَالِهِ كَحُرْمَةِ دَمِهِ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وَ مَا الْغِيبَةُ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ذِكْرُكَ أَخَاكَ بِمَا يَكْرَهُ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يَا رَسُولَ اللَّهِ فَإِنْ كَانَ فِيهِ الَّذِي يُذْكَرُ بِهِ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اعْلَمْ أَنَّكَ إِذَا ذَكَرْتَهُ بِمَا هُوَ فِيهِ فَقَدِ اغْتَبْتَهُ وَ إِذَا ذَكَرْتَهُ بِمَا لَيْسَ فِيهِ فَقَدْ بَهَتَّهُ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ما معناي غيبت را از حيث بهتان كنار مي‌گذاريم؛ زيرا خيلي مهم نيست و احتياجي هم به اين بحث نيست</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مقدّمه‌ي كشف الريبة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بعد فلما رأيت أكثر أهل هذا العصر ممن يتسم بالعلم و يتصف بالفضل و ينسب إلى العدالة و يترشح للرئاسة يحافظون على أداء الصلوات و الدءوب في الصيام و كثير من العبادات و القربات و يجتنبون جملة من المحرمات كالزناء و شرب الخمر ونحوهما من القبائح الظاهرات ثم هم مع ذلك يصرفون كثيرا من أوقاتهم و يتفكهون في مجالسهم ومحاوراتهم و يغذون نفوسهم بتناول أعراض إخوانهم من المؤمنين و نظرائهم من المسلمين و لا يعدونه من السيئات و لا يحذرون معه من مؤاخذة جبار السماوات في سبب إقدام الناس على الغيبة و السبب المقدم لهم على ذلك دون غيره من المعاصي الواضحة إما الغفلة عن تحريمه و ما ورد فيه من الوعيد و المناقشة في الآيات و الروايات و هذا هو السبب الأقل لأهل الغفلات و إما لأن مثل ذلك في المعاصي لا يخل عرفا بمراتبهم و منازلهم من الرئاسات لخفاء هذا النوع من المنكر على من يرومون المنزلة عنده من أهل الجهالات و لو وسوس إليهم الشيطان أن اشربوا الخمر أو ازنوا بالمحصنات ما أطاعوه لظهور فحشه عند العامة و سقوط محلهم به لديهم بل عند متعاطي الرذائل الواضحات و لو راجعوا عقولهم و استضاءوا بأنوار بصائرهم لوجدوا بين المعصيتين فرقا بعيدا و تفاوتا شديدا بل لا نسبة بين المعاصي المستلزمة للإخلال بحق الله سبحانه على الخصوص و بين ما يتعلق مع ذلك بحق العبيد خصوصا أعراضهم فإنها أجل من أموالهم و أشرف و متى شرف الشي ء عظم الذنب في انتهاكه مع ما يستلزمه من الفساد الكلي كما ستقف عليه إن شاء الله أحببت أن أصنع في هذه الرسالة جملة من الكلام على الغيبة و بما ورد فيها من النهي في الكتاب و السنة و الأثر و دلالة العقل عليه و سميتها كشف الريبة عن أحكام الغيبة و أتبعتها بما يليق بها من النميمة و بعض أحكام الحسد و ختمتها بالحث على التواصل و التحابب و المراحمة و رتبتها على مقدمة و فصول و خاتمة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كشف الريبة، 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القديمة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كشف الريبة،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بررسي رايانه‌اي، سه تعبير متفاوت از سه كلمه‌ي اخير جمله‌ي شهيد ثاني مشاهده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عبارت از نرم افزار جامع فقه اهل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كراهته نسبة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تايپ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عبارت ديگر، از نرم افزار جامع الاحاديث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نقل بحار الانوار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النسبة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نقل كشف الريبة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كراهته نسبته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نظر مي‌رسد عبارت 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كراهة النسبة 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 حسين عاملى، مشهور به محقّق كَرَكي يا محقّق ثانى، صاحب كتاب جامع المقاصد في شرح القواعد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في شرح القواعد،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مهدي 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ابي‌ذر، يكي از مهادي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مهدي در زمان مرحوم نراقي داشتيم كه دو نفرشان خيلي معروف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يكي سيّد مهدي بحرالعلوم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دومي مهدي بن ابي‌ذر نراقي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حكايتي از اين دو بزرگوار نقل مي‌كنند ـ به تقريب ـ اين‌كه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جناب نراقي بعد از نوشتن جامع السعادات، به نجف اشرف مشرف شد و ظاهراً سيد بحرالعلوم هم در نجف ساكن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همه‌ي علما به ديدن جناب نراقي رفتند ولي سيد بحرالعلوم نرفت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مدتي گذشت و سيد نيامد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روزي جناب نراقي گفتند ما مي‌رويم به ديدن سيد و به ديدن ايشان 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 سيد به ديدن جناب نراقي نرفتند و باز بعد از مدتي جناب نراقي دوباره به ديدن سيد رفتند و ظاهراً اين ديدن و باز نيامدن چند مرتبه انجام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 اين‌كه روزي سيد بحرالعلوم به جناب نراقي 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آيا مي‌دانيد علّت نيامدن من به ديدن شما چه بود؟ علّت اين بود كه من كتاب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جامع السعادات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مطالعه كردم و ديدم كتاب بسيار خوبي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شما به نجف آمديد خواستم ببينم آيا آن مطالب عالي كه در كتاب شماست خودتان هم متخلّق به آن آداب هستيد يا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ديدم بله، و خوشحال شدم و شكر كردم</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السعادات،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في ذكر رذيلة الغيبة،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اربعين، في ذيل حديث الثلاثين،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به نقل از مكاسب محرمه‌ي امام خميني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مولي احمد نراقي، فرزند نراقي اوّل</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مستند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مطلق الكسب و الاقتناء في حرمة الغيبة،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قيد مستورية العيب أيضا ليس من قيود موضوعها عرفا و لغة، كما تشهد به جميع الكلمات المتقدّمة من اللغويّين و التعاريف المتقدّمة من الفقهاء، فإنّه ليس في واحد منها ذكر عن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للإمام الخميني،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بيان عيب آشكار اگر غيبت نباشد منافاتي با اين ندارد كه در مواردي تحت عناوين ديگري حرام باشد؛ مثلاً ممكن است مذمّت يا تعيير ديگران باشد كه حرام است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وثاقت عبد الرحمن بن سيابه در اين سلسله سند، مشكل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گرچه برخي او را ممدوح دانسته‌اند، امّا به هيچ وجه نمي‌توان وثاقت او را پذيرفت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الغيبة و البهت،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10393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معلّي بن محمّد توثيق ندارد، لذا اين روايت نمي‌تواند حجّت باشد</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الغيبة و البهت،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حالي‌كه اگر روايت اوّل را بپذيريم، بايد ملتزم به غيبتِ اين موارد هم باشيم</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فِي التَّوْحِيدِ وَ الْخِصَالِ عَنْ أَحْمَدَ بْنِ مُحَمَّدِ بْنِ يَحْيَى عَنْ سَعْدِ بْنِ عَبْدِ اللَّهِ عَنْ يَعْقُوبَ بْنِ يَزِيدَ عَنْ حَمَّادِ بْنِ عِيسَى عَنْ حَرِيزِ بْنِ عَبْدِ اللَّهِ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القسم الرابع، المسألة الثالثة،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شيشه‌اي كه ادرار يا خون بيمار را براي معاينه در آن مي‌ريزند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آشكار كردن راز و اندوه خود، فاش كردن خبر</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الْحَسَنِ بِإِسْنَادِهِ عَنْ مُحَمَّدِ بْنِ عَلِيِّ بْنِ مَحْبُوبٍ عَنْ مُحَمَّدِ بْنِ الْحُسَيْنِ بْنِ أَبِي الْخَطَّابِ عَنْ ذُبْيَانَ بْنِ حَكِيمٍ عَنْ مُوسَى بْنِ أُكَيْلٍ النُّمَيْرِيِّ عَنِ الْعَلَاءِ بْنِ سَيَابَةَ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بِئْرٍ مُحَرَّجٍ وَقَعَ فِيهِ رَجُلٌ فَمَاتَ فِيهِ فَلَمْ يُمْكِنْ إِخْرَاجُهُ مِنَ الْبِئْرِ أَ يُتَوَضَّأُ فِي تِلْكَ الْبِئْرِ؟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يُتَوَضَّأُ فِيهِ يُعَطَّلُ وَ يُجْعَلُ قَبْراً وَ إِنْ أَمْكَنَ إِخْرَاجُهُ أُخْرِجَ وَ غُسِّلَ وَ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حُرْمَةُ الْمُسْلِمِ مَيِّتاً كَحُرْمَتِهِ وَ هُوَ حَيٌّ سَوَاءٌ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كتاب الطهارة، ابواب الدفن و ما يناسبه، باب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ابي داود،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4900</w:t>
      </w:r>
      <w:r>
        <w:rPr>
          <w:rFonts w:ascii="IRNazanin" w:hAnsi="IRNazanin" w:eastAsia="IRNazanin"/>
          <w:b w:val="false"/>
          <w:b w:val="false"/>
          <w:bCs w:val="false"/>
          <w:i w:val="false"/>
          <w:i w:val="false"/>
          <w:iCs w:val="false"/>
          <w:color w:val="333333"/>
          <w:sz w:val="20"/>
          <w:sz w:val="20"/>
          <w:szCs w:val="20"/>
          <w:rtl w:val="true"/>
        </w:rPr>
        <w:t xml:space="preserve">؛ سنن ترمزي،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1019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مَسْعَدَةَ بْنِ صَدَقَةَ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لِلْمُؤْمِنِ عَلَى الْمُؤْمِنِ سَبْعَةُ حُقُوقٍ وَاجِبَةٍ مِنَ اللَّهِ عَزَّ وَ جَلَّ الْإِجْلَالُ لَهُ فِي غَيْبَتِهِ وَ الْوُدُّ لَهُ فِي صَدْرِهِ وَ الْمُوَاسَاةُ لَهُ فِي مَالِهِ وَ أَنْ يَحْرِمَ غِيبَتَهُ وَ أَنْ يَعُودَهُ فِي مَرَضِهِ وَ أَنْ يُشَيِّعَ جَنَازَتَهُ وَ أَنْ لَا يَقُولَ فِيهِ بَعْدَ مَوْتِهِ إِلَّا خَيْراً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تتمة كتاب الحج، ابواب احكام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مي‌داد كه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سبّ كنند</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مراجعه شود به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روايت داود بن سرحان</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نظر حضرت استاد، در بهتان بودن چنين مواردي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از كتاب مصباح الشريعة، باب المائة في الغيبة،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نقل شده است كه حضرت استاد در امر هشتم از همين مبحث، توضيحاتي پيرامون اين كتاب بيان مي‌فرمايند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الباب المائة في الغيبة،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مادّه‌ي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دلتنگي و اسباب غصّه است؛ مثلاً كسي دلش براي ديگري مي‌سوزد و نزد ديگران مي‌گويد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بيچاره فلاني مبتلا به شرب خمر است امّا پنهاني مي‌خورد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از روي ناراحتي و غصّه غيبتِ ديگران مي‌كند غافل از اين‌كه گناه است</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تزيّن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مي‌توان در ضمن يك مثال، اين‌گونه معنا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بعضي قصد بيان مناقب و فضايل خودشان را دارند، ولي چون جامعه مستقيماً نمي‌پذيرد، زيرا آيه‌ي شريفه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 تُزَكُّوا أَنْفُسَكُم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خودتان را پاك مشماريد و روايت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تزكية المرء لنفسه قبيحٌ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مضاف به اين‌كه با فطرت هم سازگاري ندارد، پس با وجود نهي شرعي ـ هرچند تنزيهي ـ اين افراد از در ديگري وارد مي‌شوند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اينان از هر كسي سخني به ميان بيايد يك اشكال و قدحي بر او وارد مي‌كنند تا به خيال خود، با نفي ديگران كمالات و فضائل خود را اثبات كنند</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الامان،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كساني بود كه اگر حقيقت امر برايش مشخص نمي‌شد، به شدّت از مأثور بودن چنين عباراتي دفاع مي‌كرد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 با استفاده از بيانات حضرت استاد</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شهيد ثاني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كتاب كشف الريبة چندان رعايت سند روايات را نكرده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حتي گاهي از عامّه هم روايت نقل مي‌كند، بلكه گاهي قول عايشه را هم به عنوان شاهد قول خود ذكر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اگر بنا بود حكم قطعي از اين روايات استفاده شود، بعيد است ملتزم به اين روايات مي‌شدند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چون برخي روايات، مفادشان مفاد درستي بوده، چندان بررسي سندي نمي‌كرد و با تسامح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اين‌چنين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 بعيد است در همين موارد هم ايشان نسبت قطعي به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بدهد، بلكه غرض ايشان آن است كه به حسب نقل، حضرت چنين فرمودند و اين‌كه به اين جهت تصريح نكردند، چون نزد اهل فن معلوم بوده است</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صص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برخي نقل‌ها، كلمه‌ي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نيامده است، مانند نقل مرآة العقول، بحار الانوار و منهاج البراعة</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ادامه‌ي توضيح تشفّي غيظ، مرحوم شهيد ثاني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سبق اللسان إليه بالطبع إن لم يكن دين ورع و قد يمتنع من تشفي الغيظ عند الغضب فيتحقق في الباطن فيصير حقدا ثابتا فيكون سببا دائما لذكر المساوئ فالحقد و الغضب من البواعث العظيمة على الغيبة</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ادامه‌ي توضيح اين قسم، مرحوم شهيد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يظن أنه مجاملة في الصحبة و قد يغضب رفقاؤه فيحتاج إلى أن يغضب لغضبهم إظهارا للمساهمة في السراء و الضراء فيخوض معهم في ذلك العيوب و المَساوئ</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استاد از اين قسمت به بعد، ديگر عين متن كلام شهيد ثاني را نقل نفرمودند، ولي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پاورقي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ادامه‌ي متن شهيد را ذكر مي‌كنيم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السادس الحسد و هو أنه ربما يحسد من يثني الناس عليه و يحبونه و يكرمونه فيريد زوال تلك النعمة عنه فلا يجد سبيلا إليه إلا بالقدح فيه فيريد أن يسقط ماء وجهه عند الناس حتى يكفوا عن إكرامه و الثناء عليه لأنه يثقل عليه أن يسمع ثناء الناس عليه و إكرامهم له و هذا هو الحسد و هو عين الغضب و الحقد و الحسد قد يكون مع الصديق المحسن و القريب الموافق</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احتمالات، در حدّ همان احتمال است و طرح آن‌ها به اين معنا نيست كه تمامي احتمالات، قائل هم داشته باشد</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الْحَسَنِ بِإِسْنَادِهِ عَنِ الْحُسَيْنِ بْنِ سَعِيدٍ عَنْ حَمَّادٍ عَنْ حَرِيزٍ عَنْ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لَهُ الرَّجُلُ يَنَامُ وَ هُوَ عَلَى وُضُوءٍ أَ تُوجِبُ الْخَفْقَةُ وَ الْخَفْقَتَانِ عَلَيْهِ الْوُضُوءَ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تَنَامُ الْعَيْنُ وَ لَا يَنَامُ الْقَلْبُ وَ الْأُذُنُ فَإِذَا نَامَتِ الْعَيْنُ وَ الْأُذُنُ وَ الْقَلْبُ وَجَبَ الْوُضُوءُ قُلْتُ فَإِنْ حُرِّكَ إِلَى جَنْبِهِ شَيْ‌ءٌ وَ لَمْ يَعْلَمْ بِهِ قَالَ لَا حَتَّى يَسْتَيْقِنَ أَنَّهُ قَدْ نَامَ حَتَّى يَجِي‌ءَ مِنْ ذَلِكَ أَمْرٌ بَيِّنٌ وَ إِلَّا فَإِنَّهُ عَلَى يَقِينٍ مِنْ وُضُوئِهِ وَ لَا تَنْقُضِ الْيَقِينَ أَبَداً بِالشَّكِّ وَ إِنَّمَا تَنْقُضُهُ بِيَقِينٍ 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نواقض الوضوء،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كيفيت جريان برائت در امور وضعي را در بحث اصول ذكر كرده‌ايم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فعلاً به بررسي اثبات وجوب استحلال مي‌پردازيم، سپس استغفار للمغتاب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سند خودش از مسعدة بن صدقة اين روايت را نقل مي‌فرمايد، كه سند ايشان براي ما قابل تصديق نيست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الْمَجَالِسِ عَنْ مُحَمَّدِ بْنِ الْحَسَنِ عَنِ الْحِمْيَرِيِّ عَنْ هَارُونَ بْنِ مُسْلِمٍ عَنْ مَسْعَدَةَ بْنِ صَدَقَةَ مِثْلَهُ وَ فِي الْخِصَالِ عَنْ مُحَمَّدِ بْنِ الْحَسَنِ عَنِ الصَّفَّارِ عَنْ هَارُونَ بْنِ مُسْلِمٍ وَ عَنْ أَبِيهِ عَنِ الْحِمْيَرِيِّ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وجوب أداء حق المؤمن،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نكته‌ي مهمي كه لازم است تذكر دهيم اين است كه كسي نگويد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حالا كه اين روايات سند ندارد پس هيچ ارزش و اعتباري ندارند؛ زيرا ممكن است همين روايات ضعيف وقتي تعداد آن‌ها زياد شد يا با قرائني همراه شد، براي شخص محقِّق، اطمينان به صدورش حاصل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به صِرف اين‌كه سند روايت ناتمام باشد نبايد عقب‌گرد كرد؛ زيرا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ممكن است برخي همين سند را قبول داشته باشند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مسعدة و هارون در رجال كامل الزيارات هستند و برخي رجال كامل الزيارات را قبول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قرائني جمع شود و براي انسان، اطمينان از صدور روايت حاصل شود</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سند اين روايت قابل اعتماد نيست</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روايت ناتمام است</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ستر عيوب ديگران واجب باشد؛ مثلاً اگر كسي بدون هيچ عذري در حال روزه خواري است يا كسي كچل است، آيا بر ديگران واجب است اين عيب ديني يا جسمي او را بپوشانند؟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غير نقية السند مع أن السند لو كان نقيا كانت الدلالة ضعيفة لذكر حقوق أخرى في الروايات لا قائل بوجوب البراءة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المكاسب المحرمة للشيخ الانصاري،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كشف‌الريبة،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تحريم اغتياب المؤمن صدقاً،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 اشاره‌ي حضرت استاد به اين كلام سيّد خويي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انه لا بد من حمل نظائر هذه الأخبار على الاحكام الأخلاقية، فإنه لم يتفوه احد ببطلان عبادة المغتاب بالكسر، و وجوب القضاء عليهم بعد التوبة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مصباح الفقاهة،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فات يفوت بر وزن قُلتُ به معناي من آن را فوت كردم</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دعاي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كان من دعائه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طلب العفو و الرحمة،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من يا او زودتر از دنيا برود و دست‌مان از هم كوتاه شود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ترجمه و شرح فيض الاسلام،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ترجمه و شرح فيض الاسلام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اندكي تصرّف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پس اگر كسى از سوى برادر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خود، چيزى به او بخشيده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حكم قصاص او تبديل به خون‌بها 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بايد از راه پسنديده پيروى كند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صاحب خون، حال پرداخت كننده‌ي ديه را در نظر بگيرد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به نيكى ديه را بپردازد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تخفيف و رحمتى از ناحيه‌ي پروردگار شما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اگر كسى آن را ببخشد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از قصاص صرف نظر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كفّاره‌ي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گناهان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محسوب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المائدة، آيه‌ي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آيه‌ي شريفه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ذيل مطالب مربوط به طلاق آمده است، امّا بعيد نيست به عنوان يك قاعده‌ي عام ارائه شده باشد</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الصحيفة المعلوم أنها من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 (</w:t>
      </w:r>
      <w:r>
        <w:rPr>
          <w:rFonts w:ascii="IRNazanin" w:hAnsi="IRNazanin" w:eastAsia="IRNazanin"/>
          <w:b w:val="false"/>
          <w:b w:val="false"/>
          <w:bCs w:val="false"/>
          <w:i w:val="false"/>
          <w:i w:val="false"/>
          <w:iCs w:val="false"/>
          <w:color w:val="333333"/>
          <w:sz w:val="20"/>
          <w:sz w:val="20"/>
          <w:szCs w:val="20"/>
          <w:rtl w:val="true"/>
        </w:rPr>
        <w:t xml:space="preserve">جواهر الكلام،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للإمام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 الاستغفار للمغتاب بالفتح فذهب الى وجوبه غير واحد من الأصحاب، و يمكن الاستدلال عليه بأمور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تقدم من دعاء السجاد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طلب العفو و الرحمة لذوي الحقوق و المظلمة، و فيه أن الفعل الصادر من المعصوم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يدل على الوجوب لكونه أعم منه و من المستحب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كفارة الغيبة،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وسائل، اين روايت را از كافي نقل مي‌فرمايد، ولي وقتي به كافي نگاه مي‌كنيم، به جاي حفص بن عمير، حفص بن عُمر در سند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هيچ‌كدام توثيق ندارند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احمد بن محمّد خالد برقي است كه گاهي او را به پدرش نسبت مي‌دهند و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و گاهي به جدّش كه ابي عبدالله باشد نسبت مي‌دهند</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تمامي سلسله سند غير از حفص، ثقه هستند</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أَبِيهِ وَ أَبُو عَلِيٍّ الْأَشْعَرِيُّ وَ مُحَمَّدُ بْنُ يَحْيَى جَمِيعاً عَنِ الْحُسَيْنِ بْنِ إِسْحَاقَ عَنْ عَلِيِّ بْنِ مَهْزِيَارَ عَنْ فَضَالَةَ بْنِ أَيُّوبَ عَنْ عَبْدِ الصَّمَدِ بْنِ بَشِيرٍ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الْعَبْدُ الْمُؤْمِنُ إِذَا أَذْنَبَ ذَنْباً أَجَّلَهُ اللَّهُ سَبْعَ سَاعَاتٍ فَإِنِ اسْتَغْفَرَ اللَّهَ لَمْ يُكْتَبْ عَلَيْهِ شَيْ‌ءٌ وَ إِنْ مَضَتِ السَّاعَاتُ وَ لَمْ يَسْتَغْفِرْ كُتِبَتْ عَلَيْهِ سَيِّئَةٌ وَ إِنَّ الْمُؤْمِنَ لَيُذَكَّرُ ذَنْبَهُ بَعْدَ عِشْرِينَ سَنَةً حَتَّى يَسْتَغْفِرَ رَبَّهُ فَيَغْفِرَ لَهُ وَ إِنَّ الْكَافِرَ لَيَنْسَاهُ مِنْ سَاعَتِه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الاستغفار من الذنب،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 مقتضى العمل بها هو وجوب الاستغفار للمغتاب بالفتح كلما ذكره، أو كل وقت ذكر الاغتياب، و من الواضح ان هذا خلاف الضرورة، و لم يلتزم به فقيه فيما نعلم و ان ذكره بعض أهل الأخلاق، و عليه فتحمل الرواية على الجهات الأخلاقية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كفارة الغيبة،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 بن عمر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است، ولي جناب مجلسي در روضة المتقين در ذيل شرح حديث </w:t>
      </w:r>
      <w:r>
        <w:rPr>
          <w:rFonts w:eastAsia="IRNazanin" w:cs="IRNazanin"/>
          <w:b w:val="false"/>
          <w:bCs w:val="false"/>
          <w:i w:val="false"/>
          <w:iCs w:val="false"/>
          <w:color w:val="333333"/>
          <w:sz w:val="20"/>
          <w:szCs w:val="20"/>
        </w:rPr>
        <w:t>4327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نسخه بدل مي‌داند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كتاب الايلاء، ابواب الكفارات، باب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جناب صدوق از سند خود به عمر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حفص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 جعفر، ذكري در مشيخه بيان نفرموده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10454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ضمير فاعلي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ظلم برمي‌گردد؛ يعني ظلم از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كسي كه ظلم كرده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فوت شود و نتواند جبرانش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نظير آيه‌ي شريفه‌ي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اعْدِلُوا هُوَ أَقْرَبُ لِلتَّقْوى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كه ضمير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عدل برمي‌گردد</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داراي ضمير هم هست، نمي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تواند ضمير مستتر آن به مظلوم برگردد؛ زيرا چنين تعبيري نامأنوس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شيخ تقييد است؛ چون اطلاق در مقابلش تقييد است، ولي گاهي به تقييد هم تخصيص مي‌گويند كه در اين موارد، معناي لغوي مراد است نه معناي اصطلاحي</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روى السكوني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كفّارة الاغتياب أن تستغفر لمن اغتبته كلما ذكرته و لو صح سنده أمكن تخصيص الإطلاقات المتقدمة به فيكون الاستغفار طريقا أيضا إلى البراءة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همان‌گونه كه اگر اطلاق وجوب، تخييري بود منصرف به تقييد است</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الايمان و الكفر، باب الغيبة و البهت،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تتمه كتاب الجهاد، ابواب جهاد النفس، باب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العدم أيضا لأن كون الاستغفار كفّارة لا يدل على البراءة فلعلّه كفّارة للذنب من حيث كونه حقا لله تعالى نظير كفارة قتل الخطاء التي لا توجب براءة القاتل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ابواب احكام العشرة، باب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للامام الخميني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آيه‌ي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صفحه‌ي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همين كتاب</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بياني كه از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تفسير تبيان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ذيل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سوره‌ي مباركه‌ي الحجرات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هست، اين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فالغيبة ذكر العيب بظهر الغيب على وجه تمنع الحكمة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جلد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 المستفاد من الأخبار المتقدمة و غيرها أن حرمة الغيبة لأجل انتقاص المؤمن و تأذيه منه فإذا فرض هناك مصلحة راجعة إلى المغتاب بالكسر أو بالفتح أو ثالث دل العقل أو الشرع على كونها أعظم من مصلحة احترام المؤمن بترك ذلك القول فيه وجب كون الحكم على طبق أقوى المصلحتين كما هو الحال في كل معصية من حقوق الله و حقوق الناس و قد نبه عليه غير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جامع المقاصد بعد ما تقدم عنه في تعريف الغيبة إن ضابط الغيبة المحرمة كل فعل يقصد به هتك عرض المؤمن أو التفكه به أو إضحاك الناس منه و أما ما كان لغرض صحيح فلا يحرم كنصح المستشير و التظلم و سماعه و الجرح و التعديل و رد من ادعى نسبا ليس له و القدح في مقالة باطلة خصوصا في الدين انتهى و في كشف الريبة اعلم أن المرخص في ذكر مساوئ الغير غرض صحيح لا يمكن التوصل إليه إلا بها انتهى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على هذا فموارد الاستثناء لا تنحصر في عدد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كله فالأحوط عد هذه الصورة من الصور العشر الآتية التي رخص فيها في الغيبة لغرض صحيح أقوى من مصلحة احترام المغتاب كما أن الأحوط جعل الصورة السابقة خارجة عن موضوع الغيبة بذكر المتجاهر بما لا يكره نسبته إليه من الفسق المتجاهر به و إن جعلها من تعرض لصور الاستثناء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جوامع المكاسب المحرمة،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فاعلم أن المستفاد من الأخبار المتقدمة و غيرها أن حرمة الغيبة لأجل انتقاص المؤمن و تأذيه منه فإذا فرض هناك مصلحة راجعة إلى المغتاب بالكسر أو بالفتح أو ثالث دل العقل أو الشرع على كونها أعظم من مصلحة احترام المؤمن بترك ذلك القول فيه وجب كون الحكم على طبق أقوى المصلحتين كما هو الحال في كل معصية من حقوق الله و حقوق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الظاهر استثناء موضعين لجواز الغيبة من دون مصلحة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أحدهما ما إذا كان المغتاب متجاهرا بالفسق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برادرت به آن‌چه كه دوست نمي‌دارد</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من لم يبال بظهور فسقه بين الناس لا يكره ذكره بالفسق نعم لو كان في مقام ذمّه كرهه من حيث المذمّة لكن المذمّة على الفسق المتجاهر به لا تحرم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مقصود از مؤمن، كسي است كه شهادت به ولايت اميرالمؤمنين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اولاد معصومينش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داده باشد</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مسعدة بن صدقة توثيق ندارد، بنابراين سند روايت ناتمام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بعيد نيست كه احمد بن محمّد بن خالد البرقي مستقيماً بتواند از هارون بن الجهم اگر از معمرين باشد، نقل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سند اين روايت به خاطر ابي البختري كه توثيق ندارد، ناتمام است و اين روايت مي‌تواند تنها مؤيّد باشد</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يَعْقُوبَ عَنْ مُحَمَّدِ بْنِ مُحَمَّدِ بْنِ الْحُسَيْنِ عَنْ أَحْمَدَ بْنِ مُحَمَّدِ بْنِ أَبِي نَصْرٍ عَنْ دَاوُدَ بْنِ سِرْحَانَ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يَتَعَلَّمُونَ مِنْ بِدَعِهِمْ يَكْتُبِ اللَّهُ لَكُمْ بِذَلِكَ الْحَسَنَاتِ وَ يَرْفَعْ لَكُمْ بِهِ الدَّرَجَاتِ فِي الْآخِرَةِ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المنكر، ابواب الامر و النهي،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تتمة ابواب احكام العشرة،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ادامه‌ي روايت اين‌چنين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فَإِذَا كَانَ كَذَلِكَ لَازِماً لِمُصَلَّاهُ عِنْدَ حُضُورِ الصَّلَوَاتِ الْخَمْسِ فَإِذَا سُئِلَ عَنْهُ فِي قَبِيلَتِهِ وَ مَحَلَّتِهِ قَالُوا مَا رَأَيْنَا مِنْهُ إِلَّا خَيْراً مُوَاظِباً عَلَى الصَّلَوَاتِ مُتَعَاهِداً لِأَوْقَاتِهَا فِي مُصَلَّاهُ فَإِنَّ ذَلِكَ يُجِيزُ شَهَادَتَهُ وَ عَدَالَتَهُ بَيْنَ الْمُسْلِمِينَ وَ ذَلِكَ أَنَّ الصَّلَاةَ سِتْرٌ وَ كَفَّارَةٌ لِلذُّنُوبِ وَ لَيْسَ يُمْكِنُ الشَّهَادَةُ عَلَى الرَّجُلِ بِأَنَّهُ يُصَلِّي إِذَا كَانَ لَا يَحْضُرُ مُصَلَّاهُ وَ يَتَعَاهَدُ جَمَاعَةَ الْمُسْلِمِينَ وَ إِنَّمَا جُعِلَ الْجَمَاعَةُ وَ الِاجْتِمَاعُ إِلَى الصَّلَاةِ لِكَيْ يُعْرَفَ مَنْ يُصَلِّي مِمَّنْ لَا يُصَلِّي وَ مَنْ يَحْفَظُ مَوَاقِيتَ الصَّلَوَاتِ مِمَّنْ يُضَيِّعُ وَ لَوْ لَا ذَلِكَ لَمْ يُمْكِنْ أَحَداً أَنْ يَشْهَدَ عَلَى آخَرَ بِصَلَاحٍ لِأَنَّ مَنْ لَا يُصَلِّي لَا صَلَاحَ لَهُ بَيْنَ الْمُسْلِمِينَ فَإِنَّ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بِأَنْ يُحْرِقَ قَوْماً فِي مَنَازِلِهِمْ لِتَرْكِهِمُ الْحُضُورَ لِجَمَاعَةِ الْمُسْلِمِينَ وَ قَدْ كَانَ مِنْهُمْ مَنْ يُصَلِّي فِي بَيْتِهِ فَلَمْ يَقْبَلْ مِنْهُ ذَلِكَ وَ كَيْفَ تُقْبَلُ شَهَادَةٌ أَوْ عَدَالَةٌ بَيْنَ الْمُسْلِمِينَ مِمَّنْ جَرَى الْحُكْمُ مِنَ اللَّهِ عَزَّ وَ جَلَّ وَ مِنْ 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فِيهِ الْحَرَقُ فِي جَوْفِ بَيْتِهِ بِالنَّهَارِ وَ قَدْ كَانَ يَقُولُ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لِمَنْ لَا يُصَلِّي فِي الْمَسْجِدِ مَعَ الْمُسْلِمِينَ إِلَّا مِنْ عِلَّةٍ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بالعدالة، ح </w:t>
      </w:r>
      <w:r>
        <w:rPr>
          <w:rFonts w:eastAsia="IRNazanin" w:cs="IRNazanin"/>
          <w:b w:val="false"/>
          <w:bCs w:val="false"/>
          <w:i w:val="false"/>
          <w:iCs w:val="false"/>
          <w:color w:val="333333"/>
          <w:sz w:val="20"/>
          <w:szCs w:val="20"/>
        </w:rPr>
        <w:t>3280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علي الاردبيلي الغروي الحائري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صاحب كتاب جامع الرواة و ازاحة الاشبهات عن الطرق و الاسناد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زكى الدين مولى عناية الله بن شرف الدين على قهپايى اصفهانى، كه لقب ايشان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زكىّ نجفى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زيرا كه اصل، منشأ و محل اقامت ايشان نجف اشرف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قهپايي، عالمى محقّق و از جمله‌ي شاگردان محقّق اردبيلى، شيخ بهايى و مولى عبد اللّه تسترى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 سندي روايتِ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رفع ما لايعلمون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مربوط به ايشان است و فقط هم از طريق او نقل شده و سند ديگري ندارد</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يحيى العطّار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عنه التَلّعُكبَري و أخبرنا عنه الحسين بن عبيد الله، و أبو الحسين بن أبي جيد القمي، و سمع منه سنة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و له منه إجازة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ذيل احمد بن محمّد بن يحيي،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أحمد بن يحيى بن عمران بن عبدالله بن سعد بن مالك الأشعري القمي أبو جعفر، كان ثقة في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لمحمّد بن أحمد بن يحيى، كتب،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نوادر الحكمة و هو كتاب حسن كبير، يعرفه القميون بدبة شبيب، قال و شبيب فامي، كان بقم له دبة ذات بيوت يعطى منها ما يطلب منه من دهن، فشبهوا هذا الكتاب بذلك و له كتاب الملاحم و كتاب الطب و كتاب مقتل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كتاب الإمامة، كتاب المزار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شيخ انصاري در وجه استدلال، بياني ارائه داده‌اند كه داراي اشكال است و ما بيان ديگري را كه بهتر است ارائه مي‌دهيم</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صحيحة ابن أبي يعفور الواردة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العدالة بعد تعريف العدالة أن الدليل على ذلك أن يكون ساترا لجميع عيوبه حتى يحرم على المسلمين تفتيش ما وراء ذلك من عثراته دل على ترتب حرمة التفتيش على كون الرجل ساترا فتنتفي عند انتفائه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فيما اختلف من الأخبار،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العدالة المعتبرة في الشهادة،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تهذيب الاحكام،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البينات،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وجوب غيبت، براي مواقعي است كه نياز باشد؛ مثلاً اگر بخواهد با اين‌كار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ترك جماعت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شقّ عصاي مسلمين كرده و بين مسلمين نفاق ايجاد كند</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 رسد كه رغبت عن جماعة المسلمين خصوصيتي دارد؛ نه فقط به خاطر آن‌كه عدالتش از بين مي رود، بلكه اين‌كه حضرت دستور به آتش زدن خانه هاي كساني كه رغبت عن جماعة المسلمين داشتند، دادند و فرمودند چنين كسي غيبتش واجب است، استفاده مي‌شود خصوصيتي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عدالت شخص چگونه شناخته مي‌شود؟</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فان مقتضى ذلك، اعتبار العدالة في حرمة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يعتبر في الشاهد من العدالة،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عرض المجالس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نقل شده است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جناب علي بن بابويه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قم مدفون هستند</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صَالِحُ بْنُ عُقْبَةَ الْجُهَنِيُّ وَ سَيْفُ بْنُ عَمِيرَةَ قَالَ عَلْقَمَةُ بْنُ مُحَمَّدٍ الْحَضْرَمِيُّ فَقُلْتُ لِأَبِي جَعْفَرٍ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عَلِّمْنِي دُعَاءً أَدْعُو بِهِ فِي ذَلِكَ الْيَوْمِ إِذَا أَنَا زُرْتُهُ مِنْ قَرِيبٍ وَ دُعَاءً أَدْعُو بِهِ إِذَا لَمْ أَزُرْهُ مِنْ قَرِيبٍ وَ أَوْمَأْتُ إِلَيْهِ مِنْ بُعْدِ الْبِلَادِ وَ مِنْ سَطْحِ دَارِي بِالسَّلَامِ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يَا عَلْقَمَةُ إِذَا أَنْتَ صَلَّيْتَ رَكْعَتَيْنِ بَعْدَ أَنْ تُومِئَ إِلَيْهِ بِالسَّلَامِ وَ قُلْتَ عِنْدَ الْإِيمَاءِ إِلَيْهِ وَ مِنْ بَعْدِ الرَّكْعَتَيْنِ هَذَا الْقَوْلَ فَإِنَّكَ إِذَا قُلْتَ ذَلِكَ فَقَدْ دَعَوْتَ بِمَا يَدْعُو بِهِ مَنْ زَارَهُ مِنَ الْمَلَائِكَةِ وَ كَتَبَ اللَّهُ لَكَ بِهَا أَلْفَ أَلْفِ حَسَنَةٍ وَ مَحَا عَنْكَ أَلْفَ أَلْفِ سَيِّئَةٍ وَ رَفَعَ لَكَ مِائَةَ أَلْفِ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دَرَجَةٍ وَ كُنْتَ مِمَّنِ اسْتُشْهِدَ مَعَ الْحُسَيْنِ بْنِ عَلِيٍّ حَتَّى تُشَارِكَهُمْ فِي دَرَجَاتِهِمْ وَ لَا تُعْرَفُ إِلَّا فِي الشُّهَدَاءِ الَّذِينَ اسْتُشْهِدُوا مَعَهُ وَ كَتَبَ لَكَ ثَوَابَ كُلِّ نَبِيٍّ وَ رَسُولٍ وَ زِيَارَةِ مَنْ زَارَ الْحُسَيْنَ بْنَ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مُنْذُ يَوْمَ قُتِلَ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عَلَيْكَ يَا أَبَا عَبْدِ اللَّهِ السَّلَامُ عَلَيْكَ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 على ترتب حرمة الاغتياب و قبول الشهادة على كونه من أهل الستر و كونه من أهل العدالة على طريق اللف و النشر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اشتراط الكل بكون الرجل غير مرئي منه المعصية و لا مشهود عليه بها و مقتضى المفهوم جواز الاغتياب مع عدم الشرط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خرج منه غير المتجاهر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كون قوله من اغتابه إلى آخره جملة مستأنفة غير معطوفة على الجزاء خلاف الظاهر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صلاة الجماعة،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عدّه‌اي كه جناب كليني از آن‌ها نقل روايت مي‌كند از حيث وثاقت مشكلي ندارند، مخصوصاً اگر عدّه‌ي چند نفر باشند،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احمد بن محمّد بن خالد و احمد بن محمّد بن عيسي</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الراوي من فرق الشيعة مثل الفطحية و الواقفة و الناووسية و غيرهم نظر فيما يرويه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كان هناك قرينة تعضده أو خبر آخر من جهة الموثوقين بهم، وجب العمل به 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لأجل ما قلناه عملت الطائفة بأخبار الفطحية مثل عبد اللَّه بن بكير و غيره، و أخبار الواقفة مثل سماعة بن مهران و علي بن أبي حمزة و عثمان بن عيسى و من بعد هؤلاء بما رواه بنو فضال و بنو سماعة و الطاطريون و غيرهم فيما لم يكن عندهم فيه خلافه، انتهي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العدة للطوسي،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فروى الثقات أن أول من أظهر هذا الاعتقاد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القول بالوقف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حمزة البطائني و زياد بن مروان القندي و عثمان بن عيسى الرواسي طمعوا في الدنيا و مالوا إلى حطامها و استمالوا قوما فبذلوا لهم شيئا مما اختانوه من الأموال نحو حمزة بن بزيع و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الغيبة للطوسي،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گرچه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مي‌فرمايد ثقات روايت كرده‌اند كه علي بن أبي حمزه و زياد بن مروان القندي و عثمان بن عيسي الرواسي اولين كساني بودند كه طمعاً لحطام الدنيا، در امامت امام كاظم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كرده و اموال موسي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غصب كردند، امّا وقتي رواياتي را كه با اين مضمون ذكر مي‌كند نگاه مي‌كنيم، مي‌بينيم اين روايات از لحاظ سند تمام نيست يا در بعضي از آن روايات اسمي از عثمان بن عيسي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نمونه از آن را ذكر مي‌كنيم</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 همين روايت را جناب صدوق در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در آن‌جا هم دو سه سند است كه در همه‌ي آن‌ها افراد مجهول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قابل اعتماد نيست و فقط مي‌تواند در حدّ تأييد باشد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كتاب الشهادات، باب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يعتبر في الشاهد من العدالة،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نام محله‌اي در قم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الفائدة الثالثة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الصدوق محمّد بن يعقوب الكليني في كتابه الكافي في أخبار كثيرة عدة من أصحابنا عن أحمد بن محمّد بن عيسى قال و المراد بقولي عدة من أصحابنا محمّد بن يحيى و علي بن موسى الكمنداني و داود بن كورة و أحمد بن إدريس و علي بن إبراهيم بن هاشم و قال كلما ذكرته في كتابي المشار إليه عدة من أصحابنا عن أحمد بن محمّد بن خالد البرقي فهم علي بن إبراهيم و علي بن محمّد بن عبد الله بن أذينة و أحمد بن عبد الله بن أمية و علي بن الحسن قال و كلما ذكرته في كتابي المشار إليه عدة من أصحابنا عن سهل بن زياد فهم علي بن محمّد بن علان و محمد بن أبي عبد الله و محمّد بن الحسن و محمّد بن عقيل الكليني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رجال العلامة ـ خلاصة الأقوال، ص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 ذلك كله فالأحوط عد هذه الصورة من الصور العشر الآتية التي رخص فيها في الغيبة لغرض صحيح أقوى من مصلحة احترام المغتاب كما أن الأحوط جعل الصورة السابقة خارجة عن موضوع الغيبة بذكر المتجاهر بما لا يكره نسبته إليه من الفسق المتجاهر به و إن جعلها من تعرض لصور الاستثناء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 مقتضى إطلاق الروايات جواز غيبة المتجاهر فيما تجاهر به و لو مع عدم قصد غرض صحيح و لم أجد من قال باعتبار قصد الغرض الصحيح و هو ارتداعه عن المنكر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تقدم عن الشهيد الثاني احتمال اعتبار قصد النهي عن المنكر في جواز سب المتجاهر مع اعترافه بأن ظاهر النص و الفتوى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لو كان متجاهرا عند أهل بلده أو محلته مستورا عند غيرهم، هل يجوز ذكره عند غيرهم ففيه إشكال من إمكان دعوى ظهور روايات المرخصة فيمن لا يستنكف عن الإطلاق على عمله مطلقا فرب متجاهر في بلده متستر في بلاد الغربة أو في طريق الحج و الزيارة لئلا يقع عن عيون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بالجملة فحيث كان الأصل في المؤمن الاحترام على الإطلاق وجب الاقتصار على ما تيقن خروجه فالأحوط الاقتصار على ذكر المتجاهر بما لا يكرهه لو سمعه و لا يستنكف من ظهوره للغير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تأذى من ذمه بذلك دون ظهوره لم يقدح في الجواز و لذا جاز سبه بما لا يكون كذبا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المراد بالمتجاهر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تجاهر بالقبيح بعنوان أنه قبيح فلو تجاهر به مع إظهار محمل له لا يعرف فساده إلا القليل كما إذا كان من عمال الظلمة ادعى في ذلك عذرا مخالفا للواقع أو غير مسموع منه لم يعد متجاهرا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اعتذاره واضح الفساد لم يخرج عن التجاهر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كان اعتذاره واضح الفساد لم يخرج عن التجاهر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آيات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آيه‌ي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كس بر شما تعدّى كرد، همان‌گونه كه بر شما تعدّى كرده بر او تعدّى كنيد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آيه‌ي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الأنصاري،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فِي تَفْسِيرِهِ عَنِ الْفَضْلِ بْنِ أَبِي قُرَّةَ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يُحِبُّ اللّهُ الْجَهْرَ بِالسُّوءِ مِنَ الْقَوْلِ إِلّا 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أَضَافَ قَوْماً فَأَسَاءَ ضِيَافَتَهُمْ فَهُوَ مِمَّنْ ظَلَمَ فَلَا جُنَاحَ عَلَيْهِمْ فِيمَا 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فعن تفسير القمي أنه لا يحب الله أن يجهر الرجل بالظلم و السوء و يظلم إلا من ظلم فقد أطلق له أن يعارضه بالظلم و عن تفسير العياشي عنه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أضاف قوما فأساء ضيافتهم فهو ممن ظلم فلا جناح عليهم فيما قالوا فيه و هذه الرواية و إن وجب توجيهها إما بحمل الإساءة على ما يكون ظلما و هتكا لاحترامهم أو بغير ذلك إلا أنها دالة على عموم من ظلم في الآية الشريفة و أن كل من ظلم فلا جناح عليه فيما قال في الظالم و نحوها في وجوب التوجيه رواية أخرى في هذا المعنى محكية عن المجمع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الضيف ينزل بالرجل فلا يحسن ضيافته فلا جناح عليه في أن يذكره بسوء ما فعله و يؤيد الحكم فيما نحن فيه أن في منع المظلوم من هذا الذي هو نوع من التشفي حرجا عظيما و لأن في تشريع الجواز مظنة ردع للظالم و هي مصلحة خالية عن مفسدة فيثبت الجواز لأن الأحكام تابعة للمصالح و يؤيده ما تقدم من عدم الاحترام للإمام الجائر بناء على أن عدم احترامه من جهة جوره لا من جهة تجاهره و إلا لم يذكره في مقابل الفاسق المعلن بالفسق و في النبوي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لصاحب الحق مقال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المماطلة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إطاله‌ي در پرداخت دَين</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آيه‌ي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آيه‌ي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من جميع ما ذكر عدم تقييد جواز الغيبة بكونها عند يرجو إزالة الظلم عنه و قواه بعض الأساطين، خلافاً لكاشف الريبة و جمع ممن تأخر عنه فقيَّدوه؛ اقتصاراً في مخالفة الأصل على المتيقّن من الأدلّة؛ لعدم عموم في الآية و عدم نهوض ما تقدم في تفسيرها للحجّية، مع أنّ المروي عن الباقر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تفسيرها المحكي عن 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لا يحب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الشتم في الانتصار إلّا مَن ظُلم، فلا بأس له أن ينتصر ممّن ظلمه بما يجوز الانتصار به في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الكتاب المذكور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نظيره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انْتَصَرُوا مِنْ بَعْدِ ما ظُلِمُوا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 الآية لا يصلح للخروج بها عن الأصل الثابت بالأدلّة العقلية و النقلية، و مقتضاه الاقتصار على مورد رجاء تدارك الظلم، فلو لم يكن قابلًا للتدارك لم تكن فائدة في هتك الظالم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لو لم يكن ما فعل به ظلما بل كان من ترك الأولى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احتمالي كه در حكمت جواز غيبت ظالم مطرح شد، ردع ظالم از فعل حرامش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شارع در موارد ترك اولي، خودش رخصت بر فعل يا ترك داده است، چرا با جواز غيبت مانع اين رخصت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تعبير ديگر رخصت در فعل يا ترك و جواز ارتكاب فعل، با جواز غيبت تنافي 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فِي تَفْسِيرِهِ عَنِ الْفَضْلِ بْنِ أَبِي قُرَّةَ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قَوْلِ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يُحِبُّ اللّهُ الْجَهْرَ بِالسُّوءِ مِنَ الْقَوْلِ إِلّا مَنْ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أَضَافَ قَوْماً فَأَسَاءَ ضِيَافَتَهُمْ فَهُوَ مِمَّنْ ظَلَمَ فَلَا جُنَاحَ عَلَيْهِمْ فِيمَا قَالُوا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العِشرة، باب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المعيشة، باب في آداب اقتضاء الدين،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العشره، باب الاغضاء،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من الجواب أنّ الشكوى إنّما كانت من ترك الأولى الذي لا يليق بالأخ الكامل 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ثعلبة بن ميمون المروية عن الكافي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عنده قوم يحدثهم إذ ذكر رجل منهم رجلا فوقع فيه و شكاه فقال له أبو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و أنى لك بأخيك الكامل و أي الرجال المهذب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الظاهر من الجواب أن الشكوى إنما كانت من ترك الأولى الذي لا يليق بالأخ الكامل المهذب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ظهور روايت استفاده مي‌شود، سعي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ردّ غيبت است نه تأييد جواز غيبت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فيبقى من موارد الرخصة لمزاحمة الغرض الأهم صور تعرضوا لها، منها نصح المستشير، فإن النصيحة واجبة للمستشير فإن خيانته قد تكون أقوى مفسدة من الوقوع في المغتاب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كذلك النصح من غير استشاره فإن من أراد تزوج امرأة و أنت تعلم بقبائحها التي توجب وقوع الرجل من أجلها في الغيبة و الفساد فلا ريب أن التنبيه على بعضها و إن أوجب الوقيعة فيها أولى من ترك نصح المؤمن مع ظهور عدة من الأخبار في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في تفسير القرآن،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سوره‌ي حجرات،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اللئالي العزيزية،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براي نمونه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نوقش في هذا الاستدلال بخروج غيبة مثل أبي سفيان عن محل الكلام أمكن الاستدلال بصحيحة عبد الله بن سنان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 رجل إلى النبي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إن أمي لا تدفع يد لامس فقال احبسها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آيه‌ي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كتاب الحدود و التعزيرات، ابواب حد الزنا، باب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روايت استفاده مي‌شود حرف كساني كه مي‌گويند فرد بايد خودش از حرام اجتناب كند و شايسته نيست او را با فشار و قوه‌ي قهريه منع كرد، درست نيست، بلكه حضرت مي‌فرمايند اين‌كه مادرت را به زور مقيّد كني تا مرتكب محارم الهي نشود بالاترين بِرّ و نيكي به اوست</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المشيخة، بيان الطريق الي الحسن بن محبوب، 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كتاب الحج، تتمة ابواب احكام العشرة، باب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كونها متجاهرة مدفوع بالأصل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جلد،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مخاطب، كسي را كه از او سخن به ميان مي‌آيد نشناسد، ديگر مصداق غيبت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حواشي مرحوم ايرواني معمولاً روان و پرمغز است و نبايد مورد غفلت قرار گيرد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مدفوع بالأصل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لا أثر له و لا يوجب ظهور الرّواية و ليس كأصالة الحقيقة و أصالة عدم القرينة من الأصول العقلائيّة المتّبعة في باب الألفاظ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قصد ردع المغتاب عن المنكر الذي يفعله فإنه أولى من ستر المنكر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واقع، ارتكاب منكري كه آتش جهنّم را به دنبال خواهد داشت و ردع منكر از شخص عاصي، مانعيت از ورود او به آتش است، پس ردع منكر هرچند با غيبت باشد، أهمّيت بيشتري دارد نسبت به ترك غيبت و حفظ آبروي او نزد ديگراني كه اين آبرو تأثيري در نجات او از آتش ندارد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آيه‌ي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 قصد ردع المغتاب عن المنكر الذي يفعله فإنه أولى من ستر المنكر عليه فهو في الحقيقة إحسان في حقه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مُحَمَّدُ بْنُ الْقَاسِمِ الْأَسْتَرْآبَادِيُّ الْمُفَسِّرُ قَالَ حَدَّثَنِي يُوسُفُ بْنُ مُحَمَّدِ بْنِ زِيَادٍ وَ عَلِيُّ بْنُ مُحَمَّدِ بْنِ يَسَارٍ عَنْ أَبَوَيْهِمَا عَنِ الْحَسَنِ بْنِ عَلِيِّ بْنِ مُحَمَّدِ بْنِ عَلِيِّ بْنِ مُوسَى بْنِ جَعْفَرِ بْنِ مُحَمَّدِ بْنِ عَلِيِّ بْنِ الْحُسَيْنِ بْنِ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أَدِمْ لَنَا تَوْفِيقَكَ الَّذِي بِهِ أَطَعْنَاكَ فِي مَاضِي أَيَّامِنَا حَتَّى نُطِيعَكَ كَذَلِكَ فِي مُسْتَقْبَلِ أَعْمَارِنَا وَ الصِّرَاطُ الْمُسْتَقِيمُ هُوَ صِرَاطَانِ صِرَاطٌ فِي الدُّنْيَا وَ صِرَاطٌ فِي الْآخِرَةِ وَ أَمَّا الصِّرَاطُ الْمُسْتَقِيمُ فِي الدُّنْيَا فَهُوَ مَا قَصُرَ عَنِ الْغُلُوِّ وَ ارْتَفَعَ عَنِ التَّقْصِيرِ وَ اسْتَقَامَ فَلَمْ يَعْدِلْ إِلَى شَيْ‌ءٍ مِنَ الْبَاطِلِ وَ أَمَّا الطَّرِيقُ الْآخَرُ فَهُوَ طَرِيقُ الْمُؤْمِنِينَ إِلَى الْجَنَّةِ الَّذِي هُوَ مُسْتَقِيمٌ لَا يَعْدِلُونَ عَنِ الْجَنَّةِ إِلَى النَّارِ وَ لَا إِلَى غَيْرِ النَّارِ سِوَى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وَ قَالَ جَعْفَرُ بْنُ مُحَمَّدٍ الصَّادِقُ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اهْدِنَا الصِّراطَ الْمُسْتَقِيمَ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يَقُولُ أَرْشِدْنَا إِلَى الصِّرَاطِ الْمُسْتَقِيمِ أَرْشِدْنَا لِلُزُومِ الطَّرِيقِ الْمُؤَدِّي إِلَى مَحَبَّتِكَ وَ الْمُبَلِّغِ إِلَى دِينِكَ وَ الْمَانِعِ مِنْ أَنْ نَتَّبِعَ أَهْوَاءَنَا فَنَعْطَبَ أَوْ نَأْخُذَ بِآرَائِنَا فَنَهْلِكَ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فَإِنَّ مَنِ اتَّبَعَ هَوَاهُ وَ أُعْجِبَ بِرَأْيِهِ كَانَ كَرَجُلٍ سَمِعْتُ غُثَاءَ الْعَامَّةِ تُعَظِّمُهُ وَ تسفه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تَصِفُهُ فَأَحْبَبْتُ لِقَاءَهُ مِنْ حَيْثُ لَا يَعْرِفُنِي لِأَنْظُرَ مِقْدَارَهُ وَ مَحَلَّهُ فَرَأَيْتُهُ قَدْ أَحْدَقَ بِهِ خَلْقٌ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الْكَثِيرُ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غُثَاءِ الْعَامَّةِ فَوَقَفْتُ مُنْتَبِذاً عَنْهُمْ مُتَغَشِّياً بِلِثَامٍ أَنْظُرُ إِلَيْهِ وَ إِلَيْهِمْ فَمَا زَالَ يُرَاوِغُهُمْ حَتَّى خَالَفَ طَرِيقَهُمْ وَ فَارَقَهُمُ وَ لَمْ يَقِرَّ فَتَفَرَّقَتِ الْعَوَامُ عَنْهُ لِحَوَائِجِهِمْ وَ تَبِعْتُهُ أَقْتَفِي أَثَرَهُ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فَلَمْ يَلْبَثْ أَنْ مَرَّ بِخَبَّازٍ فَتَغَفَّلَهُ فَأَخَذَ مِنْ دُكَّانِهِ رَغِيفَيْنِ مُسَارَقَةً فَتَعَجَّبْتُ مِنْهُ ثُمَّ قُلْتُ فِي نَفْسِي لَعَلَّهُ مُعَامَلَةٌ ثُمَّ مَرَّ بَعْدَهُ بِصَاحِبِ رُمَّانٍ فَمَا زَالَ بِهِ حَتَّى تَغَفَّلَهُ فَأَخَذَ مِنْ عِنْدِهِ رُمَّانَتَيْنِ مُسَارَقَةً فَتَعَجَّبْتُ مِنْهُ ثُمَّ قُلْتُ فِي نَفْسِي لَعَلَّهُ مُعَامَلَةٌ ثُمَّ أَقُولُ وَ مَا حَاجَتُهُ إِذاً إِلَى الْمُسَارَقَةِ ثُمَّ لَمْ أَزَلْ أَتْبَعُهُ حَتَّى مَرَّ بِمَرِيضٍ فَوَضَعَ الرَّغِيفَيْنِ وَ الرُّمَّانَتَيْنِ بَيْنَ يَدَيْهِ وَ مَضَى وَ تَبِعْتُهُ حَتَّى اسْتَقَرَّ فِي بُقْعَةٍ مِنَ الصَّحْرَاءِ فَقُلْتُ لَهُ يَا عَبْدَ اللَّهِ لَقَدْ سَمِعْتُ بِكَ وَ أَحْبَبْتُ لِقَاءَكَ فَلَقِيتُكَ وَ لَكِنِّي رَأَيْتُ مِنْكَ مَا شَغَلَ قَلْبِي وَ إِنِّي سَائِلُكَ عَنْهُ لِيَزُولَ بِهِ شُغُلُ قَلْبِي قَالَ مَا هُوَ قُلْتُ رَأَيْتُكَ مَرَرْتَ بِخَبَّازٍ وَ سَرَقْتَ مِنْهُ رَغِيفَيْنِ ثُمَّ بِصَاحِبِ الرُّمَّانِ وَ سَرَقْتَ مِنْهُ رُمَّانَتَيْنِ قَالَ فَقَالَ لِي قَبْلَ كُلِّ شَيْ‌ءٍ حَدِّثْنِي مَنْ أَنْتَ قُلْتُ رَجُلٌ مِنْ وُلْدِ 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أُمَّةِ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حَدِّثْنِي مَنْ أَنْتَ قُلْتُ رَجُلٌ مِنْ أَهْلِ بَيْتِ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أَيْنَ بَلَدُكَ قُلْتُ الْمَدِينَةُ قَالَ لَعَلَّكَ جَعْفَرُ بْنُ مُحَمَّدِ بْنِ عَلِيِّ بْنِ الْحُسَيْنِ بْنِ 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بَلَى فَقَالَ لِي فَمَا يَنْفَعُكَ شَرَفُ أَصْلِكَ مَعَ جَهْلِكَ بِمَا شُرِّفْتَ بِهِ وَ تَرْكِكَ عِلْمَ جَدِّكَ وَ أَبِيكَ لِئَلَّا تُنْكِرَ مَا يَجِبُ أَنْ يُحْمَدَ وَ يُمْدَحَ عَلَيْهِ فَاعِلُهُ قُلْتُ وَ مَا هُوَ قَالَ الْقُرْآنُ كِتَابُ اللَّهِ قُلْتُ وَ مَا الَّذِي جَهِلْتُ مِنْهُ قَالَ قَوْلُ اللَّهِ عَزَّ وَ جَلَّ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جاءَ بِالْحَسَنَةِ فَلَهُ عَشْرُ أَمْثالِها وَ مَنْ جاءَ بِالسَّيِّئَةِ فَلا يُجْزى إِلّا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إِنِّي لَمَّا سَرَقْتُ الرَّغِيفَيْنِ كَانَتْ سَيِّئَتَيْنِ وَ لَمَّا سَرَقْتُ الرُّمَّانَتَيْنِ كَانَتْ سَيِّئَتَيْنِ فَهَذِهِ أَرْبَعُ سَيِّئَاتٍ فَلَمَّا تَصَدَّقْتُ بِكُلِّ وَاحِدٍ مِنْهُمَا كَانَ لِي بِهَا أَرْبَعِينَ حَسَنَةً فَانْتَقَصَ مِنْ أَرْبَعِينَ حَسَنَةً أَرْبَعٌ بِأَرْبَعِ سَيِّئَاتٍ بَقِيَ لِي سِتٌّ وَ ثَلَاثُونَ حَسَنَةً قُلْتُ ثَكِلَتْكَ أُمُّكَ أَنْتَ الْجَاهِلُ بِكِتَابِ اللَّهِ أَ مَا سَمِعْتَ أَنَّهُ عَزَّ وَ جَلَّ يَقُولُ إِنَّما يَتَقَبَّلُ اللّهُ مِنَ الْمُتَّقِينَ إِنَّكَ لَمَّا سَرَقْتَ رَغِيفَيْنِ كَانَتْ سَيِّئَتَيْنِ وَ لَمَّا سَرَقْتَ رُمَّانَتَيْنِ كَانَتْ أَيْضاً سَيِّئَتَيْنِ وَ لَمَّا دَفَعْتَهُمَا إِلَى غَيْرِ صَاحِبَيْهِمَا بِغَيْرِ أَمْرِ صَاحِبَيْهِمَا كُنْتَ إِنَّمَا أَضَفْتَ أَرْبَعَ سَيِّئَاتٍ إِلَى أَرْبَعِ سَيِّئَاتٍ وَ لَمْ تُضِفْ أَرْبَعِينَ حَسَنَةً إِلَى أَرْبَعِ سَيِّئَاتٍ فَجَعَلَ يُلَاحِظُنِي فَانْصَرَفْتُ وَ تَرَكْتُهُ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معاني الأخبار،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عَلَى الْمُحْسِنينَ مِنْ سَبيل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بر نيكوكاران راه مؤاخذه نيست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التوبة، آيه‌ي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محسن كسي است كه به حمل شايع محسن باشد، مطلب مهمّي است كه گاهي نه تنها طلاب، بلكه برخي فضلا هم دچار غفلت شده و در اين امر اشتباه مي‌كنند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كسي با نيت خير، مرتكب كاري مي‌شود كه به زيان و ضرر ديگري منجر مي‌شود، برخي 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قصد احسان داشته است پس مؤاخذه ندارد يا ضامن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كسي ماشين خرابي را مي‌بيند و به قصد احسان، به جاي اصلاح، موجب خرابي بيشتر آن مي‌شود به نحوي كه خرابي بيشتر مستند به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مثال نمي‌توان او را به استناد آيه‌ي نفي سبيل از محسنين، ضامن ندانست؛ زيرا اين شخص در واقع محسن نبوده، بلكه مفسد است و به جاي احسان، افساد كرده است، هرچند قصدش احسان بوده است و به خاطر اين قصد، تكليفاً مؤاخذ نيست، ولي ضامن است؛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اتلف مال الغير فهو له ضامن</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خويي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اين اشكال را مطرح كرده، مي‌فرمايد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ففيه أنه لا يجوز ردع المنكر بالمنكر لانصراف أدلته عن ذلك، و إلا لجاز ردع الزناة بالزناة بأعراضهم، و ردع السراق بسرقة أموالهم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حاشيه للمكاسب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نقد، پاسخ بيان سيّد خويي هم مي‌تواند باشد</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بگوييم ادله‌ي حرمت غيبت اطلاق دارد و شامل چنين مواردي مي‌شود، نمي‌توانيم با تمسّك به ادله‌ي امر به معروف و نهي از منكر، يكي از منكرات را بر ديگري مقدم داشته و حرمت ديگري را از اين طريق برداريم؛ چون ادلّه‌ي امر به معروف و نهي از منكر، بالسويّه شامل تمام منكرات از جمله غيبت مي‌شود و لذا نمي‌تواند شمولش بر يكي مقدّم بر ديگري باشد تا عنوان منكر را از ديگري بردارد</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قَضى رَبُّكَ أَلاَّ تَعْبُدُوا إِلاَّ إِيَّاهُ وَ بِالْوالِدَيْنِ إِحْساناً إِمَّا يَبْلُغَنَّ عِنْدَكَ الْكِبَرَ أَحَدُهُما أَوْ كِلاهُما فَلا تَقُلْ لَهُما أُفٍّ وَ لا تَنْهَرْهُما وَ قُلْ لَهُما قَوْلاً كَريماً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پروردگارت فرمان داده كه جز او را نپرستيد و به پدر و مادر نيكى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هرگاه يكى از آن دو يا هر دوى آن‌ها نزد تو به سنّ پيرى رسند، كمترين اهانتى به آن‌ها روا مدار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 آن‌ها فرياد مزن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گفتار لطيف و سنجيده و بزرگوارانه به آن‌ها بگو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الإسراء، آيه‌ي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المنع، و المَحْسُوم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حُسِمَ رضاعه و غذاؤه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حَسَمْتُ الأمر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قطعته حتى لم يظفر منه بشي‌ء، و منه سمي السيف حُساما لأنه يَحْسِم العدو عما يريد، أي يمنعه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الشؤم،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ليالي الحُسُوم تَحْسِم الخير عن أهلها، كما حُسِمَ عن قوم عاد في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ثَمانِيَةَ أَيّامٍ حُسُوماً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شؤما عليهم و نحسا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كتاب العين،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حسم،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ضلالتي كه در نتيجه‌ي عمل به بدعت گريبان‌گير مردم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منها قصد حسم مادة فساد المغتاب عن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كالمبتدع الذي يخاف من إضلاله الناس و يدل عليه مضافا إلى أن مصلحة دفع فتنته عن الناس أولى من ستر المغتاب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نحوي كه مادّه‌ي فساد فقط شامل بدعت و نظاير آن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ذكر مثال يعني يكي از موارد تحت حكم را نمونه آوردن، پس حكم، اعم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المنكر، ابواب الامر و النهي،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ايشان به همراه صفوان بن يحيي و ابن ابي عمير، مشايخ ثلاثه‌اي هستند كه تعداد زيادي از علما قائلند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لايروون الا عن ثقة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ما در اين مبنا مناقشه كرديم</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وَقَعَ فى الناس وَقِيعَةً، أى اغتابهم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رجلٌ وَقَّاعٌ و وَقَّاعَةٌ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يغتاب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الصحاح،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ذيل وقع،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 مرد كافر، مبهوت و وامانده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آيه‌ي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باهتوهم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جادلوهم و أسكتوهم و اقطعوا الكلام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المراد به إلزامهم بالحجج البالغة؛ لينقطعوا و يبهتوا و جعلهم متحيّرين لا يحيرون جواباً، كما بُهت الذي كفر في محاجّة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هو الأظهر عند المجلسي بعد احتماله أن يكون من البهتان للمصلحة؛ فإنّ كثيراً من المساوي يعدّها أكثر الناس محاسن خصوصاً العقائد الباطلة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للمازندراني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الوافي،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مرآة العقول،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فضل العلم، باب البدع و الرأي و المقاييس،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مُحَمَّدِ بْنِ خَالِدٍ الْبَرْقِيُّ فِي الْمَحَاسِنِ عَنْ يَعْقُوبَ بْنِ يَزِيدَ عَنْ مُحَمَّدِ بْنِ جُمْهُورٍ الْعَمِّيِّ رَفَعَهُ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أَتَى ذَا بِدْعَةٍ فَعَظَّمَهُ فَإِنَّمَا سَعَى فِي هَدْمِ الْإِسْلَامِ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وسائل الشيعة،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نهي عن المنكر، ابواب الامر و النهي،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نهي عن المنكر، ابواب الامر و النهي،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آيه‌ي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الْعَيَّاشِيُّ فِي تَفْسِيرِهِ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الْهَيْثَمِ التَّمِيمِيِّ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كانُوا لا يَتَناهَوْنَ عَنْ مُنكَرٍ فَعَلُوهُ لَبِئْسَ ما كانُوا يَفْعَلُونَ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أَمَا إِنَّهُمْ لَمْ يَكُونُوا يَدْخُلُونَ مَدَاخِلَهُمْ وَ لَا يَجْلِسُونَ مَجَالِسَهُمْ وَ لَكِنْ كَانُوا إِذَا لَقُوهُمْ ضَحِكُوا فِي وُجُوهِهِمْ وَ أَنِسُوا بِهِمْ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احمد بن محمّد بن خالد البرقي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أَبِيهِ عَنْ عَبْدِ اللَّهِ بْنِ الْمُغِيرَةِ وَ مُحَمَّدِ بْنِ سِنَانٍ عَنْ طَلْحَةَ بْنِ زَيْدٍ عَنْ أَبِي عَبْدِ اللَّهِ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الْعَالِمَ الْكَاتِمَ عِلْمَهُ يُبْعَثُ أَنْتَنَ أَهْلِ الْقِيَامَةِ رِيحاً تَلْعَنُهُ كُلُّ دَابَّةٍ حَتَّى دَوَابُّ الْأَرْضِ الصِّغَارُ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الْجَعْفَرِيَّاتُ، بِإِسْنَادِهِ عَنْ جَعْفَرِ بْنِ مُحَمَّدٍ عَنْ أَبِيهِ عَنْ جَدِّهِ عَلِيِّ بْنِ الْحُسَيْنِ عَنْ أَبِيهِ عَنْ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رَدَّ عَلَى صَاحِبِ بِدْعَةٍ بِدْعَتَهُ فَهُوَ فِي سَبِيلِ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المنكر، ابواب الامر و النهي،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14206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فِي تَفْسِيرِهِ عَنْ أَبِيهِ عَنْ بَكْرِ بْنِ مُحَمَّدٍ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سَمِعْتُهُ يَقُولُ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أَيُّهَا النَّاسُ مُرُوا بِالْمَعْرُوفِ وَ انْهَوْا عَنِ الْمُنْكَرِ فَإِنَّ الْأَمْرَ بِالْمَعْرُوفِ وَ النَّهْيَ عَنِ الْمُنْكَرِ لَمْ يُقَرِّبَا أَجَلًا وَ لَمْ يُبَاعِدَا رِزْقاً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منكر، ابواب الامر و نهي،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اختلال در نظام اجتماعي يا سوء استفاده‌ي بدخواهان و دشمنان يا مظلوم‌نمايي أهل بدعت و بالتبع، تبليغ فكر باطل خودشان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شهودي كه مدّعي براي اثبات ادّعاي خود عليه طرف مقابل، در محكمه ارائه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كمك و نصرت مظلوم و دفع ظلم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اين عمل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نصرت ظالم هم هست؛ زيرا با غيبت از ظالم، او قدرت بر ظلم و گناه را از دست داده و مرتكب ظلم نمي‌شود، همان‌گونه كه برخي روايات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مانند روايت جناب كراجكي در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نصرت برادر مؤمن ظالماً و مظلوماً را از حقوق مؤمنين نسبت به هم شمرده‌اند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بل أولى بالجواز جرح الرواة فإن مفسدة العمل برواية الفاسق أعظم من مفسدة شهادته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آن‌جايي كه غيبت در چنين مواردي طريق منحصر نيست، نمي‌تواند از باب تزاحم باشد؛ زيرا در مورد او با عدم توثيق و عدم احراز وثاقت هم مي‌توان از مفسده‌ي عمل به روايت او اجتناب كرد، مگر اين‌كه كساني مبناي اصالة العدالة داشته باشند و يا در كتب رجال ديگر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خاطر جهل به فسق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توثيق شده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مرحوم شيخ جواز جرح مفتيان را مطرح نكرده است شايد بدين وجه باشد كه چون اين مسأله نوعاً مورد ابتلاي اهل علم و مجتهدين است و چون آنان وظيفه‌ي خود را مي‌فهمند، لازم نديد اين‌جا تبيين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 اين وجه تمام نيست؛ به خاطر اين‌كه چه بسا مجتهدي از نكته‌اي غافل باشد و با تذكّر مجتهد ديگر بفهمد آن مطلب حق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اين‌كه خود كتاب مكاسب همين نقش را براي مجتهدين ديگر ايفا مي‌كند و مجتهدين در هنگام افتاء به مكاسب رجوع مي‌كنند؛ چون ممكن است در مكاسب، نكاتي مورد توجه واقع شده باشد كه او متوجه نباشد</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توضيحي كه بيان شد، بيشتر مناسب با جواز تهمت بود، الا اين‌كه بخواهيم جواز غيبت را از طريق اولويت ثابت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للشيخ الانصاري،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جواز غيبت به جهت دفع ضرر از غيبت شونده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حضرت استاد، غيبت به قصد ردع منكر است كه بيان شد از مصاديق احسان بوده و توضيح كامل مطلب در مباحث قبلي همين كتاب بيان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آيه‌ي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مرحوم كشي اين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أجمعت العصابة علي تصديق هؤلاء؛ الأولين، من أصحاب أبي جعفر و 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انقادوا لهم بالفقه،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أفقه الاولين 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 و معروف بن خربوذ و بريد و أبو بصير الاسدي و الفضيل بن يسار و محمد بن مسلم الطائفي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أفقه الستة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زرارة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رجال الكشي، في تسمية الفقهاء من أصحاب أبي جعفر وأبي عبدالله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شعر سيد بحرالعلوم در بيان اصحاب اجماع، از كتاب خاتمة المستدرك،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اعداد در ذهن‌مان باشد بهتر مي‌توانيم طبقات را بدانيم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 وفات زراره بوده، در سال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تولّد حضرت حجت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بوده و در سال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 تولّد جناب سيد مرتضي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بوده است</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مي‌گويند سنسن در اصل ايراني بوده، سپس به روم رفته است</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مي‌گويند چرا اسلام عبد مي‌گرفته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دليلش اين است كه اگر اسلام او را عبد نمي‌گرفت به صورت كافر باقي مي‌ماند، ولي او را به عنوان عبد گرفته‌اند، تعليم قرآن داده‌اند، بعد آزادش كرده‌اند كه طايفه‌ي أعين منشأ اين همه خيرات و بركات مي‌شود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معلوم نيست پذيرش چنين پيشنهادي شرعاًًً جايز باشد</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و تفصيل طبقات الرجال،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ذيل زراره بن أعين،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بعضي از اين روايات در معجم رجال الحديث، از رجال كشي نقل شده است</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روايت، حضرت زراره را لعن مي‌كنند و لعن با غيبت تفاوت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اين روايت نمي‌تواند شاهدي براي كلام شيخ باشد</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صفحات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امّا آن كشتى مال گروهى از مستمندان بود كه با آن در دريا كار مى‌كردند و من خواستم آن را معيوب كنم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چرا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پشت سرشان پادشاهى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ستمگر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كه هر كشتى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سالمى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به زور مي‌گرفت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آيه‌ي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ناقل اين روايت كه در مدح زراره است، فرزند زراره است و روايتي كه خود شخص يا فرزندش درباره‌ي وثاقتش نقل كند مورد قبول واقع نمي‌شود</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پذيرفتن اولويت جواز غيبت در صورت جواز تهمت، كمي مشكل است؛ چون با غيبت واقعاً آبروي شخص مي‌رود، ولي در مقابل تهمت مي‌تواند از خودش دفاع كند و بعد هم معلوم مي‌شود كه واقعيت نداشته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علاوه بر آن‌كه وقتي شخصي به جهت دفع ضرر به ديگري تهمت زد، بعد از اين‌كه ضرر رفع شد مي‌تواند اعلام كند كه واقعيت نداشته است و من به جهت دفع ضرر، مرتكب اين تهمت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مورد غيبت، ديگر نمي‌تواند آبروي رفته را جبران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در راه رفتن دچار مشكل است و اين اشكال به دليل نقصي در پا باشد</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كه پلك چشم او دچار مشكل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الشَّتَرُ انقلابٌ في جفن العين قلما يكون خلقة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الشَّتْرُ، مخففةً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فِعْلك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سيدة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الشَّتَرُ انقلاب جَفْنِ العين من أَعلى و أَسفل و تَشَنُّجُه،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أَن ينشَقَّ الجفن حتى ينفصل الحَتَارُ،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استرخاء الجفن الأَسفل؛ شَتِرَتْ عينُه شَتَراً و شَتَرَها يَشْتُرُها شَتْراً و أَشْتَرَها و شَتَّرَها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شتر،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كسي كه چشمش به يك سمت انحراف داشته باشد؛ الحَوَلُ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إقْبَالُ الحَدَقَةِ على الأنْفِ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ذيل حور،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كسي كه در حس بينايي دچار مشكل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ذهابُ حِسِّ إِحدى العينين، و قد عَوِرَ عَوَراً و عارَ يَعارُ و اعْوَرَّ، و هو أَعْوَرُ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ذيل عور،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كتاب التجارة، ابواب مقدمتها،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و فرهنگ، زيور ذي‌قيمتي است كه همه بايد به آن آراسته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چقدر اين زن با ادب جواب مي‌دهد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وقتي حضرت چنين احترامي از او كردند، در جواب مي‌گويد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بيوتك بريحك اطيب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ادب اين زن كجا و ادب آن زن سياه پوستي كه مشغول جمع كردن سرگين حيوانات بود و با جسارت و تكبّر با حضرت برخورد كرد كجا</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الحديث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جاءت زينب العطّارة الحولاء إلى نساء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لا بأس بذلك فيما إذا صارت الصفة في اشتهار يوصف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توصيف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الشخص بها إلى حيث لا يكره ذلك صاحبها، و عليه يحمل ما صدر عن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العلماء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مورد از موارد تزاحم نيست؛ زيرا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چنين صفتي طريق منحصر معرفت او نيست، بلكه راه‌هاي مختلفي مي‌تواند براي معرفت او وجود داشته باشد</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بأس بذلك فيما إذا صارت الصفة في اشتهار يوصف الشخص بها إلى حيث لا يكره ذلك صاحبها، و عليه يحمل ما صدر عن الإمام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 من العلماء الأعلام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أنّه إذا علم اثنان من رجل معصية شاهداها فأجرى أحدهما ذكرها في غيبة ذلك العاصي جاز؛ لأنّه لا يؤثّر عند السامع شيئاً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فرض عدم كون ذكرهما في مقام التعيير و المذمّة و ليس هنا هتك ستر أيضاً، فلا وجه للتحريم و لا لكونها غيبة، إلّا على ظاهر بعض التعاريف المتقدّمة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أهمية حفظ الأنساب ثابتة فيما إذا ترتب على النسب أثر شرعي من التوارث، و النظر الى النساء و نحوهما، و اما إذا لم يترتب عليه أثر شرعي، أو ترتب الأثر على دعوى النسب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كأن ادعاه لصيانة نفسه أو عرضه أو ماله من إصابة الظالم إياها فلا تجوز الغيبة برد هذه الدعوى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الشك في مورد يرجع الى المطلقات الدالة على حرمة الغيبة على وجه الإطلاق، لأن الشبهة و إن كانت مصداقية، إلا أن التخصيص من جهة المزاحمة فلا بد من الاقتصار على المتيقن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مرحوم صاحب وسائل در جلد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كتاب القصاص، ابواب القصاص في النفس، باب هشتم را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أنه لايجوز لاحد ان يقتل بغير حق و لا يؤوي قاتلا و لايدعي لغير أبيه و لاينتمي الي غير مواليه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تبويب كرده و نُه روايت در اين باب ذكر مي‌فرمايد كه در دومين روايت اين باب، ادعاي نسبت دروغ را حرام مي‌داند</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روايت در پاورقي صفحه‌ي قبل آمده است</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في مقالة باطلة و إن دلّ على نقصان قائلها، إذا توقّف حفظ الحقّ و إضاعة الباطل عليه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در اين صورت، عدم جواز براي عنوان تنقيص خواهد بود نه غيبت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ما وقع من بعض العلماء بالنسبة إلى من تقدّم عليه منهم من الجهر بالسوء من القول، فلم يعرف له وجه، مع شيوعه بينهم من قديم الأيام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الثاني و هو الاشتباه في الموضوع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ما ظهر مِن بعض مَن لا خبرة له من طلبة زماننا تقليداً لمن سبقه من أعياننا من منع صدق الغناء في المراثي، و هو عجيب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توجيه مرحوم شيخ، زماني صحيح خواهد بود كه مبناي ايشان در معناي غيبت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كشف عمّا ستره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ثم إنّهم ذكروا موارد للاستثناء لا حاجة إلى ذكرها بعد ما قدّمنا أنّ الضابط في الرخصة وجود مصلحة غالبة على مفسدة هتك احترام المؤمن، و هذا يختلف باختلاف تلك المصالح و مراتب مفسدة هتك المؤمن، فإنّها متدرجة في القوّة و الضعف، فربّ مؤمن لا يساوي عِرضَه شي‌ءٌ، فالواجب التحرّي في الترجيح بين المصلحة و المفسدة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 درر الكلم،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أَبُو الْفُتُوحِ الرَّازِيُّ فِي تَفْسِيرِهِ، عَنْ رَسُولِ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السَّامِعُ لِلْغِيبَةِ أَحَدُ الْمُغْتَابَيْن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نمي‌تواند دالّ بر حرمت استماع غيبت باشد؛ چون لازمه‌اش اين است كه بگوييم امام 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مورد نهي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واقع نمي‌شدند مرتكب استماع غيبت حرام مي‌شدند، در حالي‌كه اين با عصمت امام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 نيست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المسلمون كلهم عدول تقبل شهادتهم، إلا مجلودا في حد، أو معروفا بشهادة الزور،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حاسدا، أو باغيا، أو متّهما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تابعا لمتبوع، أو أجيرا لصاحبه، أو شارب خمر، أو مقامرا، أو خصيما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الهداية في الاصول و الفروع، باب القضاء و الاحكام،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تتمة كتاب الحج، تتمة ابواب احكام العشرة، باب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جَعْفَرٍ مُحَمَّدُ بْنُ الْحُسَيْنِ بْنِ مُوسَى بْنِ بَابَوَيْهِ الْقُمِّيُّ الْفَقِيهُ نَزِيلُ الرَّيِّ مُصَنِّفُ هَذَا الْكِتَابِ رَضِيَ اللَّهُ عَنْهُ وَ أَرْضَاهُ رُوِيَ عَنْ شُعَيْبِ بْنِ وَاقِدٍ عَنِ الْحُسَيْنِ بْنِ زَيْدٍ عَنِ الصَّادِقِ جَعْفَرِ بْنِ مُحَمَّدٍ عَنْ أَبِيهِ عَنْ آبَائِهِ عَنْ أَمِيرِ الْمُؤْمِنِينَ عَلِيِّ بْنِ أَبِي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نَهَى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الْأَكْلِ عَلَى الْجَنَابَةِ وَ قَالَ إِنَّهُ يُورِثُ الْفَقْرَ وَ نَهَى عَنْ تَقْلِيمِ الْأَظْفَارِ بِالْأَسْنَانِ وَ عَنِ السِّوَاكِ فِي الْحَمَّامِ وَ التَّنَخُّعِ فِي الْمَسَاجِدِ وَ نَهَى عَنْ أَكْلِ سُؤْرِ الْفَأْرَةِ وَ قَالَ لَا تَجْعَلُوا الْمَسَاجِدَ طُرُقاً حَتَّى تُصَلُّوا فِيهَا رَكْعَتَيْنِ وَ نَهَى أَنْ يَبُولَ أَحَدٌ تَحْتَ شَجَرَةٍ مُثْمِرَةٍ أَوْ عَلَى قَارِعَةِ الطَّرِيقِ وَ نَهَى أَنْ يَأْكُلَ الْإِنْسَانُ بِشِمَالِهِ وَ أَنْ يَأْكُلَ وَ هُوَ مُتَّكِئٌ وَ نَهَى أَنْ تُجَصَّصَ الْمَقَابِرُ وَ يُصَلَّى فِيهَا وَ قَالَ إِذَا اغْتَسَلَ أَحَدُكُمْ فِي فَضَاءٍ مِنَ الْأَرْضِ فَلْيُحَاذِرْ عَلَى عَوْرَتِهِ وَ لَا يَشْرَبَنَّ أَحَدُكُمُ الْمَاءَ مِنْ عِنْدِ عُرْوَةِ الْإِنَاءِ فَإِنَّهُ مُجْتَمَعُ الْوَسَخِ وَ نَهَى أَنْ يَبُولَ أَحَدٌ فِي الْمَاءِ الرَّاكِدِ فَإِنَّهُ مِنْهُ يَكُونُ ذَهَابُ الْعَقْلِ وَ نَهَى أَنْ يَمْشِيَ الرَّجُلُ فِي فَرْدِ نَعْلٍ أَوْ أَنْ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نَهَى أَنْ يَقُولَ الرَّجُلُ لِلرَّجُلِ زَوِّجْنِي أُخْتَكَ حَتَّى أُزَوِّجَكَ أُخْتِي وَ نَهَى عَنْ إِتْيَانِ الْعَرَّافِ وَ قَالَ مَنْ أَتَاهُ وَ صَدَّقَهُ فَقَدْ بَرِئَ مِمَّا أَنْزَلَ اللَّهُ عَلَى مُحَمَّدٍ وَ نَهَى عَنِ اللَّعِبِ بِالنَّرْدِ وَ الشِّطْرَنْجِ وَ الْكُوبَةِ وَ الْعَرْطَبَةِ وَ هِيَ الطُّنْبُورُ وَ الْعُودُ وَ نَهَى عَنِ الْغِيبَةِ وَ الِاسْتِمَاعِ إِلَيْهَا وَ نَهَى عَنِ النَّمِيمَةِ وَ الِاسْتِمَاعِ إِلَيْهَا وَ قَالَ لَا يَدْخُلُ الْجَنَّةَ قَتَّاتٌ يَعْنِي نَمَّاماً وَ نَهَى عَنْ إِجَابَةِ الْفَاسِقِينَ إِلَى طَعَامِهِمْ وَ نَهَى عَنِ الْيَمِينِ الْكَاذِبَةِ وَ قَالَ إِنَّهَا تَتْرُكُ الدِّيَارَ بَلَاقِعَ وَ قَالَ مَنْ حَلَفَ بِيَمِينٍ كَاذِبَةٍ صَبْراً لِيَقْطَعَ بِهَا مَالَ امْرِئٍ مُسْلِمٍ لَقِيَ اللَّهَ عَزَّ وَ جَلَّ وَ هُوَ عَلَيْهِ غَضْبَانُ إِلَّا أَنْ يَتُوبَ وَ يَرْجِعَ وَ نَهَى عَنِ الْجُلُوسِ عَلَى مَائِدَةٍ يُشْرَبُ عَلَيْهَا الْخَمْرُ </w:t>
      </w:r>
      <w:r>
        <w:rPr>
          <w:rFonts w:eastAsia="IRNazanin" w:cs="IRNazanin"/>
          <w:b w:val="false"/>
          <w:bCs w:val="false"/>
          <w:i w:val="false"/>
          <w:iCs w:val="false"/>
          <w:color w:val="333333"/>
          <w:sz w:val="20"/>
          <w:szCs w:val="20"/>
          <w:rtl w:val="true"/>
        </w:rPr>
        <w:t>... .</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حتّي اگر بعد از شنيدن، رد 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معناي استحباب نيست بلكه به معناي تعيّن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سيّد خويي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اشكال را نقل فرموده و خود پاسخ داده‌اند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قد يجاب عن حديث المناهي بعدم ظهوره في الحرمة التكليفية، فإن النهي فيه عن استماع الغيبة نهي تنزيهي، و إرشاد إلى الجهات الأخلاقية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من الحديث ذكر الأمور الأخلاقية فيه من آثار الغيبة ككونها موجبة لبطلان الوضوء و الصوم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ما ثبت كونه راجعا الى الاخلاقيات ترفع اليد فيه عن ظهور النهي في الحرمة، و أما غيره فيؤخذ بظهوره لا محالة كما حقق في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جا مردن، به سرعت مردن؛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القَعْصُ و 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القَتْل المُعَجَّل، و القَعْصُ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 الوَحِيّ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مات فلان قَعْصاً إِذا أَصابته ضَرْبَةٌ أَو رَمْيَةٌ فمات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الإِقْعاصُ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تضربَ الشي‌ء أَو ترْميَه فيموت مكانَه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ضرَبَه فأَقْعَصَه أَي قتَله مكانه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ذيل قعص،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الجيفه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لاشه‌ي مرده‌ي حيواني كه بوي بدش بلند شده باشد؛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الجِيفةُ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معروفة جُثَّةُ الميت، و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جثة الميت إذا أَنْتَنَتْ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ذيل جيف،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گرفتن چيزي به دهان و گاز زدن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نهش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نَهَشَ يَنْهَش و يَنْهِشُ نَهْشاً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تناوَل الشي‌ء بفَمِه ليَعَضَّه فيؤثر فيه و لا يَجْرحه، و كذلك نَهْشُ الحيّةِ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ذيل نهش،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الريبة، بعض الأخبار الواردة في حرمة الغيبة،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ابواب احكام العِشرة في السفر و الحضر،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نقيض رفع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احكام العشرة،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خفضه الله في الدنيا و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مناسب با وجوب رد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از پدر بزرگوارش، علي بن بابويه</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عِقَابِ الْأَعْمَالِ عَنْ مُحَمَّدِ بْنِ مُوسَى بْنِ الْمُتَوَكِّلِ عَنْ مُحَمَّدِ بْنِ جَعْفَرٍ عَنْ مُوسَى بْنِ عِمْرَانَ عَنْ عَمِّهِ الْحُسَيْنِ بْنِ زَيْدٍ عَنْ حَمَّادِ بْنِ عَمْرٍو النَّصِيبِيِّ عَنْ أَبِي الْحَسَنِ الْخُرَاسَانِيِّ عَنْ مَيْسَرَةَ عَنْ أَبِي عَائِشَةَ عَنْ يَزِيدَ بْنِ عُمَرَ عَنْ عَبْدِ الْعَزِيزِ عَنْ أَبِي سَلَمَةَ بْنِ عَبْدِ الرَّحْمَنِ عَنْ أَبِي هُرَيْرَةَ وَ عَبْدِ اللَّهِ بْنِ عَبَّاسٍ فِي خُطْبَةٍ طَوِيلَةٍ لِرَسُولِ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تتمة كتاب الطهارة، ابواب الاحتضار،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فرزند شيخ 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أبوالدرداء همان شخصي است كه آن روايت معروف را در شأن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كرده كه حضرت در نخلستان از خوف خدا غش مي‌كند</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العشره،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احاديث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باب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المنكر، ابواب الامر و النهي،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رساله‌ي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الرد علي اصحاب العدد ـ جوابات أهل الموصل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به رساله‌ي عدديه معروف شده است و شيخ مفيد در اين رساله به بررسي اين موضوع پرداخته است كه ماه مبارك رمضان مي‌تواند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هم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مفيد در اثبات امكان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بودن ماه مبارك رمضان، احاديثي نقل مي‌كند و مي‌فرمايد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احاديث را از كساني نقل مي‌كنم كه چنين صفاتي دارند كه اين اوصاف ـ از نظر ما ـ مفيد وثاقت آن‌هاست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علي اصحاب العدد ـ جوابات أهل الموصل، فصل و أمّا رواه الحديث بأن شهر رمضان شهر من شهور السنة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يزيد بن إسحاق عن حماد بن عثمان عن عبد الأعلى بن أعين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سمعته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صمت لرؤية الهلال و أفطرت لرؤيته فقد أكملت الشهر و إن لم تصم إلا تسعة و عشرين يوما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الامر بالمعروف و النهي عن المنكر، ابواب الامر و النهي، باب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بيان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آيه‌ي شريفه مي‌فرمايد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آن‌ها اعراض 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اعراض كردن با استماع ـ هرچند در مكاني ديگر ـ سازگاري ندارد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هرگاه كساني را ديدي كه آيات ما را استهزاء مي‌كنند از آن‌ها روي بگردان تا به سخن ديگري بپردازند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الانعام، آيه‌ي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غيبت كردن اخصّ از ذكر عيب است و چون حكم، حرمت است پس مقدار كمتر يقيناً تحت حكم رفته و مابقي مشمول ادله‌ي برائت مي‌شود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صفاتي كه به عنوان صفات مميّزه ذكر مي‌شود، نه به عنوان عيب و نقص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آيه‌ي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الدعاء، باب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الحاوي لتحرير الفتاوي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المستظرفات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الانعام، آيه‌ي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الاسراء، آيه‌ي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فاطر، آيه‌ي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الزمر، آيه‌ي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عُيُونِ الْأَخْبَارِ وَ فِي الْعِلَلِ عَنْ أَحْمَدَ بْنِ زِيَادِ بْنِ جَعْفَرٍ الْهَمَذَانِيِّ عَنْ عَلِيِّ بْنِ إِبْرَاهِيمَ بْنِ هَاشِمٍ عَنْ أَبِيهِ عَنْ عَبْدِ السَّلَامِ بْنِ صَالِحٍ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قُلْتُ لِأَبِي الْحَسَنِ عَلِيِّ بْنِ مُوسَى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ابْنَ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تَقُولُ فِي حَدِيثٍ رُوِيَ عَنِ الصَّادِقِ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إِذَا خَرَجَ الْقَائِمُ قَتَلَ ذَرَارِيَّ قَتَلَةِ الْحُسَيْنِ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بِفِعَالِ آبَائِهَا؟ 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هُوَ كَذَلِكَ</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استماعي كه از صحيحه‌ي مذكور استفاده مي‌شود، براي عيبِ حرام نيست، بلكه براي مطلق عيب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مجلسي كه بيان عيب ديگران شود، حتّي در صورتي كه شرعاً جايز باشد مشمول صحيحه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فِي التَّوْحِيدِ وَ الْخِصَالِ عَنْ أَحْمَدَ بْنِ مُحَمَّدِ بْنِ يَحْيَى عَنْ سَعْدِ بْنِ عَبْدِ اللَّهِ عَنْ يَعْقُوبَ بْنِ يَزِيدَ عَنْ حَمَّادِ بْنِ عِيسَى عَنْ حَرِيزِ بْنِ عَبْدِ اللَّهِ عَنْ أَبِي عَبْدِ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 عَنْ أُمَّتِي تِسْعَةُ أَشْيَاءَ الْخَطَأُ وَ النِّسْيَانُ وَ مَا أُكْرِهُوا عَلَيْهِ وَ مَا لَا يَعْلَمُونَ وَ مَا لَا يُطِيقُونَ وَ مَا اضْطُرُّوا إِلَيْهِ وَ الْحَسَدُ وَ الطِّيَرَةُ وَ التَّفَكُّرُ فِي الْوَسْوَسَةِ فِي الْخَلْوَةِ مَا لَمْ يَنْطِقُوا بِشَفَةٍ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و ما يناسبه، باب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بِالْإِسْنَادِ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بْنُ الْحَسَنِ بِإِسْنَادِهِ عَنِ الْحُسَيْنِ بْنِ سَعِيدٍ عَنِ الْحَسَنِ عَنْ زُرْعَةَ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الرَّجُلِ يَكُونُ فِي عَيْنَيْهِ الْمَاءُ فَيُنْتَزَعُ الْمَاءُ مِنْهَا فَيَسْتَلْقِي عَلَى ظَهْرِهِ الْأَيَّامَ الْكَثِيرَةَ أَرْبَعِينَ يَوْماً أَوْ أَقَلَّ أَوْ أَكْثَرَ فَيَمْتَنِعُ مِنَ الصَّلَاةِ الْأَيَّامَ وَ هُوَ عَلَى حَالِهِ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بِذَلِكَ وَ لَيْسَ شَيْ‌ءٌ مِمَّا حَرَّمَ اللَّهُ إِلَّا وَ قَدْ أَحَلَّهُ لِمَنِ اضْطُرَّ إِلَيْه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كتاب الصلاة، ابواب القيام،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الْخِصَالِ عَنِ الْحَسَنِ بْنِ مُحَمَّدٍ السَّكُونِيِّ عَنِ الْحَضْرَمِيِّ عَنْ إِبْرَاهِيمَ بْنِ أَبِي مُعَاوِيَةَ عَنْ أَبِيهِ عَنِ الْأَعْمَشِ عَنِ ابْنِ ظَبْيَانَ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أُتِيَ عُمَرُ بِامْرَأَةٍ مَجْنُونَةٍ قَدْ زَنَتْ فَأَمَرَ بِرَجْمِهَا فَقَالَ عَلِيٌّ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أَ مَا عَلِمْتَ أَنَّ الْقَلَمَ يُرْفَعُ عَنْ ثَلَاثَةٍ عَنِ الصَّبِيِّ حَتَّى يَحْتَلِمَ وَ عَنِ الْمَجْنُونِ حَتَّى يُفِيقَ وَ عَنِ النَّائِمِ حَتَّى يَسْتَيْقِظَ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ابواب مقدمة العبادات،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العشره،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آيه‌ي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الشوري، آيه‌ي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بهتر است مخصّص را به نحو مخصّص منفصل بيان كنيم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بحث اصول فقه بيان كرديم كه تمسّك به عام در شبهه‌ي مصداقيه‌ي مخصّص را حتي در مخصّص لبّي قبول نداريم چه رسد به مخصّص لفظي، مگر در يك مورد خاص، آن‌هم در مخصّص 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براي تفصيل مطالب به جزوات دروس خارج اصول مراجعه شود</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 يعني كسي كه ايمان به ولايت اميرالمؤمنين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اولاد طاهرينش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مؤمن به معناي عادل يا كسي كه از اولياءالله باشد نيست</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حرمت استماع غيبت</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محمّد‌تقي شيرازي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قدس سره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ميرزاي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در شيراز به دنيا آمد و دوران كودكي را در زادگاهش گذراند و آنگاه پدرش او را براي فراگيري علوم ديني به كربلا برد و دروس ابتدايي و مقدّمات را نزد افاضل آن‌جا خواند و در محضر درس فاضل اردكاني حاضر شد و دروس سطح خود را نزد او و سيّد علي نقي طباطبايي به پايان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دوست و هم‌بحث خود سيد محمّد فشاركي اصفهاني، به همراه ميرزا حسن شيرازي، معروف به ميرزاي بزرگ، به سامرّا رفت و در مجلس درس ميرزا شركت كرد و از اركان بحث او گرديد و به همراه سيّد اسماعيل صدر و سيّد محمّد اصفهاني، يكي از علماي بزرگ ثلاث در زمان ميرزاي بزرگ به شمار مي‌رفت</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نهضت ثورة العشرين، جهاد مردم عراق به رهبري مرجعيت شيعه عليه اشغالگران انگليسي در سال </w:t>
      </w:r>
      <w:r>
        <w:rPr>
          <w:rFonts w:eastAsia="IRNazanin" w:cs="IRNazanin"/>
          <w:b w:val="false"/>
          <w:bCs w:val="false"/>
          <w:i w:val="false"/>
          <w:iCs w:val="false"/>
          <w:color w:val="333333"/>
          <w:sz w:val="20"/>
          <w:szCs w:val="20"/>
        </w:rPr>
        <w:t>1920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ميلادي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الردّ غير النهي عن الغيبة، و المراد به الانتصار للغائب بما يناسب تلك الغيبة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أنه عينه فإن الرّد هو المنع و الدّفع و ظاهر الأخبار ردّ القول لا ردّ المعنى المقول و إبطاله بذكر محامل صحيحة أو بذكر ما يناقضه ثم إنّ الرّد كما يحصل بالقول كذلك قد يحصل بالفعل بالانقباض و إظهار التأذّي و عدم التوجّه و الإقبال إلى كلام المتكلّم و مقابله الانبساط و الانشراح و كمال التّوجه إلى كلامه الممدّد له و المرغّب له في إطالة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باب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 كان عيباً دنيوياً انتصر له بأنّ العيب ليس إلّا ما عاب اللّه به من المعاصي التي من أكبرها ذكرك أخاك بما لم يعبه اللّه به، و إن كان عيباً دينياً وجّهه بمحامل تخرجه عن المعصية، فإن لم يقبل التوجيه انتصر له بأنّ المؤمن قد يبتلي بالمعصية، فينبغي أن تستغفر له و تهتمّ له، لا أن تعيّر عليه، و أنّ تعييرك إيّاه لعلّه أعظم عند اللّه من معصيته، و نحو ذلك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بن بابويه في عيون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مُحَمَّدِ بْنِ أَحْمَدَ بْنِ الْحُسَيْنِ بْنِ يُوسُفَ بْنِ زُرَيْقٍ الْبَغْدَادِيِّ عَنْ عَلِيِّ بْنِ مُحَمَّدِ بْنِ عُتَيْبَةَ عَنْ دَارِمِ بْنِ قَبِيصَةَ عَنِ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قَالَ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التَّائِبُ مِنَ الذَّنْبِ كَمَنْ لَا ذَنْبَ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كتاب الجهاد، ابواب جهاد النفس، باب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گاهي مدح ديگران به امر كذبي است كه در اين صورت عقابِ دروغگويي هم اضافه مي‌شود، ولي فرض بحث در جايي است كه مدح به امر مباحي باشد</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دالع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بيرون آمده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دعاي صباح مي‌خوانيم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من دلع لسان الصباح بنطق تبلّجه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اى كسى كه بيرون كشيد زبان صبحدم را به بيان تابناك آن</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سند در پاورقي صفحه‌ي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كتاب الحج، ابواب احكام العشرة، باب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نمنع صدق ذي اللّسانين بمجرّد ذكر صفاته الحسنة في حضوره و صفاته السيّئة في غيابه نعم إذا أظهر بذكر صفاته الحسنة في حضوره أنه ممن يستحقّ المدح أو أنّه ممّن لا صفة ذميمة فيه صار ذو اللّسانين إذا ذمّه في قفاه و إلّا فمجرّد ذكر إحدى الصّفتين في الحضور و الأخرى في الغياب كان المذكور في الحضور صفته الحسن و في الغياب صفته السّوء أو بالعكس لا يوجب اشتداد الحكم و قد يذكر كلتا الصّفتين في حضوره أو كلتاهما عند غيابه و لعلّ اللّسانين من نار من جهة أنّ لسان الحضور لا محالة يكون لسان كذب لعدم إمكان صدقه في كلا اللّسانين و غالبا يكون لسان الحضور لسان كذب دون لسان الغياب فيكون كاذبا في لسان حضوره و مستغيبا في لسان غيابه فبهذا الاعتبار يكون له لسانان من 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حاشية المكاسب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للايرواني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استثنائاتي هم هست كه مهم نيست</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روايت در صفحه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تفصيل ذكر شده است</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روايت در صفحه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اين روايت در صفحه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مجازاتي كه براي انسان‌هاي دو چهره در نظر گرفته شده است، دو زبان از آتش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اين مجازات تجسّم گناه آنان باشد پس اينان كساني هستند كه در حين گناه، به هر دو زبانشان معصيت مي‌كنند، وگرنه دو زبان آتشين وجهي نداشت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بفرماييد يك زبان مي‌تواند زبان مباح باشد، يعني يك زبانش زبان آتش است كه در اين صورت بايد مي‌فرمود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زباني از آتش</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قد يطلق الاغتياب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يقال في شخصٍ ما ليس 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احكام العشرة،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غيبت كننده به بهشت نمي‌رود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عواملي كه دو شخص مؤمن را به هم پيوند مي‌دهد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ملتزم شدن به اين‌كه غيبت كننده خلود در آتش خواهد داشت مشكل است، هرچند اين روايت از لحاظ سند ناتمام است</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قرآن كريم هم واژه‌ي بهتان استعمال شده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لَوْ لا إِذْ سَمِعْتُمُوهُ قُلْتُمْ ما يَكُونُ لَنا أَنْ نَتَكَلَّمَ بِهذا سُبْحانَكَ هذا بُهْتانٌ عَظيم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النور، آيه‌ي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اين به حسب ذات اين دو گناه است؛ گرچه ممكن است در بعض مواقع، كسي كه مورد بهتان واقع شده زودتر و بهتر بتواند از خود دفاع كند، امّا در مورد غيبت چون واقعيت براي ديگران كشف مي‌شود ديگر نمي‌تواند دفاع كند، ولي اين خارج از حقيقت بهتان و غيبت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حقيقت بهتان اين‌چنين است كه شديدتر از غيبت است و گناهش بزرگ‌تر است</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اعلم أنّه قد يطلق الاغتياب على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البهتان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أن يقال في شخصٍ ما ليس فيه، و هو أغلظ تحريماً من الغيبة، و وجهه ظاهر؛ لأنّه جامع بين مفسدتي الكذب و الغيبة، و يمكن القول بتعدّد العقاب من جهة كلّ من العنوانين و المركب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ممكن است كسي بگويد بهتان در غياب شخص، گناهش سنگين‌تر از بهتان در حضور باشد، ولي اين را نمي‌توانيم بپذيريم و بهتر است بگوييم موارد فرق مي‌كند، گاهي بهتان در حضور سخت‌تر است؛ چون با اين بهتان، آن‌قدر موجب شكسته شدن او مي‌شود كه ديگر نمي‌تواند جبران كند و گاهي در غياب سخت‌تر است؛ چون اگر در حضور باشد مي‌تواند به راحتي از خود دفاع كند و كذب بودن آن را اثبات كند</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تَقَدَّمَ فِي أَحَادِيثِ الْخُمُسِ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مُحَمَّدُ بْنُ عَلِيِّ بْنِ الْحُسَيْنِ فِي إِكْمَالِ الدِّينِ عَنْ مُحَمَّدِ بْنِ أَحْمَدَ السِّنَانِيِّ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الشيباني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عَلِيِّ بْنِ أَحْمَدَ بْنِ مُحَمَّدٍ الدَّقَّاقِ وَ الْحُسَيْنِ بْنِ إِبْرَاهِيمَ بْنِ أَحْمَدَ بْنِ هِشَامٍ الْمُؤَدِّبِ وَ عَلِيِّ بْنِ عَبْدِ اللَّهِ الْوَرَّاقِ جَمِيعاً عَنْ أَبِي الْحُسَيْنِ مُحَمَّدِ بْنِ جَعْفَرٍ الْأَسَدِيِّ قَالَ كَانَ فِيمَا وَرَدَ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أَبِي جَعْفَرٍ مُحَمَّدِ بْنِ عُثْمَانَ الْعَمْرِيِّ قَدَّسَ اللَّهُ رُوحَهُ فِي جَوَابِ مَسَائِلِي إِلَى صَاحِبِ الدَّارِ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صَاحِبِ الزَّمَانِ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يَحِلُّ لِأَحَدٍ أَنْ يَتَصَرَّفَ فِي مَالِ غَيْرِهِ بِغَيْرِ إِذْنِهِ فَكَيْفَ يَحِلُّ ذَلِكَ فِي مَالِنَا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كتاب الاطعمة و الاشربة، ابواب الاطعمة المحرمة، باب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كراهة التعرض لما لايطيق،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مي‌رسد پاسخي كه به صورت اوّل داده شد ـ مبني بر عدم جواز مؤمن در ذليل كردن خود ـ براي اين صورت هم باشد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انتخابي حضرت استاد اين است كه قول ثقه در غير باب قضاوت، براي اثبات موضوعات كافي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تفصيل اين مطلب در مباحث طهارت تبيين شد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مسأله وثاقت كافي نيست، بلكه بايد عادل باشد</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سابقه‌ي عدالت و احتمال اين‌كه با مجوز شرعي غيبت مي‌كند</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بعضي روايات مي‌فرمايد اگر پنجاه نفر عليه كسي شهادت دادند ولي آن شخص منكر شد، آن پنجاه نفر را تكذيب كن و قول آن شخص را بپذير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ابواب احكام العشره،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معنى القضاء لذيها على من هي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المعاملة معه معاملة من أهملها بالحرمان عمّا أُعدّ لمن أدّى حقوق الاخوّة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المكاسب المحرمة،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إنّ ظاهرها و إن كان عامّاً، إلّا أنّه يمكن تخصيصها بالأخ العارف بهذه الحقوق المؤدّي لها بحسب اليسر، أمّا المؤمن المضيّع لها فالظاهر عدم تأكّد مراعاة هذه الحقوق بالنسبة إليه، و لا يوجب إهمالها مطالبته يوم القيامة؛ لتحقّق المقاصة، فإنّ التهاتر يقع في الحقوق، كما يقع في الأموال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روايت ديگري كه دالّ بر مطلب باشد پيدا نكرديم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اميرخاني</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تتمه كتاب الحج، ابواب احكام العشره، باب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كَشَرََ يعني دندان‌هايش پيدا شد، وقتي كسي كمي لبخند بزند و دندان‌هايش پيدا 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حتي لبخند هم نزند ولي دندان‌هايش پيدا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كَشَرَ عن اسنانه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حديثي آمده است كه حضرت زهرا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هفتاد و پنج روز زندگي بعد از وفات پيامر اكرم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صلي الله عليه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 تر كاشرة ولا ضاحكة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در آن مدت حضرت خنده‌اي نداشتند و حتي اندك تبسمي كه دندان‌هاي حضرت پيدا شود هم نداشتند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كبريت احمر آن گوهرى است كه كيمياگران آن را اكسير ناميده و پيوسته در جستجوى آن بودند و غالباً براي امور نادر و كميابي كه ندرتاً به دست مى‌آيد به كبريت احمر مثال مى‌زنند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غروي</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 هذه الرواية غريبة عما ذكره المصنف، فإنها مسوقة لبيان وظيفة العمل بحقوق الاخوان على حسب مراتب الإخوة، فإن منهم من هو في أرقى مراتب الاخوة في أداء حقوقها حتى يطمئن به الإنسان على عرضه و ماله، و سائر شؤنه، و هذا الأخ كالكف و الجناح، فيبذل له المال و اليد، و يعادي من عاداه، و يصافي من صافاه، و منهم إخوان الانس و الفرح و المجالسة و المفاكهة، فلا يبذل لهم إلا ما يبذلون من طلاقة الوجه و حلاوة اللسان، و لا يطمأن إليهم في الأمور المذكورة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مصباح الفقاهة،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image" Target="media/image2.jpeg"/><Relationship Id="rId502" Type="http://schemas.openxmlformats.org/officeDocument/2006/relationships/image" Target="media/image2.jpeg"/><Relationship Id="rId503" Type="http://schemas.openxmlformats.org/officeDocument/2006/relationships/footer" Target="footer496.xml"/><Relationship Id="rId504" Type="http://schemas.openxmlformats.org/officeDocument/2006/relationships/footnotes" Target="footnotes.xml"/><Relationship Id="rId505" Type="http://schemas.openxmlformats.org/officeDocument/2006/relationships/numbering" Target="numbering.xml"/><Relationship Id="rId506" Type="http://schemas.openxmlformats.org/officeDocument/2006/relationships/fontTable" Target="fontTable.xml"/><Relationship Id="rId507" Type="http://schemas.openxmlformats.org/officeDocument/2006/relationships/settings" Target="settings.xml"/><Relationship Id="rId5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510</Pages>
  <Words>47184</Words>
  <Characters>179866</Characters>
  <CharactersWithSpaces>225772</CharactersWithSpaces>
  <Paragraphs>1299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2026-08-17T07:09:01Z</dcterms:created>
  <dc:creator>ghaemiyeh.com</dc:creator>
  <dc:description/>
  <dc:language>en-US</dc:language>
  <cp:lastModifiedBy/>
  <dcterms:modified xsi:type="dcterms:W3CDTF">2026-08-17T10:39:13Z</dcterms:modified>
  <cp:revision>1</cp:revision>
  <dc:subject/>
  <dc:title>بررسی گسترده ی فقهی غیبت</dc:title>
</cp:coreProperties>
</file>

<file path=docProps/custom.xml><?xml version="1.0" encoding="utf-8"?>
<Properties xmlns="http://schemas.openxmlformats.org/officeDocument/2006/custom-properties" xmlns:vt="http://schemas.openxmlformats.org/officeDocument/2006/docPropsVTypes"/>
</file>