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An Introduction to The Islamic Shariah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027860_3804643083">
            <w:r>
              <w:rPr>
                <w:webHidden/>
                <w:rStyle w:val="IndexLink"/>
              </w:rPr>
              <w:t>BOOK ID</w:t>
              <w:tab/>
              <w:t>4</w:t>
            </w:r>
          </w:hyperlink>
        </w:p>
        <w:p>
          <w:pPr>
            <w:pStyle w:val="Contents2"/>
            <w:tabs>
              <w:tab w:val="clear" w:pos="8743"/>
              <w:tab w:val="right" w:pos="9026" w:leader="dot"/>
            </w:tabs>
            <w:bidi w:val="0"/>
            <w:rPr/>
          </w:pPr>
          <w:hyperlink w:anchor="__RefHeading___Toc2027862_3804643083">
            <w:r>
              <w:rPr>
                <w:webHidden/>
                <w:rStyle w:val="IndexLink"/>
              </w:rPr>
              <w:t>point</w:t>
              <w:tab/>
              <w:t>4</w:t>
            </w:r>
          </w:hyperlink>
        </w:p>
        <w:p>
          <w:pPr>
            <w:pStyle w:val="Contents2"/>
            <w:tabs>
              <w:tab w:val="clear" w:pos="8743"/>
              <w:tab w:val="right" w:pos="9026" w:leader="dot"/>
            </w:tabs>
            <w:bidi w:val="0"/>
            <w:rPr/>
          </w:pPr>
          <w:hyperlink w:anchor="__RefHeading___Toc2027864_3804643083">
            <w:r>
              <w:rPr>
                <w:webHidden/>
                <w:rStyle w:val="IndexLink"/>
              </w:rPr>
              <w:t>Preface</w:t>
              <w:tab/>
              <w:t>4</w:t>
            </w:r>
          </w:hyperlink>
        </w:p>
        <w:p>
          <w:pPr>
            <w:pStyle w:val="Contents2"/>
            <w:tabs>
              <w:tab w:val="clear" w:pos="8743"/>
              <w:tab w:val="right" w:pos="9026" w:leader="dot"/>
            </w:tabs>
            <w:bidi w:val="0"/>
            <w:rPr/>
          </w:pPr>
          <w:hyperlink w:anchor="__RefHeading___Toc2027866_3804643083">
            <w:r>
              <w:rPr>
                <w:webHidden/>
                <w:rStyle w:val="IndexLink"/>
              </w:rPr>
              <w:t>The Shari'ah</w:t>
              <w:tab/>
              <w:t>5</w:t>
            </w:r>
          </w:hyperlink>
        </w:p>
        <w:p>
          <w:pPr>
            <w:pStyle w:val="Contents3"/>
            <w:tabs>
              <w:tab w:val="clear" w:pos="8459"/>
              <w:tab w:val="right" w:pos="9026" w:leader="dot"/>
            </w:tabs>
            <w:bidi w:val="0"/>
            <w:rPr/>
          </w:pPr>
          <w:hyperlink w:anchor="__RefHeading___Toc2027868_3804643083">
            <w:r>
              <w:rPr>
                <w:webHidden/>
                <w:rStyle w:val="IndexLink"/>
              </w:rPr>
              <w:t>The Place of Shari'ah in Islam</w:t>
              <w:tab/>
              <w:t>5</w:t>
            </w:r>
          </w:hyperlink>
        </w:p>
        <w:p>
          <w:pPr>
            <w:pStyle w:val="Contents3"/>
            <w:tabs>
              <w:tab w:val="clear" w:pos="8459"/>
              <w:tab w:val="right" w:pos="9026" w:leader="dot"/>
            </w:tabs>
            <w:bidi w:val="0"/>
            <w:rPr/>
          </w:pPr>
          <w:hyperlink w:anchor="__RefHeading___Toc2027870_3804643083">
            <w:r>
              <w:rPr>
                <w:webHidden/>
                <w:rStyle w:val="IndexLink"/>
              </w:rPr>
              <w:t>What is the need for the Shari'ah?</w:t>
              <w:tab/>
              <w:t>6</w:t>
            </w:r>
          </w:hyperlink>
        </w:p>
        <w:p>
          <w:pPr>
            <w:pStyle w:val="Contents3"/>
            <w:tabs>
              <w:tab w:val="clear" w:pos="8459"/>
              <w:tab w:val="right" w:pos="9026" w:leader="dot"/>
            </w:tabs>
            <w:bidi w:val="0"/>
            <w:rPr/>
          </w:pPr>
          <w:hyperlink w:anchor="__RefHeading___Toc2027872_3804643083">
            <w:r>
              <w:rPr>
                <w:webHidden/>
                <w:rStyle w:val="IndexLink"/>
              </w:rPr>
              <w:t>The Superiority or God-made Laws over the Man-made Laws</w:t>
              <w:tab/>
              <w:t>7</w:t>
            </w:r>
          </w:hyperlink>
        </w:p>
        <w:p>
          <w:pPr>
            <w:pStyle w:val="Contents2"/>
            <w:tabs>
              <w:tab w:val="clear" w:pos="8743"/>
              <w:tab w:val="right" w:pos="9026" w:leader="dot"/>
            </w:tabs>
            <w:bidi w:val="0"/>
            <w:rPr/>
          </w:pPr>
          <w:hyperlink w:anchor="__RefHeading___Toc2027874_3804643083">
            <w:r>
              <w:rPr>
                <w:webHidden/>
                <w:rStyle w:val="IndexLink"/>
              </w:rPr>
              <w:t>How to Live by the Shari'ah?</w:t>
              <w:tab/>
              <w:t>9</w:t>
            </w:r>
          </w:hyperlink>
        </w:p>
        <w:p>
          <w:pPr>
            <w:pStyle w:val="Contents3"/>
            <w:tabs>
              <w:tab w:val="clear" w:pos="8459"/>
              <w:tab w:val="right" w:pos="9026" w:leader="dot"/>
            </w:tabs>
            <w:bidi w:val="0"/>
            <w:rPr/>
          </w:pPr>
          <w:hyperlink w:anchor="__RefHeading___Toc2027876_3804643083">
            <w:r>
              <w:rPr>
                <w:webHidden/>
                <w:rStyle w:val="IndexLink"/>
              </w:rPr>
              <w:t>During the Days of the Prophet</w:t>
              <w:tab/>
              <w:t>9</w:t>
            </w:r>
          </w:hyperlink>
        </w:p>
        <w:p>
          <w:pPr>
            <w:pStyle w:val="Contents3"/>
            <w:tabs>
              <w:tab w:val="clear" w:pos="8459"/>
              <w:tab w:val="right" w:pos="9026" w:leader="dot"/>
            </w:tabs>
            <w:bidi w:val="0"/>
            <w:rPr/>
          </w:pPr>
          <w:hyperlink w:anchor="__RefHeading___Toc2027878_3804643083">
            <w:r>
              <w:rPr>
                <w:webHidden/>
                <w:rStyle w:val="IndexLink"/>
              </w:rPr>
              <w:t>During the Days of the Imams</w:t>
              <w:tab/>
              <w:t>11</w:t>
            </w:r>
          </w:hyperlink>
        </w:p>
        <w:p>
          <w:pPr>
            <w:pStyle w:val="Contents3"/>
            <w:tabs>
              <w:tab w:val="clear" w:pos="8459"/>
              <w:tab w:val="right" w:pos="9026" w:leader="dot"/>
            </w:tabs>
            <w:bidi w:val="0"/>
            <w:rPr/>
          </w:pPr>
          <w:hyperlink w:anchor="__RefHeading___Toc2027880_3804643083">
            <w:r>
              <w:rPr>
                <w:webHidden/>
                <w:rStyle w:val="IndexLink"/>
              </w:rPr>
              <w:t>During the Ghaybat of the Present Imam</w:t>
              <w:tab/>
              <w:t>15</w:t>
            </w:r>
          </w:hyperlink>
        </w:p>
        <w:p>
          <w:pPr>
            <w:pStyle w:val="Contents3"/>
            <w:tabs>
              <w:tab w:val="clear" w:pos="8459"/>
              <w:tab w:val="right" w:pos="9026" w:leader="dot"/>
            </w:tabs>
            <w:bidi w:val="0"/>
            <w:rPr/>
          </w:pPr>
          <w:hyperlink w:anchor="__RefHeading___Toc2027882_3804643083">
            <w:r>
              <w:rPr>
                <w:webHidden/>
                <w:rStyle w:val="IndexLink"/>
              </w:rPr>
              <w:t>Summary</w:t>
              <w:tab/>
              <w:t>15</w:t>
            </w:r>
          </w:hyperlink>
        </w:p>
        <w:p>
          <w:pPr>
            <w:pStyle w:val="Contents2"/>
            <w:tabs>
              <w:tab w:val="clear" w:pos="8743"/>
              <w:tab w:val="right" w:pos="9026" w:leader="dot"/>
            </w:tabs>
            <w:bidi w:val="0"/>
            <w:rPr/>
          </w:pPr>
          <w:hyperlink w:anchor="__RefHeading___Toc2027884_3804643083">
            <w:r>
              <w:rPr>
                <w:webHidden/>
                <w:rStyle w:val="IndexLink"/>
              </w:rPr>
              <w:t>Taqlid, Following The Expert</w:t>
              <w:tab/>
              <w:t>16</w:t>
            </w:r>
          </w:hyperlink>
        </w:p>
        <w:p>
          <w:pPr>
            <w:pStyle w:val="Contents3"/>
            <w:tabs>
              <w:tab w:val="clear" w:pos="8459"/>
              <w:tab w:val="right" w:pos="9026" w:leader="dot"/>
            </w:tabs>
            <w:bidi w:val="0"/>
            <w:rPr/>
          </w:pPr>
          <w:hyperlink w:anchor="__RefHeading___Toc2027886_3804643083">
            <w:r>
              <w:rPr>
                <w:webHidden/>
                <w:rStyle w:val="IndexLink"/>
              </w:rPr>
              <w:t>point</w:t>
              <w:tab/>
              <w:t>16</w:t>
            </w:r>
          </w:hyperlink>
        </w:p>
        <w:p>
          <w:pPr>
            <w:pStyle w:val="Contents3"/>
            <w:tabs>
              <w:tab w:val="clear" w:pos="8459"/>
              <w:tab w:val="right" w:pos="9026" w:leader="dot"/>
            </w:tabs>
            <w:bidi w:val="0"/>
            <w:rPr/>
          </w:pPr>
          <w:hyperlink w:anchor="__RefHeading___Toc2027888_3804643083">
            <w:r>
              <w:rPr>
                <w:webHidden/>
                <w:rStyle w:val="IndexLink"/>
              </w:rPr>
              <w:t>The Meaning of Taqlid</w:t>
              <w:tab/>
              <w:t>16</w:t>
            </w:r>
          </w:hyperlink>
        </w:p>
        <w:p>
          <w:pPr>
            <w:pStyle w:val="Contents3"/>
            <w:tabs>
              <w:tab w:val="clear" w:pos="8459"/>
              <w:tab w:val="right" w:pos="9026" w:leader="dot"/>
            </w:tabs>
            <w:bidi w:val="0"/>
            <w:rPr/>
          </w:pPr>
          <w:hyperlink w:anchor="__RefHeading___Toc2027890_3804643083">
            <w:r>
              <w:rPr>
                <w:webHidden/>
                <w:rStyle w:val="IndexLink"/>
              </w:rPr>
              <w:t>Is Taqlid Reasonable?</w:t>
              <w:tab/>
              <w:t>16</w:t>
            </w:r>
          </w:hyperlink>
        </w:p>
        <w:p>
          <w:pPr>
            <w:pStyle w:val="Contents3"/>
            <w:tabs>
              <w:tab w:val="clear" w:pos="8459"/>
              <w:tab w:val="right" w:pos="9026" w:leader="dot"/>
            </w:tabs>
            <w:bidi w:val="0"/>
            <w:rPr/>
          </w:pPr>
          <w:hyperlink w:anchor="__RefHeading___Toc2027892_3804643083">
            <w:r>
              <w:rPr>
                <w:webHidden/>
                <w:rStyle w:val="IndexLink"/>
              </w:rPr>
              <w:t>Support from the Qur'an and Sunnah</w:t>
              <w:tab/>
              <w:t>18</w:t>
            </w:r>
          </w:hyperlink>
        </w:p>
        <w:p>
          <w:pPr>
            <w:pStyle w:val="Contents3"/>
            <w:tabs>
              <w:tab w:val="clear" w:pos="8459"/>
              <w:tab w:val="right" w:pos="9026" w:leader="dot"/>
            </w:tabs>
            <w:bidi w:val="0"/>
            <w:rPr/>
          </w:pPr>
          <w:hyperlink w:anchor="__RefHeading___Toc2027894_3804643083">
            <w:r>
              <w:rPr>
                <w:webHidden/>
                <w:rStyle w:val="IndexLink"/>
              </w:rPr>
              <w:t>Qualifications of a Mujtahid</w:t>
              <w:tab/>
              <w:t>21</w:t>
            </w:r>
          </w:hyperlink>
        </w:p>
        <w:p>
          <w:pPr>
            <w:pStyle w:val="Contents3"/>
            <w:tabs>
              <w:tab w:val="clear" w:pos="8459"/>
              <w:tab w:val="right" w:pos="9026" w:leader="dot"/>
            </w:tabs>
            <w:bidi w:val="0"/>
            <w:rPr/>
          </w:pPr>
          <w:hyperlink w:anchor="__RefHeading___Toc2027896_3804643083">
            <w:r>
              <w:rPr>
                <w:webHidden/>
                <w:rStyle w:val="IndexLink"/>
              </w:rPr>
              <w:t>How Can a Believer Know who is a Mujtahid?</w:t>
              <w:tab/>
              <w:t>22</w:t>
            </w:r>
          </w:hyperlink>
        </w:p>
        <w:p>
          <w:pPr>
            <w:pStyle w:val="Contents3"/>
            <w:tabs>
              <w:tab w:val="clear" w:pos="8459"/>
              <w:tab w:val="right" w:pos="9026" w:leader="dot"/>
            </w:tabs>
            <w:bidi w:val="0"/>
            <w:rPr/>
          </w:pPr>
          <w:hyperlink w:anchor="__RefHeading___Toc2027898_3804643083">
            <w:r>
              <w:rPr>
                <w:webHidden/>
                <w:rStyle w:val="IndexLink"/>
              </w:rPr>
              <w:t>Differences among the Mujtahids in their Legal Opinions</w:t>
              <w:tab/>
              <w:t>23</w:t>
            </w:r>
          </w:hyperlink>
        </w:p>
        <w:p>
          <w:pPr>
            <w:pStyle w:val="Contents2"/>
            <w:tabs>
              <w:tab w:val="clear" w:pos="8743"/>
              <w:tab w:val="right" w:pos="9026" w:leader="dot"/>
            </w:tabs>
            <w:bidi w:val="0"/>
            <w:rPr/>
          </w:pPr>
          <w:hyperlink w:anchor="__RefHeading___Toc2027900_3804643083">
            <w:r>
              <w:rPr>
                <w:webHidden/>
                <w:rStyle w:val="IndexLink"/>
              </w:rPr>
              <w:t>The Tendency of Rationalizing The Shari’ah Laws</w:t>
              <w:tab/>
              <w:t>25</w:t>
            </w:r>
          </w:hyperlink>
        </w:p>
        <w:p>
          <w:pPr>
            <w:pStyle w:val="Contents3"/>
            <w:tabs>
              <w:tab w:val="clear" w:pos="8459"/>
              <w:tab w:val="right" w:pos="9026" w:leader="dot"/>
            </w:tabs>
            <w:bidi w:val="0"/>
            <w:rPr/>
          </w:pPr>
          <w:hyperlink w:anchor="__RefHeading___Toc2027902_3804643083">
            <w:r>
              <w:rPr>
                <w:webHidden/>
                <w:rStyle w:val="IndexLink"/>
              </w:rPr>
              <w:t>point</w:t>
              <w:tab/>
              <w:t>25</w:t>
            </w:r>
          </w:hyperlink>
        </w:p>
        <w:p>
          <w:pPr>
            <w:pStyle w:val="Contents3"/>
            <w:tabs>
              <w:tab w:val="clear" w:pos="8459"/>
              <w:tab w:val="right" w:pos="9026" w:leader="dot"/>
            </w:tabs>
            <w:bidi w:val="0"/>
            <w:rPr/>
          </w:pPr>
          <w:hyperlink w:anchor="__RefHeading___Toc2027904_3804643083">
            <w:r>
              <w:rPr>
                <w:webHidden/>
                <w:rStyle w:val="IndexLink"/>
              </w:rPr>
              <w:t>The Scope of Rationalization</w:t>
              <w:tab/>
              <w:t>26</w:t>
            </w:r>
          </w:hyperlink>
        </w:p>
        <w:p>
          <w:pPr>
            <w:pStyle w:val="Contents3"/>
            <w:tabs>
              <w:tab w:val="clear" w:pos="8459"/>
              <w:tab w:val="right" w:pos="9026" w:leader="dot"/>
            </w:tabs>
            <w:bidi w:val="0"/>
            <w:rPr/>
          </w:pPr>
          <w:hyperlink w:anchor="__RefHeading___Toc2027906_3804643083">
            <w:r>
              <w:rPr>
                <w:webHidden/>
                <w:rStyle w:val="IndexLink"/>
              </w:rPr>
              <w:t>The Categories of Shari' ah Laws</w:t>
              <w:tab/>
              <w:t>28</w:t>
            </w:r>
          </w:hyperlink>
        </w:p>
        <w:p>
          <w:pPr>
            <w:pStyle w:val="Contents3"/>
            <w:tabs>
              <w:tab w:val="clear" w:pos="8459"/>
              <w:tab w:val="right" w:pos="9026" w:leader="dot"/>
            </w:tabs>
            <w:bidi w:val="0"/>
            <w:rPr/>
          </w:pPr>
          <w:hyperlink w:anchor="__RefHeading___Toc2027908_3804643083">
            <w:r>
              <w:rPr>
                <w:webHidden/>
                <w:rStyle w:val="IndexLink"/>
              </w:rPr>
              <w:t>The Right Approach</w:t>
              <w:tab/>
              <w:t>31</w:t>
            </w:r>
          </w:hyperlink>
        </w:p>
        <w:p>
          <w:pPr>
            <w:pStyle w:val="Contents2"/>
            <w:tabs>
              <w:tab w:val="clear" w:pos="8743"/>
              <w:tab w:val="right" w:pos="9026" w:leader="dot"/>
            </w:tabs>
            <w:bidi w:val="0"/>
            <w:rPr/>
          </w:pPr>
          <w:hyperlink w:anchor="__RefHeading___Toc2027910_3804643083">
            <w:r>
              <w:rPr>
                <w:webHidden/>
                <w:rStyle w:val="IndexLink"/>
              </w:rPr>
              <w:t>The System of Ijtihad</w:t>
              <w:tab/>
              <w:t>35</w:t>
            </w:r>
          </w:hyperlink>
        </w:p>
        <w:p>
          <w:pPr>
            <w:pStyle w:val="Contents3"/>
            <w:tabs>
              <w:tab w:val="clear" w:pos="8459"/>
              <w:tab w:val="right" w:pos="9026" w:leader="dot"/>
            </w:tabs>
            <w:bidi w:val="0"/>
            <w:rPr/>
          </w:pPr>
          <w:hyperlink w:anchor="__RefHeading___Toc2027912_3804643083">
            <w:r>
              <w:rPr>
                <w:webHidden/>
                <w:rStyle w:val="IndexLink"/>
              </w:rPr>
              <w:t>Some Important Terms</w:t>
              <w:tab/>
              <w:t>35</w:t>
            </w:r>
          </w:hyperlink>
        </w:p>
        <w:p>
          <w:pPr>
            <w:pStyle w:val="Contents3"/>
            <w:tabs>
              <w:tab w:val="clear" w:pos="8459"/>
              <w:tab w:val="right" w:pos="9026" w:leader="dot"/>
            </w:tabs>
            <w:bidi w:val="0"/>
            <w:rPr/>
          </w:pPr>
          <w:hyperlink w:anchor="__RefHeading___Toc2027914_3804643083">
            <w:r>
              <w:rPr>
                <w:webHidden/>
                <w:rStyle w:val="IndexLink"/>
              </w:rPr>
              <w:t>The Importance of Ijtihad</w:t>
              <w:tab/>
              <w:t>36</w:t>
            </w:r>
          </w:hyperlink>
        </w:p>
        <w:p>
          <w:pPr>
            <w:pStyle w:val="Contents3"/>
            <w:tabs>
              <w:tab w:val="clear" w:pos="8459"/>
              <w:tab w:val="right" w:pos="9026" w:leader="dot"/>
            </w:tabs>
            <w:bidi w:val="0"/>
            <w:rPr/>
          </w:pPr>
          <w:hyperlink w:anchor="__RefHeading___Toc2027916_3804643083">
            <w:r>
              <w:rPr>
                <w:webHidden/>
                <w:rStyle w:val="IndexLink"/>
              </w:rPr>
              <w:t>Was not Ijtihad forbidden in the Early Shi’ah Sources?</w:t>
              <w:tab/>
              <w:t>39</w:t>
            </w:r>
          </w:hyperlink>
        </w:p>
        <w:p>
          <w:pPr>
            <w:pStyle w:val="Contents3"/>
            <w:tabs>
              <w:tab w:val="clear" w:pos="8459"/>
              <w:tab w:val="right" w:pos="9026" w:leader="dot"/>
            </w:tabs>
            <w:bidi w:val="0"/>
            <w:rPr/>
          </w:pPr>
          <w:hyperlink w:anchor="__RefHeading___Toc2027918_3804643083">
            <w:r>
              <w:rPr>
                <w:webHidden/>
                <w:rStyle w:val="IndexLink"/>
              </w:rPr>
              <w:t>The Process of Ijtihad</w:t>
              <w:tab/>
              <w:t>40</w:t>
            </w:r>
          </w:hyperlink>
        </w:p>
        <w:p>
          <w:pPr>
            <w:pStyle w:val="Contents3"/>
            <w:tabs>
              <w:tab w:val="clear" w:pos="8459"/>
              <w:tab w:val="right" w:pos="9026" w:leader="dot"/>
            </w:tabs>
            <w:bidi w:val="0"/>
            <w:rPr/>
          </w:pPr>
          <w:hyperlink w:anchor="__RefHeading___Toc2027920_3804643083">
            <w:r>
              <w:rPr>
                <w:webHidden/>
                <w:rStyle w:val="IndexLink"/>
              </w:rPr>
              <w:t>A. Usulu’l-Fiqh</w:t>
              <w:tab/>
              <w:t>41</w:t>
            </w:r>
          </w:hyperlink>
        </w:p>
        <w:p>
          <w:pPr>
            <w:pStyle w:val="Contents4"/>
            <w:tabs>
              <w:tab w:val="clear" w:pos="8176"/>
              <w:tab w:val="right" w:pos="9026" w:leader="dot"/>
            </w:tabs>
            <w:bidi w:val="0"/>
            <w:rPr/>
          </w:pPr>
          <w:hyperlink w:anchor="__RefHeading___Toc2027922_3804643083">
            <w:r>
              <w:rPr>
                <w:webHidden/>
                <w:rStyle w:val="IndexLink"/>
              </w:rPr>
              <w:t>point</w:t>
              <w:tab/>
              <w:t>41</w:t>
            </w:r>
          </w:hyperlink>
        </w:p>
        <w:p>
          <w:pPr>
            <w:pStyle w:val="Contents4"/>
            <w:tabs>
              <w:tab w:val="clear" w:pos="8176"/>
              <w:tab w:val="right" w:pos="9026" w:leader="dot"/>
            </w:tabs>
            <w:bidi w:val="0"/>
            <w:rPr/>
          </w:pPr>
          <w:hyperlink w:anchor="__RefHeading___Toc2027924_3804643083">
            <w:r>
              <w:rPr>
                <w:webHidden/>
                <w:rStyle w:val="IndexLink"/>
              </w:rPr>
              <w:t>Convincing (Qat’i) and Non-Convincing (Dhanni) Souces</w:t>
              <w:tab/>
              <w:t>41</w:t>
            </w:r>
          </w:hyperlink>
        </w:p>
        <w:p>
          <w:pPr>
            <w:pStyle w:val="Contents4"/>
            <w:tabs>
              <w:tab w:val="clear" w:pos="8176"/>
              <w:tab w:val="right" w:pos="9026" w:leader="dot"/>
            </w:tabs>
            <w:bidi w:val="0"/>
            <w:rPr/>
          </w:pPr>
          <w:hyperlink w:anchor="__RefHeading___Toc2027926_3804643083">
            <w:r>
              <w:rPr>
                <w:webHidden/>
                <w:rStyle w:val="IndexLink"/>
              </w:rPr>
              <w:t>Legal (Shar’i) and Rational ('Aqli) Proofs</w:t>
              <w:tab/>
              <w:t>43</w:t>
            </w:r>
          </w:hyperlink>
        </w:p>
        <w:p>
          <w:pPr>
            <w:pStyle w:val="Contents5"/>
            <w:tabs>
              <w:tab w:val="clear" w:pos="7892"/>
              <w:tab w:val="right" w:pos="9026" w:leader="dot"/>
            </w:tabs>
            <w:bidi w:val="0"/>
            <w:rPr/>
          </w:pPr>
          <w:hyperlink w:anchor="__RefHeading___Toc2027928_3804643083">
            <w:r>
              <w:rPr>
                <w:webHidden/>
                <w:rStyle w:val="IndexLink"/>
              </w:rPr>
              <w:t>point</w:t>
              <w:tab/>
              <w:t>43</w:t>
            </w:r>
          </w:hyperlink>
        </w:p>
        <w:p>
          <w:pPr>
            <w:pStyle w:val="Contents5"/>
            <w:tabs>
              <w:tab w:val="clear" w:pos="7892"/>
              <w:tab w:val="right" w:pos="9026" w:leader="dot"/>
            </w:tabs>
            <w:bidi w:val="0"/>
            <w:rPr/>
          </w:pPr>
          <w:hyperlink w:anchor="__RefHeading___Toc2027930_3804643083">
            <w:r>
              <w:rPr>
                <w:webHidden/>
                <w:rStyle w:val="IndexLink"/>
              </w:rPr>
              <w:t>1. Dalil Shar’i</w:t>
              <w:tab/>
              <w:t>44</w:t>
            </w:r>
          </w:hyperlink>
        </w:p>
        <w:p>
          <w:pPr>
            <w:pStyle w:val="Contents5"/>
            <w:tabs>
              <w:tab w:val="clear" w:pos="7892"/>
              <w:tab w:val="right" w:pos="9026" w:leader="dot"/>
            </w:tabs>
            <w:bidi w:val="0"/>
            <w:rPr/>
          </w:pPr>
          <w:hyperlink w:anchor="__RefHeading___Toc2027932_3804643083">
            <w:r>
              <w:rPr>
                <w:webHidden/>
                <w:rStyle w:val="IndexLink"/>
              </w:rPr>
              <w:t>(A) The Linguistic Problems</w:t>
              <w:tab/>
              <w:t>44</w:t>
            </w:r>
          </w:hyperlink>
        </w:p>
        <w:p>
          <w:pPr>
            <w:pStyle w:val="Contents5"/>
            <w:tabs>
              <w:tab w:val="clear" w:pos="7892"/>
              <w:tab w:val="right" w:pos="9026" w:leader="dot"/>
            </w:tabs>
            <w:bidi w:val="0"/>
            <w:rPr/>
          </w:pPr>
          <w:hyperlink w:anchor="__RefHeading___Toc2027934_3804643083">
            <w:r>
              <w:rPr>
                <w:webHidden/>
                <w:rStyle w:val="IndexLink"/>
              </w:rPr>
              <w:t>(B) The Problems of Authenticity:</w:t>
              <w:tab/>
              <w:t>45</w:t>
            </w:r>
          </w:hyperlink>
        </w:p>
        <w:p>
          <w:pPr>
            <w:pStyle w:val="Contents5"/>
            <w:tabs>
              <w:tab w:val="clear" w:pos="7892"/>
              <w:tab w:val="right" w:pos="9026" w:leader="dot"/>
            </w:tabs>
            <w:bidi w:val="0"/>
            <w:rPr/>
          </w:pPr>
          <w:hyperlink w:anchor="__RefHeading___Toc2027936_3804643083">
            <w:r>
              <w:rPr>
                <w:webHidden/>
                <w:rStyle w:val="IndexLink"/>
              </w:rPr>
              <w:t>Examples of how a mujtahid comes to know of a Legal Proof:</w:t>
              <w:tab/>
              <w:t>46</w:t>
            </w:r>
          </w:hyperlink>
        </w:p>
        <w:p>
          <w:pPr>
            <w:pStyle w:val="Contents5"/>
            <w:tabs>
              <w:tab w:val="clear" w:pos="7892"/>
              <w:tab w:val="right" w:pos="9026" w:leader="dot"/>
            </w:tabs>
            <w:bidi w:val="0"/>
            <w:rPr/>
          </w:pPr>
          <w:hyperlink w:anchor="__RefHeading___Toc2027938_3804643083">
            <w:r>
              <w:rPr>
                <w:webHidden/>
                <w:rStyle w:val="IndexLink"/>
              </w:rPr>
              <w:t>2. Dalil 'Aqli:</w:t>
              <w:tab/>
              <w:t>47</w:t>
            </w:r>
          </w:hyperlink>
        </w:p>
        <w:p>
          <w:pPr>
            <w:pStyle w:val="Contents4"/>
            <w:tabs>
              <w:tab w:val="clear" w:pos="8176"/>
              <w:tab w:val="right" w:pos="9026" w:leader="dot"/>
            </w:tabs>
            <w:bidi w:val="0"/>
            <w:rPr/>
          </w:pPr>
          <w:hyperlink w:anchor="__RefHeading___Toc2027940_3804643083">
            <w:r>
              <w:rPr>
                <w:webHidden/>
                <w:rStyle w:val="IndexLink"/>
              </w:rPr>
              <w:t>The Procedural Rules (Al-Usulu'l-'Amaliyyah)</w:t>
              <w:tab/>
              <w:t>48</w:t>
            </w:r>
          </w:hyperlink>
        </w:p>
        <w:p>
          <w:pPr>
            <w:pStyle w:val="Contents4"/>
            <w:tabs>
              <w:tab w:val="clear" w:pos="8176"/>
              <w:tab w:val="right" w:pos="9026" w:leader="dot"/>
            </w:tabs>
            <w:bidi w:val="0"/>
            <w:rPr/>
          </w:pPr>
          <w:hyperlink w:anchor="__RefHeading___Toc2027942_3804643083">
            <w:r>
              <w:rPr>
                <w:webHidden/>
                <w:rStyle w:val="IndexLink"/>
              </w:rPr>
              <w:t>The Problem of Contradiction</w:t>
              <w:tab/>
              <w:t>50</w:t>
            </w:r>
          </w:hyperlink>
        </w:p>
        <w:p>
          <w:pPr>
            <w:pStyle w:val="Contents3"/>
            <w:tabs>
              <w:tab w:val="clear" w:pos="8459"/>
              <w:tab w:val="right" w:pos="9026" w:leader="dot"/>
            </w:tabs>
            <w:bidi w:val="0"/>
            <w:rPr/>
          </w:pPr>
          <w:hyperlink w:anchor="__RefHeading___Toc2027944_3804643083">
            <w:r>
              <w:rPr>
                <w:webHidden/>
                <w:rStyle w:val="IndexLink"/>
              </w:rPr>
              <w:t>B. Fiqh</w:t>
              <w:tab/>
              <w:t>52</w:t>
            </w:r>
          </w:hyperlink>
        </w:p>
        <w:p>
          <w:pPr>
            <w:pStyle w:val="Contents2"/>
            <w:tabs>
              <w:tab w:val="clear" w:pos="8743"/>
              <w:tab w:val="right" w:pos="9026" w:leader="dot"/>
            </w:tabs>
            <w:bidi w:val="0"/>
            <w:rPr/>
          </w:pPr>
          <w:hyperlink w:anchor="__RefHeading___Toc2027946_3804643083">
            <w:r>
              <w:rPr>
                <w:webHidden/>
                <w:rStyle w:val="IndexLink"/>
              </w:rPr>
              <w:t>A Look into the Future of Ijtihad</w:t>
              <w:tab/>
              <w:t>55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98_32667"/>
      <w:bookmarkStart w:id="1" w:name="pg2298_32667"/>
      <w:bookmarkEnd w:id="1"/>
    </w:p>
    <w:p>
      <w:pPr>
        <w:pStyle w:val="Heading2"/>
        <w:numPr>
          <w:ilvl w:val="1"/>
          <w:numId w:val="1"/>
        </w:numPr>
        <w:bidi w:val="0"/>
        <w:jc w:val="left"/>
        <w:rPr/>
      </w:pPr>
      <w:bookmarkStart w:id="2" w:name="pg2298_32667"/>
      <w:bookmarkStart w:id="3" w:name="__RefHeading___Toc202786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 An introduction to the Islamic Shari'ah</w:t>
      </w:r>
    </w:p>
    <w:p>
      <w:pPr>
        <w:pStyle w:val="BookText"/>
        <w:bidi w:val="0"/>
        <w:jc w:val="both"/>
        <w:rPr/>
      </w:pPr>
      <w:r>
        <w:rPr>
          <w:rFonts w:eastAsia="Times New Roman" w:cs="Times New Roman" w:ascii="Times New Roman" w:hAnsi="Times New Roman"/>
          <w:color w:val="111111"/>
          <w:sz w:val="28"/>
          <w:szCs w:val="28"/>
          <w:lang w:val="en-US"/>
        </w:rPr>
        <w:t>Author(s) :  Muhammad Rizvi</w:t>
      </w:r>
    </w:p>
    <w:p>
      <w:pPr>
        <w:pStyle w:val="BookText"/>
        <w:bidi w:val="0"/>
        <w:jc w:val="both"/>
        <w:rPr/>
      </w:pPr>
      <w:r>
        <w:rPr>
          <w:rFonts w:eastAsia="Times New Roman" w:cs="Times New Roman" w:ascii="Times New Roman" w:hAnsi="Times New Roman"/>
          <w:color w:val="111111"/>
          <w:sz w:val="28"/>
          <w:szCs w:val="28"/>
          <w:lang w:val="en-US"/>
        </w:rPr>
        <w:t>Congress Classification: BP159.8.R350493</w:t>
      </w:r>
    </w:p>
    <w:p>
      <w:pPr>
        <w:pStyle w:val="BookText"/>
        <w:bidi w:val="0"/>
        <w:jc w:val="both"/>
        <w:rPr/>
      </w:pPr>
      <w:r>
        <w:rPr>
          <w:rFonts w:eastAsia="Times New Roman" w:cs="Times New Roman" w:ascii="Times New Roman" w:hAnsi="Times New Roman"/>
          <w:color w:val="111111"/>
          <w:sz w:val="28"/>
          <w:szCs w:val="28"/>
          <w:lang w:val="en-US"/>
        </w:rPr>
        <w:t>Dewey Classification: 297312</w:t>
      </w:r>
    </w:p>
    <w:p>
      <w:pPr>
        <w:pStyle w:val="BookText"/>
        <w:bidi w:val="0"/>
        <w:jc w:val="both"/>
        <w:rPr/>
      </w:pPr>
      <w:r>
        <w:rPr>
          <w:rFonts w:eastAsia="Times New Roman" w:cs="Times New Roman" w:ascii="Times New Roman" w:hAnsi="Times New Roman"/>
          <w:color w:val="111111"/>
          <w:sz w:val="28"/>
          <w:szCs w:val="28"/>
          <w:lang w:val="en-US"/>
        </w:rPr>
        <w:t>National bibliography numbers: M74-5487</w:t>
      </w:r>
    </w:p>
    <w:p>
      <w:pPr>
        <w:pStyle w:val="BookText"/>
        <w:bidi w:val="0"/>
        <w:jc w:val="both"/>
        <w:rPr/>
      </w:pPr>
      <w:r>
        <w:rPr>
          <w:rFonts w:eastAsia="Times New Roman" w:cs="Times New Roman" w:ascii="Times New Roman" w:hAnsi="Times New Roman"/>
          <w:color w:val="111111"/>
          <w:sz w:val="28"/>
          <w:szCs w:val="28"/>
          <w:lang w:val="en-US"/>
        </w:rPr>
        <w:t>Author(s): Sayyid Muhammad Rizvi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Featured Category: Muslim Practices</w:t>
      </w:r>
    </w:p>
    <w:p>
      <w:pPr>
        <w:pStyle w:val="Heading2"/>
        <w:numPr>
          <w:ilvl w:val="1"/>
          <w:numId w:val="1"/>
        </w:numPr>
        <w:bidi w:val="0"/>
        <w:jc w:val="left"/>
        <w:rPr/>
      </w:pPr>
      <w:bookmarkStart w:id="5" w:name="__RefHeading___Toc202786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 this text, Sayyid Muhammad Rizvi has outlined the fundamentals of Shari'ah and how to live by the teachings and laws of Islam. He discusses Taqlid, understanding of the laws and the reasoning behind them, and even the concept of Ijtihad.</w:t>
      </w:r>
    </w:p>
    <w:p>
      <w:pPr>
        <w:pStyle w:val="Heading2"/>
        <w:numPr>
          <w:ilvl w:val="1"/>
          <w:numId w:val="1"/>
        </w:numPr>
        <w:bidi w:val="0"/>
        <w:jc w:val="left"/>
        <w:rPr/>
      </w:pPr>
      <w:bookmarkStart w:id="7" w:name="__RefHeading___Toc2027864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The present work attempts to familiarize the readers with the shari'ah, the Islamic legal system. Chapters One and Two define the need for the shari'ah and explain how a Muslim can live by following the shari'ah. Chapter Three is on taqlid: a process in which the lay Shi'ahs follow the legal opinions of a living mujtahid (the expert of shari'ah). Chapter Four deals with trend of rational</w:t>
        <w:softHyphen/>
        <w:t>izing every shari' ah law. Finally, Chapter Five, brings the reader closer to the system which a mujtahid uses in reaching to his opinions.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chapter is presented here for the first time. Chapter Two is a revised version of what I had written as an introduction to my book “The Ritual and Spiritual Purity (1989)”. Chapters Three to Five are revised editions of booklets printed in the early- and mid-eighties in "The Laws of Shari'ah" series in Vancouver, BC. This series was very well received by the readers in various parts of the world. Imam Mahdi Association of Bombay has translated three booklets (which now form the last three chapters of this book) in Urdu and is using them as text for</w:t>
      </w:r>
      <w:bookmarkStart w:id="9" w:name="pg2298_32668"/>
    </w:p>
    <w:p>
      <w:pPr>
        <w:pStyle w:val="BookText"/>
        <w:bidi w:val="0"/>
        <w:rPr/>
      </w:pPr>
      <w:bookmarkEnd w:id="9"/>
      <w:r>
        <w:rPr>
          <w:rFonts w:eastAsia="Times New Roman" w:cs="Times New Roman" w:ascii="Times New Roman" w:hAnsi="Times New Roman"/>
          <w:color w:val="111111"/>
          <w:sz w:val="28"/>
          <w:szCs w:val="28"/>
          <w:lang w:val="en-US"/>
        </w:rPr>
        <w:t>its study circle programs.</w:t>
      </w:r>
    </w:p>
    <w:p>
      <w:pPr>
        <w:pStyle w:val="BookText"/>
        <w:bidi w:val="0"/>
        <w:jc w:val="both"/>
        <w:rPr/>
      </w:pPr>
      <w:r>
        <w:rPr>
          <w:rFonts w:eastAsia="Times New Roman" w:cs="Times New Roman" w:ascii="Times New Roman" w:hAnsi="Times New Roman"/>
          <w:color w:val="111111"/>
          <w:sz w:val="28"/>
          <w:szCs w:val="28"/>
          <w:lang w:val="en-US"/>
        </w:rPr>
        <w:t>I pray to Allah (S.W.T.) to make this work even more useful than the previous editions.</w:t>
      </w:r>
    </w:p>
    <w:p>
      <w:pPr>
        <w:pStyle w:val="BookText"/>
        <w:bidi w:val="0"/>
        <w:jc w:val="both"/>
        <w:rPr/>
      </w:pPr>
      <w:r>
        <w:rPr>
          <w:rFonts w:eastAsia="Times New Roman" w:cs="Times New Roman" w:ascii="Times New Roman" w:hAnsi="Times New Roman"/>
          <w:color w:val="111111"/>
          <w:sz w:val="28"/>
          <w:szCs w:val="28"/>
          <w:lang w:val="en-US"/>
        </w:rPr>
        <w:t>Rabi'u 'l-Awwal 1413</w:t>
      </w:r>
    </w:p>
    <w:p>
      <w:pPr>
        <w:pStyle w:val="BookText"/>
        <w:bidi w:val="0"/>
        <w:jc w:val="both"/>
        <w:rPr/>
      </w:pPr>
      <w:r>
        <w:rPr>
          <w:rFonts w:eastAsia="Times New Roman" w:cs="Times New Roman" w:ascii="Times New Roman" w:hAnsi="Times New Roman"/>
          <w:color w:val="111111"/>
          <w:sz w:val="28"/>
          <w:szCs w:val="28"/>
          <w:lang w:val="en-US"/>
        </w:rPr>
        <w:t>September 1992</w:t>
      </w:r>
    </w:p>
    <w:p>
      <w:pPr>
        <w:pStyle w:val="BookText"/>
        <w:bidi w:val="0"/>
        <w:jc w:val="both"/>
        <w:rPr/>
      </w:pPr>
      <w:r>
        <w:rPr>
          <w:rFonts w:eastAsia="Times New Roman" w:cs="Times New Roman" w:ascii="Times New Roman" w:hAnsi="Times New Roman"/>
          <w:color w:val="111111"/>
          <w:sz w:val="28"/>
          <w:szCs w:val="28"/>
          <w:lang w:val="en-US"/>
        </w:rPr>
        <w:t>S.M. Rizvi</w:t>
      </w:r>
    </w:p>
    <w:p>
      <w:pPr>
        <w:pStyle w:val="BookText"/>
        <w:bidi w:val="0"/>
        <w:jc w:val="both"/>
        <w:rPr/>
      </w:pPr>
      <w:r>
        <w:rPr>
          <w:rFonts w:eastAsia="Times New Roman" w:cs="Times New Roman" w:ascii="Times New Roman" w:hAnsi="Times New Roman"/>
          <w:color w:val="111111"/>
          <w:sz w:val="28"/>
          <w:szCs w:val="28"/>
          <w:lang w:val="en-US"/>
        </w:rPr>
        <w:t>Toronto, Canada</w:t>
      </w:r>
    </w:p>
    <w:p>
      <w:pPr>
        <w:pStyle w:val="Heading2"/>
        <w:numPr>
          <w:ilvl w:val="1"/>
          <w:numId w:val="1"/>
        </w:numPr>
        <w:bidi w:val="0"/>
        <w:jc w:val="left"/>
        <w:rPr/>
      </w:pPr>
      <w:bookmarkStart w:id="10" w:name="__RefHeading___Toc2027866_3804643083"/>
      <w:bookmarkStart w:id="11" w:name="_Toc4"/>
      <w:bookmarkEnd w:id="10"/>
      <w:r>
        <w:rPr/>
        <w:t>The Shari'ah</w:t>
      </w:r>
      <w:bookmarkEnd w:id="11"/>
    </w:p>
    <w:p>
      <w:pPr>
        <w:pStyle w:val="Heading3"/>
        <w:numPr>
          <w:ilvl w:val="2"/>
          <w:numId w:val="1"/>
        </w:numPr>
        <w:bidi w:val="0"/>
        <w:jc w:val="left"/>
        <w:rPr/>
      </w:pPr>
      <w:bookmarkStart w:id="12" w:name="__RefHeading___Toc2027868_3804643083"/>
      <w:bookmarkStart w:id="13" w:name="_Toc5"/>
      <w:bookmarkEnd w:id="12"/>
      <w:r>
        <w:rPr/>
        <w:t>The Place of Shari'ah in Islam</w:t>
      </w:r>
      <w:bookmarkEnd w:id="13"/>
    </w:p>
    <w:p>
      <w:pPr>
        <w:pStyle w:val="BookText"/>
        <w:bidi w:val="0"/>
        <w:jc w:val="both"/>
        <w:rPr/>
      </w:pPr>
      <w:r>
        <w:rPr>
          <w:rFonts w:eastAsia="Times New Roman" w:cs="Times New Roman" w:ascii="Times New Roman" w:hAnsi="Times New Roman"/>
          <w:color w:val="111111"/>
          <w:sz w:val="28"/>
          <w:szCs w:val="28"/>
          <w:lang w:val="en-US"/>
        </w:rPr>
        <w:t>The word "shari'ah" literally means "a way." In Islamic terminology, it means the legal system of Islam. In this book, however, we will translate the word shari'ah as the laws of Islam or the Islamic laws.</w:t>
      </w:r>
    </w:p>
    <w:p>
      <w:pPr>
        <w:pStyle w:val="BookText"/>
        <w:bidi w:val="0"/>
        <w:jc w:val="both"/>
        <w:rPr/>
      </w:pPr>
      <w:r>
        <w:rPr>
          <w:rFonts w:eastAsia="Times New Roman" w:cs="Times New Roman" w:ascii="Times New Roman" w:hAnsi="Times New Roman"/>
          <w:color w:val="111111"/>
          <w:sz w:val="28"/>
          <w:szCs w:val="28"/>
          <w:lang w:val="en-US"/>
        </w:rPr>
        <w:t>"Islam is a din -- a religion." What does a Muslim mean when he uses the word din or religion in this sentence? Does it mean just "believing" in the funda</w:t>
        <w:softHyphen/>
        <w:t>mentals of Islam? Or does it mean just "living" accord</w:t>
        <w:softHyphen/>
        <w:t>ing to the teachings of Islam without actually believing in God? No, both these explanations are incomplete. The word din or religion, when used for Islam, means believing in the fundamentals as well as living according to the Islamic laws.</w:t>
      </w:r>
    </w:p>
    <w:p>
      <w:pPr>
        <w:pStyle w:val="BookText"/>
        <w:bidi w:val="0"/>
        <w:jc w:val="both"/>
        <w:rPr/>
      </w:pPr>
      <w:r>
        <w:rPr>
          <w:rFonts w:eastAsia="Times New Roman" w:cs="Times New Roman" w:ascii="Times New Roman" w:hAnsi="Times New Roman"/>
          <w:color w:val="111111"/>
          <w:sz w:val="28"/>
          <w:szCs w:val="28"/>
          <w:lang w:val="en-US"/>
        </w:rPr>
        <w:t>This concept of religion is beautifully conveyed in the terms used by Islamic scholars to describe the fundamental beliefs and the practical laws of Islam. The "beliefs" are described as "the roots of religion" (usulu 'd-din). The "shari'ah laws" are described as "the branches of religion" (furu’ 'd-din). Beliefs without practice is incomplete Islam; and practice without belief may be useful in this world but not of much use in the hereafter.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shari'ah is a complete way of life; no aspect of human life is outside its domain. Islam expects a Muslim to follow its laws in every aspect of life: personal and familial, religious and social,</w:t>
      </w:r>
      <w:bookmarkStart w:id="14" w:name="pg2298_32669"/>
    </w:p>
    <w:p>
      <w:pPr>
        <w:pStyle w:val="BookText"/>
        <w:bidi w:val="0"/>
        <w:rPr/>
      </w:pPr>
      <w:bookmarkEnd w:id="14"/>
      <w:r>
        <w:rPr>
          <w:rFonts w:eastAsia="Times New Roman" w:cs="Times New Roman" w:ascii="Times New Roman" w:hAnsi="Times New Roman"/>
          <w:color w:val="111111"/>
          <w:sz w:val="28"/>
          <w:szCs w:val="28"/>
          <w:lang w:val="en-US"/>
        </w:rPr>
        <w:t>moral and political, eco</w:t>
        <w:softHyphen/>
        <w:t>nomic and business, etc. After all, "Muslim" means one who submits to God.</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When Allah' and His Messenger have decreed a matter, it is not for any believing man or believing woman to have a choice in their affair. And whosoever disobeys Allah and His Messenger has gone astray into clear error. (Surah Al-Ahzaab, 33:36)</w:t>
      </w:r>
    </w:p>
    <w:p>
      <w:pPr>
        <w:pStyle w:val="Heading3"/>
        <w:numPr>
          <w:ilvl w:val="2"/>
          <w:numId w:val="1"/>
        </w:numPr>
        <w:bidi w:val="0"/>
        <w:jc w:val="left"/>
        <w:rPr/>
      </w:pPr>
      <w:bookmarkStart w:id="15" w:name="__RefHeading___Toc2027870_3804643083"/>
      <w:bookmarkStart w:id="16" w:name="_Toc6"/>
      <w:bookmarkEnd w:id="15"/>
      <w:r>
        <w:rPr/>
        <w:t>What is the need for the Shari'ah?</w:t>
      </w:r>
      <w:bookmarkEnd w:id="16"/>
    </w:p>
    <w:p>
      <w:pPr>
        <w:pStyle w:val="BookText"/>
        <w:bidi w:val="0"/>
        <w:jc w:val="both"/>
        <w:rPr/>
      </w:pPr>
      <w:r>
        <w:rPr>
          <w:rFonts w:eastAsia="Times New Roman" w:cs="Times New Roman" w:ascii="Times New Roman" w:hAnsi="Times New Roman"/>
          <w:color w:val="111111"/>
          <w:sz w:val="28"/>
          <w:szCs w:val="28"/>
          <w:lang w:val="en-US"/>
        </w:rPr>
        <w:t>Man's nature dictates that he can only function prop</w:t>
        <w:softHyphen/>
        <w:t>erly within a society, and a society depends for its existence on laws and regulations. Islam teaches that God has sent a series of messengers and prophets with divine laws for man's guidance from the very first day of his creation. The last Messenger was Prophet Muham</w:t>
        <w:softHyphen/>
        <w:t>mad (may peace and blessings of God be upon him and his family) who brought the final and the perfect mes</w:t>
        <w:softHyphen/>
        <w:t>sage, Islam, as a guide for mankind till the end of time.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people think there is no need for God-made laws, we can make laws by ourselves. Islam believes that human being is a very sophisticated creature; and since he has not made his own body, nor did he create the world in which he lives, he, therefore, is not the best candidate for making laws about himself. Common sense says that when you a buy a complicated equipment (for example, a computer), you should use it according to the "instruction manual" prepared by the manufacturer of that particular machine. To learn the computer by trial and error is not the smart way. Similarly,</w:t>
      </w:r>
      <w:bookmarkStart w:id="17" w:name="pg2298_32670"/>
    </w:p>
    <w:p>
      <w:pPr>
        <w:pStyle w:val="BookText"/>
        <w:bidi w:val="0"/>
        <w:rPr/>
      </w:pPr>
      <w:bookmarkEnd w:id="17"/>
      <w:r>
        <w:rPr>
          <w:rFonts w:eastAsia="Times New Roman" w:cs="Times New Roman" w:ascii="Times New Roman" w:hAnsi="Times New Roman"/>
          <w:color w:val="111111"/>
          <w:sz w:val="28"/>
          <w:szCs w:val="28"/>
          <w:lang w:val="en-US"/>
        </w:rPr>
        <w:t>God as the Creator of man and the earth knows better how the human being should live.</w:t>
      </w:r>
    </w:p>
    <w:p>
      <w:pPr>
        <w:pStyle w:val="BookText"/>
        <w:bidi w:val="0"/>
        <w:jc w:val="both"/>
        <w:rPr/>
      </w:pPr>
      <w:r>
        <w:rPr>
          <w:rFonts w:eastAsia="Times New Roman" w:cs="Times New Roman" w:ascii="Times New Roman" w:hAnsi="Times New Roman"/>
          <w:color w:val="111111"/>
          <w:sz w:val="28"/>
          <w:szCs w:val="28"/>
          <w:lang w:val="en-US"/>
        </w:rPr>
        <w:t>The "instruction manual" that God sent for us is known as the Qur'an. But human being is not just any ordinary machine; rather he is more complicated than the most advanced computer a human can ever produce. So God did not only send the Qur'an -- He also sent an instructor known as Prophet Muhammad (PBUH). The Prophet of Islam brought the Qur'an to us and also provided practical examples in his own life. According to Shi'ah Islam, after the Prophet, the Imams of Ahlul-Bayt are the protectors of the Qur'an and the interpreters of its laws.</w:t>
      </w:r>
    </w:p>
    <w:p>
      <w:pPr>
        <w:pStyle w:val="Heading3"/>
        <w:numPr>
          <w:ilvl w:val="2"/>
          <w:numId w:val="1"/>
        </w:numPr>
        <w:bidi w:val="0"/>
        <w:jc w:val="left"/>
        <w:rPr/>
      </w:pPr>
      <w:bookmarkStart w:id="18" w:name="__RefHeading___Toc2027872_3804643083"/>
      <w:bookmarkStart w:id="19" w:name="_Toc7"/>
      <w:bookmarkEnd w:id="18"/>
      <w:r>
        <w:rPr/>
        <w:t>The Superiority or God-made Laws over the Man-made Laws</w:t>
      </w:r>
      <w:bookmarkEnd w:id="19"/>
    </w:p>
    <w:p>
      <w:pPr>
        <w:pStyle w:val="BookText"/>
        <w:bidi w:val="0"/>
        <w:jc w:val="both"/>
        <w:rPr/>
      </w:pPr>
      <w:r>
        <w:rPr>
          <w:rFonts w:eastAsia="Times New Roman" w:cs="Times New Roman" w:ascii="Times New Roman" w:hAnsi="Times New Roman"/>
          <w:color w:val="111111"/>
          <w:sz w:val="28"/>
          <w:szCs w:val="28"/>
          <w:lang w:val="en-US"/>
        </w:rPr>
        <w:t>At this point, I would like to point out the superiority of the Islamic laws over the man-made laws. Man-made laws are by necessity influenced by the law-makers' social and racial biases. The United Nations Organisa</w:t>
        <w:softHyphen/>
        <w:t>tion is the best example of how policies are enforced only when it suits the interest of the super-powers. The rule of the game in man-made laws is not honesty and justice, it is "the might is right".</w:t>
      </w:r>
    </w:p>
    <w:p>
      <w:pPr>
        <w:pStyle w:val="BookText"/>
        <w:bidi w:val="0"/>
        <w:jc w:val="both"/>
        <w:rPr/>
      </w:pPr>
      <w:r>
        <w:rPr>
          <w:rFonts w:eastAsia="Times New Roman" w:cs="Times New Roman" w:ascii="Times New Roman" w:hAnsi="Times New Roman"/>
          <w:color w:val="111111"/>
          <w:sz w:val="28"/>
          <w:szCs w:val="28"/>
          <w:lang w:val="en-US"/>
        </w:rPr>
        <w:t>God-made laws are superior because of the following facts:</w:t>
      </w:r>
    </w:p>
    <w:p>
      <w:pPr>
        <w:pStyle w:val="BookText"/>
        <w:bidi w:val="0"/>
        <w:jc w:val="both"/>
        <w:rPr/>
      </w:pPr>
      <w:r>
        <w:rPr>
          <w:rFonts w:eastAsia="Times New Roman" w:cs="Times New Roman" w:ascii="Times New Roman" w:hAnsi="Times New Roman"/>
          <w:color w:val="111111"/>
          <w:sz w:val="28"/>
          <w:szCs w:val="28"/>
          <w:lang w:val="en-US"/>
        </w:rPr>
        <w:t>God is above class status;</w:t>
      </w:r>
    </w:p>
    <w:p>
      <w:pPr>
        <w:pStyle w:val="BookText"/>
        <w:bidi w:val="0"/>
        <w:jc w:val="both"/>
        <w:rPr/>
      </w:pPr>
      <w:r>
        <w:rPr>
          <w:rFonts w:eastAsia="Times New Roman" w:cs="Times New Roman" w:ascii="Times New Roman" w:hAnsi="Times New Roman"/>
          <w:color w:val="111111"/>
          <w:sz w:val="28"/>
          <w:szCs w:val="28"/>
          <w:lang w:val="en-US"/>
        </w:rPr>
        <w:t>God is above racial prejudice;</w:t>
      </w:r>
    </w:p>
    <w:p>
      <w:pPr>
        <w:pStyle w:val="BookText"/>
        <w:bidi w:val="0"/>
        <w:jc w:val="both"/>
        <w:rPr/>
      </w:pPr>
      <w:r>
        <w:rPr>
          <w:rFonts w:eastAsia="Times New Roman" w:cs="Times New Roman" w:ascii="Times New Roman" w:hAnsi="Times New Roman"/>
          <w:color w:val="111111"/>
          <w:sz w:val="28"/>
          <w:szCs w:val="28"/>
          <w:lang w:val="en-US"/>
        </w:rPr>
        <w:t>God is above the gender rivalry;</w:t>
      </w:r>
    </w:p>
    <w:p>
      <w:pPr>
        <w:pStyle w:val="BookText"/>
        <w:bidi w:val="0"/>
        <w:jc w:val="both"/>
        <w:rPr/>
      </w:pPr>
      <w:r>
        <w:rPr>
          <w:rFonts w:eastAsia="Times New Roman" w:cs="Times New Roman" w:ascii="Times New Roman" w:hAnsi="Times New Roman"/>
          <w:color w:val="111111"/>
          <w:sz w:val="28"/>
          <w:szCs w:val="28"/>
          <w:lang w:val="en-US"/>
        </w:rPr>
        <w:t>God, as the Creator, fully knows the humans as well as the world in which they live.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God-made laws will be just and based on fully informed decision. Let me demonstrate the superiority of God-made laws by using the example of capital</w:t>
      </w:r>
    </w:p>
    <w:p>
      <w:pPr>
        <w:pStyle w:val="BookText"/>
        <w:bidi w:val="0"/>
        <w:rPr/>
      </w:pPr>
      <w:r>
        <w:rPr>
          <w:rFonts w:eastAsia="Times New Roman" w:cs="Times New Roman" w:ascii="Times New Roman" w:hAnsi="Times New Roman"/>
          <w:color w:val="111111"/>
          <w:sz w:val="28"/>
          <w:szCs w:val="28"/>
          <w:lang w:val="en-US"/>
        </w:rPr>
        <w:t>punishment.</w:t>
      </w:r>
    </w:p>
    <w:p>
      <w:pPr>
        <w:pStyle w:val="BookText"/>
        <w:bidi w:val="0"/>
        <w:jc w:val="both"/>
        <w:rPr/>
      </w:pPr>
      <w:r>
        <w:rPr>
          <w:rFonts w:eastAsia="Times New Roman" w:cs="Times New Roman" w:ascii="Times New Roman" w:hAnsi="Times New Roman"/>
          <w:color w:val="111111"/>
          <w:sz w:val="28"/>
          <w:szCs w:val="28"/>
          <w:lang w:val="en-US"/>
        </w:rPr>
        <w:t>The secular system always swings according to the mood of the people: sometimes, the people feel that capital punishment for murder is not right and so they pressure their representatives to vote against capital punishment. But when crime rates increase and serial murder cases occur more frequently, public opinion changes and the legislators are influenced in favour of capital punishment.</w:t>
      </w:r>
    </w:p>
    <w:p>
      <w:pPr>
        <w:pStyle w:val="BookText"/>
        <w:bidi w:val="0"/>
        <w:jc w:val="both"/>
        <w:rPr/>
      </w:pPr>
      <w:r>
        <w:rPr>
          <w:rFonts w:eastAsia="Times New Roman" w:cs="Times New Roman" w:ascii="Times New Roman" w:hAnsi="Times New Roman"/>
          <w:color w:val="111111"/>
          <w:sz w:val="28"/>
          <w:szCs w:val="28"/>
          <w:lang w:val="en-US"/>
        </w:rPr>
        <w:t>Actually both sides of this issue reflect the Judeo-</w:t>
        <w:softHyphen/>
        <w:t>Christian basis of the Western society. Judaism, on the one hand, insists on the principle of justice which demands "an eye for an eye". On the other hand, Chris</w:t>
        <w:softHyphen/>
        <w:t>tianity promotes the principle of mercy by saying "turn thy other cheek."</w:t>
      </w:r>
    </w:p>
    <w:p>
      <w:pPr>
        <w:pStyle w:val="BookText"/>
        <w:bidi w:val="0"/>
        <w:jc w:val="both"/>
        <w:rPr/>
      </w:pPr>
      <w:r>
        <w:rPr>
          <w:rFonts w:eastAsia="Times New Roman" w:cs="Times New Roman" w:ascii="Times New Roman" w:hAnsi="Times New Roman"/>
          <w:color w:val="111111"/>
          <w:sz w:val="28"/>
          <w:szCs w:val="28"/>
          <w:lang w:val="en-US"/>
        </w:rPr>
        <w:t>Islam, the final version of God-made laws, takes a balanced look at the issue of capital punishment and has beautifully accommodated both the principles of justice and mercy in its system. The Western system did not realize the difference between the two principles of justice and mercy: while justice can be demanded and legislated, mercy cannot be forced or made into a law. You can always plead for mercy but you can never demand mercy.</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takes this difference into full consideration, and, therefore, it talks about the capital punishment on two different levels: legal and moral. On the legal level, it sanctions the principle of justice by giving the right of retaliation to the victim. But, immediately, the Qur'an moves on to the moral level and strongly recommends the victim to forgo his right of retaliation and either to forgive the criminal</w:t>
      </w:r>
      <w:bookmarkStart w:id="20" w:name="pg2298_32672"/>
    </w:p>
    <w:p>
      <w:pPr>
        <w:pStyle w:val="BookText"/>
        <w:bidi w:val="0"/>
        <w:rPr/>
      </w:pPr>
      <w:bookmarkEnd w:id="20"/>
      <w:r>
        <w:rPr>
          <w:rFonts w:eastAsia="Times New Roman" w:cs="Times New Roman" w:ascii="Times New Roman" w:hAnsi="Times New Roman"/>
          <w:color w:val="111111"/>
          <w:sz w:val="28"/>
          <w:szCs w:val="28"/>
          <w:lang w:val="en-US"/>
        </w:rPr>
        <w:t>or to settle for a monetary compen</w:t>
        <w:softHyphen/>
        <w:t>sation. This issue has been clearly' mentioned in the following verse of the Qur’an:</w:t>
      </w:r>
    </w:p>
    <w:p>
      <w:pPr>
        <w:pStyle w:val="BookText"/>
        <w:bidi w:val="0"/>
        <w:jc w:val="both"/>
        <w:rPr/>
      </w:pPr>
      <w:r>
        <w:rPr>
          <w:rFonts w:eastAsia="Times New Roman" w:cs="Times New Roman" w:ascii="Times New Roman" w:hAnsi="Times New Roman"/>
          <w:color w:val="111111"/>
          <w:sz w:val="28"/>
          <w:szCs w:val="28"/>
          <w:lang w:val="en-US"/>
        </w:rPr>
        <w:t>In it (the Torah), We wrote to them: "A life for a life, an eye for an eye, a nose for a nose, an ear for an ear, a tooth for a tooth, and there is retaliation for wounds." But (before you act according to your right, remember that) whosoever forgoes (his right of retaliation), it shall be an expiation for him (against his own sins). (Surah al-Maaida, 5:45)</w:t>
      </w:r>
    </w:p>
    <w:p>
      <w:pPr>
        <w:pStyle w:val="BookText"/>
        <w:bidi w:val="0"/>
        <w:jc w:val="both"/>
        <w:rPr/>
      </w:pPr>
      <w:r>
        <w:rPr>
          <w:rFonts w:eastAsia="Times New Roman" w:cs="Times New Roman" w:ascii="Times New Roman" w:hAnsi="Times New Roman"/>
          <w:color w:val="111111"/>
          <w:sz w:val="28"/>
          <w:szCs w:val="28"/>
          <w:lang w:val="en-US"/>
        </w:rPr>
        <w:t>Thus Islam has very beautifully provided the legal safeguard for human life on the social level and also encouraged mercy from a moral point of view on the individual level. If human beings are left on their own in this issue, they will always swing between the two extremes of justice and mercy -- only Islam, the final version of God-made legal system can accommodate both these principles.</w:t>
      </w:r>
    </w:p>
    <w:p>
      <w:pPr>
        <w:pStyle w:val="Heading2"/>
        <w:numPr>
          <w:ilvl w:val="1"/>
          <w:numId w:val="1"/>
        </w:numPr>
        <w:bidi w:val="0"/>
        <w:jc w:val="left"/>
        <w:rPr/>
      </w:pPr>
      <w:bookmarkStart w:id="21" w:name="__RefHeading___Toc2027874_3804643083"/>
      <w:bookmarkStart w:id="22" w:name="_Toc8"/>
      <w:bookmarkEnd w:id="21"/>
      <w:r>
        <w:rPr/>
        <w:t>How to Live by the Shari'ah?</w:t>
      </w:r>
      <w:bookmarkEnd w:id="22"/>
    </w:p>
    <w:p>
      <w:pPr>
        <w:pStyle w:val="Heading3"/>
        <w:numPr>
          <w:ilvl w:val="2"/>
          <w:numId w:val="1"/>
        </w:numPr>
        <w:bidi w:val="0"/>
        <w:jc w:val="left"/>
        <w:rPr/>
      </w:pPr>
      <w:bookmarkStart w:id="23" w:name="__RefHeading___Toc2027876_3804643083"/>
      <w:bookmarkStart w:id="24" w:name="_Toc9"/>
      <w:bookmarkEnd w:id="23"/>
      <w:r>
        <w:rPr/>
        <w:t>During the Days of the Prophet</w:t>
      </w:r>
      <w:bookmarkEnd w:id="24"/>
    </w:p>
    <w:p>
      <w:pPr>
        <w:pStyle w:val="BookText"/>
        <w:bidi w:val="0"/>
        <w:jc w:val="both"/>
        <w:rPr/>
      </w:pPr>
      <w:r>
        <w:rPr>
          <w:rFonts w:eastAsia="Times New Roman" w:cs="Times New Roman" w:ascii="Times New Roman" w:hAnsi="Times New Roman"/>
          <w:color w:val="111111"/>
          <w:sz w:val="28"/>
          <w:szCs w:val="28"/>
          <w:lang w:val="en-US"/>
        </w:rPr>
        <w:t>The Muslims during the days of the Prophet Muhammad (PBUH) lived by the shari’ah by following the Qur’an and the sunnah. Sunnah means the example of the Prophet.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not the Qur'an enough on its own? The Qur'an is a book of guidance which was sent for the entire human world till the end of time. As such, it only deals with the general issues and mentions only the basic principles underlying the Muslim way of life. The Qur'an is more like a constitution than a book of law. The details were left</w:t>
      </w:r>
    </w:p>
    <w:p>
      <w:pPr>
        <w:pStyle w:val="BookText"/>
        <w:bidi w:val="0"/>
        <w:rPr/>
      </w:pPr>
      <w:r>
        <w:rPr>
          <w:rFonts w:eastAsia="Times New Roman" w:cs="Times New Roman" w:ascii="Times New Roman" w:hAnsi="Times New Roman"/>
          <w:color w:val="111111"/>
          <w:sz w:val="28"/>
          <w:szCs w:val="28"/>
          <w:lang w:val="en-US"/>
        </w:rPr>
        <w:t>to the Prophet (PBUH). This is quite clear from the following verses of the Qur'an:</w:t>
      </w:r>
    </w:p>
    <w:p>
      <w:pPr>
        <w:pStyle w:val="BookText"/>
        <w:bidi w:val="0"/>
        <w:jc w:val="both"/>
        <w:rPr/>
      </w:pPr>
      <w:r>
        <w:rPr>
          <w:rFonts w:eastAsia="Times New Roman" w:cs="Times New Roman" w:ascii="Times New Roman" w:hAnsi="Times New Roman"/>
          <w:color w:val="111111"/>
          <w:sz w:val="28"/>
          <w:szCs w:val="28"/>
          <w:lang w:val="en-US"/>
        </w:rPr>
        <w:t>He raised up among the common people a Messen</w:t>
        <w:softHyphen/>
        <w:t>ger from among themselves to recite to them His revelations, to purify them, and to teach them the Book and the wisdom. (Surah al-Jumu’a, 62:2)</w:t>
      </w:r>
    </w:p>
    <w:p>
      <w:pPr>
        <w:pStyle w:val="BookText"/>
        <w:bidi w:val="0"/>
        <w:jc w:val="both"/>
        <w:rPr/>
      </w:pPr>
      <w:r>
        <w:rPr>
          <w:rFonts w:eastAsia="Times New Roman" w:cs="Times New Roman" w:ascii="Times New Roman" w:hAnsi="Times New Roman"/>
          <w:color w:val="111111"/>
          <w:sz w:val="28"/>
          <w:szCs w:val="28"/>
          <w:lang w:val="en-US"/>
        </w:rPr>
        <w:t>And We have revealed to you (0 Muhammad) the Reminder (that is, the Qur'an) so you may clarify to the people what has been revealed to them, and so that they may reflect (Sura an-Nahl, 16:44).</w:t>
      </w:r>
    </w:p>
    <w:p>
      <w:pPr>
        <w:pStyle w:val="BookText"/>
        <w:bidi w:val="0"/>
        <w:jc w:val="both"/>
        <w:rPr/>
      </w:pPr>
      <w:r>
        <w:rPr>
          <w:rFonts w:eastAsia="Times New Roman" w:cs="Times New Roman" w:ascii="Times New Roman" w:hAnsi="Times New Roman"/>
          <w:color w:val="111111"/>
          <w:sz w:val="28"/>
          <w:szCs w:val="28"/>
          <w:lang w:val="en-US"/>
        </w:rPr>
        <w:t>These two verses definitely prove that Prophet Mu</w:t>
        <w:softHyphen/>
        <w:t>hammad (PBUH) was not just a 'mail-man' whose only job was to deliver the Qur’an to us. He was a teacher and a commentator of the Qur'an. Even his actions are a source of guidance for Muslims:</w:t>
      </w:r>
    </w:p>
    <w:p>
      <w:pPr>
        <w:pStyle w:val="BookText"/>
        <w:bidi w:val="0"/>
        <w:jc w:val="both"/>
        <w:rPr/>
      </w:pPr>
      <w:r>
        <w:rPr>
          <w:rFonts w:eastAsia="Times New Roman" w:cs="Times New Roman" w:ascii="Times New Roman" w:hAnsi="Times New Roman"/>
          <w:color w:val="111111"/>
          <w:sz w:val="28"/>
          <w:szCs w:val="28"/>
          <w:lang w:val="en-US"/>
        </w:rPr>
        <w:t>You have a good example in Allah's Messenger for whosoever hopes for God and the last day, and remembers God oft (Surah al-Ahzaab, 33:21).</w:t>
      </w:r>
    </w:p>
    <w:p>
      <w:pPr>
        <w:pStyle w:val="BookText"/>
        <w:bidi w:val="0"/>
        <w:jc w:val="both"/>
        <w:rPr/>
      </w:pPr>
      <w:r>
        <w:rPr>
          <w:rFonts w:eastAsia="Times New Roman" w:cs="Times New Roman" w:ascii="Times New Roman" w:hAnsi="Times New Roman"/>
          <w:color w:val="111111"/>
          <w:sz w:val="28"/>
          <w:szCs w:val="28"/>
          <w:lang w:val="en-US"/>
        </w:rPr>
        <w:t>The obedience to the Prophet (PBUH) has been considered as the proof of loving Allah (SWT):</w:t>
      </w:r>
    </w:p>
    <w:p>
      <w:pPr>
        <w:pStyle w:val="BookText"/>
        <w:bidi w:val="0"/>
        <w:jc w:val="both"/>
        <w:rPr/>
      </w:pPr>
      <w:r>
        <w:rPr>
          <w:rFonts w:eastAsia="Times New Roman" w:cs="Times New Roman" w:ascii="Times New Roman" w:hAnsi="Times New Roman"/>
          <w:color w:val="111111"/>
          <w:sz w:val="28"/>
          <w:szCs w:val="28"/>
          <w:lang w:val="en-US"/>
        </w:rPr>
        <w:t>Say (OMuhammad), 'If you love Allah, then follow me; (if you do so) Allah will love you and forgive for you your sins.' (Surah aal-‘Imraan, 3:31).</w:t>
      </w:r>
    </w:p>
    <w:p>
      <w:pPr>
        <w:pStyle w:val="BookText"/>
        <w:bidi w:val="0"/>
        <w:jc w:val="both"/>
        <w:rPr/>
      </w:pPr>
      <w:r>
        <w:rPr>
          <w:rFonts w:eastAsia="Times New Roman" w:cs="Times New Roman" w:ascii="Times New Roman" w:hAnsi="Times New Roman"/>
          <w:color w:val="111111"/>
          <w:sz w:val="28"/>
          <w:szCs w:val="28"/>
          <w:lang w:val="en-US"/>
        </w:rPr>
        <w:t>To show the importance of obeying the Prophet (PBUH), Allah (SWT) further says,</w:t>
      </w:r>
    </w:p>
    <w:p>
      <w:pPr>
        <w:pStyle w:val="BookText"/>
        <w:bidi w:val="0"/>
        <w:jc w:val="both"/>
        <w:rPr/>
      </w:pPr>
      <w:r>
        <w:rPr>
          <w:rFonts w:eastAsia="Times New Roman" w:cs="Times New Roman" w:ascii="Times New Roman" w:hAnsi="Times New Roman"/>
          <w:color w:val="111111"/>
          <w:sz w:val="28"/>
          <w:szCs w:val="28"/>
          <w:lang w:val="en-US"/>
        </w:rPr>
        <w:t>Whoever obeys the Prophet has surely obeyed Allah. (Surah an-Nisaa, 4:80)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is not only silent on the details of things which can change over time, it is also silent on the rules of worship which can never change. For example, the Qur'an in</w:t>
      </w:r>
      <w:bookmarkStart w:id="25" w:name="pg2298_32674"/>
    </w:p>
    <w:p>
      <w:pPr>
        <w:pStyle w:val="BookText"/>
        <w:bidi w:val="0"/>
        <w:rPr/>
      </w:pPr>
      <w:bookmarkEnd w:id="25"/>
      <w:r>
        <w:rPr>
          <w:rFonts w:eastAsia="Times New Roman" w:cs="Times New Roman" w:ascii="Times New Roman" w:hAnsi="Times New Roman"/>
          <w:color w:val="111111"/>
          <w:sz w:val="28"/>
          <w:szCs w:val="28"/>
          <w:lang w:val="en-US"/>
        </w:rPr>
        <w:t>twenty-five different places commands the Muslims to say the daily prayers (salat), but not once has Allah (SWT) explained how the Muslims are to say their prayers. (The only exception is that of salatu 'l-khawf, the prayer said in a battle-field or when one is in danger.) This silence on the part of the Qur'an, I believe, was for the specific purpose of forcing the people to go to the Prophet (PBUH), ask him for details and follow his example.</w:t>
      </w:r>
    </w:p>
    <w:p>
      <w:pPr>
        <w:pStyle w:val="Heading3"/>
        <w:numPr>
          <w:ilvl w:val="2"/>
          <w:numId w:val="1"/>
        </w:numPr>
        <w:bidi w:val="0"/>
        <w:jc w:val="left"/>
        <w:rPr/>
      </w:pPr>
      <w:bookmarkStart w:id="26" w:name="__RefHeading___Toc2027878_3804643083"/>
      <w:bookmarkStart w:id="27" w:name="_Toc10"/>
      <w:bookmarkEnd w:id="26"/>
      <w:r>
        <w:rPr/>
        <w:t>During the Days of the Imams</w:t>
      </w:r>
      <w:bookmarkEnd w:id="27"/>
    </w:p>
    <w:p>
      <w:pPr>
        <w:pStyle w:val="BookText"/>
        <w:bidi w:val="0"/>
        <w:jc w:val="both"/>
        <w:rPr/>
      </w:pPr>
      <w:r>
        <w:rPr>
          <w:rFonts w:eastAsia="Times New Roman" w:cs="Times New Roman" w:ascii="Times New Roman" w:hAnsi="Times New Roman"/>
          <w:color w:val="111111"/>
          <w:sz w:val="28"/>
          <w:szCs w:val="28"/>
          <w:lang w:val="en-US"/>
        </w:rPr>
        <w:t>After the Prophet's death, the Muslims were very much divided on the issue of leadership. This gave birth to the two groups known as the Shi'ahs and the Sunnis. The Shi' ahs believed in the leadership of Imam' Ali bin Abi Talib (a.s.) and the Sunnis believed in the leadership of Abu Bakr.</w:t>
      </w:r>
    </w:p>
    <w:p>
      <w:pPr>
        <w:pStyle w:val="BookText"/>
        <w:bidi w:val="0"/>
        <w:jc w:val="both"/>
        <w:rPr/>
      </w:pPr>
      <w:r>
        <w:rPr>
          <w:rFonts w:eastAsia="Times New Roman" w:cs="Times New Roman" w:ascii="Times New Roman" w:hAnsi="Times New Roman"/>
          <w:color w:val="111111"/>
          <w:sz w:val="28"/>
          <w:szCs w:val="28"/>
          <w:lang w:val="en-US"/>
        </w:rPr>
        <w:t>The Shi'ahs lived by the shari'ah by following the Qur’an, and the sunnah of the Prophet and of the imams.</w:t>
      </w:r>
    </w:p>
    <w:p>
      <w:pPr>
        <w:pStyle w:val="BookText"/>
        <w:bidi w:val="0"/>
        <w:jc w:val="both"/>
        <w:rPr/>
      </w:pPr>
      <w:r>
        <w:rPr>
          <w:rFonts w:eastAsia="Times New Roman" w:cs="Times New Roman" w:ascii="Times New Roman" w:hAnsi="Times New Roman"/>
          <w:color w:val="111111"/>
          <w:sz w:val="28"/>
          <w:szCs w:val="28"/>
          <w:lang w:val="en-US"/>
        </w:rPr>
        <w:t>The sunnah, in Shi'ah definition, means "the sayings, deeds and silent approval of the Prophet and the twelve Imams of Ahlul-Bayt." Although the issue of the lead</w:t>
        <w:softHyphen/>
        <w:t>ership is beyond the scope of this study, I would like to mention one reason why the Imams of Ahlul-Bayt are preferable as the source of the shari' ah than anyone else.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of the early days realized the impor</w:t>
        <w:softHyphen/>
        <w:t>tance of the Prophet's sunnah and started to memorize his sayings known as hadith. Later generations pre</w:t>
        <w:softHyphen/>
        <w:t>served the saying they had heard from the companions of the Prophet in the books of hadith.</w:t>
      </w:r>
    </w:p>
    <w:p>
      <w:pPr>
        <w:pStyle w:val="BookText"/>
        <w:bidi w:val="0"/>
        <w:rPr/>
      </w:pPr>
      <w:r>
        <w:rPr>
          <w:rFonts w:eastAsia="Times New Roman" w:cs="Times New Roman" w:ascii="Times New Roman" w:hAnsi="Times New Roman"/>
          <w:color w:val="111111"/>
          <w:sz w:val="28"/>
          <w:szCs w:val="28"/>
          <w:lang w:val="en-US"/>
        </w:rPr>
        <w:t>Even the actions of the Prophet, observed by his companions, were pre</w:t>
        <w:softHyphen/>
        <w:t>served in writing. But this process of preserving the sunnah of the Prophet was not immune from mistakes and forgery. Many sayings were invented and wrong</w:t>
        <w:softHyphen/>
        <w:t>fully attributed to the Prophet during the early period of the Islamic history, specially during the Umayyid era. At times, the rulers bribed the companions to fabricate 'hadith' in their favour. At other times, some people invented ahadith for apparently good causes not realiz</w:t>
        <w:softHyphen/>
        <w:t>ing that they were using wrong means of trying to make people more religious!</w:t>
      </w:r>
    </w:p>
    <w:p>
      <w:pPr>
        <w:pStyle w:val="BookText"/>
        <w:bidi w:val="0"/>
        <w:jc w:val="both"/>
        <w:rPr/>
      </w:pPr>
      <w:r>
        <w:rPr>
          <w:rFonts w:eastAsia="Times New Roman" w:cs="Times New Roman" w:ascii="Times New Roman" w:hAnsi="Times New Roman"/>
          <w:color w:val="111111"/>
          <w:sz w:val="28"/>
          <w:szCs w:val="28"/>
          <w:lang w:val="en-US"/>
        </w:rPr>
        <w:t>In this background of the early development of hadith, we must find an authentic and informed source for the sunnah of the Prophet. When you look at the Muslims of the Prophet's days, you can find no one who was more knowledgeable, informed, reliable and closer to the Prophet than the Ahlul-Bayt, the family of the Prophet: Fatimah, 'Ali and their sons. After all, it is the Qur' an which testifies to their spiritual purity of the highest form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intends to purify you, O Ahlul-Bayt, a thorough purification." (Surah al-Ahzaab, 33:33)</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Combine this verse about the Ahlul-Bayt's purity with the following:</w:t>
      </w:r>
    </w:p>
    <w:p>
      <w:pPr>
        <w:pStyle w:val="BookText"/>
        <w:bidi w:val="0"/>
        <w:jc w:val="both"/>
        <w:rPr/>
      </w:pPr>
      <w:r>
        <w:rPr>
          <w:rFonts w:eastAsia="Times New Roman" w:cs="Times New Roman" w:ascii="Times New Roman" w:hAnsi="Times New Roman"/>
          <w:color w:val="111111"/>
          <w:sz w:val="28"/>
          <w:szCs w:val="28"/>
          <w:lang w:val="en-US"/>
        </w:rPr>
        <w:t>"It is the holy Qur'an in a preserved tablet, none shall touch it but the purified ones." (Surah al-Waqia, 56:79)</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 sense of this verse is that the Qur’an which is "in a preserved tablet" is not accessible to anyone except those who are purified by Him. This shows that the</w:t>
      </w:r>
    </w:p>
    <w:p>
      <w:pPr>
        <w:pStyle w:val="BookText"/>
        <w:bidi w:val="0"/>
        <w:rPr/>
      </w:pPr>
      <w:r>
        <w:rPr>
          <w:rFonts w:eastAsia="Times New Roman" w:cs="Times New Roman" w:ascii="Times New Roman" w:hAnsi="Times New Roman"/>
          <w:color w:val="111111"/>
          <w:sz w:val="28"/>
          <w:szCs w:val="28"/>
          <w:lang w:val="en-US"/>
        </w:rPr>
        <w:t>Ahlul-Bayt could understand the Qur'an better than any other Muslim. It is for this very reason that Allah (SWT) commanded His Messenger to ask the people to love his Ahlul-Bayt: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(0 Muhammad), 'I do not ask from you any reward (for teachinf Islam to you) except to love my near ones.'” (Surah ash-Shura, 42:23)</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This love was made obligatory because it would automatically entail obedience of those whom one loves. If the Ahlul-Bayt were not truthful, reliable, and worthy of following, would Allah(SWT) command us to love them?</w:t>
      </w:r>
    </w:p>
    <w:p>
      <w:pPr>
        <w:pStyle w:val="BookText"/>
        <w:bidi w:val="0"/>
        <w:jc w:val="both"/>
        <w:rPr/>
      </w:pPr>
      <w:r>
        <w:rPr>
          <w:rFonts w:eastAsia="Times New Roman" w:cs="Times New Roman" w:ascii="Times New Roman" w:hAnsi="Times New Roman"/>
          <w:color w:val="111111"/>
          <w:sz w:val="28"/>
          <w:szCs w:val="28"/>
          <w:lang w:val="en-US"/>
        </w:rPr>
        <w:t>These few verses are enough to show that the best commentators of the Qur' an and the most authentic source for the Prophet's sunnah are the Imams of Ahlul-Bayt. The Prophet (PBUH) himself said, "I am leaving among you two worthy things. As long as you hold fast on to them both, you will never go astray after me. One is greater than the other: the Book of Allah (which is a rope suspended from the heaven to the earth) and my descen</w:t>
        <w:softHyphen/>
        <w:t>dants, my Ahlul-Bayt. They will not separate from each other until they come to me at the (fountain of) Kawthar (in the hereafter). Therefore, see how you recompense me by the way you deal with them."</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the place to discuss the authenticity of this hadith, but it will suffice to quote Ibn Hajar al-Makki, a famous Sunni polemicist. After recording this hadith from various companions who had heard it from the Prophet at vari</w:t>
        <w:softHyphen/>
        <w:t>ous places and</w:t>
      </w:r>
    </w:p>
    <w:p>
      <w:pPr>
        <w:pStyle w:val="BookText"/>
        <w:bidi w:val="0"/>
        <w:rPr/>
      </w:pPr>
      <w:r>
        <w:rPr>
          <w:rFonts w:eastAsia="Times New Roman" w:cs="Times New Roman" w:ascii="Times New Roman" w:hAnsi="Times New Roman"/>
          <w:color w:val="111111"/>
          <w:sz w:val="28"/>
          <w:szCs w:val="28"/>
          <w:lang w:val="en-US"/>
        </w:rPr>
        <w:t>times, Ibn Hajar says, "And there is no contradiction in these [numerous reports] since there was nothing to prevent the Prophet from repeating [this statement] at those various places because of the impor</w:t>
        <w:softHyphen/>
        <w:t>tance of the holy Book and the pure Family.”</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We can conclude from these verses and the hadith mentioned above that the Ahlul-Bayt are the divinely appointed commentators of the Qur' an, and the most authentic and the best source for the sunnah. It is for this reason that we prefer them to all other sources. Even when we quote a hadith from the Imams of Ahlul-Bayt, it is actually the hadith of the Prophet which they have preserved as the true successors of the last Messenger of God.</w:t>
      </w:r>
    </w:p>
    <w:p>
      <w:pPr>
        <w:pStyle w:val="BookText"/>
        <w:bidi w:val="0"/>
        <w:jc w:val="both"/>
        <w:rPr/>
      </w:pPr>
      <w:r>
        <w:rPr>
          <w:rFonts w:eastAsia="Times New Roman" w:cs="Times New Roman" w:ascii="Times New Roman" w:hAnsi="Times New Roman"/>
          <w:color w:val="111111"/>
          <w:sz w:val="28"/>
          <w:szCs w:val="28"/>
          <w:lang w:val="en-US"/>
        </w:rPr>
        <w:t xml:space="preserve">Imam Ja'far as-Sadiq (a.s.) says, "My hadith is the hadith of my father, the hadith of my father is that of my grandfather, the hadithof my grandfather is that of Husayn [bin' Ali], the hadith of Husayn is that of Hasan [bin 'Ali], the hadith of Hasan is that of Amiru ‘l-mu’minin ['Abi bin Abi Talib], the hadith of Amiru ‘l-mu’minin is that of the Messenger of God (s.a.w.), and the hadith of the Messenger is a statement of Allah, the Almighty, the Great.” </w:t>
      </w:r>
      <w:r>
        <w:rPr>
          <w:rStyle w:val="FootnoteAnchor"/>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historical circumstances did not allow the op</w:t>
        <w:softHyphen/>
        <w:t>portunity to the first three Imams of Ahlul-Bayt to teach and train their followers in the matters of the shari'ah. It was after the tragedy of Karbala that the Imams, especially the fifth and the sixth Imams, got</w:t>
      </w:r>
      <w:bookmarkStart w:id="28" w:name="pg2298_32678"/>
    </w:p>
    <w:p>
      <w:pPr>
        <w:pStyle w:val="BookText"/>
        <w:bidi w:val="0"/>
        <w:rPr/>
      </w:pPr>
      <w:bookmarkEnd w:id="28"/>
      <w:r>
        <w:rPr>
          <w:rFonts w:eastAsia="Times New Roman" w:cs="Times New Roman" w:ascii="Times New Roman" w:hAnsi="Times New Roman"/>
          <w:color w:val="111111"/>
          <w:sz w:val="28"/>
          <w:szCs w:val="28"/>
          <w:lang w:val="en-US"/>
        </w:rPr>
        <w:t>the oppor</w:t>
        <w:softHyphen/>
        <w:t>tunity to formally train their followers in the shari'ah laws. The training by these Imams actually laid the foundation for the development of ijtihad and taqlid among the Shi'ahs after the occultation of the twelfth Imam Muhammad al-Mahdi (a.s.).</w:t>
      </w:r>
    </w:p>
    <w:p>
      <w:pPr>
        <w:pStyle w:val="Heading3"/>
        <w:numPr>
          <w:ilvl w:val="2"/>
          <w:numId w:val="1"/>
        </w:numPr>
        <w:bidi w:val="0"/>
        <w:jc w:val="left"/>
        <w:rPr/>
      </w:pPr>
      <w:bookmarkStart w:id="29" w:name="__RefHeading___Toc2027880_3804643083"/>
      <w:bookmarkStart w:id="30" w:name="_Toc11"/>
      <w:bookmarkEnd w:id="29"/>
      <w:r>
        <w:rPr/>
        <w:t>During the Ghaybat of the Present Imam</w:t>
      </w:r>
      <w:bookmarkEnd w:id="30"/>
    </w:p>
    <w:p>
      <w:pPr>
        <w:pStyle w:val="BookText"/>
        <w:bidi w:val="0"/>
        <w:jc w:val="both"/>
        <w:rPr/>
      </w:pPr>
      <w:r>
        <w:rPr>
          <w:rFonts w:eastAsia="Times New Roman" w:cs="Times New Roman" w:ascii="Times New Roman" w:hAnsi="Times New Roman"/>
          <w:color w:val="111111"/>
          <w:sz w:val="28"/>
          <w:szCs w:val="28"/>
          <w:lang w:val="en-US"/>
        </w:rPr>
        <w:t>During the Minor Occultation (ghaybat) of the pre</w:t>
        <w:softHyphen/>
        <w:t>sent Imam, it was still possible for the Shi'ahs to present their problems to the Imam through his specially ap</w:t>
        <w:softHyphen/>
        <w:t>pointed representatives. These representatives were 'Uthman bin Sa'id al-'Amri (260-265 A.H./ 875-879 C.E.), Muhammad bin' Uthman al-'Amri (265-305 A.H./ 879-917 C.E.), Husayn bin Ruh (305-326 A.H. /917-937 C.E.) and 'Ali bin Mu</w:t>
        <w:softHyphen/>
        <w:t>hammad al-Samiri (326-329 A.H./ 937-940 C.E.).</w:t>
      </w:r>
    </w:p>
    <w:p>
      <w:pPr>
        <w:pStyle w:val="BookText"/>
        <w:bidi w:val="0"/>
        <w:jc w:val="both"/>
        <w:rPr/>
      </w:pPr>
      <w:r>
        <w:rPr>
          <w:rFonts w:eastAsia="Times New Roman" w:cs="Times New Roman" w:ascii="Times New Roman" w:hAnsi="Times New Roman"/>
          <w:color w:val="111111"/>
          <w:sz w:val="28"/>
          <w:szCs w:val="28"/>
          <w:lang w:val="en-US"/>
        </w:rPr>
        <w:t>However, after the Imam went into the Major Occul</w:t>
        <w:softHyphen/>
        <w:t>tation, the problems of the shari'ah were resolved through the process known as ijtihad and taqlid -- the two most important ways of living by the shari'ah.</w:t>
      </w:r>
    </w:p>
    <w:p>
      <w:pPr>
        <w:pStyle w:val="Heading3"/>
        <w:numPr>
          <w:ilvl w:val="2"/>
          <w:numId w:val="1"/>
        </w:numPr>
        <w:bidi w:val="0"/>
        <w:jc w:val="left"/>
        <w:rPr/>
      </w:pPr>
      <w:bookmarkStart w:id="31" w:name="__RefHeading___Toc2027882_3804643083"/>
      <w:bookmarkStart w:id="32" w:name="_Toc12"/>
      <w:bookmarkEnd w:id="31"/>
      <w:r>
        <w:rPr/>
        <w:t>Summary</w:t>
      </w:r>
      <w:bookmarkEnd w:id="32"/>
    </w:p>
    <w:p>
      <w:pPr>
        <w:pStyle w:val="BookText"/>
        <w:bidi w:val="0"/>
        <w:jc w:val="both"/>
        <w:rPr/>
      </w:pPr>
      <w:r>
        <w:rPr>
          <w:rFonts w:eastAsia="Times New Roman" w:cs="Times New Roman" w:ascii="Times New Roman" w:hAnsi="Times New Roman"/>
          <w:color w:val="111111"/>
          <w:sz w:val="28"/>
          <w:szCs w:val="28"/>
          <w:lang w:val="en-US"/>
        </w:rPr>
        <w:t>During the days of the Prophet (PBUH), the Muslims lived by the shari'ah by following the Qur'an and the sunnah.</w:t>
      </w:r>
    </w:p>
    <w:p>
      <w:pPr>
        <w:pStyle w:val="BookText"/>
        <w:bidi w:val="0"/>
        <w:jc w:val="both"/>
        <w:rPr/>
      </w:pPr>
      <w:r>
        <w:rPr>
          <w:rFonts w:eastAsia="Times New Roman" w:cs="Times New Roman" w:ascii="Times New Roman" w:hAnsi="Times New Roman"/>
          <w:color w:val="111111"/>
          <w:sz w:val="28"/>
          <w:szCs w:val="28"/>
          <w:lang w:val="en-US"/>
        </w:rPr>
        <w:t>During the days of the eleven Imams and the Minor Occultation of the Present Imam, the Shi'ahs lived by the shari'ah by following the Qur'an and the sunnah of the Prophet and the Imams.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Major Occultation of the Present Imam, the Shi'ahs, based on the training given to them by the previous Imams, developed the system of ijtihad and taqlid. Under this system, one group of the community studies the science of Islamic laws, specializes in that field and produces mujtahids. The non-mujtahid Shi'ahs, who obviously forms the majority, follows</w:t>
      </w:r>
      <w:bookmarkStart w:id="33" w:name="pg2298_32679"/>
    </w:p>
    <w:p>
      <w:pPr>
        <w:pStyle w:val="BookText"/>
        <w:bidi w:val="0"/>
        <w:rPr/>
      </w:pPr>
      <w:bookmarkEnd w:id="33"/>
      <w:r>
        <w:rPr>
          <w:rFonts w:eastAsia="Times New Roman" w:cs="Times New Roman" w:ascii="Times New Roman" w:hAnsi="Times New Roman"/>
          <w:color w:val="111111"/>
          <w:sz w:val="28"/>
          <w:szCs w:val="28"/>
          <w:lang w:val="en-US"/>
        </w:rPr>
        <w:t>the opinions of the mujtahids of their time in shari'ah matters.</w:t>
      </w:r>
    </w:p>
    <w:p>
      <w:pPr>
        <w:pStyle w:val="Heading2"/>
        <w:numPr>
          <w:ilvl w:val="1"/>
          <w:numId w:val="1"/>
        </w:numPr>
        <w:bidi w:val="0"/>
        <w:jc w:val="left"/>
        <w:rPr/>
      </w:pPr>
      <w:bookmarkStart w:id="34" w:name="__RefHeading___Toc2027884_3804643083"/>
      <w:bookmarkStart w:id="35" w:name="_Toc13"/>
      <w:bookmarkEnd w:id="34"/>
      <w:r>
        <w:rPr/>
        <w:t>Taqlid, Following The Expert</w:t>
      </w:r>
      <w:bookmarkEnd w:id="35"/>
    </w:p>
    <w:p>
      <w:pPr>
        <w:pStyle w:val="Heading3"/>
        <w:numPr>
          <w:ilvl w:val="2"/>
          <w:numId w:val="1"/>
        </w:numPr>
        <w:bidi w:val="0"/>
        <w:jc w:val="left"/>
        <w:rPr/>
      </w:pPr>
      <w:bookmarkStart w:id="36" w:name="__RefHeading___Toc2027886_3804643083"/>
      <w:bookmarkStart w:id="37" w:name="_Toc14"/>
      <w:bookmarkEnd w:id="36"/>
      <w:r>
        <w:rPr/>
        <w:t>point</w:t>
      </w:r>
      <w:bookmarkEnd w:id="37"/>
    </w:p>
    <w:p>
      <w:pPr>
        <w:pStyle w:val="BookText"/>
        <w:bidi w:val="0"/>
        <w:jc w:val="both"/>
        <w:rPr/>
      </w:pPr>
      <w:r>
        <w:rPr>
          <w:rFonts w:eastAsia="Times New Roman" w:cs="Times New Roman" w:ascii="Times New Roman" w:hAnsi="Times New Roman"/>
          <w:color w:val="111111"/>
          <w:sz w:val="28"/>
          <w:szCs w:val="28"/>
          <w:lang w:val="en-US"/>
        </w:rPr>
        <w:t>Note: This chapter was first published in al-Serat (London: vol. IX, No. 2, 1983); then it was published as a booklet in 1985/ 1405 in Vancouver.</w:t>
      </w:r>
    </w:p>
    <w:p>
      <w:pPr>
        <w:pStyle w:val="Heading3"/>
        <w:numPr>
          <w:ilvl w:val="2"/>
          <w:numId w:val="1"/>
        </w:numPr>
        <w:bidi w:val="0"/>
        <w:jc w:val="left"/>
        <w:rPr/>
      </w:pPr>
      <w:bookmarkStart w:id="38" w:name="__RefHeading___Toc2027888_3804643083"/>
      <w:bookmarkStart w:id="39" w:name="_Toc15"/>
      <w:bookmarkEnd w:id="38"/>
      <w:r>
        <w:rPr/>
        <w:t>The Meaning of Taqlid</w:t>
      </w:r>
      <w:bookmarkEnd w:id="39"/>
    </w:p>
    <w:p>
      <w:pPr>
        <w:pStyle w:val="BookText"/>
        <w:bidi w:val="0"/>
        <w:jc w:val="both"/>
        <w:rPr/>
      </w:pPr>
      <w:r>
        <w:rPr>
          <w:rFonts w:eastAsia="Times New Roman" w:cs="Times New Roman" w:ascii="Times New Roman" w:hAnsi="Times New Roman"/>
          <w:color w:val="111111"/>
          <w:sz w:val="28"/>
          <w:szCs w:val="28"/>
          <w:lang w:val="en-US"/>
        </w:rPr>
        <w:t>Taqlid literally means "to follow someone", "to imi</w:t>
        <w:softHyphen/>
        <w:t>tate someone". In Islamic legal terminology it means "to follow the mujtahid in religious laws." However, this following is based on an informed decision taken by the individual Shi'ah man or woman. Before you start fol</w:t>
        <w:softHyphen/>
        <w:t>lowing the opinions of a mujtahid in the shari' ah laws, you have to ascertain that he has the required expertise and that he is of upright character.</w:t>
      </w:r>
    </w:p>
    <w:p>
      <w:pPr>
        <w:pStyle w:val="BookText"/>
        <w:bidi w:val="0"/>
        <w:jc w:val="both"/>
        <w:rPr/>
      </w:pPr>
      <w:r>
        <w:rPr>
          <w:rFonts w:eastAsia="Times New Roman" w:cs="Times New Roman" w:ascii="Times New Roman" w:hAnsi="Times New Roman"/>
          <w:color w:val="111111"/>
          <w:sz w:val="28"/>
          <w:szCs w:val="28"/>
          <w:lang w:val="en-US"/>
        </w:rPr>
        <w:t>Taqlid of a mujtahid, as explained in previous chap</w:t>
        <w:softHyphen/>
        <w:t>ter, is only when we do not have direct access to our Present Imam (a.s.). If the Imam had been accessible to us, then we do not have to follow any mujtahid.</w:t>
      </w:r>
    </w:p>
    <w:p>
      <w:pPr>
        <w:pStyle w:val="Heading3"/>
        <w:numPr>
          <w:ilvl w:val="2"/>
          <w:numId w:val="1"/>
        </w:numPr>
        <w:bidi w:val="0"/>
        <w:jc w:val="left"/>
        <w:rPr/>
      </w:pPr>
      <w:bookmarkStart w:id="40" w:name="__RefHeading___Toc2027890_3804643083"/>
      <w:bookmarkStart w:id="41" w:name="_Toc16"/>
      <w:bookmarkEnd w:id="40"/>
      <w:r>
        <w:rPr/>
        <w:t>Is Taqlid Reasonable?</w:t>
      </w:r>
      <w:bookmarkEnd w:id="41"/>
    </w:p>
    <w:p>
      <w:pPr>
        <w:pStyle w:val="BookText"/>
        <w:bidi w:val="0"/>
        <w:jc w:val="both"/>
        <w:rPr/>
      </w:pPr>
      <w:r>
        <w:rPr>
          <w:rFonts w:eastAsia="Times New Roman" w:cs="Times New Roman" w:ascii="Times New Roman" w:hAnsi="Times New Roman"/>
          <w:color w:val="111111"/>
          <w:sz w:val="28"/>
          <w:szCs w:val="28"/>
          <w:lang w:val="en-US"/>
        </w:rPr>
        <w:t>It is not always unreasonable to follow others and to hold uncritical faith in them. We can logically distin</w:t>
        <w:softHyphen/>
        <w:t>guish four possible forms of imitation:</w:t>
      </w:r>
    </w:p>
    <w:p>
      <w:pPr>
        <w:pStyle w:val="BookText"/>
        <w:bidi w:val="0"/>
        <w:jc w:val="both"/>
        <w:rPr/>
      </w:pPr>
      <w:r>
        <w:rPr>
          <w:rFonts w:eastAsia="Times New Roman" w:cs="Times New Roman" w:ascii="Times New Roman" w:hAnsi="Times New Roman"/>
          <w:color w:val="111111"/>
          <w:sz w:val="28"/>
          <w:szCs w:val="28"/>
          <w:lang w:val="en-US"/>
        </w:rPr>
        <w:t>that of an ignorant person by an ignorant person;</w:t>
      </w:r>
    </w:p>
    <w:p>
      <w:pPr>
        <w:pStyle w:val="BookText"/>
        <w:bidi w:val="0"/>
        <w:jc w:val="both"/>
        <w:rPr/>
      </w:pPr>
      <w:r>
        <w:rPr>
          <w:rFonts w:eastAsia="Times New Roman" w:cs="Times New Roman" w:ascii="Times New Roman" w:hAnsi="Times New Roman"/>
          <w:color w:val="111111"/>
          <w:sz w:val="28"/>
          <w:szCs w:val="28"/>
          <w:lang w:val="en-US"/>
        </w:rPr>
        <w:t>that of a learned person by a more learned person;</w:t>
      </w:r>
    </w:p>
    <w:p>
      <w:pPr>
        <w:pStyle w:val="BookText"/>
        <w:bidi w:val="0"/>
        <w:jc w:val="both"/>
        <w:rPr/>
      </w:pPr>
      <w:r>
        <w:rPr>
          <w:rFonts w:eastAsia="Times New Roman" w:cs="Times New Roman" w:ascii="Times New Roman" w:hAnsi="Times New Roman"/>
          <w:color w:val="111111"/>
          <w:sz w:val="28"/>
          <w:szCs w:val="28"/>
          <w:lang w:val="en-US"/>
        </w:rPr>
        <w:t>that of an ignorant person by a learned person;</w:t>
      </w:r>
    </w:p>
    <w:p>
      <w:pPr>
        <w:pStyle w:val="BookText"/>
        <w:bidi w:val="0"/>
        <w:jc w:val="both"/>
        <w:rPr/>
      </w:pPr>
      <w:r>
        <w:rPr>
          <w:rFonts w:eastAsia="Times New Roman" w:cs="Times New Roman" w:ascii="Times New Roman" w:hAnsi="Times New Roman"/>
          <w:color w:val="111111"/>
          <w:sz w:val="28"/>
          <w:szCs w:val="28"/>
          <w:lang w:val="en-US"/>
        </w:rPr>
        <w:t>that of a learned person by a less learned person.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quite clear that the first three forms of imitations are unreasonable and can serve no purpose. However, the fourth kind of imitation is obviously not only rea</w:t>
        <w:softHyphen/>
        <w:t>sonable, but also necessary and matter of common sense; in our everyday life we follow</w:t>
      </w:r>
    </w:p>
    <w:p>
      <w:pPr>
        <w:pStyle w:val="BookText"/>
        <w:bidi w:val="0"/>
        <w:rPr/>
      </w:pPr>
      <w:r>
        <w:rPr>
          <w:rFonts w:eastAsia="Times New Roman" w:cs="Times New Roman" w:ascii="Times New Roman" w:hAnsi="Times New Roman"/>
          <w:color w:val="111111"/>
          <w:sz w:val="28"/>
          <w:szCs w:val="28"/>
          <w:lang w:val="en-US"/>
        </w:rPr>
        <w:t>and imitate others in many things; we like to feel that we are taking the advice of experts in matters outside our own knowledge.</w:t>
      </w:r>
    </w:p>
    <w:p>
      <w:pPr>
        <w:pStyle w:val="BookText"/>
        <w:bidi w:val="0"/>
        <w:jc w:val="both"/>
        <w:rPr/>
      </w:pPr>
      <w:r>
        <w:rPr>
          <w:rFonts w:eastAsia="Times New Roman" w:cs="Times New Roman" w:ascii="Times New Roman" w:hAnsi="Times New Roman"/>
          <w:color w:val="111111"/>
          <w:sz w:val="28"/>
          <w:szCs w:val="28"/>
          <w:lang w:val="en-US"/>
        </w:rPr>
        <w:t>Someone who wishes to build a house explains the basic idea of what he wants to the builder and then submits to his advice as to how he should go about the actual construction. The patient follows the treatment advised by his doctor; a litigant consults a lawyer when drawing up his case for a court. The examples are abundant; in most cases the advice is taken voluntarily, but sometimes the citizen may be required by law to seek expert advice and act upon it, before, for example, he is allowed to take some particularly dangerous drug. The clearest example is obviously in case of a legal dispute between two parties, when they are required to take their grievances before a judge and abide by his decision if they cannot settle their dispute amicably.</w:t>
      </w:r>
    </w:p>
    <w:p>
      <w:pPr>
        <w:pStyle w:val="BookText"/>
        <w:bidi w:val="0"/>
        <w:jc w:val="both"/>
        <w:rPr/>
      </w:pPr>
      <w:r>
        <w:rPr>
          <w:rFonts w:eastAsia="Times New Roman" w:cs="Times New Roman" w:ascii="Times New Roman" w:hAnsi="Times New Roman"/>
          <w:color w:val="111111"/>
          <w:sz w:val="28"/>
          <w:szCs w:val="28"/>
          <w:lang w:val="en-US"/>
        </w:rPr>
        <w:t>The practise of taqlid is an example of the same kind: the person who is not an expert in Islamic jurisprudence is legally required to follow the instructions of the expert, that is, the mujtahid. And in this case, the require</w:t>
        <w:softHyphen/>
        <w:t>ment is an obligation which must be observed, for it is an essential part of the divine law.</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 person has come to accept Islam, it follows as a necessary consequence that he must adhere to the shari'ah either by following a mujtahid (taqlid) or by undertaking the acquisition of learning</w:t>
      </w:r>
      <w:bookmarkStart w:id="42" w:name="pg2298_32681"/>
    </w:p>
    <w:p>
      <w:pPr>
        <w:pStyle w:val="BookText"/>
        <w:bidi w:val="0"/>
        <w:rPr/>
      </w:pPr>
      <w:bookmarkEnd w:id="42"/>
      <w:r>
        <w:rPr>
          <w:rFonts w:eastAsia="Times New Roman" w:cs="Times New Roman" w:ascii="Times New Roman" w:hAnsi="Times New Roman"/>
          <w:color w:val="111111"/>
          <w:sz w:val="28"/>
          <w:szCs w:val="28"/>
          <w:lang w:val="en-US"/>
        </w:rPr>
        <w:t>and piety to such a degree that he becomes a mujtahid himself (ijtihad).</w:t>
      </w:r>
    </w:p>
    <w:p>
      <w:pPr>
        <w:pStyle w:val="Heading3"/>
        <w:numPr>
          <w:ilvl w:val="2"/>
          <w:numId w:val="1"/>
        </w:numPr>
        <w:bidi w:val="0"/>
        <w:jc w:val="left"/>
        <w:rPr/>
      </w:pPr>
      <w:bookmarkStart w:id="43" w:name="__RefHeading___Toc2027892_3804643083"/>
      <w:bookmarkStart w:id="44" w:name="_Toc17"/>
      <w:bookmarkEnd w:id="43"/>
      <w:r>
        <w:rPr/>
        <w:t>Support from the Qur'an and Sunnah</w:t>
      </w:r>
      <w:bookmarkEnd w:id="44"/>
    </w:p>
    <w:p>
      <w:pPr>
        <w:pStyle w:val="BookText"/>
        <w:bidi w:val="0"/>
        <w:jc w:val="both"/>
        <w:rPr/>
      </w:pPr>
      <w:r>
        <w:rPr>
          <w:rFonts w:eastAsia="Times New Roman" w:cs="Times New Roman" w:ascii="Times New Roman" w:hAnsi="Times New Roman"/>
          <w:color w:val="111111"/>
          <w:sz w:val="28"/>
          <w:szCs w:val="28"/>
          <w:lang w:val="en-US"/>
        </w:rPr>
        <w:t>This sensible practise of following the mujtahid in shari'ah laws has been endorsed by Islam.</w:t>
      </w:r>
    </w:p>
    <w:p>
      <w:pPr>
        <w:pStyle w:val="BookText"/>
        <w:bidi w:val="0"/>
        <w:jc w:val="both"/>
        <w:rPr/>
      </w:pPr>
      <w:r>
        <w:rPr>
          <w:rFonts w:eastAsia="Times New Roman" w:cs="Times New Roman" w:ascii="Times New Roman" w:hAnsi="Times New Roman"/>
          <w:color w:val="111111"/>
          <w:sz w:val="28"/>
          <w:szCs w:val="28"/>
          <w:lang w:val="en-US"/>
        </w:rPr>
        <w:t>The Qur' an strongly exhorts at least a group of Muslims to devote their time and energy in studying religion. This obligation is of such importance that Allah (SWT) has exempted such persons from the duty of jihad.</w:t>
      </w:r>
    </w:p>
    <w:p>
      <w:pPr>
        <w:pStyle w:val="BookText"/>
        <w:bidi w:val="0"/>
        <w:jc w:val="both"/>
        <w:rPr/>
      </w:pPr>
      <w:r>
        <w:rPr>
          <w:rFonts w:eastAsia="Times New Roman" w:cs="Times New Roman" w:ascii="Times New Roman" w:hAnsi="Times New Roman"/>
          <w:color w:val="111111"/>
          <w:sz w:val="28"/>
          <w:szCs w:val="28"/>
          <w:lang w:val="en-US"/>
        </w:rPr>
        <w:t>He says:</w:t>
      </w:r>
    </w:p>
    <w:p>
      <w:pPr>
        <w:pStyle w:val="BookText"/>
        <w:bidi w:val="0"/>
        <w:jc w:val="both"/>
        <w:rPr/>
      </w:pPr>
      <w:r>
        <w:rPr>
          <w:rFonts w:eastAsia="Times New Roman" w:cs="Times New Roman" w:ascii="Times New Roman" w:hAnsi="Times New Roman"/>
          <w:color w:val="111111"/>
          <w:sz w:val="28"/>
          <w:szCs w:val="28"/>
          <w:lang w:val="en-US"/>
        </w:rPr>
        <w:t>"It is not (right) for the believers to go forth all together (for jihad). So why should not a party from every section of them (the believers) go forth to become learned in the religion?..." (Surah at-Tawba, 9:124).</w:t>
      </w:r>
    </w:p>
    <w:p>
      <w:pPr>
        <w:pStyle w:val="BookText"/>
        <w:bidi w:val="0"/>
        <w:jc w:val="both"/>
        <w:rPr/>
      </w:pPr>
      <w:r>
        <w:rPr>
          <w:rFonts w:eastAsia="Times New Roman" w:cs="Times New Roman" w:ascii="Times New Roman" w:hAnsi="Times New Roman"/>
          <w:color w:val="111111"/>
          <w:sz w:val="28"/>
          <w:szCs w:val="28"/>
          <w:lang w:val="en-US"/>
        </w:rPr>
        <w:t>More interesting is the reason and purpose of their knowledge: " ... to warn their people when they return to them, hopefully they may beware." (Surah at-Tawba, 9:124) This verse divides the people into two groups: those who are learned in religious sciences and those who are not. It is the duty of the learned to "warn" (a broad term which implies advice and guidance) the common people, and it is expected of the common people to "beware" (take heed of the learned persons' advice and follow). In shari'ah matters, this process of guiding the common people is technically known as "ijtihad," and the process of following the guidance by the common people is technically known as "taqlid".</w:t>
      </w:r>
    </w:p>
    <w:p>
      <w:pPr>
        <w:pStyle w:val="BookText"/>
        <w:bidi w:val="0"/>
        <w:jc w:val="both"/>
        <w:rPr/>
      </w:pPr>
      <w:r>
        <w:rPr>
          <w:rFonts w:eastAsia="Times New Roman" w:cs="Times New Roman" w:ascii="Times New Roman" w:hAnsi="Times New Roman"/>
          <w:color w:val="111111"/>
          <w:sz w:val="28"/>
          <w:szCs w:val="28"/>
          <w:lang w:val="en-US"/>
        </w:rPr>
        <w:t>The Imams of Ahlul-Bayt (peace be upon them all) have endorsed this system in theory as well as in prac</w:t>
        <w:softHyphen/>
        <w:t>tise: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Theory: In a famous hadith,</w:t>
      </w:r>
    </w:p>
    <w:p>
      <w:pPr>
        <w:pStyle w:val="BookText"/>
        <w:bidi w:val="0"/>
        <w:rPr/>
      </w:pPr>
      <w:r>
        <w:rPr>
          <w:rFonts w:eastAsia="Times New Roman" w:cs="Times New Roman" w:ascii="Times New Roman" w:hAnsi="Times New Roman"/>
          <w:color w:val="111111"/>
          <w:sz w:val="28"/>
          <w:szCs w:val="28"/>
          <w:lang w:val="en-US"/>
        </w:rPr>
        <w:t>'Umar ibn Hanzalah asked Imam Ja'far as-Sadiq (a.s.) about the legality of two Shi'ahs seeking a verdict from an illegitimate ruler (or a judge appointed by such a ruler) in a dispute over a debt or a legacy. The Imam's answer was that was absolutely forbidden to do so; and then he read the following verse:</w:t>
      </w:r>
    </w:p>
    <w:p>
      <w:pPr>
        <w:pStyle w:val="BookText"/>
        <w:bidi w:val="0"/>
        <w:jc w:val="both"/>
        <w:rPr/>
      </w:pPr>
      <w:r>
        <w:rPr>
          <w:rFonts w:eastAsia="Times New Roman" w:cs="Times New Roman" w:ascii="Times New Roman" w:hAnsi="Times New Roman"/>
          <w:color w:val="111111"/>
          <w:sz w:val="28"/>
          <w:szCs w:val="28"/>
          <w:lang w:val="en-US"/>
        </w:rPr>
        <w:t>" ... (Yet in a dispute) they desire to summon one another to the judgment of the taghut</w:t>
      </w:r>
      <w:r>
        <w:rPr>
          <w:rStyle w:val="FootnoteAnchor"/>
        </w:rPr>
        <w:footnoteReference w:id="6"/>
      </w:r>
      <w:r>
        <w:rPr>
          <w:rFonts w:eastAsia="Times New Roman" w:cs="Times New Roman" w:ascii="Times New Roman" w:hAnsi="Times New Roman"/>
          <w:color w:val="111111"/>
          <w:sz w:val="28"/>
          <w:szCs w:val="28"/>
          <w:lang w:val="en-US"/>
        </w:rPr>
        <w:t>though they were commanded to reject and disbelieve in him.”(Surah an-Nisaa, 4:60)</w:t>
      </w:r>
    </w:p>
    <w:p>
      <w:pPr>
        <w:pStyle w:val="BookText"/>
        <w:bidi w:val="0"/>
        <w:jc w:val="both"/>
        <w:rPr/>
      </w:pPr>
      <w:r>
        <w:rPr>
          <w:rFonts w:eastAsia="Times New Roman" w:cs="Times New Roman" w:ascii="Times New Roman" w:hAnsi="Times New Roman"/>
          <w:color w:val="111111"/>
          <w:sz w:val="28"/>
          <w:szCs w:val="28"/>
          <w:lang w:val="en-US"/>
        </w:rPr>
        <w:t>Then 'Umar ibn Hanzalah asked, "What the two (Shi'ahs) should do then?" The Imam replied, "They must seek out one of your own who narrates our tradi</w:t>
        <w:softHyphen/>
        <w:t xml:space="preserve">tions, who is versed in what is permissible and what is forbidden, who is well-acquainted with our laws and ordinances, and accept him as judge and arbiter, for I appoint him as judge over you. If the ruling which he based on our laws is rejected then this rejection will be tantamount to. ignoring the order of Allah (SWT) and rejecting us and rejecting us IS the same as rejecting Allah (SWT), and this is the same as polytheism. </w:t>
      </w:r>
      <w:r>
        <w:rPr>
          <w:rStyle w:val="FootnoteAnchor"/>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hadith, Abi Khadijah relates that Imam Ja'far as-Sadiq (a.s.) sent him to his companions with the following message: "If a dispute or a difference occurs among you about a property, then take care not to seek judgment from those illegitimate [judges]; in</w:t>
        <w:softHyphen/>
        <w:t>stead, you must seek a person who knows what is permissible and what is forbidden</w:t>
      </w:r>
    </w:p>
    <w:p>
      <w:pPr>
        <w:pStyle w:val="BookText"/>
        <w:bidi w:val="0"/>
        <w:rPr/>
      </w:pPr>
      <w:r>
        <w:rPr>
          <w:rFonts w:eastAsia="Times New Roman" w:cs="Times New Roman" w:ascii="Times New Roman" w:hAnsi="Times New Roman"/>
          <w:color w:val="111111"/>
          <w:sz w:val="28"/>
          <w:szCs w:val="28"/>
          <w:lang w:val="en-US"/>
        </w:rPr>
        <w:t>by us, for I appoint him as a judge over you. And take care that you do seek judgement against one another with an unjust ruler.”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least that these two narrations prove is that the Shi'ahs are not allowed to refer to unauthorized judges for solution to their problems, instead they are advised to seek the guidance of those who are well-versed in the teachings of the Ahlul-Bayt. In these ahadith, the prac</w:t>
        <w:softHyphen/>
        <w:t>tise of seeking the advice of experts in shari'ah laws is taken for granted.</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In Practise: There are several documented cases of Shi'ahs who asked the Imams of their time to appoint someone to adjudicate between them in religious prob</w:t>
        <w:softHyphen/>
        <w:t>lems. Such questions were raised by those who lived far from Medina or those who could not gain access to their Imam in Medina itself.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 ibn al-Musayyab asked Imam 'Ali ar-Riza (a.s.): "I live far away and cannot always come to you, so from whom should I take the guidance for my relig</w:t>
        <w:softHyphen/>
        <w:t>ion?" The Imam replied, "From Zakariyyah bin Adam al-Qummi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'Abdu ‘l- ‘Aziz and Hasan bin 'Ali bin Yaqtin asked Imam 'Ali ar-Riza (a.s.), "I cannot always reach to you to ask about our problems about religious teach</w:t>
        <w:softHyphen/>
        <w:t>ings. Is Yunfis bin' Abdu 'r-Rahman trustworthy enough for seeking religious guidance?" The Imam replied in affirmative.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Abi Ya'fur asked Imam Ja'far as</w:t>
        <w:softHyphen/>
        <w:t>-Sadiq (a.s.), "I do not meet you all the times nor is it possible for me to come [to you], and at</w:t>
      </w:r>
      <w:bookmarkStart w:id="45" w:name="pg2298_32684"/>
    </w:p>
    <w:p>
      <w:pPr>
        <w:pStyle w:val="BookText"/>
        <w:bidi w:val="0"/>
        <w:rPr/>
      </w:pPr>
      <w:bookmarkEnd w:id="45"/>
      <w:r>
        <w:rPr>
          <w:rFonts w:eastAsia="Times New Roman" w:cs="Times New Roman" w:ascii="Times New Roman" w:hAnsi="Times New Roman"/>
          <w:color w:val="111111"/>
          <w:sz w:val="28"/>
          <w:szCs w:val="28"/>
          <w:lang w:val="en-US"/>
        </w:rPr>
        <w:t>times one of our friends would come to ask a question from me for which I would have no answer." The Imam said, "What does prevent you from [seeking guidance from] Muhammad bin Muslim ath-Thaqafi, for he has heard [many ahadith] from my father and was respectable in his views."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Shu'ayb al-'Aqraqufi asked Imam Ja'far as-Sadiq (a.s.), "Sometimes we need to ask about certain things, so whom should we ask?" The Imam replied, "Take guidance from [Abu Basir] al-Asadi.”</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These few examples prove beyond doubt that the practise of seeking the guidance of those who are well</w:t>
        <w:softHyphen/>
        <w:t xml:space="preserve"> versed in religion has been practically endorsed by the Imams of Ahlul-Bayt (a.s.).</w:t>
      </w:r>
    </w:p>
    <w:p>
      <w:pPr>
        <w:pStyle w:val="BookText"/>
        <w:bidi w:val="0"/>
        <w:jc w:val="both"/>
        <w:rPr/>
      </w:pPr>
      <w:r>
        <w:rPr>
          <w:rFonts w:eastAsia="Times New Roman" w:cs="Times New Roman" w:ascii="Times New Roman" w:hAnsi="Times New Roman"/>
          <w:color w:val="111111"/>
          <w:sz w:val="28"/>
          <w:szCs w:val="28"/>
          <w:lang w:val="en-US"/>
        </w:rPr>
        <w:t>Let me end this section with the statement of Imam Muhammad al-Mahdi (a.s.) in answer to a letter sent by Ishaq bin Ya'qub. The Present Imam (a.s.) says, "As for the newly occurring circumstances, you should turn (for guidance) to the narrators of our hadith, for they are my proof over you and I am Allah's proof."</w:t>
      </w:r>
      <w:r>
        <w:rPr>
          <w:rStyle w:val="FootnoteAnchor"/>
        </w:rPr>
        <w:footnoteReference w:id="10"/>
      </w:r>
    </w:p>
    <w:p>
      <w:pPr>
        <w:pStyle w:val="Heading3"/>
        <w:numPr>
          <w:ilvl w:val="2"/>
          <w:numId w:val="1"/>
        </w:numPr>
        <w:bidi w:val="0"/>
        <w:jc w:val="left"/>
        <w:rPr/>
      </w:pPr>
      <w:bookmarkStart w:id="46" w:name="__RefHeading___Toc2027894_3804643083"/>
      <w:bookmarkStart w:id="47" w:name="_Toc18"/>
      <w:bookmarkEnd w:id="46"/>
      <w:r>
        <w:rPr/>
        <w:t>Qualifications of a Mujtahid</w:t>
      </w:r>
      <w:bookmarkEnd w:id="47"/>
    </w:p>
    <w:p>
      <w:pPr>
        <w:pStyle w:val="BookText"/>
        <w:bidi w:val="0"/>
        <w:jc w:val="both"/>
        <w:rPr/>
      </w:pPr>
      <w:r>
        <w:rPr>
          <w:rFonts w:eastAsia="Times New Roman" w:cs="Times New Roman" w:ascii="Times New Roman" w:hAnsi="Times New Roman"/>
          <w:color w:val="111111"/>
          <w:sz w:val="28"/>
          <w:szCs w:val="28"/>
          <w:lang w:val="en-US"/>
        </w:rPr>
        <w:t>Becoming an expert in fiqh and other Islamic sci</w:t>
        <w:softHyphen/>
        <w:t>ences is not in itself enough for qualification as a mujta</w:t>
        <w:softHyphen/>
        <w:t>hid whom the lay Shi' ahs can follow.</w:t>
      </w:r>
    </w:p>
    <w:p>
      <w:pPr>
        <w:pStyle w:val="BookText"/>
        <w:bidi w:val="0"/>
        <w:jc w:val="both"/>
        <w:rPr/>
      </w:pPr>
      <w:r>
        <w:rPr>
          <w:rFonts w:eastAsia="Times New Roman" w:cs="Times New Roman" w:ascii="Times New Roman" w:hAnsi="Times New Roman"/>
          <w:color w:val="111111"/>
          <w:sz w:val="28"/>
          <w:szCs w:val="28"/>
          <w:lang w:val="en-US"/>
        </w:rPr>
        <w:t>In addition to this expertise, the Shi' ah laws lay down that a mujtahid should be an Ithna-'Ashari Shi'ah and ‘Adil. 'Adil can be translated as "just", but it includes other moral and legal qualities such as piety and absten</w:t>
        <w:softHyphen/>
        <w:t>tion from all that the shari'ah forbids and fulfillment of all its obligations.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al-'Askari (a.s.) quotes</w:t>
      </w:r>
      <w:bookmarkStart w:id="48" w:name="pg2298_32685"/>
    </w:p>
    <w:p>
      <w:pPr>
        <w:pStyle w:val="BookText"/>
        <w:bidi w:val="0"/>
        <w:rPr/>
      </w:pPr>
      <w:bookmarkEnd w:id="48"/>
      <w:r>
        <w:rPr>
          <w:rFonts w:eastAsia="Times New Roman" w:cs="Times New Roman" w:ascii="Times New Roman" w:hAnsi="Times New Roman"/>
          <w:color w:val="111111"/>
          <w:sz w:val="28"/>
          <w:szCs w:val="28"/>
          <w:lang w:val="en-US"/>
        </w:rPr>
        <w:t xml:space="preserve">a long hadith from Imam Ja'far as-Sadiq (a.s.) in which the latter condemned the Jews for following the rabbis. Then the Imam said, "And, similarly, if the lay people of our ummah know in their fuqaha’ </w:t>
      </w:r>
      <w:r>
        <w:rPr>
          <w:rStyle w:val="FootnoteAnchor"/>
        </w:rPr>
        <w:footnoteReference w:id="11"/>
      </w:r>
      <w:r>
        <w:rPr>
          <w:rFonts w:eastAsia="Times New Roman" w:cs="Times New Roman" w:ascii="Times New Roman" w:hAnsi="Times New Roman"/>
          <w:color w:val="111111"/>
          <w:sz w:val="28"/>
          <w:szCs w:val="28"/>
          <w:lang w:val="en-US"/>
        </w:rPr>
        <w:t>open sinfulness, strong racial solidarity, greed for the vanities of this world and its forbidden things, opposition to their opponents who deserve to be helped, and help to their supporters who deserve to be opposed, then whoever from our people follow such fuqaha’, then they are like the Jews who have been condemned for following their rabbis."</w:t>
      </w:r>
    </w:p>
    <w:p>
      <w:pPr>
        <w:pStyle w:val="BookText"/>
        <w:bidi w:val="0"/>
        <w:jc w:val="both"/>
        <w:rPr/>
      </w:pPr>
      <w:r>
        <w:rPr>
          <w:rFonts w:eastAsia="Times New Roman" w:cs="Times New Roman" w:ascii="Times New Roman" w:hAnsi="Times New Roman"/>
          <w:color w:val="111111"/>
          <w:sz w:val="28"/>
          <w:szCs w:val="28"/>
          <w:lang w:val="en-US"/>
        </w:rPr>
        <w:t>Then the Imam says: "But if there is anyone among the fuqaha’ who is in control over his own self, protects his religion, sup</w:t>
        <w:softHyphen/>
        <w:t>presses his evil desires and is obedient to the com</w:t>
        <w:softHyphen/>
        <w:t>mands of his Master, then the people should follow him (yuqalliduhu).”</w:t>
      </w:r>
    </w:p>
    <w:p>
      <w:pPr>
        <w:pStyle w:val="BookText"/>
        <w:bidi w:val="0"/>
        <w:jc w:val="both"/>
        <w:rPr/>
      </w:pPr>
      <w:r>
        <w:rPr>
          <w:rFonts w:eastAsia="Times New Roman" w:cs="Times New Roman" w:ascii="Times New Roman" w:hAnsi="Times New Roman"/>
          <w:color w:val="111111"/>
          <w:sz w:val="28"/>
          <w:szCs w:val="28"/>
          <w:lang w:val="en-US"/>
        </w:rPr>
        <w:t>"And these qualities will not be found except in some Shi’ah fuqaha’,not all of them…”</w:t>
      </w:r>
      <w:r>
        <w:rPr>
          <w:rStyle w:val="FootnoteAnchor"/>
        </w:rPr>
        <w:footnoteReference w:id="12"/>
      </w:r>
      <w:r>
        <w:rPr>
          <w:rFonts w:eastAsia="Times New Roman" w:cs="Times New Roman" w:ascii="Times New Roman" w:hAnsi="Times New Roman"/>
          <w:color w:val="111111"/>
          <w:sz w:val="28"/>
          <w:szCs w:val="28"/>
          <w:lang w:val="en-US"/>
        </w:rPr>
        <w:t>These condi</w:t>
        <w:softHyphen/>
        <w:t>tions in general and the above hadith in particular, make it incumbent upon the believers to be vigilant.</w:t>
      </w:r>
    </w:p>
    <w:p>
      <w:pPr>
        <w:pStyle w:val="Heading3"/>
        <w:numPr>
          <w:ilvl w:val="2"/>
          <w:numId w:val="1"/>
        </w:numPr>
        <w:bidi w:val="0"/>
        <w:jc w:val="left"/>
        <w:rPr/>
      </w:pPr>
      <w:bookmarkStart w:id="49" w:name="__RefHeading___Toc2027896_3804643083"/>
      <w:bookmarkStart w:id="50" w:name="_Toc19"/>
      <w:bookmarkEnd w:id="49"/>
      <w:r>
        <w:rPr/>
        <w:t>How Can a Believer Know who is a Mujtahid?</w:t>
      </w:r>
      <w:bookmarkEnd w:id="50"/>
    </w:p>
    <w:p>
      <w:pPr>
        <w:pStyle w:val="BookText"/>
        <w:bidi w:val="0"/>
        <w:jc w:val="both"/>
        <w:rPr/>
      </w:pPr>
      <w:r>
        <w:rPr>
          <w:rFonts w:eastAsia="Times New Roman" w:cs="Times New Roman" w:ascii="Times New Roman" w:hAnsi="Times New Roman"/>
          <w:color w:val="111111"/>
          <w:sz w:val="28"/>
          <w:szCs w:val="28"/>
          <w:lang w:val="en-US"/>
        </w:rPr>
        <w:t>There are three recognized ways by which a person can discover who is a mujtahid:</w:t>
      </w:r>
    </w:p>
    <w:p>
      <w:pPr>
        <w:pStyle w:val="BookText"/>
        <w:bidi w:val="0"/>
        <w:jc w:val="both"/>
        <w:rPr/>
      </w:pPr>
      <w:r>
        <w:rPr>
          <w:rFonts w:eastAsia="Times New Roman" w:cs="Times New Roman" w:ascii="Times New Roman" w:hAnsi="Times New Roman"/>
          <w:color w:val="111111"/>
          <w:sz w:val="28"/>
          <w:szCs w:val="28"/>
          <w:lang w:val="en-US"/>
        </w:rPr>
        <w:t>by his own personal knowledge if he is himself a religious scholar;</w:t>
      </w:r>
    </w:p>
    <w:p>
      <w:pPr>
        <w:pStyle w:val="BookText"/>
        <w:bidi w:val="0"/>
        <w:jc w:val="both"/>
        <w:rPr/>
      </w:pPr>
      <w:r>
        <w:rPr>
          <w:rFonts w:eastAsia="Times New Roman" w:cs="Times New Roman" w:ascii="Times New Roman" w:hAnsi="Times New Roman"/>
          <w:color w:val="111111"/>
          <w:sz w:val="28"/>
          <w:szCs w:val="28"/>
          <w:lang w:val="en-US"/>
        </w:rPr>
        <w:t>by the testimony of two ‘adil and knowledgeable persons to someone's being a mujtahid;</w:t>
      </w:r>
    </w:p>
    <w:p>
      <w:pPr>
        <w:pStyle w:val="BookText"/>
        <w:bidi w:val="0"/>
        <w:jc w:val="both"/>
        <w:rPr/>
      </w:pPr>
      <w:r>
        <w:rPr>
          <w:rFonts w:eastAsia="Times New Roman" w:cs="Times New Roman" w:ascii="Times New Roman" w:hAnsi="Times New Roman"/>
          <w:color w:val="111111"/>
          <w:sz w:val="28"/>
          <w:szCs w:val="28"/>
          <w:lang w:val="en-US"/>
        </w:rPr>
        <w:t>by a degree of popularity which leaves no doubt about a person's being a mujtahid.</w:t>
      </w:r>
    </w:p>
    <w:p>
      <w:pPr>
        <w:pStyle w:val="BookText"/>
        <w:bidi w:val="0"/>
        <w:jc w:val="both"/>
        <w:rPr/>
      </w:pPr>
      <w:r>
        <w:rPr>
          <w:rFonts w:eastAsia="Times New Roman" w:cs="Times New Roman" w:ascii="Times New Roman" w:hAnsi="Times New Roman"/>
          <w:color w:val="111111"/>
          <w:sz w:val="28"/>
          <w:szCs w:val="28"/>
          <w:lang w:val="en-US"/>
        </w:rPr>
        <w:t>Once a mujtahid is followed by the Shi’ah commu</w:t>
        <w:softHyphen/>
        <w:t>nity, he is known as marja'u ’t-taqlid -- one to whom people refer in taqlid.</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present</w:t>
      </w:r>
      <w:bookmarkStart w:id="51" w:name="pg2298_32686"/>
    </w:p>
    <w:p>
      <w:pPr>
        <w:pStyle w:val="BookText"/>
        <w:bidi w:val="0"/>
        <w:rPr/>
      </w:pPr>
      <w:bookmarkEnd w:id="51"/>
      <w:r>
        <w:rPr>
          <w:rFonts w:eastAsia="Times New Roman" w:cs="Times New Roman" w:ascii="Times New Roman" w:hAnsi="Times New Roman"/>
          <w:color w:val="111111"/>
          <w:sz w:val="28"/>
          <w:szCs w:val="28"/>
          <w:lang w:val="en-US"/>
        </w:rPr>
        <w:t>day 'ulama' maintain that it is highly desirable not to just follow any mujtahid but to follow a mujtahid who is al-a'lam. In a general sense this means "the most learned", but in this specific context it means the mujtahid who has the greatest expertise in deriving the rulings of the shari' ah from its sources. The a'lam may be recognized in any of the three ways mentioned above.</w:t>
      </w:r>
    </w:p>
    <w:p>
      <w:pPr>
        <w:pStyle w:val="BookText"/>
        <w:bidi w:val="0"/>
        <w:jc w:val="both"/>
        <w:rPr/>
      </w:pPr>
      <w:r>
        <w:rPr>
          <w:rFonts w:eastAsia="Times New Roman" w:cs="Times New Roman" w:ascii="Times New Roman" w:hAnsi="Times New Roman"/>
          <w:color w:val="111111"/>
          <w:sz w:val="28"/>
          <w:szCs w:val="28"/>
          <w:lang w:val="en-US"/>
        </w:rPr>
        <w:t>However, it is sometimes difficult for the Shiah 'ulama' to distinguish who among all the prominent mujtahids is the most learned, and, as a result, more than one mujtahid may be followed in taqlid at one time (though not, of course, by the same person). This has been the case in the seventies and the eighties; but such multiplicity rarely results in any practical disagreement on legal matters within the Shi'ah community.</w:t>
      </w:r>
    </w:p>
    <w:p>
      <w:pPr>
        <w:pStyle w:val="Heading3"/>
        <w:numPr>
          <w:ilvl w:val="2"/>
          <w:numId w:val="1"/>
        </w:numPr>
        <w:bidi w:val="0"/>
        <w:jc w:val="left"/>
        <w:rPr/>
      </w:pPr>
      <w:bookmarkStart w:id="52" w:name="__RefHeading___Toc2027898_3804643083"/>
      <w:bookmarkStart w:id="53" w:name="_Toc20"/>
      <w:bookmarkEnd w:id="52"/>
      <w:r>
        <w:rPr/>
        <w:t>Differences among the Mujtahids in their Legal Opinions</w:t>
      </w:r>
      <w:bookmarkEnd w:id="53"/>
    </w:p>
    <w:p>
      <w:pPr>
        <w:pStyle w:val="BookText"/>
        <w:bidi w:val="0"/>
        <w:jc w:val="both"/>
        <w:rPr/>
      </w:pPr>
      <w:r>
        <w:rPr>
          <w:rFonts w:eastAsia="Times New Roman" w:cs="Times New Roman" w:ascii="Times New Roman" w:hAnsi="Times New Roman"/>
          <w:color w:val="111111"/>
          <w:sz w:val="28"/>
          <w:szCs w:val="28"/>
          <w:lang w:val="en-US"/>
        </w:rPr>
        <w:t>Many people wonder why it is that the mujtahids sometimes differ in their religious opinions, or fatwas, when the bases of their ijtihad are the same.</w:t>
      </w:r>
    </w:p>
    <w:p>
      <w:pPr>
        <w:pStyle w:val="BookText"/>
        <w:bidi w:val="0"/>
        <w:jc w:val="both"/>
        <w:rPr/>
      </w:pPr>
      <w:r>
        <w:rPr>
          <w:rFonts w:eastAsia="Times New Roman" w:cs="Times New Roman" w:ascii="Times New Roman" w:hAnsi="Times New Roman"/>
          <w:color w:val="111111"/>
          <w:sz w:val="28"/>
          <w:szCs w:val="28"/>
          <w:lang w:val="en-US"/>
        </w:rPr>
        <w:t>Firstly, any difference in the fatwas is never such as to be contradictory; it is almost impossible to find a case of one mujtahid saying some action is wajib and another saying it is haram.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for instance, the case of the Friday prayer (salatu 'l-jum'ah). All Shi'ah mujtahids believe that in the presence of the ma'sum Imam, this salat is obliga</w:t>
        <w:softHyphen/>
        <w:t>tory on Fridays because it is the Imam or his repre</w:t>
        <w:softHyphen/>
        <w:t>sentative who has the right to call the people to the Friday</w:t>
      </w:r>
    </w:p>
    <w:p>
      <w:pPr>
        <w:pStyle w:val="BookText"/>
        <w:bidi w:val="0"/>
        <w:rPr/>
      </w:pPr>
      <w:r>
        <w:rPr>
          <w:rFonts w:eastAsia="Times New Roman" w:cs="Times New Roman" w:ascii="Times New Roman" w:hAnsi="Times New Roman"/>
          <w:color w:val="111111"/>
          <w:sz w:val="28"/>
          <w:szCs w:val="28"/>
          <w:lang w:val="en-US"/>
        </w:rPr>
        <w:t>prayer; but they differ as to what is the correct course of action when the Imam is in Occultation.</w:t>
      </w:r>
    </w:p>
    <w:p>
      <w:pPr>
        <w:pStyle w:val="BookText"/>
        <w:bidi w:val="0"/>
        <w:jc w:val="both"/>
        <w:rPr/>
      </w:pPr>
      <w:r>
        <w:rPr>
          <w:rFonts w:eastAsia="Times New Roman" w:cs="Times New Roman" w:ascii="Times New Roman" w:hAnsi="Times New Roman"/>
          <w:color w:val="111111"/>
          <w:sz w:val="28"/>
          <w:szCs w:val="28"/>
          <w:lang w:val="en-US"/>
        </w:rPr>
        <w:t>The late Ayatullah Sayyid Muhsin al-Hakim (d. 1970) was of the opinion that salatu 'l-jum'ah is not obligatory during the Occultation of the Imam, but it does not matter if someone performs it supposing that it is expected of him, if he also prays the noon prayer (salatu 'z-zuhr). Ayatullah Sayyid Abul Qasim al-Khu'i says that "one can choose between performing salatu 'z-zuhr or salatu 'l-jum'ah; but once the latter is estab</w:t>
        <w:softHyphen/>
        <w:t>lished with all its conditions (fulfilled), then it is precau</w:t>
        <w:softHyphen/>
        <w:t>tionarily obligatory (ihtiyat wajib) to participate in it."</w:t>
      </w:r>
    </w:p>
    <w:p>
      <w:pPr>
        <w:pStyle w:val="BookText"/>
        <w:bidi w:val="0"/>
        <w:jc w:val="both"/>
        <w:rPr/>
      </w:pPr>
      <w:r>
        <w:rPr>
          <w:rFonts w:eastAsia="Times New Roman" w:cs="Times New Roman" w:ascii="Times New Roman" w:hAnsi="Times New Roman"/>
          <w:color w:val="111111"/>
          <w:sz w:val="28"/>
          <w:szCs w:val="28"/>
          <w:lang w:val="en-US"/>
        </w:rPr>
        <w:t>Ayatullah Sayyid Ruhullah al-Khumayni says that "one can choose between performing salatu 'z-zuhr or salatu 'l-jum'ah; but if one chooses the latter, then it is advis</w:t>
        <w:softHyphen/>
        <w:t>able (mustahab) to precautionarily perform salatu 'z-</w:t>
        <w:softHyphen/>
        <w:t>zuhr also." Although there are differences in the opinions of these mujtahids, there is no clash that would, for example, prevent the followers of one of them par</w:t>
        <w:softHyphen/>
        <w:t>ticipating in salatu 'l-jum'ah if it were established.</w:t>
      </w:r>
    </w:p>
    <w:p>
      <w:pPr>
        <w:pStyle w:val="BookText"/>
        <w:bidi w:val="0"/>
        <w:jc w:val="both"/>
        <w:rPr/>
      </w:pPr>
      <w:r>
        <w:rPr>
          <w:rFonts w:eastAsia="Times New Roman" w:cs="Times New Roman" w:ascii="Times New Roman" w:hAnsi="Times New Roman"/>
          <w:color w:val="111111"/>
          <w:sz w:val="28"/>
          <w:szCs w:val="28"/>
          <w:lang w:val="en-US"/>
        </w:rPr>
        <w:t>Secondly, the existence of differences in scientific opinions is not to be taken as a sign of a substantial defect in the quest for knowledge and a reason for abandoning it altogether; it is, rather, a sign that knowl</w:t>
        <w:softHyphen/>
        <w:t>edge moves in progressive steps towards perfection. Differences of opinions are to be found in all sciences, not just in fiqh.</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may, for example, be more than one opinion about the therapy for a particular patient's disease, and all</w:t>
      </w:r>
      <w:bookmarkStart w:id="54" w:name="pg2298_32688"/>
    </w:p>
    <w:p>
      <w:pPr>
        <w:pStyle w:val="BookText"/>
        <w:bidi w:val="0"/>
        <w:rPr/>
      </w:pPr>
      <w:bookmarkEnd w:id="54"/>
      <w:r>
        <w:rPr>
          <w:rFonts w:eastAsia="Times New Roman" w:cs="Times New Roman" w:ascii="Times New Roman" w:hAnsi="Times New Roman"/>
          <w:color w:val="111111"/>
          <w:sz w:val="28"/>
          <w:szCs w:val="28"/>
          <w:lang w:val="en-US"/>
        </w:rPr>
        <w:t>of these opinions may be superseded later on by the development of a new method of dealing with that disease. Thus these observations can be seen to be relevant not only to differences between the opin</w:t>
        <w:softHyphen/>
        <w:t>ions of contemporary scientists but also to historical differences, and all these differences should be regarded as signs of the dynamism within a science and as stages to be passed in its route to perfection.</w:t>
      </w:r>
    </w:p>
    <w:p>
      <w:pPr>
        <w:pStyle w:val="BookText"/>
        <w:bidi w:val="0"/>
        <w:jc w:val="both"/>
        <w:rPr/>
      </w:pPr>
      <w:r>
        <w:rPr>
          <w:rFonts w:eastAsia="Times New Roman" w:cs="Times New Roman" w:ascii="Times New Roman" w:hAnsi="Times New Roman"/>
          <w:color w:val="111111"/>
          <w:sz w:val="28"/>
          <w:szCs w:val="28"/>
          <w:lang w:val="en-US"/>
        </w:rPr>
        <w:t>It should be remembered that the mujtahid formu</w:t>
        <w:softHyphen/>
        <w:t>lates his opinions after pushing his research and study as far as he can; that is all that is expected of him, for he is neither inerrant (ma'sum) nor knower of the unseen (‘alimu ‘l-ghayb). If the available sources of the shari'ah lead a mujtahid to a particular conclusion and, let us suppose that on the judgement, he comes to know that the actual shariah law was something else -- then neither will he be punished for issuing that fatwa nor will his followers be punished for acting accordingly, because both had done what was humanly possible for them to do.</w:t>
      </w:r>
    </w:p>
    <w:p>
      <w:pPr>
        <w:pStyle w:val="Heading2"/>
        <w:numPr>
          <w:ilvl w:val="1"/>
          <w:numId w:val="1"/>
        </w:numPr>
        <w:bidi w:val="0"/>
        <w:jc w:val="left"/>
        <w:rPr/>
      </w:pPr>
      <w:bookmarkStart w:id="55" w:name="__RefHeading___Toc2027900_3804643083"/>
      <w:bookmarkStart w:id="56" w:name="_Toc21"/>
      <w:bookmarkEnd w:id="55"/>
      <w:r>
        <w:rPr/>
        <w:t>The Tendency of Rationalizing The Shari’ah Laws</w:t>
      </w:r>
      <w:bookmarkEnd w:id="56"/>
    </w:p>
    <w:p>
      <w:pPr>
        <w:pStyle w:val="Heading3"/>
        <w:numPr>
          <w:ilvl w:val="2"/>
          <w:numId w:val="1"/>
        </w:numPr>
        <w:bidi w:val="0"/>
        <w:jc w:val="left"/>
        <w:rPr/>
      </w:pPr>
      <w:bookmarkStart w:id="57" w:name="__RefHeading___Toc2027902_3804643083"/>
      <w:bookmarkStart w:id="58" w:name="_Toc22"/>
      <w:bookmarkEnd w:id="57"/>
      <w:r>
        <w:rPr/>
        <w:t>point</w:t>
      </w:r>
      <w:bookmarkEnd w:id="58"/>
    </w:p>
    <w:p>
      <w:pPr>
        <w:pStyle w:val="BookText"/>
        <w:bidi w:val="0"/>
        <w:jc w:val="both"/>
        <w:rPr/>
      </w:pPr>
      <w:r>
        <w:rPr>
          <w:rFonts w:eastAsia="Times New Roman" w:cs="Times New Roman" w:ascii="Times New Roman" w:hAnsi="Times New Roman"/>
          <w:color w:val="111111"/>
          <w:sz w:val="28"/>
          <w:szCs w:val="28"/>
          <w:lang w:val="en-US"/>
        </w:rPr>
        <w:t>Note: This chapter was first published in 1984 (Vancouver), and then in 1985 (Vancouver).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we have to pray five times a day? Why dogs and pigs are regarded as ritually impure animals? Why an animal slaughtered un-Islamically is forbidden and ritually impure? These are but a few of the many ques</w:t>
        <w:softHyphen/>
        <w:t>tions asked by our youths about the shari' ah laws. They want to rationalize every law of the shari'ah; they</w:t>
      </w:r>
      <w:bookmarkStart w:id="59" w:name="pg2298_32689"/>
    </w:p>
    <w:p>
      <w:pPr>
        <w:pStyle w:val="BookText"/>
        <w:bidi w:val="0"/>
        <w:rPr/>
      </w:pPr>
      <w:bookmarkEnd w:id="59"/>
      <w:r>
        <w:rPr>
          <w:rFonts w:eastAsia="Times New Roman" w:cs="Times New Roman" w:ascii="Times New Roman" w:hAnsi="Times New Roman"/>
          <w:color w:val="111111"/>
          <w:sz w:val="28"/>
          <w:szCs w:val="28"/>
          <w:lang w:val="en-US"/>
        </w:rPr>
        <w:t>want to know the reason and purpose of the legislation of these laws.</w:t>
      </w:r>
    </w:p>
    <w:p>
      <w:pPr>
        <w:pStyle w:val="BookText"/>
        <w:bidi w:val="0"/>
        <w:jc w:val="both"/>
        <w:rPr/>
      </w:pPr>
      <w:r>
        <w:rPr>
          <w:rFonts w:eastAsia="Times New Roman" w:cs="Times New Roman" w:ascii="Times New Roman" w:hAnsi="Times New Roman"/>
          <w:color w:val="111111"/>
          <w:sz w:val="28"/>
          <w:szCs w:val="28"/>
          <w:lang w:val="en-US"/>
        </w:rPr>
        <w:t>This chapter deals with this tendency and attempts to explain the validity or otherwise of such a trend. Before explaining the validity or otherwise of rational</w:t>
        <w:softHyphen/>
        <w:t>izing the shari' ah laws, I would like to clarify the fun</w:t>
        <w:softHyphen/>
        <w:t>damental attitude of a Muslim towards the shari'ah.</w:t>
      </w:r>
    </w:p>
    <w:p>
      <w:pPr>
        <w:pStyle w:val="Heading3"/>
        <w:numPr>
          <w:ilvl w:val="2"/>
          <w:numId w:val="1"/>
        </w:numPr>
        <w:bidi w:val="0"/>
        <w:jc w:val="left"/>
        <w:rPr/>
      </w:pPr>
      <w:bookmarkStart w:id="60" w:name="__RefHeading___Toc2027904_3804643083"/>
      <w:bookmarkStart w:id="61" w:name="_Toc23"/>
      <w:bookmarkEnd w:id="60"/>
      <w:r>
        <w:rPr/>
        <w:t>The Scope of Rationalization</w:t>
      </w:r>
      <w:bookmarkEnd w:id="61"/>
    </w:p>
    <w:p>
      <w:pPr>
        <w:pStyle w:val="BookText"/>
        <w:bidi w:val="0"/>
        <w:jc w:val="both"/>
        <w:rPr/>
      </w:pPr>
      <w:r>
        <w:rPr>
          <w:rFonts w:eastAsia="Times New Roman" w:cs="Times New Roman" w:ascii="Times New Roman" w:hAnsi="Times New Roman"/>
          <w:color w:val="111111"/>
          <w:sz w:val="28"/>
          <w:szCs w:val="28"/>
          <w:lang w:val="en-US"/>
        </w:rPr>
        <w:t>Islam is a din -religion. Din means a complete way of life consisting of beliefs and laws (both legal and moral). To find the Islamic attitude about understanding religion, we have to study the Qur' an and the sunnah. In the Qur' an and the sunnah, we find two different atti</w:t>
        <w:softHyphen/>
        <w:t>tudes towards two different aspects of din. These two aspects of din are:</w:t>
      </w:r>
    </w:p>
    <w:p>
      <w:pPr>
        <w:pStyle w:val="BookText"/>
        <w:bidi w:val="0"/>
        <w:jc w:val="both"/>
        <w:rPr/>
      </w:pPr>
      <w:r>
        <w:rPr>
          <w:rFonts w:eastAsia="Times New Roman" w:cs="Times New Roman" w:ascii="Times New Roman" w:hAnsi="Times New Roman"/>
          <w:color w:val="111111"/>
          <w:sz w:val="28"/>
          <w:szCs w:val="28"/>
          <w:lang w:val="en-US"/>
        </w:rPr>
        <w:t>(a) the fundamental beliefs known as usul ' d-din -- the roots of religion,</w:t>
      </w:r>
    </w:p>
    <w:p>
      <w:pPr>
        <w:pStyle w:val="BookText"/>
        <w:bidi w:val="0"/>
        <w:jc w:val="both"/>
        <w:rPr/>
      </w:pPr>
      <w:r>
        <w:rPr>
          <w:rFonts w:eastAsia="Times New Roman" w:cs="Times New Roman" w:ascii="Times New Roman" w:hAnsi="Times New Roman"/>
          <w:color w:val="111111"/>
          <w:sz w:val="28"/>
          <w:szCs w:val="28"/>
          <w:lang w:val="en-US"/>
        </w:rPr>
        <w:t>(b) the shari' ah laws known in general as furu'u ' d-din -- the branches of religion.</w:t>
      </w:r>
    </w:p>
    <w:p>
      <w:pPr>
        <w:pStyle w:val="BookText"/>
        <w:bidi w:val="0"/>
        <w:jc w:val="both"/>
        <w:rPr/>
      </w:pPr>
      <w:r>
        <w:rPr>
          <w:rFonts w:eastAsia="Times New Roman" w:cs="Times New Roman" w:ascii="Times New Roman" w:hAnsi="Times New Roman"/>
          <w:color w:val="111111"/>
          <w:sz w:val="28"/>
          <w:szCs w:val="28"/>
          <w:lang w:val="en-US"/>
        </w:rPr>
        <w:t>As for the "roots" of religion, Islam expects the Muslims to hold their belief in the fundamentals of their religion after attaining conviction of their truth through examination and reflection. The Qur’an clearly con</w:t>
        <w:softHyphen/>
        <w:t>demns those who follow others blindly in matters of beliefs:</w:t>
      </w:r>
    </w:p>
    <w:p>
      <w:pPr>
        <w:pStyle w:val="BookText"/>
        <w:bidi w:val="0"/>
        <w:jc w:val="both"/>
        <w:rPr/>
      </w:pPr>
      <w:r>
        <w:rPr>
          <w:rFonts w:eastAsia="Times New Roman" w:cs="Times New Roman" w:ascii="Times New Roman" w:hAnsi="Times New Roman"/>
          <w:color w:val="111111"/>
          <w:sz w:val="28"/>
          <w:szCs w:val="28"/>
          <w:lang w:val="en-US"/>
        </w:rPr>
        <w:t>There is no compulsion in the religion (of Islam because) truly the right path has become clearly distinct from error. (Surah al-Baqara, 2:256)</w:t>
      </w:r>
    </w:p>
    <w:p>
      <w:pPr>
        <w:pStyle w:val="BookText"/>
        <w:bidi w:val="0"/>
        <w:jc w:val="both"/>
        <w:rPr/>
      </w:pPr>
      <w:r>
        <w:rPr>
          <w:rFonts w:eastAsia="Times New Roman" w:cs="Times New Roman" w:ascii="Times New Roman" w:hAnsi="Times New Roman"/>
          <w:color w:val="111111"/>
          <w:sz w:val="28"/>
          <w:szCs w:val="28"/>
          <w:lang w:val="en-US"/>
        </w:rPr>
        <w:t>Again the Qur'an says: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it is said to them, "Come to what Allah has sent down, and (to) the Messenger," they say, "Enough for us is what we found our fathers do</w:t>
        <w:softHyphen/>
        <w:t>ings."</w:t>
      </w:r>
    </w:p>
    <w:p>
      <w:pPr>
        <w:pStyle w:val="BookText"/>
        <w:bidi w:val="0"/>
        <w:rPr/>
      </w:pPr>
      <w:r>
        <w:rPr>
          <w:rFonts w:eastAsia="Times New Roman" w:cs="Times New Roman" w:ascii="Times New Roman" w:hAnsi="Times New Roman"/>
          <w:color w:val="111111"/>
          <w:sz w:val="28"/>
          <w:szCs w:val="28"/>
          <w:lang w:val="en-US"/>
        </w:rPr>
        <w:t>What, even if their fathers had knowledge of naught and were not rightly-guided? (Surah al-Maaida, 5:104)</w:t>
      </w:r>
    </w:p>
    <w:p>
      <w:pPr>
        <w:pStyle w:val="BookText"/>
        <w:bidi w:val="0"/>
        <w:jc w:val="both"/>
        <w:rPr/>
      </w:pPr>
      <w:r>
        <w:rPr>
          <w:rFonts w:eastAsia="Times New Roman" w:cs="Times New Roman" w:ascii="Times New Roman" w:hAnsi="Times New Roman"/>
          <w:color w:val="111111"/>
          <w:sz w:val="28"/>
          <w:szCs w:val="28"/>
          <w:lang w:val="en-US"/>
        </w:rPr>
        <w:t>This strong condemnation of the idol-worshippers for following their fore-fathers blindly has been re</w:t>
        <w:softHyphen/>
        <w:t>peated elsewhere:</w:t>
      </w:r>
    </w:p>
    <w:p>
      <w:pPr>
        <w:pStyle w:val="BookText"/>
        <w:bidi w:val="0"/>
        <w:jc w:val="both"/>
        <w:rPr/>
      </w:pPr>
      <w:r>
        <w:rPr>
          <w:rFonts w:eastAsia="Times New Roman" w:cs="Times New Roman" w:ascii="Times New Roman" w:hAnsi="Times New Roman"/>
          <w:color w:val="111111"/>
          <w:sz w:val="28"/>
          <w:szCs w:val="28"/>
          <w:lang w:val="en-US"/>
        </w:rPr>
        <w:t>And when it is said to them, "Follow what Allah has sent down," they say, "No, but we will "follow such things as we found our fathers doing." (Surah al-Baqara, 2:170; Surah Luqman, 31:20)</w:t>
      </w:r>
    </w:p>
    <w:p>
      <w:pPr>
        <w:pStyle w:val="BookText"/>
        <w:bidi w:val="0"/>
        <w:jc w:val="both"/>
        <w:rPr/>
      </w:pPr>
      <w:r>
        <w:rPr>
          <w:rFonts w:eastAsia="Times New Roman" w:cs="Times New Roman" w:ascii="Times New Roman" w:hAnsi="Times New Roman"/>
          <w:color w:val="111111"/>
          <w:sz w:val="28"/>
          <w:szCs w:val="28"/>
          <w:lang w:val="en-US"/>
        </w:rPr>
        <w:t>Islam says that one may consider the views and opinions of others, but that one should only accept that which is reasonable to believe: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(O Muhammad) give good tidings to My servants who give ear to the word and follow the fairest of it. Those are the ones whom Allah has guided, and those are men possessed of minds." (Surah az-Zumar, 39:17)</w:t>
      </w:r>
    </w:p>
    <w:p>
      <w:pPr>
        <w:pStyle w:val="BookText"/>
        <w:bidi w:val="0"/>
        <w:jc w:val="both"/>
        <w:rPr/>
      </w:pPr>
      <w:r>
        <w:rPr>
          <w:rFonts w:eastAsia="Times New Roman" w:cs="Times New Roman" w:ascii="Times New Roman" w:hAnsi="Times New Roman"/>
          <w:color w:val="111111"/>
          <w:sz w:val="28"/>
          <w:szCs w:val="28"/>
          <w:lang w:val="en-US"/>
        </w:rPr>
        <w:t>Likewise, in the books of ahadith we find the Prophet and the Imams of Ahlul-Bayt using intellectual arguments in matters of belief to convince their oppo</w:t>
        <w:softHyphen/>
        <w:t>nents or the seekers of truth. This itself is an example and sunnah for the Muslims to base their belief on understanding and conviction.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for the "branches" of religion, Islam expects absolute obedience from the Muslims. The reason for this expectation is very obvious: Once a person has believed, by his own free-will, in Allah as the Creator and the Wise Author of laws, in Muhammad as the infallible Messenger of Allah, and in the Qur'an as the authentic message of Allah-then it follows as a neces</w:t>
        <w:softHyphen/>
        <w:t>sary consequence that he must adhere to the</w:t>
      </w:r>
      <w:bookmarkStart w:id="62" w:name="pg2298_32691"/>
    </w:p>
    <w:p>
      <w:pPr>
        <w:pStyle w:val="BookText"/>
        <w:bidi w:val="0"/>
        <w:rPr/>
      </w:pPr>
      <w:bookmarkEnd w:id="62"/>
      <w:r>
        <w:rPr>
          <w:rFonts w:eastAsia="Times New Roman" w:cs="Times New Roman" w:ascii="Times New Roman" w:hAnsi="Times New Roman"/>
          <w:color w:val="111111"/>
          <w:sz w:val="28"/>
          <w:szCs w:val="28"/>
          <w:lang w:val="en-US"/>
        </w:rPr>
        <w:t>shari' ah laws.</w:t>
      </w:r>
    </w:p>
    <w:p>
      <w:pPr>
        <w:pStyle w:val="BookText"/>
        <w:bidi w:val="0"/>
        <w:jc w:val="both"/>
        <w:rPr/>
      </w:pPr>
      <w:r>
        <w:rPr>
          <w:rFonts w:eastAsia="Times New Roman" w:cs="Times New Roman" w:ascii="Times New Roman" w:hAnsi="Times New Roman"/>
          <w:color w:val="111111"/>
          <w:sz w:val="28"/>
          <w:szCs w:val="28"/>
          <w:lang w:val="en-US"/>
        </w:rPr>
        <w:t>This absolute obedience about the shari'ah laws can be inferred from the following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behooves not a believing man and a believing woman that they should have any choice in their affairs when Allah and His Messenger have decided a matter; and whosoever disobeys Allah and His Messenger, he surely has strayed off a manifest straying.” (Surah al-Ahzaab, 33:36)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take precedence before Allah and His Messenger (in shari'ah matters), and fear Allah; surely Allah is Hearing, Knowing.” (Surah al-Hujuraat, 49:1)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Obey Allah, obey the Messenger and those who are in authority among you (i.e., the Imams).” (Surah an-Nisaa’, 4:59)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sent a Messenger but to be obeyed.” (Surah an-Nisaa’, 4:64)</w:t>
      </w:r>
    </w:p>
    <w:p>
      <w:pPr>
        <w:pStyle w:val="BookText"/>
        <w:bidi w:val="0"/>
        <w:jc w:val="both"/>
        <w:rPr/>
      </w:pPr>
      <w:r>
        <w:rPr>
          <w:rFonts w:eastAsia="Times New Roman" w:cs="Times New Roman" w:ascii="Times New Roman" w:hAnsi="Times New Roman"/>
          <w:color w:val="111111"/>
          <w:sz w:val="28"/>
          <w:szCs w:val="28"/>
          <w:lang w:val="en-US"/>
        </w:rPr>
        <w:t>To summarize: In Islamic beliefs, a Muslim is ex</w:t>
        <w:softHyphen/>
        <w:t>pected to believe only after reflection; and in Islamic laws, he is expected to follow them without any reser</w:t>
        <w:softHyphen/>
        <w:t>vations.</w:t>
      </w:r>
    </w:p>
    <w:p>
      <w:pPr>
        <w:pStyle w:val="Heading3"/>
        <w:numPr>
          <w:ilvl w:val="2"/>
          <w:numId w:val="1"/>
        </w:numPr>
        <w:bidi w:val="0"/>
        <w:jc w:val="left"/>
        <w:rPr/>
      </w:pPr>
      <w:bookmarkStart w:id="63" w:name="__RefHeading___Toc2027906_3804643083"/>
      <w:bookmarkStart w:id="64" w:name="_Toc24"/>
      <w:bookmarkEnd w:id="63"/>
      <w:r>
        <w:rPr/>
        <w:t>The Categories of Shari' ah Laws</w:t>
      </w:r>
      <w:bookmarkEnd w:id="64"/>
    </w:p>
    <w:p>
      <w:pPr>
        <w:pStyle w:val="BookText"/>
        <w:bidi w:val="0"/>
        <w:jc w:val="both"/>
        <w:rPr/>
      </w:pPr>
      <w:r>
        <w:rPr>
          <w:rFonts w:eastAsia="Times New Roman" w:cs="Times New Roman" w:ascii="Times New Roman" w:hAnsi="Times New Roman"/>
          <w:color w:val="111111"/>
          <w:sz w:val="28"/>
          <w:szCs w:val="28"/>
          <w:lang w:val="en-US"/>
        </w:rPr>
        <w:t>Now we come to the problem that why such and such law of the shari'ah was legislated. Considering the rea</w:t>
        <w:softHyphen/>
        <w:t>sons and purposes of the laws, the shari'ah can be divided into four categories: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laws whose reasons and purposes are self </w:t>
        <w:softHyphen/>
        <w:t>evident: For example, helping the needy is highly rec</w:t>
        <w:softHyphen/>
        <w:t>ommended; killing is forbidden; lying is evil; paying taxes like khums and zakat is obligatory. One does not need any expertise or extraordinary intelligence to know that helping the needy is good, paying taxes is necessary for preserving the financial equilibrium in the society; and that killing and</w:t>
      </w:r>
    </w:p>
    <w:p>
      <w:pPr>
        <w:pStyle w:val="BookText"/>
        <w:bidi w:val="0"/>
        <w:rPr/>
      </w:pPr>
      <w:r>
        <w:rPr>
          <w:rFonts w:eastAsia="Times New Roman" w:cs="Times New Roman" w:ascii="Times New Roman" w:hAnsi="Times New Roman"/>
          <w:color w:val="111111"/>
          <w:sz w:val="28"/>
          <w:szCs w:val="28"/>
          <w:lang w:val="en-US"/>
        </w:rPr>
        <w:t>lying is evil.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laws whose reasons and purposes have been explained in the Qur'an and hadith: For example, intoxicants are forbidden, interest is prohibited, fasting in Ramadhan is obligatory and prayers are a must.</w:t>
      </w:r>
    </w:p>
    <w:p>
      <w:pPr>
        <w:pStyle w:val="BookText"/>
        <w:bidi w:val="0"/>
        <w:jc w:val="both"/>
        <w:rPr/>
      </w:pPr>
      <w:r>
        <w:rPr>
          <w:rFonts w:eastAsia="Times New Roman" w:cs="Times New Roman" w:ascii="Times New Roman" w:hAnsi="Times New Roman"/>
          <w:color w:val="111111"/>
          <w:sz w:val="28"/>
          <w:szCs w:val="28"/>
          <w:lang w:val="en-US"/>
        </w:rPr>
        <w:t>The Quran and hadith have said that intoxicant is one of the main causes of evil because an intoxicated person is no longer in control of himself. Although it took the world a long time and a bitter experience to realize the wide-spread harm of drunkenness, Islam declared its harm and evil fourteen centuries ago by saying</w:t>
      </w:r>
    </w:p>
    <w:p>
      <w:pPr>
        <w:pStyle w:val="BookText"/>
        <w:bidi w:val="0"/>
        <w:jc w:val="both"/>
        <w:rPr/>
      </w:pPr>
      <w:r>
        <w:rPr>
          <w:rFonts w:eastAsia="Times New Roman" w:cs="Times New Roman" w:ascii="Times New Roman" w:hAnsi="Times New Roman"/>
          <w:color w:val="111111"/>
          <w:sz w:val="28"/>
          <w:szCs w:val="28"/>
          <w:lang w:val="en-US"/>
        </w:rPr>
        <w:t>"its sin is greater than its profit." (Surah al-Baqara, 2:219)</w:t>
      </w:r>
    </w:p>
    <w:p>
      <w:pPr>
        <w:pStyle w:val="BookText"/>
        <w:bidi w:val="0"/>
        <w:jc w:val="both"/>
        <w:rPr/>
      </w:pPr>
      <w:r>
        <w:rPr>
          <w:rFonts w:eastAsia="Times New Roman" w:cs="Times New Roman" w:ascii="Times New Roman" w:hAnsi="Times New Roman"/>
          <w:color w:val="111111"/>
          <w:sz w:val="28"/>
          <w:szCs w:val="28"/>
          <w:lang w:val="en-US"/>
        </w:rPr>
        <w:t>Interest is forbidden in Islam. The Qur' an and hadith have explained the harm of interest. Interest leads to destruction of the poor section of the society, and all wealth gravitates towards the already wealthy group.</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Fasting is a physical and spiritual training which brings the servants of Allah (SWT) nearer to Him and makes them more obedient to the shari’ah.</w:t>
      </w:r>
    </w:p>
    <w:p>
      <w:pPr>
        <w:pStyle w:val="BookText"/>
        <w:bidi w:val="0"/>
        <w:jc w:val="both"/>
        <w:rPr/>
      </w:pPr>
      <w:r>
        <w:rPr>
          <w:rFonts w:eastAsia="Times New Roman" w:cs="Times New Roman" w:ascii="Times New Roman" w:hAnsi="Times New Roman"/>
          <w:color w:val="111111"/>
          <w:sz w:val="28"/>
          <w:szCs w:val="28"/>
          <w:lang w:val="en-US"/>
        </w:rPr>
        <w:t>Prayers is a means of expressing our gratitude to Allah (SWT):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Eat of the good things that We have provided you with and thank Allah.” (Surah al-Baqara, 2:172);</w:t>
      </w:r>
    </w:p>
    <w:p>
      <w:pPr>
        <w:pStyle w:val="BookText"/>
        <w:bidi w:val="0"/>
        <w:jc w:val="both"/>
        <w:rPr/>
      </w:pPr>
      <w:r>
        <w:rPr>
          <w:rFonts w:eastAsia="Times New Roman" w:cs="Times New Roman" w:ascii="Times New Roman" w:hAnsi="Times New Roman"/>
          <w:color w:val="111111"/>
          <w:sz w:val="28"/>
          <w:szCs w:val="28"/>
          <w:lang w:val="en-US"/>
        </w:rPr>
        <w:t>it is an important way of achieving peace of mind: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by Allah's remembrance are the hearts set at rest.” (Surah ar-Ra’ad, 13:28);</w:t>
      </w:r>
    </w:p>
    <w:p>
      <w:pPr>
        <w:pStyle w:val="BookText"/>
        <w:bidi w:val="0"/>
        <w:jc w:val="both"/>
        <w:rPr/>
      </w:pPr>
      <w:r>
        <w:rPr>
          <w:rFonts w:eastAsia="Times New Roman" w:cs="Times New Roman" w:ascii="Times New Roman" w:hAnsi="Times New Roman"/>
          <w:color w:val="111111"/>
          <w:sz w:val="28"/>
          <w:szCs w:val="28"/>
          <w:lang w:val="en-US"/>
        </w:rPr>
        <w:t>and it is also a very effective method of making the believer more obedient to the laws of 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the prayer keeps (one) away from indecency and evil.” (Surah al-Ankaboot, 29:45)</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p>
    <w:p>
      <w:pPr>
        <w:pStyle w:val="BookText"/>
        <w:bidi w:val="0"/>
        <w:rPr/>
      </w:pPr>
      <w:r>
        <w:rPr>
          <w:rFonts w:eastAsia="Times New Roman" w:cs="Times New Roman" w:ascii="Times New Roman" w:hAnsi="Times New Roman"/>
          <w:color w:val="111111"/>
          <w:sz w:val="28"/>
          <w:szCs w:val="28"/>
          <w:lang w:val="en-US"/>
        </w:rPr>
        <w:t>are many ahadith of our Imams explaining the reasons and purposes of many laws of the shari'ah. Shaykh as-Saduq, the famous Shi'ite scholar, has col</w:t>
        <w:softHyphen/>
        <w:t>lected many of these ahadith in his ‘Ilalu ‘sh-Sharaya’.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laws whose reasons and purposes have not been explained in the Qur'an or hadith, but the rising horizon of human knowledge have helped in under</w:t>
        <w:softHyphen/>
        <w:t>standing their purpose and usefulness. For example, why pork is forbidden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why circumcision is highly recommended by the shari'ah, and why only the fish which have scales is permitted in Shi'ah fiqh.</w:t>
      </w:r>
    </w:p>
    <w:p>
      <w:pPr>
        <w:pStyle w:val="BookText"/>
        <w:bidi w:val="0"/>
        <w:jc w:val="both"/>
        <w:rPr/>
      </w:pPr>
      <w:r>
        <w:rPr>
          <w:rFonts w:eastAsia="Times New Roman" w:cs="Times New Roman" w:ascii="Times New Roman" w:hAnsi="Times New Roman"/>
          <w:color w:val="111111"/>
          <w:sz w:val="28"/>
          <w:szCs w:val="28"/>
          <w:lang w:val="en-US"/>
        </w:rPr>
        <w:t>For the benefit of circumcision, we quote Sherman Silber who says that: "There are a number of reasons why circumcision is beneficial and why it ought best be performed in infancy. First, it prevents cancer of the penis in later life. Cancer of penis generally occurs when there has been carelessness in taking care of one's foreskin. A second benefit of circumcision is that the wives of circumcised men are less commonly afflicted with cancer of the cervix. The most common benefit of circumcision is that it prevents accumulation of oils and secretions (called smegma) under the foreskin, which lead to infection, swelling, and sometimes contraction of the foreskin so the tip of the penis is trapped inside.</w:t>
      </w:r>
      <w:r>
        <w:rPr>
          <w:rStyle w:val="FootnoteAnchor"/>
        </w:rPr>
        <w:footnoteReference w:id="1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fish, it has been said that the fish that do not have scales are harmful to human beings. Based on that research, American troops in the east were directed that "tropical marine fishes without scales were to be left alone."</w:t>
      </w:r>
      <w:bookmarkStart w:id="65" w:name="pg2298_32694"/>
    </w:p>
    <w:p>
      <w:pPr>
        <w:pStyle w:val="BookText"/>
        <w:bidi w:val="0"/>
        <w:rPr/>
      </w:pPr>
      <w:bookmarkEnd w:id="65"/>
      <w:r>
        <w:rPr>
          <w:rFonts w:eastAsia="Times New Roman" w:cs="Times New Roman" w:ascii="Times New Roman" w:hAnsi="Times New Roman"/>
          <w:color w:val="111111"/>
          <w:sz w:val="28"/>
          <w:szCs w:val="28"/>
          <w:lang w:val="en-US"/>
        </w:rPr>
        <w:t>It must be mentioned here that the reasons of the shari'ah laws which have been discovered by human knowledge cannot be regarded as the actual reason (ra</w:t>
        <w:softHyphen/>
        <w:t>tio legis) for the legislation of those laws, because the human knowledge is still in its infancy whereas Islam, the final shari' ah of Allah (SWT), is to stay in practise up to the end of this world. However, the scientific facts can be used to explain the usefulness and benefits of the shari'ah laws.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laws whose reasons and purposes have neither been explained in the Qur'an and hadith, nor the new advancement in human knowledge has been able to explain them: For example, why four rak'ats (cycles) in noon, afternoon and night prayers while only three in evening and two in subh prayers.</w:t>
      </w:r>
    </w:p>
    <w:p>
      <w:pPr>
        <w:pStyle w:val="Heading3"/>
        <w:numPr>
          <w:ilvl w:val="2"/>
          <w:numId w:val="1"/>
        </w:numPr>
        <w:bidi w:val="0"/>
        <w:jc w:val="left"/>
        <w:rPr/>
      </w:pPr>
      <w:bookmarkStart w:id="66" w:name="__RefHeading___Toc2027908_3804643083"/>
      <w:bookmarkStart w:id="67" w:name="_Toc25"/>
      <w:bookmarkEnd w:id="66"/>
      <w:r>
        <w:rPr/>
        <w:t>The Right Approach</w:t>
      </w:r>
      <w:bookmarkEnd w:id="67"/>
    </w:p>
    <w:p>
      <w:pPr>
        <w:pStyle w:val="BookText"/>
        <w:bidi w:val="0"/>
        <w:jc w:val="both"/>
        <w:rPr/>
      </w:pPr>
      <w:r>
        <w:rPr>
          <w:rFonts w:eastAsia="Times New Roman" w:cs="Times New Roman" w:ascii="Times New Roman" w:hAnsi="Times New Roman"/>
          <w:color w:val="111111"/>
          <w:sz w:val="28"/>
          <w:szCs w:val="28"/>
          <w:lang w:val="en-US"/>
        </w:rPr>
        <w:t>As far as the first three types of shari'ah laws are concerned, there is not much problem in explaining their reasons and purposes. The problem arises when one starts to rationalize the laws which come under the fourth category.</w:t>
      </w:r>
    </w:p>
    <w:p>
      <w:pPr>
        <w:pStyle w:val="BookText"/>
        <w:bidi w:val="0"/>
        <w:jc w:val="both"/>
        <w:rPr/>
      </w:pPr>
      <w:r>
        <w:rPr>
          <w:rFonts w:eastAsia="Times New Roman" w:cs="Times New Roman" w:ascii="Times New Roman" w:hAnsi="Times New Roman"/>
          <w:color w:val="111111"/>
          <w:sz w:val="28"/>
          <w:szCs w:val="28"/>
          <w:lang w:val="en-US"/>
        </w:rPr>
        <w:t>On the laws of the fourth category, the only thing which can be said is that a Muslim should have complete faith that there surely are useful purposes in these types of laws. The purpose can be of material or spiritual nature, or both. Why should we have such a confidence in these laws of the shari'ah?</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we, the Shi'ah Ithna 'Ashari Muslims, believe that all the actions of Allah (SWT) have purpose, and that they are for the benefit</w:t>
      </w:r>
    </w:p>
    <w:p>
      <w:pPr>
        <w:pStyle w:val="BookText"/>
        <w:bidi w:val="0"/>
        <w:rPr/>
      </w:pPr>
      <w:r>
        <w:rPr>
          <w:rFonts w:eastAsia="Times New Roman" w:cs="Times New Roman" w:ascii="Times New Roman" w:hAnsi="Times New Roman"/>
          <w:color w:val="111111"/>
          <w:sz w:val="28"/>
          <w:szCs w:val="28"/>
          <w:lang w:val="en-US"/>
        </w:rPr>
        <w:t>of human beings; and this includes the laws of the shari'ah.</w:t>
      </w:r>
      <w:r>
        <w:rPr>
          <w:rStyle w:val="FootnoteAnchor"/>
        </w:rPr>
        <w:footnoteReference w:id="15"/>
      </w:r>
      <w:r>
        <w:rPr>
          <w:rFonts w:eastAsia="Times New Roman" w:cs="Times New Roman" w:ascii="Times New Roman" w:hAnsi="Times New Roman"/>
          <w:color w:val="111111"/>
          <w:sz w:val="28"/>
          <w:szCs w:val="28"/>
          <w:lang w:val="en-US"/>
        </w:rPr>
        <w:t>On basis of this belief, we must have confi</w:t>
        <w:softHyphen/>
        <w:t>dence that all His laws (including those whose purposes are still unknown to us) have a purpose and benefit for human beings.</w:t>
      </w:r>
    </w:p>
    <w:p>
      <w:pPr>
        <w:pStyle w:val="BookText"/>
        <w:bidi w:val="0"/>
        <w:jc w:val="both"/>
        <w:rPr/>
      </w:pPr>
      <w:r>
        <w:rPr>
          <w:rFonts w:eastAsia="Times New Roman" w:cs="Times New Roman" w:ascii="Times New Roman" w:hAnsi="Times New Roman"/>
          <w:color w:val="111111"/>
          <w:sz w:val="28"/>
          <w:szCs w:val="28"/>
          <w:lang w:val="en-US"/>
        </w:rPr>
        <w:t>One more thing which must be clarified at this point is that it is not only the responsibility of the ‘ulama’ (the scholars of Islamic religious sciences) to discover and explain the purpose and reason underlying the shari'ah laws. Their primary duty is to explain the shari'ah laws to the people. The responsibility for discovering and explaining the purposes of the shari' ah laws must equally be shared by the Muslim intellectuals who are experts of modern science.</w:t>
      </w:r>
    </w:p>
    <w:p>
      <w:pPr>
        <w:pStyle w:val="BookText"/>
        <w:bidi w:val="0"/>
        <w:jc w:val="both"/>
        <w:rPr/>
      </w:pPr>
      <w:r>
        <w:rPr>
          <w:rFonts w:eastAsia="Times New Roman" w:cs="Times New Roman" w:ascii="Times New Roman" w:hAnsi="Times New Roman"/>
          <w:color w:val="111111"/>
          <w:sz w:val="28"/>
          <w:szCs w:val="28"/>
          <w:lang w:val="en-US"/>
        </w:rPr>
        <w:t>Unfortunately, very few of the Muslim intellectuals are interested in this aspect of the shari'ah, and those who are interested lack the knowledge of the Qur'an and hadith. A bridge must be built between the religious and worldly sciences; and, thanks be to Allah, some small steps in that direction have been taken in last few years.</w:t>
      </w:r>
    </w:p>
    <w:p>
      <w:pPr>
        <w:pStyle w:val="BookText"/>
        <w:bidi w:val="0"/>
        <w:jc w:val="both"/>
        <w:rPr/>
      </w:pPr>
      <w:r>
        <w:rPr>
          <w:rFonts w:eastAsia="Times New Roman" w:cs="Times New Roman" w:ascii="Times New Roman" w:hAnsi="Times New Roman"/>
          <w:color w:val="111111"/>
          <w:sz w:val="28"/>
          <w:szCs w:val="28"/>
          <w:lang w:val="en-US"/>
        </w:rPr>
        <w:t>The belief that although we might not know the reason and purpose of a certain shari' ah law, it surely has a good reason and useful purpose behind it can be understood from the following episode in the Qur' an. This episode also shows that if we are made aware of its reasons, we would readily admit that it was the very right thing to do.</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while preaching to his people, Prophet</w:t>
      </w:r>
    </w:p>
    <w:p>
      <w:pPr>
        <w:pStyle w:val="BookText"/>
        <w:bidi w:val="0"/>
        <w:rPr/>
      </w:pPr>
      <w:r>
        <w:rPr>
          <w:rFonts w:eastAsia="Times New Roman" w:cs="Times New Roman" w:ascii="Times New Roman" w:hAnsi="Times New Roman"/>
          <w:color w:val="111111"/>
          <w:sz w:val="28"/>
          <w:szCs w:val="28"/>
          <w:lang w:val="en-US"/>
        </w:rPr>
        <w:t>Musa (a.s.) thought about himself that Allah has given him a great privilege and that he is the most learned among the mankind. Allah was not pleased with even such a slight indication of pride in Musa's mind, and so Jibrail was sent to inform Musa that there is a person, among the servants of Allah, who is more learned than him. He was also given an address to go and meet this more learned person. Musa, along with one of his disci</w:t>
        <w:softHyphen/>
        <w:t>ples, went to meet the learned person who has not been named in the Qur'an but our ahadith identify him as Khizr.</w:t>
      </w:r>
    </w:p>
    <w:p>
      <w:pPr>
        <w:pStyle w:val="BookText"/>
        <w:bidi w:val="0"/>
        <w:jc w:val="both"/>
        <w:rPr/>
      </w:pPr>
      <w:r>
        <w:rPr>
          <w:rFonts w:eastAsia="Times New Roman" w:cs="Times New Roman" w:ascii="Times New Roman" w:hAnsi="Times New Roman"/>
          <w:color w:val="111111"/>
          <w:sz w:val="28"/>
          <w:szCs w:val="28"/>
          <w:lang w:val="en-US"/>
        </w:rPr>
        <w:t>The Qur'an narrates in (Surah al-Kahf, 18:60-82) the details of their meeting:</w:t>
      </w:r>
    </w:p>
    <w:p>
      <w:pPr>
        <w:pStyle w:val="BookText"/>
        <w:bidi w:val="0"/>
        <w:jc w:val="both"/>
        <w:rPr/>
      </w:pPr>
      <w:r>
        <w:rPr>
          <w:rFonts w:eastAsia="Times New Roman" w:cs="Times New Roman" w:ascii="Times New Roman" w:hAnsi="Times New Roman"/>
          <w:color w:val="111111"/>
          <w:sz w:val="28"/>
          <w:szCs w:val="28"/>
          <w:lang w:val="en-US"/>
        </w:rPr>
        <w:t>Musa: "Can I follow you so that you may teach me the right knowledge of what you have been taught (by Allah)?"</w:t>
      </w:r>
    </w:p>
    <w:p>
      <w:pPr>
        <w:pStyle w:val="BookText"/>
        <w:bidi w:val="0"/>
        <w:jc w:val="both"/>
        <w:rPr/>
      </w:pPr>
      <w:r>
        <w:rPr>
          <w:rFonts w:eastAsia="Times New Roman" w:cs="Times New Roman" w:ascii="Times New Roman" w:hAnsi="Times New Roman"/>
          <w:color w:val="111111"/>
          <w:sz w:val="28"/>
          <w:szCs w:val="28"/>
          <w:lang w:val="en-US"/>
        </w:rPr>
        <w:t>Khizr: "Surely you cannot have patience with me. How can you have patience in (the things or actions) of which you do not have a comprehen</w:t>
        <w:softHyphen/>
        <w:t>sive knowledge?"</w:t>
      </w:r>
    </w:p>
    <w:p>
      <w:pPr>
        <w:pStyle w:val="BookText"/>
        <w:bidi w:val="0"/>
        <w:jc w:val="both"/>
        <w:rPr/>
      </w:pPr>
      <w:r>
        <w:rPr>
          <w:rFonts w:eastAsia="Times New Roman" w:cs="Times New Roman" w:ascii="Times New Roman" w:hAnsi="Times New Roman"/>
          <w:color w:val="111111"/>
          <w:sz w:val="28"/>
          <w:szCs w:val="28"/>
          <w:lang w:val="en-US"/>
        </w:rPr>
        <w:t>Musa: "If Allah wills, you will find me patient and I shall not disobey you in any matter."</w:t>
      </w:r>
    </w:p>
    <w:p>
      <w:pPr>
        <w:pStyle w:val="BookText"/>
        <w:bidi w:val="0"/>
        <w:jc w:val="both"/>
        <w:rPr/>
      </w:pPr>
      <w:r>
        <w:rPr>
          <w:rFonts w:eastAsia="Times New Roman" w:cs="Times New Roman" w:ascii="Times New Roman" w:hAnsi="Times New Roman"/>
          <w:color w:val="111111"/>
          <w:sz w:val="28"/>
          <w:szCs w:val="28"/>
          <w:lang w:val="en-US"/>
        </w:rPr>
        <w:t>Khizr: "If you would follow me, then do not question me about anything until I speak to you about it."</w:t>
      </w:r>
    </w:p>
    <w:p>
      <w:pPr>
        <w:pStyle w:val="BookText"/>
        <w:bidi w:val="0"/>
        <w:jc w:val="both"/>
        <w:rPr/>
      </w:pPr>
      <w:r>
        <w:rPr>
          <w:rFonts w:eastAsia="Times New Roman" w:cs="Times New Roman" w:ascii="Times New Roman" w:hAnsi="Times New Roman"/>
          <w:color w:val="111111"/>
          <w:sz w:val="28"/>
          <w:szCs w:val="28"/>
          <w:lang w:val="en-US"/>
        </w:rPr>
        <w:t>So they went their way until they reached a river where they embarked on a boat. When they were close to their destination, Khizr made a hole in the boat.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"Have you made a hole in it to drown its inmates? Surely you have done a</w:t>
      </w:r>
    </w:p>
    <w:p>
      <w:pPr>
        <w:pStyle w:val="BookText"/>
        <w:bidi w:val="0"/>
        <w:rPr/>
      </w:pPr>
      <w:r>
        <w:rPr>
          <w:rFonts w:eastAsia="Times New Roman" w:cs="Times New Roman" w:ascii="Times New Roman" w:hAnsi="Times New Roman"/>
          <w:color w:val="111111"/>
          <w:sz w:val="28"/>
          <w:szCs w:val="28"/>
          <w:lang w:val="en-US"/>
        </w:rPr>
        <w:t>grievous thing."</w:t>
      </w:r>
    </w:p>
    <w:p>
      <w:pPr>
        <w:pStyle w:val="BookText"/>
        <w:bidi w:val="0"/>
        <w:jc w:val="both"/>
        <w:rPr/>
      </w:pPr>
      <w:r>
        <w:rPr>
          <w:rFonts w:eastAsia="Times New Roman" w:cs="Times New Roman" w:ascii="Times New Roman" w:hAnsi="Times New Roman"/>
          <w:color w:val="111111"/>
          <w:sz w:val="28"/>
          <w:szCs w:val="28"/>
          <w:lang w:val="en-US"/>
        </w:rPr>
        <w:t>Khizr: "Did I not say that you will not be able to have patience with me?"</w:t>
      </w:r>
    </w:p>
    <w:p>
      <w:pPr>
        <w:pStyle w:val="BookText"/>
        <w:bidi w:val="0"/>
        <w:jc w:val="both"/>
        <w:rPr/>
      </w:pPr>
      <w:r>
        <w:rPr>
          <w:rFonts w:eastAsia="Times New Roman" w:cs="Times New Roman" w:ascii="Times New Roman" w:hAnsi="Times New Roman"/>
          <w:color w:val="111111"/>
          <w:sz w:val="28"/>
          <w:szCs w:val="28"/>
          <w:lang w:val="en-US"/>
        </w:rPr>
        <w:t>Musa: "O Khizr, do not blame me for what I forgot, and do not constrain me to a difficult thing in my affair."</w:t>
      </w:r>
    </w:p>
    <w:p>
      <w:pPr>
        <w:pStyle w:val="BookText"/>
        <w:bidi w:val="0"/>
        <w:jc w:val="both"/>
        <w:rPr/>
      </w:pPr>
      <w:r>
        <w:rPr>
          <w:rFonts w:eastAsia="Times New Roman" w:cs="Times New Roman" w:ascii="Times New Roman" w:hAnsi="Times New Roman"/>
          <w:color w:val="111111"/>
          <w:sz w:val="28"/>
          <w:szCs w:val="28"/>
          <w:lang w:val="en-US"/>
        </w:rPr>
        <w:t>Then they went on until they met a young man. Khizr killed that person.</w:t>
      </w:r>
    </w:p>
    <w:p>
      <w:pPr>
        <w:pStyle w:val="BookText"/>
        <w:bidi w:val="0"/>
        <w:jc w:val="both"/>
        <w:rPr/>
      </w:pPr>
      <w:r>
        <w:rPr>
          <w:rFonts w:eastAsia="Times New Roman" w:cs="Times New Roman" w:ascii="Times New Roman" w:hAnsi="Times New Roman"/>
          <w:color w:val="111111"/>
          <w:sz w:val="28"/>
          <w:szCs w:val="28"/>
          <w:lang w:val="en-US"/>
        </w:rPr>
        <w:t>Musa: "Have you killed an innocent person who had not killed anyone? Certainly you have done an evil thing."</w:t>
      </w:r>
    </w:p>
    <w:p>
      <w:pPr>
        <w:pStyle w:val="BookText"/>
        <w:bidi w:val="0"/>
        <w:jc w:val="both"/>
        <w:rPr/>
      </w:pPr>
      <w:r>
        <w:rPr>
          <w:rFonts w:eastAsia="Times New Roman" w:cs="Times New Roman" w:ascii="Times New Roman" w:hAnsi="Times New Roman"/>
          <w:color w:val="111111"/>
          <w:sz w:val="28"/>
          <w:szCs w:val="28"/>
          <w:lang w:val="en-US"/>
        </w:rPr>
        <w:t>Khizr: "Didn't I say to you that you will not be able to have patience with me."</w:t>
      </w:r>
    </w:p>
    <w:p>
      <w:pPr>
        <w:pStyle w:val="BookText"/>
        <w:bidi w:val="0"/>
        <w:jc w:val="both"/>
        <w:rPr/>
      </w:pPr>
      <w:r>
        <w:rPr>
          <w:rFonts w:eastAsia="Times New Roman" w:cs="Times New Roman" w:ascii="Times New Roman" w:hAnsi="Times New Roman"/>
          <w:color w:val="111111"/>
          <w:sz w:val="28"/>
          <w:szCs w:val="28"/>
          <w:lang w:val="en-US"/>
        </w:rPr>
        <w:t>Musa: "If I ask you about anything after this, then do not keep me in your company; indeed, you shall then have found an excuse in my case (to dismiss me from your company)."</w:t>
      </w:r>
    </w:p>
    <w:p>
      <w:pPr>
        <w:pStyle w:val="BookText"/>
        <w:bidi w:val="0"/>
        <w:jc w:val="both"/>
        <w:rPr/>
      </w:pPr>
      <w:r>
        <w:rPr>
          <w:rFonts w:eastAsia="Times New Roman" w:cs="Times New Roman" w:ascii="Times New Roman" w:hAnsi="Times New Roman"/>
          <w:color w:val="111111"/>
          <w:sz w:val="28"/>
          <w:szCs w:val="28"/>
          <w:lang w:val="en-US"/>
        </w:rPr>
        <w:t>They went on until they came to a town. They asked food from the people of that town, but no one accepted them as guests. In that town, they found a wall which was on the point of falling in ruin, so Khizr repaired the wall and put it into the right state.</w:t>
      </w:r>
    </w:p>
    <w:p>
      <w:pPr>
        <w:pStyle w:val="BookText"/>
        <w:bidi w:val="0"/>
        <w:jc w:val="both"/>
        <w:rPr/>
      </w:pPr>
      <w:r>
        <w:rPr>
          <w:rFonts w:eastAsia="Times New Roman" w:cs="Times New Roman" w:ascii="Times New Roman" w:hAnsi="Times New Roman"/>
          <w:color w:val="111111"/>
          <w:sz w:val="28"/>
          <w:szCs w:val="28"/>
          <w:lang w:val="en-US"/>
        </w:rPr>
        <w:t>Musa: "If you had wished, you might certainly have taken a payment for this work."</w:t>
      </w:r>
    </w:p>
    <w:p>
      <w:pPr>
        <w:pStyle w:val="BookText"/>
        <w:bidi w:val="0"/>
        <w:jc w:val="both"/>
        <w:rPr/>
      </w:pPr>
      <w:r>
        <w:rPr>
          <w:rFonts w:eastAsia="Times New Roman" w:cs="Times New Roman" w:ascii="Times New Roman" w:hAnsi="Times New Roman"/>
          <w:color w:val="111111"/>
          <w:sz w:val="28"/>
          <w:szCs w:val="28"/>
          <w:lang w:val="en-US"/>
        </w:rPr>
        <w:t>Khizr: "This is the parting between you and me. But before you leave, I will inform you of the signifi</w:t>
        <w:softHyphen/>
        <w:t>cance of my actions which you could not under</w:t>
        <w:softHyphen/>
        <w:t>stand: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boat, it belonged to some poor men who worked on the river. I wished to make the boat slightly defective because a king was com</w:t>
        <w:softHyphen/>
        <w:t>ing</w:t>
      </w:r>
      <w:bookmarkStart w:id="68" w:name="pg2298_32698"/>
    </w:p>
    <w:p>
      <w:pPr>
        <w:pStyle w:val="BookText"/>
        <w:bidi w:val="0"/>
        <w:rPr/>
      </w:pPr>
      <w:bookmarkEnd w:id="68"/>
      <w:r>
        <w:rPr>
          <w:rFonts w:eastAsia="Times New Roman" w:cs="Times New Roman" w:ascii="Times New Roman" w:hAnsi="Times New Roman"/>
          <w:color w:val="111111"/>
          <w:sz w:val="28"/>
          <w:szCs w:val="28"/>
          <w:lang w:val="en-US"/>
        </w:rPr>
        <w:t>behind them who seized every perfect boat by force.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for the young man, his parents were believ</w:t>
        <w:softHyphen/>
        <w:t>ers and I feared lest he would oppress them by rebellion and disbelief. And we desired that their Lord might give them in his place a better one than him in purity and nearer to having compas</w:t>
        <w:softHyphen/>
        <w:t>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for the wall, it belonged to two orphan boys in the city, and there was beneath it a treasure belonging to them; so I rebuilt the wall because your Lord desired that when they attain maturity, they should take out their treasure, which was a mercy from your Lord.</w:t>
      </w:r>
    </w:p>
    <w:p>
      <w:pPr>
        <w:pStyle w:val="BookText"/>
        <w:bidi w:val="0"/>
        <w:jc w:val="both"/>
        <w:rPr/>
      </w:pPr>
      <w:r>
        <w:rPr>
          <w:rFonts w:eastAsia="Times New Roman" w:cs="Times New Roman" w:ascii="Times New Roman" w:hAnsi="Times New Roman"/>
          <w:color w:val="111111"/>
          <w:sz w:val="28"/>
          <w:szCs w:val="28"/>
          <w:lang w:val="en-US"/>
        </w:rPr>
        <w:t>"And moreover, I did not do it of my accord. This is the significance of that on which you could not have patience."</w:t>
      </w:r>
    </w:p>
    <w:p>
      <w:pPr>
        <w:pStyle w:val="BookText"/>
        <w:bidi w:val="0"/>
        <w:jc w:val="both"/>
        <w:rPr/>
      </w:pPr>
      <w:r>
        <w:rPr>
          <w:rFonts w:eastAsia="Times New Roman" w:cs="Times New Roman" w:ascii="Times New Roman" w:hAnsi="Times New Roman"/>
          <w:color w:val="111111"/>
          <w:sz w:val="28"/>
          <w:szCs w:val="28"/>
          <w:lang w:val="en-US"/>
        </w:rPr>
        <w:t>(Surah al-Kahf, 18:60-82)</w:t>
      </w:r>
    </w:p>
    <w:p>
      <w:pPr>
        <w:pStyle w:val="BookText"/>
        <w:bidi w:val="0"/>
        <w:jc w:val="both"/>
        <w:rPr/>
      </w:pPr>
      <w:r>
        <w:rPr>
          <w:rFonts w:eastAsia="Times New Roman" w:cs="Times New Roman" w:ascii="Times New Roman" w:hAnsi="Times New Roman"/>
          <w:color w:val="111111"/>
          <w:sz w:val="28"/>
          <w:szCs w:val="28"/>
          <w:lang w:val="en-US"/>
        </w:rPr>
        <w:t>There are many morals in this story. What is relevant to our discussion is that if a great Prophet of Allah like Musa (a.s.) could not fully comprehend the significance of the actions of a fellow human being who was more learned than him, then how can we expect to know the wisdom and purpose of every shari'ah law which has been legislated by Allah (SWT), the Wise, the Omniscient and the Omnipotent Creator of the humans and the world in which they live!</w:t>
      </w:r>
    </w:p>
    <w:p>
      <w:pPr>
        <w:pStyle w:val="Heading2"/>
        <w:numPr>
          <w:ilvl w:val="1"/>
          <w:numId w:val="1"/>
        </w:numPr>
        <w:bidi w:val="0"/>
        <w:jc w:val="left"/>
        <w:rPr/>
      </w:pPr>
      <w:bookmarkStart w:id="69" w:name="__RefHeading___Toc2027910_3804643083"/>
      <w:bookmarkStart w:id="70" w:name="_Toc26"/>
      <w:bookmarkEnd w:id="69"/>
      <w:r>
        <w:rPr/>
        <w:t>The System of Ijtihad</w:t>
      </w:r>
      <w:bookmarkEnd w:id="70"/>
    </w:p>
    <w:p>
      <w:pPr>
        <w:pStyle w:val="Heading3"/>
        <w:numPr>
          <w:ilvl w:val="2"/>
          <w:numId w:val="1"/>
        </w:numPr>
        <w:bidi w:val="0"/>
        <w:jc w:val="left"/>
        <w:rPr/>
      </w:pPr>
      <w:bookmarkStart w:id="71" w:name="__RefHeading___Toc2027912_3804643083"/>
      <w:bookmarkStart w:id="72" w:name="_Toc27"/>
      <w:bookmarkEnd w:id="71"/>
      <w:r>
        <w:rPr/>
        <w:t>Some Important Terms</w:t>
      </w:r>
      <w:bookmarkEnd w:id="72"/>
    </w:p>
    <w:p>
      <w:pPr>
        <w:pStyle w:val="BookText"/>
        <w:bidi w:val="0"/>
        <w:jc w:val="both"/>
        <w:rPr/>
      </w:pPr>
      <w:r>
        <w:rPr>
          <w:rFonts w:eastAsia="Times New Roman" w:cs="Times New Roman" w:ascii="Times New Roman" w:hAnsi="Times New Roman"/>
          <w:color w:val="111111"/>
          <w:sz w:val="28"/>
          <w:szCs w:val="28"/>
          <w:lang w:val="en-US"/>
        </w:rPr>
        <w:t>Ijtihad literally means "to endeavor, strive, put one</w:t>
        <w:softHyphen/>
        <w:t>self out, work hard." In Islamic legal terminology it means “the process of deriving the laws of the shari'ah from its sources.”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Mujtahid means a person</w:t>
      </w:r>
      <w:bookmarkStart w:id="73" w:name="pg2298_32699"/>
    </w:p>
    <w:p>
      <w:pPr>
        <w:pStyle w:val="BookText"/>
        <w:bidi w:val="0"/>
        <w:rPr/>
      </w:pPr>
      <w:bookmarkEnd w:id="73"/>
      <w:r>
        <w:rPr>
          <w:rFonts w:eastAsia="Times New Roman" w:cs="Times New Roman" w:ascii="Times New Roman" w:hAnsi="Times New Roman"/>
          <w:color w:val="111111"/>
          <w:sz w:val="28"/>
          <w:szCs w:val="28"/>
          <w:lang w:val="en-US"/>
        </w:rPr>
        <w:t>who does ijtihad or who is an expert of Islamic laws.</w:t>
      </w:r>
    </w:p>
    <w:p>
      <w:pPr>
        <w:pStyle w:val="BookText"/>
        <w:bidi w:val="0"/>
        <w:jc w:val="both"/>
        <w:rPr/>
      </w:pPr>
      <w:r>
        <w:rPr>
          <w:rFonts w:eastAsia="Times New Roman" w:cs="Times New Roman" w:ascii="Times New Roman" w:hAnsi="Times New Roman"/>
          <w:color w:val="111111"/>
          <w:sz w:val="28"/>
          <w:szCs w:val="28"/>
          <w:lang w:val="en-US"/>
        </w:rPr>
        <w:t>Fiqh literally means knowledge, and in Islamic ter</w:t>
        <w:softHyphen/>
        <w:t>minology it means the science of Islamic laws.</w:t>
      </w:r>
    </w:p>
    <w:p>
      <w:pPr>
        <w:pStyle w:val="BookText"/>
        <w:bidi w:val="0"/>
        <w:jc w:val="both"/>
        <w:rPr/>
      </w:pPr>
      <w:r>
        <w:rPr>
          <w:rFonts w:eastAsia="Times New Roman" w:cs="Times New Roman" w:ascii="Times New Roman" w:hAnsi="Times New Roman"/>
          <w:color w:val="111111"/>
          <w:sz w:val="28"/>
          <w:szCs w:val="28"/>
          <w:lang w:val="en-US"/>
        </w:rPr>
        <w:t>Faqih (pl. fuqaha') means the expert of fiqh. The terms "mu</w:t>
        <w:softHyphen/>
        <w:t>jtahid" and "faqih" mean the same.</w:t>
      </w:r>
    </w:p>
    <w:p>
      <w:pPr>
        <w:pStyle w:val="Heading3"/>
        <w:numPr>
          <w:ilvl w:val="2"/>
          <w:numId w:val="1"/>
        </w:numPr>
        <w:bidi w:val="0"/>
        <w:jc w:val="left"/>
        <w:rPr/>
      </w:pPr>
      <w:bookmarkStart w:id="74" w:name="__RefHeading___Toc2027914_3804643083"/>
      <w:bookmarkStart w:id="75" w:name="_Toc28"/>
      <w:bookmarkEnd w:id="74"/>
      <w:r>
        <w:rPr/>
        <w:t>The Importance of Ijtihad</w:t>
      </w:r>
      <w:bookmarkEnd w:id="75"/>
    </w:p>
    <w:p>
      <w:pPr>
        <w:pStyle w:val="BookText"/>
        <w:bidi w:val="0"/>
        <w:jc w:val="both"/>
        <w:rPr/>
      </w:pPr>
      <w:r>
        <w:rPr>
          <w:rFonts w:eastAsia="Times New Roman" w:cs="Times New Roman" w:ascii="Times New Roman" w:hAnsi="Times New Roman"/>
          <w:color w:val="111111"/>
          <w:sz w:val="28"/>
          <w:szCs w:val="28"/>
          <w:lang w:val="en-US"/>
        </w:rPr>
        <w:t>Is ijtihad necessary? If Islam is a religion which is to stay till the end of time, then there must always be some people who can guide the Muslims in the changing circumstances of time and of place. After the Prophet of Islam (PBUH), the most ideal persons to guide Muslims were the Imams of Ahlul-Bayt. However, the Present Imam, Muhammad al-Mahdi (a.s.) has gone into the Occultation and will re-appear when Allah (SWT) wishes him to appear. So what is to be done in the mean-time? Are the Shi'ahs to suspend the shari'ah? No, of course, not! Islam is the religion for all times and places.</w:t>
      </w:r>
    </w:p>
    <w:p>
      <w:pPr>
        <w:pStyle w:val="BookText"/>
        <w:bidi w:val="0"/>
        <w:jc w:val="both"/>
        <w:rPr/>
      </w:pPr>
      <w:r>
        <w:rPr>
          <w:rFonts w:eastAsia="Times New Roman" w:cs="Times New Roman" w:ascii="Times New Roman" w:hAnsi="Times New Roman"/>
          <w:color w:val="111111"/>
          <w:sz w:val="28"/>
          <w:szCs w:val="28"/>
          <w:lang w:val="en-US"/>
        </w:rPr>
        <w:t>The Imams of Ahlul-Bayt had foreseen the time of the Occultation and had prepared their followers for the situation in which they will not be in direct contact with their Imam. This preparation was done by training the Shi'ahs in the science of Islamic laws, or in other words, in ijtihad. Ijtihad is an essential phenomenon for the survival of the Islamic shari'ah during the Occultation of the Imam (a.s.). Without the system of ijtihad, we would not be able to apply Islamic laws in the rapidly changing circumstances of human society.</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Ijtihad is not only permissible, but essential from the Islamic</w:t>
      </w:r>
    </w:p>
    <w:p>
      <w:pPr>
        <w:pStyle w:val="BookText"/>
        <w:bidi w:val="0"/>
        <w:rPr/>
      </w:pPr>
      <w:r>
        <w:rPr>
          <w:rFonts w:eastAsia="Times New Roman" w:cs="Times New Roman" w:ascii="Times New Roman" w:hAnsi="Times New Roman"/>
          <w:color w:val="111111"/>
          <w:sz w:val="28"/>
          <w:szCs w:val="28"/>
          <w:lang w:val="en-US"/>
        </w:rPr>
        <w:t>point of view. It is an obligation in Islam to study everything which is necessary for the spiritual develop</w:t>
        <w:softHyphen/>
        <w:t>ment and material well-being of the Muslim community. However, this obligation is of the category which is known as wajib kifa’i, meaning “an obligation which is on every member of the community as long as it is unfulfilled; but as soon as some person or persons has fulfilled it, it is no longer an obligation on those who have not fulfilled it.”</w:t>
      </w:r>
    </w:p>
    <w:p>
      <w:pPr>
        <w:pStyle w:val="BookText"/>
        <w:bidi w:val="0"/>
        <w:jc w:val="both"/>
        <w:rPr/>
      </w:pPr>
      <w:r>
        <w:rPr>
          <w:rFonts w:eastAsia="Times New Roman" w:cs="Times New Roman" w:ascii="Times New Roman" w:hAnsi="Times New Roman"/>
          <w:color w:val="111111"/>
          <w:sz w:val="28"/>
          <w:szCs w:val="28"/>
          <w:lang w:val="en-US"/>
        </w:rPr>
        <w:t>In the present instance, for example, Islamic society needs experts in the medical sciences, in physics and chemistry, in engineering, edu</w:t>
        <w:softHyphen/>
        <w:t>cation; and as long as there is a lack of expertise in these areas, it is an obligation on the community as a whole to acquire it. This means that a group of Muslims must devote themselves to research so as to benefit the Islamic people. Similarly, an Islamic society without experts in the shari'ah cannot properly consider itself Islamic, and so it is an obligation for a group of persons from this society to devote themselves to the study of the religious sciences to provide proper guidance to all Muslims.</w:t>
      </w:r>
    </w:p>
    <w:p>
      <w:pPr>
        <w:pStyle w:val="BookText"/>
        <w:bidi w:val="0"/>
        <w:jc w:val="both"/>
        <w:rPr/>
      </w:pPr>
      <w:r>
        <w:rPr>
          <w:rFonts w:eastAsia="Times New Roman" w:cs="Times New Roman" w:ascii="Times New Roman" w:hAnsi="Times New Roman"/>
          <w:color w:val="111111"/>
          <w:sz w:val="28"/>
          <w:szCs w:val="28"/>
          <w:lang w:val="en-US"/>
        </w:rPr>
        <w:t>This is such an important obligation that Allah (SWT) has exempted those who go to seek religious knowledge from the duty of jihad. He says: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(right) for the believers to go forth all together (for jihad). So why should not a party from every section of them (the believers) go forth to become learned in the</w:t>
      </w:r>
    </w:p>
    <w:p>
      <w:pPr>
        <w:pStyle w:val="BookText"/>
        <w:bidi w:val="0"/>
        <w:rPr/>
      </w:pPr>
      <w:r>
        <w:rPr>
          <w:rFonts w:eastAsia="Times New Roman" w:cs="Times New Roman" w:ascii="Times New Roman" w:hAnsi="Times New Roman"/>
          <w:color w:val="111111"/>
          <w:sz w:val="28"/>
          <w:szCs w:val="28"/>
          <w:lang w:val="en-US"/>
        </w:rPr>
        <w:t>religion, and to warn their people when they return to them-so that haply they may beware?" (Surah at-Tawba, 9:124)</w:t>
      </w:r>
    </w:p>
    <w:p>
      <w:pPr>
        <w:pStyle w:val="BookText"/>
        <w:bidi w:val="0"/>
        <w:jc w:val="both"/>
        <w:rPr/>
      </w:pPr>
      <w:r>
        <w:rPr>
          <w:rFonts w:eastAsia="Times New Roman" w:cs="Times New Roman" w:ascii="Times New Roman" w:hAnsi="Times New Roman"/>
          <w:color w:val="111111"/>
          <w:sz w:val="28"/>
          <w:szCs w:val="28"/>
          <w:lang w:val="en-US"/>
        </w:rPr>
        <w:t xml:space="preserve">It is clear from many narrations that the Imams of Ahlul-Bayt (a.s.) used to be pleased whenever any of their companions taught religion or gave legal rulings (fatwa) to others. There are several documented cases of Shi'ahs who lived far from Medina asking the Imam of their time to appoint someone in their area to adjudicate between them in religious problems: Zakariyyah ibn Adam al-Qummi and Yunus ibn' Abdu 'r-Rahman, for example, were named by Imam 'Ali ar-Riza (a.s.), to solve disputes in their own districts.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In a famous hadith, 'Umar ibn Hanzalah asked Imam Ja'far as-Sadiq (a.s.) about the legality of two Shi'ahs seeking a verdict from an illegitimate ruler in a dispute over a debt or a legacy. The Imam's answer was that it was absolutely forbidden to do so. Then Ibn Hanzalah asked what the two should do, and the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must seek out one of your own who narrates our traditions, who is versed in what is permissible and what is forbidden, who is well-acquainted with our laws and ordinances, and accept him as judge and arbiter, for I appoint him as judge over you…”</w:t>
      </w:r>
      <w:r>
        <w:rPr>
          <w:rStyle w:val="FootnoteAnchor"/>
        </w:rPr>
        <w:footnoteReference w:id="1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these ahadith, we have quite a few sayings of the Imams which tell us what to do if we come across two ahadith which are contradictory or semi-contradic</w:t>
        <w:softHyphen/>
        <w:t>tory and solving the contradictory ahadith is one of the functions of ijtihad. These</w:t>
      </w:r>
      <w:bookmarkStart w:id="76" w:name="pg2298_32702"/>
    </w:p>
    <w:p>
      <w:pPr>
        <w:pStyle w:val="BookText"/>
        <w:bidi w:val="0"/>
        <w:rPr/>
      </w:pPr>
      <w:bookmarkEnd w:id="76"/>
      <w:r>
        <w:rPr>
          <w:rFonts w:eastAsia="Times New Roman" w:cs="Times New Roman" w:ascii="Times New Roman" w:hAnsi="Times New Roman"/>
          <w:color w:val="111111"/>
          <w:sz w:val="28"/>
          <w:szCs w:val="28"/>
          <w:lang w:val="en-US"/>
        </w:rPr>
        <w:t>types of ahadith are known as al-akhbar al-‘ilajiyyah, the ahadith which solve the problems in the process of ijtihad.</w:t>
      </w:r>
    </w:p>
    <w:p>
      <w:pPr>
        <w:pStyle w:val="BookText"/>
        <w:bidi w:val="0"/>
        <w:jc w:val="both"/>
        <w:rPr/>
      </w:pPr>
      <w:r>
        <w:rPr>
          <w:rFonts w:eastAsia="Times New Roman" w:cs="Times New Roman" w:ascii="Times New Roman" w:hAnsi="Times New Roman"/>
          <w:color w:val="111111"/>
          <w:sz w:val="28"/>
          <w:szCs w:val="28"/>
          <w:lang w:val="en-US"/>
        </w:rPr>
        <w:t>What we have mentioned above clearly shows that ijtihad is necessary for the perpetuity of the Islamic legal system.</w:t>
      </w:r>
    </w:p>
    <w:p>
      <w:pPr>
        <w:pStyle w:val="Heading3"/>
        <w:numPr>
          <w:ilvl w:val="2"/>
          <w:numId w:val="1"/>
        </w:numPr>
        <w:bidi w:val="0"/>
        <w:jc w:val="left"/>
        <w:rPr/>
      </w:pPr>
      <w:bookmarkStart w:id="77" w:name="__RefHeading___Toc2027916_3804643083"/>
      <w:bookmarkStart w:id="78" w:name="_Toc29"/>
      <w:bookmarkEnd w:id="77"/>
      <w:r>
        <w:rPr/>
        <w:t>Was not Ijtihad forbidden in the Early Shi’ah Sources?</w:t>
      </w:r>
      <w:bookmarkEnd w:id="78"/>
    </w:p>
    <w:p>
      <w:pPr>
        <w:pStyle w:val="BookText"/>
        <w:bidi w:val="0"/>
        <w:jc w:val="both"/>
        <w:rPr/>
      </w:pPr>
      <w:r>
        <w:rPr>
          <w:rFonts w:eastAsia="Times New Roman" w:cs="Times New Roman" w:ascii="Times New Roman" w:hAnsi="Times New Roman"/>
          <w:color w:val="111111"/>
          <w:sz w:val="28"/>
          <w:szCs w:val="28"/>
          <w:lang w:val="en-US"/>
        </w:rPr>
        <w:t>There are some sayings of the Shi'ah Imams (a.s.), some writings of their companions and that of our early 'ulama which severely condemn the use of ijtihad. This has created confusion among non-specialist readers and has given rise to the question whether or not ijtihad was permitted in Shi'ah Islam.</w:t>
      </w:r>
    </w:p>
    <w:p>
      <w:pPr>
        <w:pStyle w:val="BookText"/>
        <w:bidi w:val="0"/>
        <w:jc w:val="both"/>
        <w:rPr/>
      </w:pPr>
      <w:r>
        <w:rPr>
          <w:rFonts w:eastAsia="Times New Roman" w:cs="Times New Roman" w:ascii="Times New Roman" w:hAnsi="Times New Roman"/>
          <w:color w:val="111111"/>
          <w:sz w:val="28"/>
          <w:szCs w:val="28"/>
          <w:lang w:val="en-US"/>
        </w:rPr>
        <w:t>This confusion can be easily sorted out by studying the changes undergone by the word "ijtihad". The word ijtihad was used for the first time by a Sunni school of fiqh in the meaning of ra'iy: Ra'iy means "a subjective opinion, an opinion based on one's personal judgement as opposed to that of the Qur'an and the hadith." In this sense, "ijtihad" was by itself an independent source of the shari'ah laws besides the Qur'an and the sunnah. Abu Hanifah, the founder of the Sunni Hanafi school of fiqh, was the main proponent of this system of ijtihad.</w:t>
      </w:r>
      <w:r>
        <w:rPr>
          <w:rStyle w:val="FootnoteAnchor"/>
        </w:rPr>
        <w:footnoteReference w:id="18"/>
      </w:r>
      <w:r>
        <w:rPr>
          <w:rFonts w:eastAsia="Times New Roman" w:cs="Times New Roman" w:ascii="Times New Roman" w:hAnsi="Times New Roman"/>
          <w:color w:val="111111"/>
          <w:sz w:val="28"/>
          <w:szCs w:val="28"/>
          <w:lang w:val="en-US"/>
        </w:rPr>
        <w:t>The term ijtihad continued to be used exclusively in the meaning of ra'iy up until the early seventh Islamic century.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seventh Islamic century, some of the Shi'ah 'ulama' started using the term ijtihad in a different and new meaning. They used the term “ijtihad” for "the process of deriving the laws of the shari'ah from its sources". In the first meaning, "ijtihad"</w:t>
      </w:r>
      <w:bookmarkStart w:id="79" w:name="pg2298_32703"/>
    </w:p>
    <w:p>
      <w:pPr>
        <w:pStyle w:val="BookText"/>
        <w:bidi w:val="0"/>
        <w:rPr/>
      </w:pPr>
      <w:bookmarkEnd w:id="79"/>
      <w:r>
        <w:rPr>
          <w:rFonts w:eastAsia="Times New Roman" w:cs="Times New Roman" w:ascii="Times New Roman" w:hAnsi="Times New Roman"/>
          <w:color w:val="111111"/>
          <w:sz w:val="28"/>
          <w:szCs w:val="28"/>
          <w:lang w:val="en-US"/>
        </w:rPr>
        <w:t>stands alongside the Qur' an and the sunnah as an independent source of the shari'ah laws; in its new meaning, "ijtihad" is a process of deriving the shari' ah laws from the Qur' an and the sunnah. The first Shi'ah scholar to use the term "ijtihad" in its new meaning was Muhaqqiq al-Hilli (d. 676 A.H.) in his al-Ma’arij. Al-Hilli says, "ijtihad means to strive for deriving the shari'ah laws from their sources."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The change through which the meaning of "ijtihad" has undergone clears the confusion about the legality of ijtihad: some of the sayings of the Imams (a.s.), the writings of their companions and the early Shi'ah ulama condemn ijtihad in its pre-7th century meaning of "ra'iy"; they are not opposing the ijtihad in the post-7th century meaning of "the process of deriving the shari'ah laws from their sources". The condemned ijtihad is a source of the shari'ah laws, while the recommended ijtihad is only the process of deriving the shari'ah laws from their sources. The permissibility of ijtihad in its post-7th century meaning is beyond any doubt.</w:t>
      </w:r>
    </w:p>
    <w:p>
      <w:pPr>
        <w:pStyle w:val="Heading3"/>
        <w:numPr>
          <w:ilvl w:val="2"/>
          <w:numId w:val="1"/>
        </w:numPr>
        <w:bidi w:val="0"/>
        <w:jc w:val="left"/>
        <w:rPr/>
      </w:pPr>
      <w:bookmarkStart w:id="80" w:name="__RefHeading___Toc2027918_3804643083"/>
      <w:bookmarkStart w:id="81" w:name="_Toc30"/>
      <w:bookmarkEnd w:id="80"/>
      <w:r>
        <w:rPr/>
        <w:t>The Process of Ijtihad</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process of deriving the shari'ah laws from their sources is based on two main branches of Islamic sci</w:t>
        <w:softHyphen/>
        <w:t>ences: usulu’l-fiqh and fiqh. "Usulu’l-fiqh " is the science of the method of deriving the shari'ah laws -- it is the methodology of ijtihad. "Fiqh" is the practice of ijtihad -- it is the process of deriving the shari'ah laws. In usulu'l-fiqh, the mujtahid studies the method of ijtihad; in fiqh, he uses</w:t>
      </w:r>
      <w:bookmarkStart w:id="82" w:name="pg2298_32704"/>
    </w:p>
    <w:p>
      <w:pPr>
        <w:pStyle w:val="BookText"/>
        <w:bidi w:val="0"/>
        <w:rPr/>
      </w:pPr>
      <w:bookmarkEnd w:id="82"/>
      <w:r>
        <w:rPr>
          <w:rFonts w:eastAsia="Times New Roman" w:cs="Times New Roman" w:ascii="Times New Roman" w:hAnsi="Times New Roman"/>
          <w:color w:val="111111"/>
          <w:sz w:val="28"/>
          <w:szCs w:val="28"/>
          <w:lang w:val="en-US"/>
        </w:rPr>
        <w:t>that method to derive the shari'ah laws. Thus, usulu’l-fiqh is the theory of ijtihad whereas fiqh is the practice of ijtihad.</w:t>
      </w:r>
    </w:p>
    <w:p>
      <w:pPr>
        <w:pStyle w:val="BookText"/>
        <w:bidi w:val="0"/>
        <w:jc w:val="both"/>
        <w:rPr/>
      </w:pPr>
      <w:r>
        <w:rPr>
          <w:rFonts w:eastAsia="Times New Roman" w:cs="Times New Roman" w:ascii="Times New Roman" w:hAnsi="Times New Roman"/>
          <w:color w:val="111111"/>
          <w:sz w:val="28"/>
          <w:szCs w:val="28"/>
          <w:lang w:val="en-US"/>
        </w:rPr>
        <w:t>In the following pages, I would like to give an outline of usulu’l-fiqh and fiqh to familiarize the reader with the system of ijtihad.</w:t>
      </w:r>
    </w:p>
    <w:p>
      <w:pPr>
        <w:pStyle w:val="Heading3"/>
        <w:numPr>
          <w:ilvl w:val="2"/>
          <w:numId w:val="1"/>
        </w:numPr>
        <w:bidi w:val="0"/>
        <w:jc w:val="left"/>
        <w:rPr/>
      </w:pPr>
      <w:bookmarkStart w:id="83" w:name="__RefHeading___Toc2027920_3804643083"/>
      <w:bookmarkStart w:id="84" w:name="_Toc31"/>
      <w:bookmarkEnd w:id="83"/>
      <w:r>
        <w:rPr/>
        <w:t>A. Usulu’l-Fiqh</w:t>
      </w:r>
      <w:bookmarkEnd w:id="84"/>
    </w:p>
    <w:p>
      <w:pPr>
        <w:pStyle w:val="Heading4"/>
        <w:numPr>
          <w:ilvl w:val="3"/>
          <w:numId w:val="1"/>
        </w:numPr>
        <w:bidi w:val="0"/>
        <w:jc w:val="left"/>
        <w:rPr/>
      </w:pPr>
      <w:bookmarkStart w:id="85" w:name="__RefHeading___Toc2027922_3804643083"/>
      <w:bookmarkStart w:id="86" w:name="_Toc32"/>
      <w:bookmarkEnd w:id="85"/>
      <w:r>
        <w:rPr/>
        <w:t>point</w:t>
      </w:r>
      <w:bookmarkEnd w:id="86"/>
    </w:p>
    <w:p>
      <w:pPr>
        <w:pStyle w:val="BookText"/>
        <w:bidi w:val="0"/>
        <w:jc w:val="both"/>
        <w:rPr/>
      </w:pPr>
      <w:r>
        <w:rPr>
          <w:rFonts w:eastAsia="Times New Roman" w:cs="Times New Roman" w:ascii="Times New Roman" w:hAnsi="Times New Roman"/>
          <w:color w:val="111111"/>
          <w:sz w:val="28"/>
          <w:szCs w:val="28"/>
          <w:lang w:val="en-US"/>
        </w:rPr>
        <w:t>The first and fore-most issue to be discussed in usulu’l-fiqh is about “the binding authority of conviction” (hujjiyyatu’l-qat’). The validity of conviction is determined by intellectual reasoning. This is the corner-stone of ijtihad; it means that the main basis of determining a source of shari’ah is to see whether or not one can achieve conviction about the laws derived from that source.</w:t>
      </w:r>
    </w:p>
    <w:p>
      <w:pPr>
        <w:pStyle w:val="BookText"/>
        <w:bidi w:val="0"/>
        <w:jc w:val="both"/>
        <w:rPr/>
      </w:pPr>
      <w:r>
        <w:rPr>
          <w:rFonts w:eastAsia="Times New Roman" w:cs="Times New Roman" w:ascii="Times New Roman" w:hAnsi="Times New Roman"/>
          <w:color w:val="111111"/>
          <w:sz w:val="28"/>
          <w:szCs w:val="28"/>
          <w:lang w:val="en-US"/>
        </w:rPr>
        <w:t>If a mujtahid finds that a particular source for ex</w:t>
        <w:softHyphen/>
        <w:t>ample, the Qur' an, is such that he can achieve conviction about the laws derived from it, then such a source is considered by him as a valid and reliable source for ijtihad. This process divides the potential sources of shari'ah laws into two: convincing and non-convincing.</w:t>
      </w:r>
    </w:p>
    <w:p>
      <w:pPr>
        <w:pStyle w:val="Heading4"/>
        <w:numPr>
          <w:ilvl w:val="3"/>
          <w:numId w:val="1"/>
        </w:numPr>
        <w:bidi w:val="0"/>
        <w:jc w:val="left"/>
        <w:rPr/>
      </w:pPr>
      <w:bookmarkStart w:id="87" w:name="__RefHeading___Toc2027924_3804643083"/>
      <w:bookmarkStart w:id="88" w:name="_Toc33"/>
      <w:bookmarkEnd w:id="87"/>
      <w:r>
        <w:rPr/>
        <w:t>Convincing (Qat’i) and Non-Convincing (Dhanni) Souces</w:t>
      </w:r>
      <w:bookmarkEnd w:id="88"/>
    </w:p>
    <w:p>
      <w:pPr>
        <w:pStyle w:val="BookText"/>
        <w:bidi w:val="0"/>
        <w:jc w:val="both"/>
        <w:rPr/>
      </w:pPr>
      <w:r>
        <w:rPr>
          <w:rFonts w:eastAsia="Times New Roman" w:cs="Times New Roman" w:ascii="Times New Roman" w:hAnsi="Times New Roman"/>
          <w:color w:val="111111"/>
          <w:sz w:val="28"/>
          <w:szCs w:val="28"/>
          <w:lang w:val="en-US"/>
        </w:rPr>
        <w:t>In examining the potential sources of the shari'ah, a mujtahid may find two kinds of sources: either the source creates conviction about the laws derived from it or not. In the first case, it is known as dalil qat'i – a convincing proof, a cogent proof, a proof which creates conviction about the proven laws. In the second case, the source is named as dalil dhanni-- a presumptive proof, a proof based on mere assumption.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mujtahid will consider the dalil qat'i (the con</w:t>
        <w:softHyphen/>
        <w:t>vincing proof) as a valid</w:t>
      </w:r>
    </w:p>
    <w:p>
      <w:pPr>
        <w:pStyle w:val="BookText"/>
        <w:bidi w:val="0"/>
        <w:rPr/>
      </w:pPr>
      <w:r>
        <w:rPr>
          <w:rFonts w:eastAsia="Times New Roman" w:cs="Times New Roman" w:ascii="Times New Roman" w:hAnsi="Times New Roman"/>
          <w:color w:val="111111"/>
          <w:sz w:val="28"/>
          <w:szCs w:val="28"/>
          <w:lang w:val="en-US"/>
        </w:rPr>
        <w:t>source for the shari'ah laws. But he will not consider the dalil dhanni as such because dalil dhanni does not create conviction it just gives rise to assumption. A mujtahid cannot rely on a dhanni proof or source for deriving laws unless the shari'ah itself approves its use for this purpose. Below I will give examples of two dhanni sources, one approved by the shari'ah and another disapproved by it.</w:t>
      </w:r>
    </w:p>
    <w:p>
      <w:pPr>
        <w:pStyle w:val="BookText"/>
        <w:bidi w:val="0"/>
        <w:jc w:val="both"/>
        <w:rPr/>
      </w:pPr>
      <w:r>
        <w:rPr>
          <w:rFonts w:eastAsia="Times New Roman" w:cs="Times New Roman" w:ascii="Times New Roman" w:hAnsi="Times New Roman"/>
          <w:color w:val="111111"/>
          <w:sz w:val="28"/>
          <w:szCs w:val="28"/>
          <w:lang w:val="en-US"/>
        </w:rPr>
        <w:t>The First Example: Among the various categories of hadith, there is a category known as khabar wahid thiqah - a hadith reported by a single reliable person. Khabar wahid thiqah is a dhanni source. Why? Because a hadith reported by a single person does not create conviction about its contents even if the reporter is reliable; there is the chance of forgetting, misunder</w:t>
        <w:softHyphen/>
        <w:t>standing or unintended misquotation on the part of the truthful, reliable reporter.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spite of being a dhanni source, khabar wahid thiqah is considered by most of Shi'ah mujtahids as a valid source for the shari'ah laws. Why? Because the shari'ah itself has approved it. Verse six of Chapter forty nine (Surah al-Hujuraat, 6:49) says that if a single report (khabar wahid) comes from an unreliable (fasiq) reporter, then it should not be accepted without further verification. The impli</w:t>
        <w:softHyphen/>
        <w:t>cation of this verse is that if a single report comes from a reliable (thiqah) reporter, then accept it without any need for further verification. Therefore, the mujtahids accept the single hadith narrated by a reliable reporter as a</w:t>
      </w:r>
      <w:bookmarkStart w:id="89" w:name="pg2298_32706"/>
    </w:p>
    <w:p>
      <w:pPr>
        <w:pStyle w:val="BookText"/>
        <w:bidi w:val="0"/>
        <w:rPr/>
      </w:pPr>
      <w:bookmarkEnd w:id="89"/>
      <w:r>
        <w:rPr>
          <w:rFonts w:eastAsia="Times New Roman" w:cs="Times New Roman" w:ascii="Times New Roman" w:hAnsi="Times New Roman"/>
          <w:color w:val="111111"/>
          <w:sz w:val="28"/>
          <w:szCs w:val="28"/>
          <w:lang w:val="en-US"/>
        </w:rPr>
        <w:t>source for shari'ah laws because the Qur'an has implicitly approved it.</w:t>
      </w:r>
    </w:p>
    <w:p>
      <w:pPr>
        <w:pStyle w:val="BookText"/>
        <w:bidi w:val="0"/>
        <w:jc w:val="both"/>
        <w:rPr/>
      </w:pPr>
      <w:r>
        <w:rPr>
          <w:rFonts w:eastAsia="Times New Roman" w:cs="Times New Roman" w:ascii="Times New Roman" w:hAnsi="Times New Roman"/>
          <w:color w:val="111111"/>
          <w:sz w:val="28"/>
          <w:szCs w:val="28"/>
          <w:lang w:val="en-US"/>
        </w:rPr>
        <w:t>The Second Example: One of the dhanni sources for the shari'ah laws is qiyas. In Islamic laws, qiyas means analogy. In qiyas, you look at a shari'ah law for one issue and then apply it to another issue because of the similar</w:t>
        <w:softHyphen/>
        <w:t>ity that exists between the two. Let us suppose that "wine is haram" is a proven law of the shari'ah. You then look at beer and say that 'beer is like wine'; and then you apply the law of wine on beer -- here the prohibition of beer has been proved on basis of qiyas.</w:t>
      </w:r>
    </w:p>
    <w:p>
      <w:pPr>
        <w:pStyle w:val="BookText"/>
        <w:bidi w:val="0"/>
        <w:jc w:val="both"/>
        <w:rPr/>
      </w:pPr>
      <w:r>
        <w:rPr>
          <w:rFonts w:eastAsia="Times New Roman" w:cs="Times New Roman" w:ascii="Times New Roman" w:hAnsi="Times New Roman"/>
          <w:color w:val="111111"/>
          <w:sz w:val="28"/>
          <w:szCs w:val="28"/>
          <w:lang w:val="en-US"/>
        </w:rPr>
        <w:t>Qiyas is a dhanni proof, it does not create conviction because one cannot always know the real reason ('illah in Arabic, ratio legis in Latin) of the shari'ah laws. And since the qat'i sources of the shari'ah have not approved the use of qiyas as a way of deriving Islamic laws, qiyas is not accepted by our mujtahids as a valid source for shari' ah laws.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However, according to most mujtahids, if the shari'ah has explicitly explained the ratio legis ('illah) of a particular law, then the mujtahid can generalize that law for other similar things by the means of qiyas. And in such cases, it is known as qiyas mansusi’l-illah -- an analogy based on the ratio legis explicitly explained (by the shari'ah).</w:t>
      </w:r>
    </w:p>
    <w:p>
      <w:pPr>
        <w:pStyle w:val="Heading4"/>
        <w:numPr>
          <w:ilvl w:val="3"/>
          <w:numId w:val="1"/>
        </w:numPr>
        <w:bidi w:val="0"/>
        <w:jc w:val="left"/>
        <w:rPr/>
      </w:pPr>
      <w:bookmarkStart w:id="90" w:name="__RefHeading___Toc2027926_3804643083"/>
      <w:bookmarkStart w:id="91" w:name="_Toc34"/>
      <w:bookmarkEnd w:id="90"/>
      <w:r>
        <w:rPr/>
        <w:t>Legal (Shar’i) and Rational ('Aqli) Proofs</w:t>
      </w:r>
      <w:bookmarkEnd w:id="91"/>
    </w:p>
    <w:p>
      <w:pPr>
        <w:pStyle w:val="Heading5"/>
        <w:numPr>
          <w:ilvl w:val="4"/>
          <w:numId w:val="1"/>
        </w:numPr>
        <w:bidi w:val="0"/>
        <w:jc w:val="left"/>
        <w:rPr/>
      </w:pPr>
      <w:bookmarkStart w:id="92" w:name="__RefHeading___Toc2027928_3804643083"/>
      <w:bookmarkStart w:id="93" w:name="_Toc35"/>
      <w:bookmarkEnd w:id="92"/>
      <w:r>
        <w:rPr/>
        <w:t>point</w:t>
      </w:r>
      <w:bookmarkEnd w:id="9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sources of the shari'ah, whether qat'i or dhanni, can be of two types: dalil shar'i and dalil 'aqli.</w:t>
      </w:r>
      <w:bookmarkStart w:id="94" w:name="pg2298_32707"/>
    </w:p>
    <w:p>
      <w:pPr>
        <w:pStyle w:val="BookText"/>
        <w:bidi w:val="0"/>
        <w:rPr/>
      </w:pPr>
      <w:bookmarkEnd w:id="94"/>
      <w:r>
        <w:rPr>
          <w:rFonts w:eastAsia="Times New Roman" w:cs="Times New Roman" w:ascii="Times New Roman" w:hAnsi="Times New Roman"/>
          <w:color w:val="111111"/>
          <w:sz w:val="28"/>
          <w:szCs w:val="28"/>
          <w:lang w:val="en-US"/>
        </w:rPr>
        <w:t>Dalil Shar'i means a source which emanates from religious texts; we may translate it as "legal proof'. Dalil 'aqli means a source which emanates from intellectual argu</w:t>
        <w:softHyphen/>
        <w:t>ments.</w:t>
      </w:r>
    </w:p>
    <w:p>
      <w:pPr>
        <w:pStyle w:val="Heading5"/>
        <w:numPr>
          <w:ilvl w:val="4"/>
          <w:numId w:val="1"/>
        </w:numPr>
        <w:bidi w:val="0"/>
        <w:jc w:val="left"/>
        <w:rPr/>
      </w:pPr>
      <w:bookmarkStart w:id="95" w:name="__RefHeading___Toc2027930_3804643083"/>
      <w:bookmarkStart w:id="96" w:name="_Toc36"/>
      <w:bookmarkEnd w:id="95"/>
      <w:r>
        <w:rPr/>
        <w:t>1. Dalil Shar’i</w:t>
      </w:r>
      <w:bookmarkEnd w:id="96"/>
    </w:p>
    <w:p>
      <w:pPr>
        <w:pStyle w:val="BookText"/>
        <w:bidi w:val="0"/>
        <w:jc w:val="both"/>
        <w:rPr/>
      </w:pPr>
      <w:r>
        <w:rPr>
          <w:rFonts w:eastAsia="Times New Roman" w:cs="Times New Roman" w:ascii="Times New Roman" w:hAnsi="Times New Roman"/>
          <w:color w:val="111111"/>
          <w:sz w:val="28"/>
          <w:szCs w:val="28"/>
          <w:lang w:val="en-US"/>
        </w:rPr>
        <w:t>Dalil Shar'i or the Legal Proof. The dalil shar'i consists of the Qur' an and the sunnah -- the two main sources of the shari'ah. The dalil shar'i is divided into two: (a) Oral Proof like the Our'an and the hadith. (b) Non-Oral Proof like the practice of the ma'sum and his 'silent approval' of the action done in his presence. The silent approval of a ma'sum is known as "taqrir". How</w:t>
        <w:softHyphen/>
        <w:t>ever, even the non-oral proof reaches to us through the oral reports of the witnesses; therefore, for all practical purpose, both the oral and non-oral proofs are on the same level.</w:t>
      </w:r>
    </w:p>
    <w:p>
      <w:pPr>
        <w:pStyle w:val="BookText"/>
        <w:bidi w:val="0"/>
        <w:jc w:val="both"/>
        <w:rPr/>
      </w:pPr>
      <w:r>
        <w:rPr>
          <w:rFonts w:eastAsia="Times New Roman" w:cs="Times New Roman" w:ascii="Times New Roman" w:hAnsi="Times New Roman"/>
          <w:color w:val="111111"/>
          <w:sz w:val="28"/>
          <w:szCs w:val="28"/>
          <w:lang w:val="en-US"/>
        </w:rPr>
        <w:t>In order-to use the Legal Proofs in ijtihad, the mu</w:t>
        <w:softHyphen/>
        <w:t>jtahid has to study the following issues in Usulu’l-Fiqh:</w:t>
      </w:r>
    </w:p>
    <w:p>
      <w:pPr>
        <w:pStyle w:val="Heading5"/>
        <w:numPr>
          <w:ilvl w:val="4"/>
          <w:numId w:val="1"/>
        </w:numPr>
        <w:bidi w:val="0"/>
        <w:jc w:val="left"/>
        <w:rPr/>
      </w:pPr>
      <w:bookmarkStart w:id="97" w:name="__RefHeading___Toc2027932_3804643083"/>
      <w:bookmarkStart w:id="98" w:name="_Toc37"/>
      <w:bookmarkEnd w:id="97"/>
      <w:r>
        <w:rPr/>
        <w:t>(A) The Linguistic Problems</w:t>
      </w:r>
      <w:bookmarkEnd w:id="98"/>
    </w:p>
    <w:p>
      <w:pPr>
        <w:pStyle w:val="BookText"/>
        <w:bidi w:val="0"/>
        <w:jc w:val="both"/>
        <w:rPr/>
      </w:pPr>
      <w:r>
        <w:rPr>
          <w:rFonts w:eastAsia="Times New Roman" w:cs="Times New Roman" w:ascii="Times New Roman" w:hAnsi="Times New Roman"/>
          <w:color w:val="111111"/>
          <w:sz w:val="28"/>
          <w:szCs w:val="28"/>
          <w:lang w:val="en-US"/>
        </w:rPr>
        <w:t>Some of the questions studied in this area are:</w:t>
      </w:r>
    </w:p>
    <w:p>
      <w:pPr>
        <w:pStyle w:val="BookText"/>
        <w:bidi w:val="0"/>
        <w:jc w:val="both"/>
        <w:rPr/>
      </w:pPr>
      <w:r>
        <w:rPr>
          <w:rFonts w:eastAsia="Times New Roman" w:cs="Times New Roman" w:ascii="Times New Roman" w:hAnsi="Times New Roman"/>
          <w:color w:val="111111"/>
          <w:sz w:val="28"/>
          <w:szCs w:val="28"/>
          <w:lang w:val="en-US"/>
        </w:rPr>
        <w:t>Should I take all the words in dalil shar'i in their literal meaning?</w:t>
      </w:r>
    </w:p>
    <w:p>
      <w:pPr>
        <w:pStyle w:val="BookText"/>
        <w:bidi w:val="0"/>
        <w:jc w:val="both"/>
        <w:rPr/>
      </w:pPr>
      <w:r>
        <w:rPr>
          <w:rFonts w:eastAsia="Times New Roman" w:cs="Times New Roman" w:ascii="Times New Roman" w:hAnsi="Times New Roman"/>
          <w:color w:val="111111"/>
          <w:sz w:val="28"/>
          <w:szCs w:val="28"/>
          <w:lang w:val="en-US"/>
        </w:rPr>
        <w:t>Are metaphorical meanings of any use in dalil shar'i or not?</w:t>
      </w:r>
    </w:p>
    <w:p>
      <w:pPr>
        <w:pStyle w:val="BookText"/>
        <w:bidi w:val="0"/>
        <w:jc w:val="both"/>
        <w:rPr/>
      </w:pPr>
      <w:r>
        <w:rPr>
          <w:rFonts w:eastAsia="Times New Roman" w:cs="Times New Roman" w:ascii="Times New Roman" w:hAnsi="Times New Roman"/>
          <w:color w:val="111111"/>
          <w:sz w:val="28"/>
          <w:szCs w:val="28"/>
          <w:lang w:val="en-US"/>
        </w:rPr>
        <w:t>What are the imperative forms of words and what are their implications: does a command to do something automatically means the one is for</w:t>
        <w:softHyphen/>
        <w:t>bidden from its opposite?</w:t>
      </w:r>
    </w:p>
    <w:p>
      <w:pPr>
        <w:pStyle w:val="BookText"/>
        <w:bidi w:val="0"/>
        <w:jc w:val="both"/>
        <w:rPr/>
      </w:pPr>
      <w:r>
        <w:rPr>
          <w:rFonts w:eastAsia="Times New Roman" w:cs="Times New Roman" w:ascii="Times New Roman" w:hAnsi="Times New Roman"/>
          <w:color w:val="111111"/>
          <w:sz w:val="28"/>
          <w:szCs w:val="28"/>
          <w:lang w:val="en-US"/>
        </w:rPr>
        <w:t>What are the implications of the unconditional use of the word: do we generalize its contents?</w:t>
      </w:r>
    </w:p>
    <w:p>
      <w:pPr>
        <w:pStyle w:val="BookText"/>
        <w:bidi w:val="0"/>
        <w:jc w:val="both"/>
        <w:rPr/>
      </w:pPr>
      <w:r>
        <w:rPr>
          <w:rFonts w:eastAsia="Times New Roman" w:cs="Times New Roman" w:ascii="Times New Roman" w:hAnsi="Times New Roman"/>
          <w:color w:val="111111"/>
          <w:sz w:val="28"/>
          <w:szCs w:val="28"/>
          <w:lang w:val="en-US"/>
        </w:rPr>
        <w:t>What is the implication of a conditional sentence: do we restrict its application?</w:t>
      </w:r>
    </w:p>
    <w:p>
      <w:pPr>
        <w:pStyle w:val="BookText"/>
        <w:bidi w:val="0"/>
        <w:jc w:val="both"/>
        <w:rPr/>
      </w:pPr>
      <w:r>
        <w:rPr>
          <w:rFonts w:eastAsia="Times New Roman" w:cs="Times New Roman" w:ascii="Times New Roman" w:hAnsi="Times New Roman"/>
          <w:color w:val="111111"/>
          <w:sz w:val="28"/>
          <w:szCs w:val="28"/>
          <w:lang w:val="en-US"/>
        </w:rPr>
        <w:t>What are the implications of a nass? (N ass means an oral proof containing a word which has only one meaning.)</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w:t>
      </w:r>
      <w:bookmarkStart w:id="99" w:name="pg2298_32708"/>
    </w:p>
    <w:p>
      <w:pPr>
        <w:pStyle w:val="BookText"/>
        <w:bidi w:val="0"/>
        <w:rPr/>
      </w:pPr>
      <w:bookmarkEnd w:id="99"/>
      <w:r>
        <w:rPr>
          <w:rFonts w:eastAsia="Times New Roman" w:cs="Times New Roman" w:ascii="Times New Roman" w:hAnsi="Times New Roman"/>
          <w:color w:val="111111"/>
          <w:sz w:val="28"/>
          <w:szCs w:val="28"/>
          <w:lang w:val="en-US"/>
        </w:rPr>
        <w:t>are the implications ofa mujmal? (Mujmal means an oral proof containing a word which has more than one meaning and is used in those meanings equally.)</w:t>
      </w:r>
    </w:p>
    <w:p>
      <w:pPr>
        <w:pStyle w:val="BookText"/>
        <w:bidi w:val="0"/>
        <w:jc w:val="both"/>
        <w:rPr/>
      </w:pPr>
      <w:r>
        <w:rPr>
          <w:rFonts w:eastAsia="Times New Roman" w:cs="Times New Roman" w:ascii="Times New Roman" w:hAnsi="Times New Roman"/>
          <w:color w:val="111111"/>
          <w:sz w:val="28"/>
          <w:szCs w:val="28"/>
          <w:lang w:val="en-US"/>
        </w:rPr>
        <w:t>How do we use the context of the sentence to understand the mujmal word? For example, the word "yad" is used in the Qur'an in the verses of wudu, tayammum and punishment for theft. The word "yad" means palms, forearm and hand. So how do you interpret the word "yad" in such verses? Well, in the verse of wudu it is simple because we have a context; the verse says that wash your "yad up to the elbows". The context ("up to the elbow") helps us in under</w:t>
        <w:softHyphen/>
        <w:t>standing the meaning of "yad" in the verse of wudu.</w:t>
      </w:r>
    </w:p>
    <w:p>
      <w:pPr>
        <w:pStyle w:val="Heading5"/>
        <w:numPr>
          <w:ilvl w:val="4"/>
          <w:numId w:val="1"/>
        </w:numPr>
        <w:bidi w:val="0"/>
        <w:jc w:val="left"/>
        <w:rPr/>
      </w:pPr>
      <w:bookmarkStart w:id="100" w:name="__RefHeading___Toc2027934_3804643083"/>
      <w:bookmarkStart w:id="101" w:name="_Toc38"/>
      <w:bookmarkEnd w:id="100"/>
      <w:r>
        <w:rPr/>
        <w:t>(B) The Problems of Authenticity:</w:t>
      </w:r>
      <w:bookmarkEnd w:id="101"/>
    </w:p>
    <w:p>
      <w:pPr>
        <w:pStyle w:val="BookText"/>
        <w:bidi w:val="0"/>
        <w:jc w:val="both"/>
        <w:rPr/>
      </w:pPr>
      <w:r>
        <w:rPr>
          <w:rFonts w:eastAsia="Times New Roman" w:cs="Times New Roman" w:ascii="Times New Roman" w:hAnsi="Times New Roman"/>
          <w:color w:val="111111"/>
          <w:sz w:val="28"/>
          <w:szCs w:val="28"/>
          <w:lang w:val="en-US"/>
        </w:rPr>
        <w:t>The mujtahid has also to study the ways of determin</w:t>
        <w:softHyphen/>
        <w:t>ing the authenticity of the Legal Proofs. This problem has given rise to the development of two sciences known as 'Ilmu 'r-Rijal and Dirayatu 'l-Hadith.</w:t>
      </w:r>
    </w:p>
    <w:p>
      <w:pPr>
        <w:pStyle w:val="BookText"/>
        <w:bidi w:val="0"/>
        <w:jc w:val="both"/>
        <w:rPr/>
      </w:pPr>
      <w:r>
        <w:rPr>
          <w:rFonts w:eastAsia="Times New Roman" w:cs="Times New Roman" w:ascii="Times New Roman" w:hAnsi="Times New Roman"/>
          <w:color w:val="111111"/>
          <w:sz w:val="28"/>
          <w:szCs w:val="28"/>
          <w:lang w:val="en-US"/>
        </w:rPr>
        <w:t>'Ilmu 'r-Rijal literally means 'knowledge about men,' it deals with the biography and character of the narrators of hadith. On basis of this knowledge, the 'ulama' classify the narra</w:t>
        <w:softHyphen/>
        <w:t>tors in different categories; and these categories in turn help in classifying the hadith as authentic or acceptable or weak or fabricated or unreliable, etc. There are at least 38 different classifications of hadith.</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Dirayatu ' l-Hadith means the science of hadith, and it deals mostly with the "chain of narration" as a whole instead of the individual narrators. This science helps the mujtahid in classifying certain</w:t>
      </w:r>
      <w:bookmarkStart w:id="102" w:name="pg2298_32709"/>
    </w:p>
    <w:p>
      <w:pPr>
        <w:pStyle w:val="BookText"/>
        <w:bidi w:val="0"/>
        <w:rPr/>
      </w:pPr>
      <w:bookmarkEnd w:id="102"/>
      <w:r>
        <w:rPr>
          <w:rFonts w:eastAsia="Times New Roman" w:cs="Times New Roman" w:ascii="Times New Roman" w:hAnsi="Times New Roman"/>
          <w:color w:val="111111"/>
          <w:sz w:val="28"/>
          <w:szCs w:val="28"/>
          <w:lang w:val="en-US"/>
        </w:rPr>
        <w:t>narrators into groups and expedites their judgement about hadith narrated through those particular channels.</w:t>
      </w:r>
    </w:p>
    <w:p>
      <w:pPr>
        <w:pStyle w:val="Heading5"/>
        <w:numPr>
          <w:ilvl w:val="4"/>
          <w:numId w:val="1"/>
        </w:numPr>
        <w:bidi w:val="0"/>
        <w:jc w:val="left"/>
        <w:rPr/>
      </w:pPr>
      <w:bookmarkStart w:id="103" w:name="__RefHeading___Toc2027936_3804643083"/>
      <w:bookmarkStart w:id="104" w:name="_Toc39"/>
      <w:bookmarkEnd w:id="103"/>
      <w:r>
        <w:rPr/>
        <w:t>Examples of how a mujtahid comes to know of a Legal Proof:</w:t>
      </w:r>
      <w:bookmarkEnd w:id="104"/>
    </w:p>
    <w:p>
      <w:pPr>
        <w:pStyle w:val="BookText"/>
        <w:bidi w:val="0"/>
        <w:jc w:val="both"/>
        <w:rPr/>
      </w:pPr>
      <w:r>
        <w:rPr>
          <w:rFonts w:eastAsia="Times New Roman" w:cs="Times New Roman" w:ascii="Times New Roman" w:hAnsi="Times New Roman"/>
          <w:color w:val="111111"/>
          <w:sz w:val="28"/>
          <w:szCs w:val="28"/>
          <w:lang w:val="en-US"/>
        </w:rPr>
        <w:t>i. Tawatur: a narration reported by so many people that the very number of its reporters is enough to create conviction about the truth of its contents. A hadith or an account of a ma’sum’s narrated in such a way is known as mutawatir.</w:t>
      </w:r>
    </w:p>
    <w:p>
      <w:pPr>
        <w:pStyle w:val="BookText"/>
        <w:bidi w:val="0"/>
        <w:jc w:val="both"/>
        <w:rPr/>
      </w:pPr>
      <w:r>
        <w:rPr>
          <w:rFonts w:eastAsia="Times New Roman" w:cs="Times New Roman" w:ascii="Times New Roman" w:hAnsi="Times New Roman"/>
          <w:color w:val="111111"/>
          <w:sz w:val="28"/>
          <w:szCs w:val="28"/>
          <w:lang w:val="en-US"/>
        </w:rPr>
        <w:t>ii. Khabar wahid thiqah: a hadith narrated by a single reliable narrator. We have already mentioned khabar wahid thiqah earlier.</w:t>
      </w:r>
    </w:p>
    <w:p>
      <w:pPr>
        <w:pStyle w:val="BookText"/>
        <w:bidi w:val="0"/>
        <w:jc w:val="both"/>
        <w:rPr/>
      </w:pPr>
      <w:r>
        <w:rPr>
          <w:rFonts w:eastAsia="Times New Roman" w:cs="Times New Roman" w:ascii="Times New Roman" w:hAnsi="Times New Roman"/>
          <w:color w:val="111111"/>
          <w:sz w:val="28"/>
          <w:szCs w:val="28"/>
          <w:lang w:val="en-US"/>
        </w:rPr>
        <w:t>iii. Siratun mutasharri'ah: the general attitude or practice of the religiously-minded companions of our Imams about a particular issue which is not found in the existing hadith literature. This' general attitude or prac</w:t>
        <w:softHyphen/>
        <w:t>tice' is known as siratun mutasharri'ah. This sirah indicates that an oral proof must have existed during their time. For example, if the prominent companions of Imam Ja'far as-Sadiq (a.s.) did not attend the Friday prayers led by persons appointed by the rulers, then their attitude proves that the Friday prayer behind a person appointed by an illegitimate government is not valid</w:t>
        <w:softHyphen/>
        <w:t xml:space="preserve"> otherwise, the Imam would have objected to the actions of his companions.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Ijma’: 'means consensus. In Usulu’l-Fiqh, it refers to the consensus of the early Shi'ah 'ulama' on an issue which is not found in the existing hadith literature. Such an ijma' indicates that an oral proof must have existed in their time on which they based their ruling. In Shi'ah jurisprudence, ijma' is not by itself a source of the shari'ah; instead, it is a means</w:t>
      </w:r>
      <w:bookmarkStart w:id="105" w:name="pg2298_32710"/>
    </w:p>
    <w:p>
      <w:pPr>
        <w:pStyle w:val="BookText"/>
        <w:bidi w:val="0"/>
        <w:rPr/>
      </w:pPr>
      <w:bookmarkEnd w:id="105"/>
      <w:r>
        <w:rPr>
          <w:rFonts w:eastAsia="Times New Roman" w:cs="Times New Roman" w:ascii="Times New Roman" w:hAnsi="Times New Roman"/>
          <w:color w:val="111111"/>
          <w:sz w:val="28"/>
          <w:szCs w:val="28"/>
          <w:lang w:val="en-US"/>
        </w:rPr>
        <w:t>of proving the existence of an oral proof which is now extinct.</w:t>
      </w:r>
    </w:p>
    <w:p>
      <w:pPr>
        <w:pStyle w:val="Heading5"/>
        <w:numPr>
          <w:ilvl w:val="4"/>
          <w:numId w:val="1"/>
        </w:numPr>
        <w:bidi w:val="0"/>
        <w:jc w:val="left"/>
        <w:rPr/>
      </w:pPr>
      <w:bookmarkStart w:id="106" w:name="__RefHeading___Toc2027938_3804643083"/>
      <w:bookmarkStart w:id="107" w:name="_Toc40"/>
      <w:bookmarkEnd w:id="106"/>
      <w:r>
        <w:rPr/>
        <w:t>2. Dalil 'Aqli:</w:t>
      </w:r>
      <w:bookmarkEnd w:id="107"/>
    </w:p>
    <w:p>
      <w:pPr>
        <w:pStyle w:val="BookText"/>
        <w:bidi w:val="0"/>
        <w:jc w:val="both"/>
        <w:rPr/>
      </w:pPr>
      <w:r>
        <w:rPr>
          <w:rFonts w:eastAsia="Times New Roman" w:cs="Times New Roman" w:ascii="Times New Roman" w:hAnsi="Times New Roman"/>
          <w:color w:val="111111"/>
          <w:sz w:val="28"/>
          <w:szCs w:val="28"/>
          <w:lang w:val="en-US"/>
        </w:rPr>
        <w:t>Dalil 'aqli means the intellectual reasoning or ra</w:t>
        <w:softHyphen/>
        <w:t>tional argument. In Usulu'l-Fiqh, dalil 'aqli means the intellectual prepositions which can be used as a source of deriving shari'ah laws. However, the scope of intel</w:t>
        <w:softHyphen/>
        <w:t>lectual prepositions in</w:t>
      </w:r>
    </w:p>
    <w:p>
      <w:pPr>
        <w:pStyle w:val="BookText"/>
        <w:bidi w:val="0"/>
        <w:jc w:val="both"/>
        <w:rPr/>
      </w:pPr>
      <w:r>
        <w:rPr>
          <w:rFonts w:eastAsia="Times New Roman" w:cs="Times New Roman" w:ascii="Times New Roman" w:hAnsi="Times New Roman"/>
          <w:color w:val="111111"/>
          <w:sz w:val="28"/>
          <w:szCs w:val="28"/>
          <w:lang w:val="en-US"/>
        </w:rPr>
        <w:t>shari'ah is limited; it is not like ijtihad bi 'r-ra'iy (application of independent opinion). The intellectual prepositions are only used for deriving the details of the shari'ah laws which exist.</w:t>
      </w:r>
    </w:p>
    <w:p>
      <w:pPr>
        <w:pStyle w:val="BookText"/>
        <w:bidi w:val="0"/>
        <w:jc w:val="both"/>
        <w:rPr/>
      </w:pPr>
      <w:r>
        <w:rPr>
          <w:rFonts w:eastAsia="Times New Roman" w:cs="Times New Roman" w:ascii="Times New Roman" w:hAnsi="Times New Roman"/>
          <w:color w:val="111111"/>
          <w:sz w:val="28"/>
          <w:szCs w:val="28"/>
          <w:lang w:val="en-US"/>
        </w:rPr>
        <w:t>For example, one such intellectual preposition says, "If an act is made obligatory (wajib) by the shari'ah, then it automatically follows that its essential preliminaries are also wajib." This intellectual preposition is known in Arabic as "muqaddimatu 'l-wajib, wajibun", So if the shari'ah says, "Hajj is wajib," then the mujtahid can use the above mentioned intellectual preposition and derive the following laws: to travel to Mecca is wajib; to acquire the means of transportation is wajib, and to apply for a passport is wajib -- because without these preliminaries, hajj would be not be possible.</w:t>
      </w:r>
    </w:p>
    <w:p>
      <w:pPr>
        <w:pStyle w:val="BookText"/>
        <w:bidi w:val="0"/>
        <w:jc w:val="both"/>
        <w:rPr/>
      </w:pPr>
      <w:r>
        <w:rPr>
          <w:rFonts w:eastAsia="Times New Roman" w:cs="Times New Roman" w:ascii="Times New Roman" w:hAnsi="Times New Roman"/>
          <w:color w:val="111111"/>
          <w:sz w:val="28"/>
          <w:szCs w:val="28"/>
          <w:lang w:val="en-US"/>
        </w:rPr>
        <w:t>The intellectual prepositions which are used in ijti</w:t>
        <w:softHyphen/>
        <w:t>had are formed by studying, among other things, the following relationships between the shari'ah laws:</w:t>
      </w:r>
    </w:p>
    <w:p>
      <w:pPr>
        <w:pStyle w:val="BookText"/>
        <w:bidi w:val="0"/>
        <w:jc w:val="both"/>
        <w:rPr/>
      </w:pPr>
      <w:r>
        <w:rPr>
          <w:rFonts w:eastAsia="Times New Roman" w:cs="Times New Roman" w:ascii="Times New Roman" w:hAnsi="Times New Roman"/>
          <w:color w:val="111111"/>
          <w:sz w:val="28"/>
          <w:szCs w:val="28"/>
          <w:lang w:val="en-US"/>
        </w:rPr>
        <w:t>i. The relationship between haram (forbidden) and batil (invalid): if an act is haram, is it automatically batil also?</w:t>
      </w:r>
    </w:p>
    <w:p>
      <w:pPr>
        <w:pStyle w:val="BookText"/>
        <w:bidi w:val="0"/>
        <w:jc w:val="both"/>
        <w:rPr/>
      </w:pPr>
      <w:r>
        <w:rPr>
          <w:rFonts w:eastAsia="Times New Roman" w:cs="Times New Roman" w:ascii="Times New Roman" w:hAnsi="Times New Roman"/>
          <w:color w:val="111111"/>
          <w:sz w:val="28"/>
          <w:szCs w:val="28"/>
          <w:lang w:val="en-US"/>
        </w:rPr>
        <w:t>ii. The relationship between haram (forbidden) and sahih (valid): can an act be valid but haram at the same time?</w:t>
      </w:r>
    </w:p>
    <w:p>
      <w:pPr>
        <w:pStyle w:val="BookText"/>
        <w:bidi w:val="0"/>
        <w:jc w:val="both"/>
        <w:rPr/>
      </w:pPr>
      <w:r>
        <w:rPr>
          <w:rFonts w:eastAsia="Times New Roman" w:cs="Times New Roman" w:ascii="Times New Roman" w:hAnsi="Times New Roman"/>
          <w:color w:val="111111"/>
          <w:sz w:val="28"/>
          <w:szCs w:val="28"/>
          <w:lang w:val="en-US"/>
        </w:rPr>
        <w:t>iii. The relationship between legislation of a law (ja'l) and its application on an individual (fi'liyyah).</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The</w:t>
      </w:r>
      <w:bookmarkStart w:id="108" w:name="pg2298_32711"/>
    </w:p>
    <w:p>
      <w:pPr>
        <w:pStyle w:val="BookText"/>
        <w:bidi w:val="0"/>
        <w:rPr/>
      </w:pPr>
      <w:bookmarkEnd w:id="108"/>
      <w:r>
        <w:rPr>
          <w:rFonts w:eastAsia="Times New Roman" w:cs="Times New Roman" w:ascii="Times New Roman" w:hAnsi="Times New Roman"/>
          <w:color w:val="111111"/>
          <w:sz w:val="28"/>
          <w:szCs w:val="28"/>
          <w:lang w:val="en-US"/>
        </w:rPr>
        <w:t>relationship between the laws and those on whom they are to be applied.</w:t>
      </w:r>
    </w:p>
    <w:p>
      <w:pPr>
        <w:pStyle w:val="BookText"/>
        <w:bidi w:val="0"/>
        <w:jc w:val="both"/>
        <w:rPr/>
      </w:pPr>
      <w:r>
        <w:rPr>
          <w:rFonts w:eastAsia="Times New Roman" w:cs="Times New Roman" w:ascii="Times New Roman" w:hAnsi="Times New Roman"/>
          <w:color w:val="111111"/>
          <w:sz w:val="28"/>
          <w:szCs w:val="28"/>
          <w:lang w:val="en-US"/>
        </w:rPr>
        <w:t>v. The relationship between laws and its essential preliminaries as explained in the example of hajj.</w:t>
      </w:r>
    </w:p>
    <w:p>
      <w:pPr>
        <w:pStyle w:val="Heading4"/>
        <w:numPr>
          <w:ilvl w:val="3"/>
          <w:numId w:val="1"/>
        </w:numPr>
        <w:bidi w:val="0"/>
        <w:jc w:val="left"/>
        <w:rPr/>
      </w:pPr>
      <w:bookmarkStart w:id="109" w:name="__RefHeading___Toc2027940_3804643083"/>
      <w:bookmarkStart w:id="110" w:name="_Toc41"/>
      <w:bookmarkEnd w:id="109"/>
      <w:r>
        <w:rPr/>
        <w:t>The Procedural Rules (Al-Usulu'l-'Amaliyyah)</w:t>
      </w:r>
      <w:bookmarkEnd w:id="110"/>
    </w:p>
    <w:p>
      <w:pPr>
        <w:pStyle w:val="BookText"/>
        <w:bidi w:val="0"/>
        <w:jc w:val="both"/>
        <w:rPr/>
      </w:pPr>
      <w:r>
        <w:rPr>
          <w:rFonts w:eastAsia="Times New Roman" w:cs="Times New Roman" w:ascii="Times New Roman" w:hAnsi="Times New Roman"/>
          <w:color w:val="111111"/>
          <w:sz w:val="28"/>
          <w:szCs w:val="28"/>
          <w:lang w:val="en-US"/>
        </w:rPr>
        <w:t>After defining the sources of the shari'ah, the mujta</w:t>
        <w:softHyphen/>
        <w:t>hid has to set up a mechanism to solve the problems which have not been mentioned in the Qur'an and the sunnah. For example, when a mujtahid looks into his sources for the ruling on smoking, he does not find anything specific on it. In Usulu 'l-Fiqh, the mujtahid establishes some "procedural rules" or "practical prin</w:t>
        <w:softHyphen/>
        <w:t>ciples" which he will use in such cases. These rules or principles are known as "al-usulu 'l-‘amaliyyah".</w:t>
      </w:r>
    </w:p>
    <w:p>
      <w:pPr>
        <w:pStyle w:val="BookText"/>
        <w:bidi w:val="0"/>
        <w:jc w:val="both"/>
        <w:rPr/>
      </w:pPr>
      <w:r>
        <w:rPr>
          <w:rFonts w:eastAsia="Times New Roman" w:cs="Times New Roman" w:ascii="Times New Roman" w:hAnsi="Times New Roman"/>
          <w:color w:val="111111"/>
          <w:sz w:val="28"/>
          <w:szCs w:val="28"/>
          <w:lang w:val="en-US"/>
        </w:rPr>
        <w:t>The Usulu ‘l-‘Amaliyyah are four: asalatu ‘l-istishab; asalatu ‘l-bara’ah; asalatu ‘l-ihtiyat; and asalatu ‘t-takhyir.</w:t>
      </w:r>
    </w:p>
    <w:p>
      <w:pPr>
        <w:pStyle w:val="BookText"/>
        <w:bidi w:val="0"/>
        <w:jc w:val="both"/>
        <w:rPr/>
      </w:pPr>
      <w:r>
        <w:rPr>
          <w:rFonts w:eastAsia="Times New Roman" w:cs="Times New Roman" w:ascii="Times New Roman" w:hAnsi="Times New Roman"/>
          <w:color w:val="111111"/>
          <w:sz w:val="28"/>
          <w:szCs w:val="28"/>
          <w:lang w:val="en-US"/>
        </w:rPr>
        <w:t>Asalatu ‘l-Istishab means the principle or rule of continuity. This principle is used in a case in which a person has "a previous certainty" and "a present doubt" about the same thing. For example, there is a glass of water on my table. I am sure that it was ritually pure (tahir) in the morning, but now I doubt in its ritual purity. The principle of istishab says that act on your previous certainty and ignore your present doubt because doubt cannot over-ride certainty.</w:t>
      </w:r>
    </w:p>
    <w:p>
      <w:pPr>
        <w:pStyle w:val="BookText"/>
        <w:bidi w:val="0"/>
        <w:jc w:val="both"/>
        <w:rPr/>
      </w:pPr>
      <w:r>
        <w:rPr>
          <w:rFonts w:eastAsia="Times New Roman" w:cs="Times New Roman" w:ascii="Times New Roman" w:hAnsi="Times New Roman"/>
          <w:color w:val="111111"/>
          <w:sz w:val="28"/>
          <w:szCs w:val="28"/>
          <w:lang w:val="en-US"/>
        </w:rPr>
        <w:t>This procedural rule has been taken from the following hadith of Imam Ja’far as-Sadiq (a.s.) who said in the answer to Zurarah that “doubt cannot over-ride certainty; it can be over-ridden only by another certainty.”</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Asalatu 'l-Bara'ah means the principle of exon</w:t>
        <w:softHyphen/>
        <w:t>eration. This procedural rule is</w:t>
      </w:r>
    </w:p>
    <w:p>
      <w:pPr>
        <w:pStyle w:val="BookText"/>
        <w:bidi w:val="0"/>
        <w:rPr/>
      </w:pPr>
      <w:r>
        <w:rPr>
          <w:rFonts w:eastAsia="Times New Roman" w:cs="Times New Roman" w:ascii="Times New Roman" w:hAnsi="Times New Roman"/>
          <w:color w:val="111111"/>
          <w:sz w:val="28"/>
          <w:szCs w:val="28"/>
          <w:lang w:val="en-US"/>
        </w:rPr>
        <w:t>applied in a case which has not been mentioned, explicitly or implicitly, in the sources of the shari'ah. Asalatu ‘l-Bara’ah says that since the shari'ah has no opinion in this issue, the Muslims are free to do whatever they like. For example, when dealing with the question of smoking, the mujtahid does not find any opinion about it in the sources of shari'ah. In such a case, he would apply the principle of exoneration and say that "Smoking is not haram."</w:t>
      </w:r>
    </w:p>
    <w:p>
      <w:pPr>
        <w:pStyle w:val="BookText"/>
        <w:bidi w:val="0"/>
        <w:jc w:val="both"/>
        <w:rPr/>
      </w:pPr>
      <w:r>
        <w:rPr>
          <w:rFonts w:eastAsia="Times New Roman" w:cs="Times New Roman" w:ascii="Times New Roman" w:hAnsi="Times New Roman"/>
          <w:color w:val="111111"/>
          <w:sz w:val="28"/>
          <w:szCs w:val="28"/>
          <w:lang w:val="en-US"/>
        </w:rPr>
        <w:t>Asalatu ' l-Ihtiyat means the principle of precau</w:t>
        <w:softHyphen/>
        <w:t>tion. This principle is applied in a case where there is only partial knowledge about the law; that is, in cases of al-‘ilmu ‘l-ijmali -- where there is a semi-doubt and a semi-certainty. In such cases, the shari'ah expects us to act precautionarily. A most familiar example where this principle is applied is the case of Friday prayer during the major occultation of the Present Imam. We know that on Fridays, one of the two prayers -either Friday prayer or noon prayer- is definitely wajib, but we do not know which one. Application of asalatu ‘l-ihtiyat in this case would mean that it is precautionarily better to pray both prayers to ensure that we have performed what was expected of us.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procedural rule is known as Asalatu ‘t-Takhyir. Asalatu ‘t-Takhyir which means the principle of choice. This principle is applied in cases similar to that of asalatu ‘l-ihtiyat, that is, semi-doubt and semi certainty. However, the principle of choice is</w:t>
      </w:r>
      <w:bookmarkStart w:id="111" w:name="pg2298_32713"/>
    </w:p>
    <w:p>
      <w:pPr>
        <w:pStyle w:val="BookText"/>
        <w:bidi w:val="0"/>
        <w:rPr/>
      </w:pPr>
      <w:bookmarkEnd w:id="111"/>
      <w:r>
        <w:rPr>
          <w:rFonts w:eastAsia="Times New Roman" w:cs="Times New Roman" w:ascii="Times New Roman" w:hAnsi="Times New Roman"/>
          <w:color w:val="111111"/>
          <w:sz w:val="28"/>
          <w:szCs w:val="28"/>
          <w:lang w:val="en-US"/>
        </w:rPr>
        <w:t>applied where it is not possible to act on both sides of the issue. For example, when dealing with the noon or Friday prayer issue, some mujtahids may conclude that saying both prayers is not practical and specifying one without a clear evidence is not correct -- therefore, they apply the principle of choice and say that one can say either Friday prayer or noon prayer.</w:t>
      </w:r>
    </w:p>
    <w:p>
      <w:pPr>
        <w:pStyle w:val="Heading4"/>
        <w:numPr>
          <w:ilvl w:val="3"/>
          <w:numId w:val="1"/>
        </w:numPr>
        <w:bidi w:val="0"/>
        <w:jc w:val="left"/>
        <w:rPr/>
      </w:pPr>
      <w:bookmarkStart w:id="112" w:name="__RefHeading___Toc2027942_3804643083"/>
      <w:bookmarkStart w:id="113" w:name="_Toc42"/>
      <w:bookmarkEnd w:id="112"/>
      <w:r>
        <w:rPr/>
        <w:t>The Problem of Contradiction</w:t>
      </w:r>
      <w:bookmarkEnd w:id="113"/>
    </w:p>
    <w:p>
      <w:pPr>
        <w:pStyle w:val="BookText"/>
        <w:bidi w:val="0"/>
        <w:jc w:val="both"/>
        <w:rPr/>
      </w:pPr>
      <w:r>
        <w:rPr>
          <w:rFonts w:eastAsia="Times New Roman" w:cs="Times New Roman" w:ascii="Times New Roman" w:hAnsi="Times New Roman"/>
          <w:color w:val="111111"/>
          <w:sz w:val="28"/>
          <w:szCs w:val="28"/>
          <w:lang w:val="en-US"/>
        </w:rPr>
        <w:t>The last topic to be discussed in Usulu 'l-Fiqh deals with the problem of contradiction in the proofs of the shari'ah. The mujtahid has to layout a mechanism which he will use in case he comes upon contradiction in his sources. Our Imams have given quite a few guidelines to solve such problems; as mentioned earlier, the ahadith dealing with these problems are known as al-akhbaru ‘l-ilajiyyah.</w:t>
      </w:r>
    </w:p>
    <w:p>
      <w:pPr>
        <w:pStyle w:val="BookText"/>
        <w:bidi w:val="0"/>
        <w:jc w:val="both"/>
        <w:rPr/>
      </w:pPr>
      <w:r>
        <w:rPr>
          <w:rFonts w:eastAsia="Times New Roman" w:cs="Times New Roman" w:ascii="Times New Roman" w:hAnsi="Times New Roman"/>
          <w:color w:val="111111"/>
          <w:sz w:val="28"/>
          <w:szCs w:val="28"/>
          <w:lang w:val="en-US"/>
        </w:rPr>
        <w:t>The contradiction between the proofs can be found in different forms and has to be solved in different ways: (a) The contradiction between two oral-proofs can occur in following ways:</w:t>
      </w:r>
    </w:p>
    <w:p>
      <w:pPr>
        <w:pStyle w:val="BookText"/>
        <w:bidi w:val="0"/>
        <w:jc w:val="both"/>
        <w:rPr/>
      </w:pPr>
      <w:r>
        <w:rPr>
          <w:rFonts w:eastAsia="Times New Roman" w:cs="Times New Roman" w:ascii="Times New Roman" w:hAnsi="Times New Roman"/>
          <w:color w:val="111111"/>
          <w:sz w:val="28"/>
          <w:szCs w:val="28"/>
          <w:lang w:val="en-US"/>
        </w:rPr>
        <w:t>(a) The contradiction between two oral-proofs can occur in following ways: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nass and a hadith with an "apparent" meaning: the former is preferred over the latter. For example, one hadith says, "Pray (salli) the mid-night prayer;" and another hadith says, “Mid-night prayer is recommended (mustahab).” The first example is of a hadith with an "apparent" meaning: it contains the word "pray" in imperative form which is used both for obligatory acts as well as for recommendation. The second example is of a hadith which is a nass:</w:t>
      </w:r>
    </w:p>
    <w:p>
      <w:pPr>
        <w:pStyle w:val="BookText"/>
        <w:bidi w:val="0"/>
        <w:rPr/>
      </w:pPr>
      <w:r>
        <w:rPr>
          <w:rFonts w:eastAsia="Times New Roman" w:cs="Times New Roman" w:ascii="Times New Roman" w:hAnsi="Times New Roman"/>
          <w:color w:val="111111"/>
          <w:sz w:val="28"/>
          <w:szCs w:val="28"/>
          <w:lang w:val="en-US"/>
        </w:rPr>
        <w:t>it contains the words "rec</w:t>
        <w:softHyphen/>
        <w:t>ommended" which only means that the act is recom</w:t>
        <w:softHyphen/>
        <w:t>mended and not wajib. In this case, the nass will be preferred and used as a qualifier for the "apparent" hadith.</w:t>
      </w:r>
    </w:p>
    <w:p>
      <w:pPr>
        <w:pStyle w:val="BookText"/>
        <w:bidi w:val="0"/>
        <w:jc w:val="both"/>
        <w:rPr/>
      </w:pPr>
      <w:r>
        <w:rPr>
          <w:rFonts w:eastAsia="Times New Roman" w:cs="Times New Roman" w:ascii="Times New Roman" w:hAnsi="Times New Roman"/>
          <w:color w:val="111111"/>
          <w:sz w:val="28"/>
          <w:szCs w:val="28"/>
          <w:lang w:val="en-US"/>
        </w:rPr>
        <w:t>One is of a general nature and the other is conditional: the conditional proof curbs the generaliza</w:t>
        <w:softHyphen/>
        <w:t>tion of the former. For example, one hadith says, "If you break your oath, then you must free a slave;" whereas another hadith says, "If you break your oath, then you must free a Muslim slave." The second hadith will be preferred and used to curb the general implication of the first hadith.</w:t>
      </w:r>
    </w:p>
    <w:p>
      <w:pPr>
        <w:pStyle w:val="BookText"/>
        <w:bidi w:val="0"/>
        <w:jc w:val="both"/>
        <w:rPr/>
      </w:pPr>
      <w:r>
        <w:rPr>
          <w:rFonts w:eastAsia="Times New Roman" w:cs="Times New Roman" w:ascii="Times New Roman" w:hAnsi="Times New Roman"/>
          <w:color w:val="111111"/>
          <w:sz w:val="28"/>
          <w:szCs w:val="28"/>
          <w:lang w:val="en-US"/>
        </w:rPr>
        <w:t>One deals with the legislation of laws and the other restricts its application on certain individuals: the later over-rides the former. For example, one hadith says, "Respect the 'ulama;" while another hadith says, "Do not respect the fasiq 'ulama." The latter hadith limits the application of the former hadith.</w:t>
      </w:r>
    </w:p>
    <w:p>
      <w:pPr>
        <w:pStyle w:val="BookText"/>
        <w:bidi w:val="0"/>
        <w:jc w:val="both"/>
        <w:rPr/>
      </w:pPr>
      <w:r>
        <w:rPr>
          <w:rFonts w:eastAsia="Times New Roman" w:cs="Times New Roman" w:ascii="Times New Roman" w:hAnsi="Times New Roman"/>
          <w:color w:val="111111"/>
          <w:sz w:val="28"/>
          <w:szCs w:val="28"/>
          <w:lang w:val="en-US"/>
        </w:rPr>
        <w:t>(b) If two authentic ahadith contradict each other in such a way that it is not possible to reconcile them together, then both are to be discarded.</w:t>
      </w:r>
    </w:p>
    <w:p>
      <w:pPr>
        <w:pStyle w:val="BookText"/>
        <w:bidi w:val="0"/>
        <w:jc w:val="both"/>
        <w:rPr/>
      </w:pPr>
      <w:r>
        <w:rPr>
          <w:rFonts w:eastAsia="Times New Roman" w:cs="Times New Roman" w:ascii="Times New Roman" w:hAnsi="Times New Roman"/>
          <w:color w:val="111111"/>
          <w:sz w:val="28"/>
          <w:szCs w:val="28"/>
          <w:lang w:val="en-US"/>
        </w:rPr>
        <w:t>(c) If the contradiction is between "convincing oral</w:t>
        <w:softHyphen/>
        <w:t>proof' and an non-oral, non-convincing proof, then the former is preferred.</w:t>
      </w:r>
    </w:p>
    <w:p>
      <w:pPr>
        <w:pStyle w:val="BookText"/>
        <w:bidi w:val="0"/>
        <w:jc w:val="both"/>
        <w:rPr/>
      </w:pPr>
      <w:r>
        <w:rPr>
          <w:rFonts w:eastAsia="Times New Roman" w:cs="Times New Roman" w:ascii="Times New Roman" w:hAnsi="Times New Roman"/>
          <w:color w:val="111111"/>
          <w:sz w:val="28"/>
          <w:szCs w:val="28"/>
          <w:lang w:val="en-US"/>
        </w:rPr>
        <w:t>(d) If there is contradiction between a convincing proof and a dhanni proof on the one hand and a proce</w:t>
        <w:softHyphen/>
        <w:t>dural rule on the other, then the former is accepted because the latter is applied only when there is no proof at all.</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If there is a contradiction between the principles of bara’ah and of</w:t>
      </w:r>
      <w:bookmarkStart w:id="114" w:name="pg2298_32715"/>
    </w:p>
    <w:p>
      <w:pPr>
        <w:pStyle w:val="BookText"/>
        <w:bidi w:val="0"/>
        <w:rPr/>
      </w:pPr>
      <w:bookmarkEnd w:id="114"/>
      <w:r>
        <w:rPr>
          <w:rFonts w:eastAsia="Times New Roman" w:cs="Times New Roman" w:ascii="Times New Roman" w:hAnsi="Times New Roman"/>
          <w:color w:val="111111"/>
          <w:sz w:val="28"/>
          <w:szCs w:val="28"/>
          <w:lang w:val="en-US"/>
        </w:rPr>
        <w:t>istishab, then the latter is preferred.</w:t>
      </w:r>
    </w:p>
    <w:p>
      <w:pPr>
        <w:pStyle w:val="Heading3"/>
        <w:numPr>
          <w:ilvl w:val="2"/>
          <w:numId w:val="1"/>
        </w:numPr>
        <w:bidi w:val="0"/>
        <w:jc w:val="left"/>
        <w:rPr/>
      </w:pPr>
      <w:bookmarkStart w:id="115" w:name="__RefHeading___Toc2027944_3804643083"/>
      <w:bookmarkStart w:id="116" w:name="_Toc43"/>
      <w:bookmarkEnd w:id="115"/>
      <w:r>
        <w:rPr/>
        <w:t>B. Fiqh</w:t>
      </w:r>
      <w:bookmarkEnd w:id="116"/>
    </w:p>
    <w:p>
      <w:pPr>
        <w:pStyle w:val="BookText"/>
        <w:bidi w:val="0"/>
        <w:jc w:val="both"/>
        <w:rPr/>
      </w:pPr>
      <w:r>
        <w:rPr>
          <w:rFonts w:eastAsia="Times New Roman" w:cs="Times New Roman" w:ascii="Times New Roman" w:hAnsi="Times New Roman"/>
          <w:color w:val="111111"/>
          <w:sz w:val="28"/>
          <w:szCs w:val="28"/>
          <w:lang w:val="en-US"/>
        </w:rPr>
        <w:t>In fiqh, the mujtahid derives the shari'ah laws from the sources determined by him in Usulu 'l-Fiqh.</w:t>
      </w:r>
    </w:p>
    <w:p>
      <w:pPr>
        <w:pStyle w:val="BookText"/>
        <w:bidi w:val="0"/>
        <w:jc w:val="both"/>
        <w:rPr/>
      </w:pPr>
      <w:r>
        <w:rPr>
          <w:rFonts w:eastAsia="Times New Roman" w:cs="Times New Roman" w:ascii="Times New Roman" w:hAnsi="Times New Roman"/>
          <w:color w:val="111111"/>
          <w:sz w:val="28"/>
          <w:szCs w:val="28"/>
          <w:lang w:val="en-US"/>
        </w:rPr>
        <w:t>All the issues discussed in fiqh are traditionally classified into four main groups. This classification was made by Muhaqqiq al-Hilli (d. 676 A.H.) in his famous work of jurisprudence Sharaya’u ‘l-Islam, The follow</w:t>
        <w:softHyphen/>
        <w:t>ing is a list of the subjects discussed in fiqh according to the traditional classification:</w:t>
      </w:r>
    </w:p>
    <w:p>
      <w:pPr>
        <w:pStyle w:val="BookText"/>
        <w:bidi w:val="0"/>
        <w:jc w:val="both"/>
        <w:rPr/>
      </w:pPr>
      <w:r>
        <w:rPr>
          <w:rFonts w:eastAsia="Times New Roman" w:cs="Times New Roman" w:ascii="Times New Roman" w:hAnsi="Times New Roman"/>
          <w:color w:val="111111"/>
          <w:sz w:val="28"/>
          <w:szCs w:val="28"/>
          <w:lang w:val="en-US"/>
        </w:rPr>
        <w:t>Group One: ‘Ibadat -- the Acts of Worship:</w:t>
      </w:r>
    </w:p>
    <w:p>
      <w:pPr>
        <w:pStyle w:val="BookText"/>
        <w:bidi w:val="0"/>
        <w:jc w:val="both"/>
        <w:rPr/>
      </w:pPr>
      <w:r>
        <w:rPr>
          <w:rFonts w:eastAsia="Times New Roman" w:cs="Times New Roman" w:ascii="Times New Roman" w:hAnsi="Times New Roman"/>
          <w:color w:val="111111"/>
          <w:sz w:val="28"/>
          <w:szCs w:val="28"/>
          <w:lang w:val="en-US"/>
        </w:rPr>
        <w:t>Cleanliness</w:t>
      </w:r>
    </w:p>
    <w:p>
      <w:pPr>
        <w:pStyle w:val="BookText"/>
        <w:bidi w:val="0"/>
        <w:jc w:val="both"/>
        <w:rPr/>
      </w:pPr>
      <w:r>
        <w:rPr>
          <w:rFonts w:eastAsia="Times New Roman" w:cs="Times New Roman" w:ascii="Times New Roman" w:hAnsi="Times New Roman"/>
          <w:color w:val="111111"/>
          <w:sz w:val="28"/>
          <w:szCs w:val="28"/>
          <w:lang w:val="en-US"/>
        </w:rPr>
        <w:t>Prayers</w:t>
      </w:r>
    </w:p>
    <w:p>
      <w:pPr>
        <w:pStyle w:val="BookText"/>
        <w:bidi w:val="0"/>
        <w:jc w:val="both"/>
        <w:rPr/>
      </w:pPr>
      <w:r>
        <w:rPr>
          <w:rFonts w:eastAsia="Times New Roman" w:cs="Times New Roman" w:ascii="Times New Roman" w:hAnsi="Times New Roman"/>
          <w:color w:val="111111"/>
          <w:sz w:val="28"/>
          <w:szCs w:val="28"/>
          <w:lang w:val="en-US"/>
        </w:rPr>
        <w:t>Fasting</w:t>
      </w:r>
    </w:p>
    <w:p>
      <w:pPr>
        <w:pStyle w:val="BookText"/>
        <w:bidi w:val="0"/>
        <w:jc w:val="both"/>
        <w:rPr/>
      </w:pPr>
      <w:r>
        <w:rPr>
          <w:rFonts w:eastAsia="Times New Roman" w:cs="Times New Roman" w:ascii="Times New Roman" w:hAnsi="Times New Roman"/>
          <w:color w:val="111111"/>
          <w:sz w:val="28"/>
          <w:szCs w:val="28"/>
          <w:lang w:val="en-US"/>
        </w:rPr>
        <w:t>Wealth Tax</w:t>
      </w:r>
    </w:p>
    <w:p>
      <w:pPr>
        <w:pStyle w:val="BookText"/>
        <w:bidi w:val="0"/>
        <w:jc w:val="both"/>
        <w:rPr/>
      </w:pPr>
      <w:r>
        <w:rPr>
          <w:rFonts w:eastAsia="Times New Roman" w:cs="Times New Roman" w:ascii="Times New Roman" w:hAnsi="Times New Roman"/>
          <w:color w:val="111111"/>
          <w:sz w:val="28"/>
          <w:szCs w:val="28"/>
          <w:lang w:val="en-US"/>
        </w:rPr>
        <w:t>Annual Tax</w:t>
      </w:r>
    </w:p>
    <w:p>
      <w:pPr>
        <w:pStyle w:val="BookText"/>
        <w:bidi w:val="0"/>
        <w:jc w:val="both"/>
        <w:rPr/>
      </w:pPr>
      <w:r>
        <w:rPr>
          <w:rFonts w:eastAsia="Times New Roman" w:cs="Times New Roman" w:ascii="Times New Roman" w:hAnsi="Times New Roman"/>
          <w:color w:val="111111"/>
          <w:sz w:val="28"/>
          <w:szCs w:val="28"/>
          <w:lang w:val="en-US"/>
        </w:rPr>
        <w:t>Pilgrimage</w:t>
      </w:r>
    </w:p>
    <w:p>
      <w:pPr>
        <w:pStyle w:val="BookText"/>
        <w:bidi w:val="0"/>
        <w:jc w:val="both"/>
        <w:rPr/>
      </w:pPr>
      <w:r>
        <w:rPr>
          <w:rFonts w:eastAsia="Times New Roman" w:cs="Times New Roman" w:ascii="Times New Roman" w:hAnsi="Times New Roman"/>
          <w:color w:val="111111"/>
          <w:sz w:val="28"/>
          <w:szCs w:val="28"/>
          <w:lang w:val="en-US"/>
        </w:rPr>
        <w:t>Jihad</w:t>
      </w:r>
    </w:p>
    <w:p>
      <w:pPr>
        <w:pStyle w:val="BookText"/>
        <w:bidi w:val="0"/>
        <w:jc w:val="both"/>
        <w:rPr/>
      </w:pPr>
      <w:r>
        <w:rPr>
          <w:rFonts w:eastAsia="Times New Roman" w:cs="Times New Roman" w:ascii="Times New Roman" w:hAnsi="Times New Roman"/>
          <w:color w:val="111111"/>
          <w:sz w:val="28"/>
          <w:szCs w:val="28"/>
          <w:lang w:val="en-US"/>
        </w:rPr>
        <w:t>Bidding the good and forbidding the evil.</w:t>
      </w:r>
    </w:p>
    <w:p>
      <w:pPr>
        <w:pStyle w:val="BookText"/>
        <w:bidi w:val="0"/>
        <w:jc w:val="both"/>
        <w:rPr/>
      </w:pPr>
      <w:r>
        <w:rPr>
          <w:rFonts w:eastAsia="Times New Roman" w:cs="Times New Roman" w:ascii="Times New Roman" w:hAnsi="Times New Roman"/>
          <w:color w:val="111111"/>
          <w:sz w:val="28"/>
          <w:szCs w:val="28"/>
          <w:lang w:val="en-US"/>
        </w:rPr>
        <w:t>Group Two: ‘Uqud --Mutual Contracts:</w:t>
      </w:r>
    </w:p>
    <w:p>
      <w:pPr>
        <w:pStyle w:val="BookText"/>
        <w:bidi w:val="0"/>
        <w:jc w:val="both"/>
        <w:rPr/>
      </w:pPr>
      <w:r>
        <w:rPr>
          <w:rFonts w:eastAsia="Times New Roman" w:cs="Times New Roman" w:ascii="Times New Roman" w:hAnsi="Times New Roman"/>
          <w:color w:val="111111"/>
          <w:sz w:val="28"/>
          <w:szCs w:val="28"/>
          <w:lang w:val="en-US"/>
        </w:rPr>
        <w:t>Business transaction (bay')</w:t>
      </w:r>
    </w:p>
    <w:p>
      <w:pPr>
        <w:pStyle w:val="BookText"/>
        <w:bidi w:val="0"/>
        <w:jc w:val="both"/>
        <w:rPr/>
      </w:pPr>
      <w:r>
        <w:rPr>
          <w:rFonts w:eastAsia="Times New Roman" w:cs="Times New Roman" w:ascii="Times New Roman" w:hAnsi="Times New Roman"/>
          <w:color w:val="111111"/>
          <w:sz w:val="28"/>
          <w:szCs w:val="28"/>
          <w:lang w:val="en-US"/>
        </w:rPr>
        <w:t>Mortgage (rahn)</w:t>
      </w:r>
    </w:p>
    <w:p>
      <w:pPr>
        <w:pStyle w:val="BookText"/>
        <w:bidi w:val="0"/>
        <w:jc w:val="both"/>
        <w:rPr/>
      </w:pPr>
      <w:r>
        <w:rPr>
          <w:rFonts w:eastAsia="Times New Roman" w:cs="Times New Roman" w:ascii="Times New Roman" w:hAnsi="Times New Roman"/>
          <w:color w:val="111111"/>
          <w:sz w:val="28"/>
          <w:szCs w:val="28"/>
          <w:lang w:val="en-US"/>
        </w:rPr>
        <w:t>Bank</w:t>
        <w:softHyphen/>
        <w:t>ruptcy (muflis)</w:t>
      </w:r>
    </w:p>
    <w:p>
      <w:pPr>
        <w:pStyle w:val="BookText"/>
        <w:bidi w:val="0"/>
        <w:jc w:val="both"/>
        <w:rPr/>
      </w:pPr>
      <w:r>
        <w:rPr>
          <w:rFonts w:eastAsia="Times New Roman" w:cs="Times New Roman" w:ascii="Times New Roman" w:hAnsi="Times New Roman"/>
          <w:color w:val="111111"/>
          <w:sz w:val="28"/>
          <w:szCs w:val="28"/>
          <w:lang w:val="en-US"/>
        </w:rPr>
        <w:t>Limitation of one's legal competence (hajr)</w:t>
      </w:r>
    </w:p>
    <w:p>
      <w:pPr>
        <w:pStyle w:val="BookText"/>
        <w:bidi w:val="0"/>
        <w:jc w:val="both"/>
        <w:rPr/>
      </w:pPr>
      <w:r>
        <w:rPr>
          <w:rFonts w:eastAsia="Times New Roman" w:cs="Times New Roman" w:ascii="Times New Roman" w:hAnsi="Times New Roman"/>
          <w:color w:val="111111"/>
          <w:sz w:val="28"/>
          <w:szCs w:val="28"/>
          <w:lang w:val="en-US"/>
        </w:rPr>
        <w:t>Liability (ziman)</w:t>
      </w:r>
    </w:p>
    <w:p>
      <w:pPr>
        <w:pStyle w:val="BookText"/>
        <w:bidi w:val="0"/>
        <w:jc w:val="both"/>
        <w:rPr/>
      </w:pPr>
      <w:r>
        <w:rPr>
          <w:rFonts w:eastAsia="Times New Roman" w:cs="Times New Roman" w:ascii="Times New Roman" w:hAnsi="Times New Roman"/>
          <w:color w:val="111111"/>
          <w:sz w:val="28"/>
          <w:szCs w:val="28"/>
          <w:lang w:val="en-US"/>
        </w:rPr>
        <w:t>Compromise in financial dis</w:t>
        <w:softHyphen/>
        <w:t>putes (sulh)</w:t>
      </w:r>
    </w:p>
    <w:p>
      <w:pPr>
        <w:pStyle w:val="BookText"/>
        <w:bidi w:val="0"/>
        <w:jc w:val="both"/>
        <w:rPr/>
      </w:pPr>
      <w:r>
        <w:rPr>
          <w:rFonts w:eastAsia="Times New Roman" w:cs="Times New Roman" w:ascii="Times New Roman" w:hAnsi="Times New Roman"/>
          <w:color w:val="111111"/>
          <w:sz w:val="28"/>
          <w:szCs w:val="28"/>
          <w:lang w:val="en-US"/>
        </w:rPr>
        <w:t>Partnership (shirkah)</w:t>
      </w:r>
    </w:p>
    <w:p>
      <w:pPr>
        <w:pStyle w:val="BookText"/>
        <w:bidi w:val="0"/>
        <w:jc w:val="both"/>
        <w:rPr/>
      </w:pPr>
      <w:r>
        <w:rPr>
          <w:rFonts w:eastAsia="Times New Roman" w:cs="Times New Roman" w:ascii="Times New Roman" w:hAnsi="Times New Roman"/>
          <w:color w:val="111111"/>
          <w:sz w:val="28"/>
          <w:szCs w:val="28"/>
          <w:lang w:val="en-US"/>
        </w:rPr>
        <w:t>Silent Partnership in trade (mudarabah)</w:t>
      </w:r>
    </w:p>
    <w:p>
      <w:pPr>
        <w:pStyle w:val="BookText"/>
        <w:bidi w:val="0"/>
        <w:jc w:val="both"/>
        <w:rPr/>
      </w:pPr>
      <w:r>
        <w:rPr>
          <w:rFonts w:eastAsia="Times New Roman" w:cs="Times New Roman" w:ascii="Times New Roman" w:hAnsi="Times New Roman"/>
          <w:color w:val="111111"/>
          <w:sz w:val="28"/>
          <w:szCs w:val="28"/>
          <w:lang w:val="en-US"/>
        </w:rPr>
        <w:t>Silent Partnership in agriculture (muzara’ah and musaqat)</w:t>
      </w:r>
    </w:p>
    <w:p>
      <w:pPr>
        <w:pStyle w:val="BookText"/>
        <w:bidi w:val="0"/>
        <w:jc w:val="both"/>
        <w:rPr/>
      </w:pPr>
      <w:r>
        <w:rPr>
          <w:rFonts w:eastAsia="Times New Roman" w:cs="Times New Roman" w:ascii="Times New Roman" w:hAnsi="Times New Roman"/>
          <w:color w:val="111111"/>
          <w:sz w:val="28"/>
          <w:szCs w:val="28"/>
          <w:lang w:val="en-US"/>
        </w:rPr>
        <w:t>Trusts (wadi'ah)</w:t>
      </w:r>
    </w:p>
    <w:p>
      <w:pPr>
        <w:pStyle w:val="BookText"/>
        <w:bidi w:val="0"/>
        <w:jc w:val="both"/>
        <w:rPr/>
      </w:pPr>
      <w:r>
        <w:rPr>
          <w:rFonts w:eastAsia="Times New Roman" w:cs="Times New Roman" w:ascii="Times New Roman" w:hAnsi="Times New Roman"/>
          <w:color w:val="111111"/>
          <w:sz w:val="28"/>
          <w:szCs w:val="28"/>
          <w:lang w:val="en-US"/>
        </w:rPr>
        <w:t>Lending ('ariyah)</w:t>
      </w:r>
    </w:p>
    <w:p>
      <w:pPr>
        <w:pStyle w:val="BookText"/>
        <w:bidi w:val="0"/>
        <w:jc w:val="both"/>
        <w:rPr/>
      </w:pPr>
      <w:r>
        <w:rPr>
          <w:rFonts w:eastAsia="Times New Roman" w:cs="Times New Roman" w:ascii="Times New Roman" w:hAnsi="Times New Roman"/>
          <w:color w:val="111111"/>
          <w:sz w:val="28"/>
          <w:szCs w:val="28"/>
          <w:lang w:val="en-US"/>
        </w:rPr>
        <w:t>Hiring (ijarah)</w:t>
      </w:r>
    </w:p>
    <w:p>
      <w:pPr>
        <w:pStyle w:val="BookText"/>
        <w:bidi w:val="0"/>
        <w:jc w:val="both"/>
        <w:rPr/>
      </w:pPr>
      <w:r>
        <w:rPr>
          <w:rFonts w:eastAsia="Times New Roman" w:cs="Times New Roman" w:ascii="Times New Roman" w:hAnsi="Times New Roman"/>
          <w:color w:val="111111"/>
          <w:sz w:val="28"/>
          <w:szCs w:val="28"/>
          <w:lang w:val="en-US"/>
        </w:rPr>
        <w:t>Representing Others (wikalah)</w:t>
      </w:r>
    </w:p>
    <w:p>
      <w:pPr>
        <w:pStyle w:val="BookText"/>
        <w:bidi w:val="0"/>
        <w:jc w:val="both"/>
        <w:rPr/>
      </w:pPr>
      <w:r>
        <w:rPr>
          <w:rFonts w:eastAsia="Times New Roman" w:cs="Times New Roman" w:ascii="Times New Roman" w:hAnsi="Times New Roman"/>
          <w:color w:val="111111"/>
          <w:sz w:val="28"/>
          <w:szCs w:val="28"/>
          <w:lang w:val="en-US"/>
        </w:rPr>
        <w:t>Endowments (waqf)</w:t>
      </w:r>
    </w:p>
    <w:p>
      <w:pPr>
        <w:pStyle w:val="BookText"/>
        <w:bidi w:val="0"/>
        <w:jc w:val="both"/>
        <w:rPr/>
      </w:pPr>
      <w:r>
        <w:rPr>
          <w:rFonts w:eastAsia="Times New Roman" w:cs="Times New Roman" w:ascii="Times New Roman" w:hAnsi="Times New Roman"/>
          <w:color w:val="111111"/>
          <w:sz w:val="28"/>
          <w:szCs w:val="28"/>
          <w:lang w:val="en-US"/>
        </w:rPr>
        <w:t>Deeds of Gifts (hibah)</w:t>
      </w:r>
    </w:p>
    <w:p>
      <w:pPr>
        <w:pStyle w:val="BookText"/>
        <w:bidi w:val="0"/>
        <w:jc w:val="both"/>
        <w:rPr/>
      </w:pPr>
      <w:r>
        <w:rPr>
          <w:rFonts w:eastAsia="Times New Roman" w:cs="Times New Roman" w:ascii="Times New Roman" w:hAnsi="Times New Roman"/>
          <w:color w:val="111111"/>
          <w:sz w:val="28"/>
          <w:szCs w:val="28"/>
          <w:lang w:val="en-US"/>
        </w:rPr>
        <w:t>Making of Wills (wisayah)</w:t>
      </w:r>
    </w:p>
    <w:p>
      <w:pPr>
        <w:pStyle w:val="BookText"/>
        <w:bidi w:val="0"/>
        <w:jc w:val="both"/>
        <w:rPr/>
      </w:pPr>
      <w:r>
        <w:rPr>
          <w:rFonts w:eastAsia="Times New Roman" w:cs="Times New Roman" w:ascii="Times New Roman" w:hAnsi="Times New Roman"/>
          <w:color w:val="111111"/>
          <w:sz w:val="28"/>
          <w:szCs w:val="28"/>
          <w:lang w:val="en-US"/>
        </w:rPr>
        <w:t>Marriage (nikah).</w:t>
      </w:r>
    </w:p>
    <w:p>
      <w:pPr>
        <w:pStyle w:val="BookText"/>
        <w:bidi w:val="0"/>
        <w:jc w:val="both"/>
        <w:rPr/>
      </w:pPr>
      <w:r>
        <w:rPr>
          <w:rFonts w:eastAsia="Times New Roman" w:cs="Times New Roman" w:ascii="Times New Roman" w:hAnsi="Times New Roman"/>
          <w:color w:val="111111"/>
          <w:sz w:val="28"/>
          <w:szCs w:val="28"/>
          <w:lang w:val="en-US"/>
        </w:rPr>
        <w:t>Group Three: ‘Iyqa’at --Unilateral Instigations:</w:t>
      </w:r>
    </w:p>
    <w:p>
      <w:pPr>
        <w:pStyle w:val="BookText"/>
        <w:bidi w:val="0"/>
        <w:jc w:val="both"/>
        <w:rPr/>
      </w:pPr>
      <w:r>
        <w:rPr>
          <w:rFonts w:eastAsia="Times New Roman" w:cs="Times New Roman" w:ascii="Times New Roman" w:hAnsi="Times New Roman"/>
          <w:color w:val="111111"/>
          <w:sz w:val="28"/>
          <w:szCs w:val="28"/>
          <w:lang w:val="en-US"/>
        </w:rPr>
        <w:t>Divorce (talaq)</w:t>
      </w:r>
    </w:p>
    <w:p>
      <w:pPr>
        <w:pStyle w:val="BookText"/>
        <w:bidi w:val="0"/>
        <w:jc w:val="both"/>
        <w:rPr/>
      </w:pPr>
      <w:r>
        <w:rPr>
          <w:rFonts w:eastAsia="Times New Roman" w:cs="Times New Roman" w:ascii="Times New Roman" w:hAnsi="Times New Roman"/>
          <w:color w:val="111111"/>
          <w:sz w:val="28"/>
          <w:szCs w:val="28"/>
          <w:lang w:val="en-US"/>
        </w:rPr>
        <w:t>Marital Disputes (khul’, mubarat, dhihar, ly’an, iyla’)</w:t>
      </w:r>
    </w:p>
    <w:p>
      <w:pPr>
        <w:pStyle w:val="BookText"/>
        <w:bidi w:val="0"/>
        <w:jc w:val="both"/>
        <w:rPr/>
      </w:pPr>
      <w:r>
        <w:rPr>
          <w:rFonts w:eastAsia="Times New Roman" w:cs="Times New Roman" w:ascii="Times New Roman" w:hAnsi="Times New Roman"/>
          <w:color w:val="111111"/>
          <w:sz w:val="28"/>
          <w:szCs w:val="28"/>
          <w:lang w:val="en-US"/>
        </w:rPr>
        <w:t>Emancipation of slaves (itq)</w:t>
      </w:r>
    </w:p>
    <w:p>
      <w:pPr>
        <w:pStyle w:val="BookText"/>
        <w:bidi w:val="0"/>
        <w:jc w:val="both"/>
        <w:rPr/>
      </w:pPr>
      <w:r>
        <w:rPr>
          <w:rFonts w:eastAsia="Times New Roman" w:cs="Times New Roman" w:ascii="Times New Roman" w:hAnsi="Times New Roman"/>
          <w:color w:val="111111"/>
          <w:sz w:val="28"/>
          <w:szCs w:val="28"/>
          <w:lang w:val="en-US"/>
        </w:rPr>
        <w:t>Con</w:t>
        <w:softHyphen/>
        <w:t>fessions in legal matters (iqrar)</w:t>
      </w:r>
    </w:p>
    <w:p>
      <w:pPr>
        <w:pStyle w:val="BookText"/>
        <w:bidi w:val="0"/>
        <w:jc w:val="both"/>
        <w:rPr/>
      </w:pPr>
      <w:r>
        <w:rPr>
          <w:rFonts w:eastAsia="Times New Roman" w:cs="Times New Roman" w:ascii="Times New Roman" w:hAnsi="Times New Roman"/>
          <w:color w:val="111111"/>
          <w:sz w:val="28"/>
          <w:szCs w:val="28"/>
          <w:lang w:val="en-US"/>
        </w:rPr>
        <w:t>Reward (ja'alah)</w:t>
      </w:r>
    </w:p>
    <w:p>
      <w:pPr>
        <w:pStyle w:val="BookText"/>
        <w:bidi w:val="0"/>
        <w:jc w:val="both"/>
        <w:rPr/>
      </w:pPr>
      <w:r>
        <w:rPr>
          <w:rFonts w:eastAsia="Times New Roman" w:cs="Times New Roman" w:ascii="Times New Roman" w:hAnsi="Times New Roman"/>
          <w:color w:val="111111"/>
          <w:sz w:val="28"/>
          <w:szCs w:val="28"/>
          <w:lang w:val="en-US"/>
        </w:rPr>
        <w:t>Vows (yamin).</w:t>
      </w:r>
    </w:p>
    <w:p>
      <w:pPr>
        <w:pStyle w:val="BookText"/>
        <w:bidi w:val="0"/>
        <w:jc w:val="both"/>
        <w:rPr/>
      </w:pPr>
      <w:r>
        <w:rPr>
          <w:rFonts w:eastAsia="Times New Roman" w:cs="Times New Roman" w:ascii="Times New Roman" w:hAnsi="Times New Roman"/>
          <w:color w:val="111111"/>
          <w:sz w:val="28"/>
          <w:szCs w:val="28"/>
          <w:lang w:val="en-US"/>
        </w:rPr>
        <w:t>Group Four: Ahkam -- Miscellaneous:</w:t>
      </w:r>
    </w:p>
    <w:p>
      <w:pPr>
        <w:pStyle w:val="BookText"/>
        <w:bidi w:val="0"/>
        <w:jc w:val="both"/>
        <w:rPr/>
      </w:pPr>
      <w:r>
        <w:rPr>
          <w:rFonts w:eastAsia="Times New Roman" w:cs="Times New Roman" w:ascii="Times New Roman" w:hAnsi="Times New Roman"/>
          <w:color w:val="111111"/>
          <w:sz w:val="28"/>
          <w:szCs w:val="28"/>
          <w:lang w:val="en-US"/>
        </w:rPr>
        <w:t>Hunting and Slaughtering (sayd and dhibahah)</w:t>
      </w:r>
    </w:p>
    <w:p>
      <w:pPr>
        <w:pStyle w:val="BookText"/>
        <w:bidi w:val="0"/>
        <w:jc w:val="both"/>
        <w:rPr/>
      </w:pPr>
      <w:r>
        <w:rPr>
          <w:rFonts w:eastAsia="Times New Roman" w:cs="Times New Roman" w:ascii="Times New Roman" w:hAnsi="Times New Roman"/>
          <w:color w:val="111111"/>
          <w:sz w:val="28"/>
          <w:szCs w:val="28"/>
          <w:lang w:val="en-US"/>
        </w:rPr>
        <w:t>Eat</w:t>
        <w:softHyphen/>
        <w:t>ing and Drinking (at’imah and ashribah)</w:t>
      </w:r>
    </w:p>
    <w:p>
      <w:pPr>
        <w:pStyle w:val="BookText"/>
        <w:bidi w:val="0"/>
        <w:jc w:val="both"/>
        <w:rPr/>
      </w:pPr>
      <w:r>
        <w:rPr>
          <w:rFonts w:eastAsia="Times New Roman" w:cs="Times New Roman" w:ascii="Times New Roman" w:hAnsi="Times New Roman"/>
          <w:color w:val="111111"/>
          <w:sz w:val="28"/>
          <w:szCs w:val="28"/>
          <w:lang w:val="en-US"/>
        </w:rPr>
        <w:t>Misappropria</w:t>
        <w:softHyphen/>
        <w:t>tion (ghasb)</w:t>
      </w:r>
    </w:p>
    <w:p>
      <w:pPr>
        <w:pStyle w:val="BookText"/>
        <w:bidi w:val="0"/>
        <w:jc w:val="both"/>
        <w:rPr/>
      </w:pPr>
      <w:r>
        <w:rPr>
          <w:rFonts w:eastAsia="Times New Roman" w:cs="Times New Roman" w:ascii="Times New Roman" w:hAnsi="Times New Roman"/>
          <w:color w:val="111111"/>
          <w:sz w:val="28"/>
          <w:szCs w:val="28"/>
          <w:lang w:val="en-US"/>
        </w:rPr>
        <w:t>Neighbour's and Partner's first right to buy (shaf’ih)</w:t>
      </w:r>
    </w:p>
    <w:p>
      <w:pPr>
        <w:pStyle w:val="BookText"/>
        <w:bidi w:val="0"/>
        <w:jc w:val="both"/>
        <w:rPr/>
      </w:pPr>
      <w:r>
        <w:rPr>
          <w:rFonts w:eastAsia="Times New Roman" w:cs="Times New Roman" w:ascii="Times New Roman" w:hAnsi="Times New Roman"/>
          <w:color w:val="111111"/>
          <w:sz w:val="28"/>
          <w:szCs w:val="28"/>
          <w:lang w:val="en-US"/>
        </w:rPr>
        <w:t>Revival of virgin land (ihya’u ‘l-mawat)</w:t>
      </w:r>
    </w:p>
    <w:p>
      <w:pPr>
        <w:pStyle w:val="BookText"/>
        <w:bidi w:val="0"/>
        <w:jc w:val="both"/>
        <w:rPr/>
      </w:pPr>
      <w:r>
        <w:rPr>
          <w:rFonts w:eastAsia="Times New Roman" w:cs="Times New Roman" w:ascii="Times New Roman" w:hAnsi="Times New Roman"/>
          <w:color w:val="111111"/>
          <w:sz w:val="28"/>
          <w:szCs w:val="28"/>
          <w:lang w:val="en-US"/>
        </w:rPr>
        <w:t>In</w:t>
        <w:softHyphen/>
        <w:t>heritance (irth)</w:t>
      </w:r>
    </w:p>
    <w:p>
      <w:pPr>
        <w:pStyle w:val="BookText"/>
        <w:bidi w:val="0"/>
        <w:jc w:val="both"/>
        <w:rPr/>
      </w:pPr>
      <w:r>
        <w:rPr>
          <w:rFonts w:eastAsia="Times New Roman" w:cs="Times New Roman" w:ascii="Times New Roman" w:hAnsi="Times New Roman"/>
          <w:color w:val="111111"/>
          <w:sz w:val="28"/>
          <w:szCs w:val="28"/>
          <w:lang w:val="en-US"/>
        </w:rPr>
        <w:t>Arbitration (qada)</w:t>
      </w:r>
    </w:p>
    <w:p>
      <w:pPr>
        <w:pStyle w:val="BookText"/>
        <w:bidi w:val="0"/>
        <w:jc w:val="both"/>
        <w:rPr/>
      </w:pPr>
      <w:r>
        <w:rPr>
          <w:rFonts w:eastAsia="Times New Roman" w:cs="Times New Roman" w:ascii="Times New Roman" w:hAnsi="Times New Roman"/>
          <w:color w:val="111111"/>
          <w:sz w:val="28"/>
          <w:szCs w:val="28"/>
          <w:lang w:val="en-US"/>
        </w:rPr>
        <w:t>Testimony (sha</w:t>
        <w:softHyphen/>
        <w:t>hadah)</w:t>
      </w:r>
    </w:p>
    <w:p>
      <w:pPr>
        <w:pStyle w:val="BookText"/>
        <w:bidi w:val="0"/>
        <w:jc w:val="both"/>
        <w:rPr/>
      </w:pPr>
      <w:r>
        <w:rPr>
          <w:rFonts w:eastAsia="Times New Roman" w:cs="Times New Roman" w:ascii="Times New Roman" w:hAnsi="Times New Roman"/>
          <w:color w:val="111111"/>
          <w:sz w:val="28"/>
          <w:szCs w:val="28"/>
          <w:lang w:val="en-US"/>
        </w:rPr>
        <w:t>Punishment (hudud)</w:t>
      </w:r>
    </w:p>
    <w:p>
      <w:pPr>
        <w:pStyle w:val="BookText"/>
        <w:bidi w:val="0"/>
        <w:jc w:val="both"/>
        <w:rPr/>
      </w:pPr>
      <w:r>
        <w:rPr>
          <w:rFonts w:eastAsia="Times New Roman" w:cs="Times New Roman" w:ascii="Times New Roman" w:hAnsi="Times New Roman"/>
          <w:color w:val="111111"/>
          <w:sz w:val="28"/>
          <w:szCs w:val="28"/>
          <w:lang w:val="en-US"/>
        </w:rPr>
        <w:t>Retaliation (qisas)</w:t>
      </w:r>
    </w:p>
    <w:p>
      <w:pPr>
        <w:pStyle w:val="BookText"/>
        <w:bidi w:val="0"/>
        <w:jc w:val="both"/>
        <w:rPr/>
      </w:pPr>
      <w:r>
        <w:rPr>
          <w:rFonts w:eastAsia="Times New Roman" w:cs="Times New Roman" w:ascii="Times New Roman" w:hAnsi="Times New Roman"/>
          <w:color w:val="111111"/>
          <w:sz w:val="28"/>
          <w:szCs w:val="28"/>
          <w:lang w:val="en-US"/>
        </w:rPr>
        <w:t>Blood-money or indemnity for bodily injury (diyah).</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old classification which has been used with slight changes till the present time. Here I would like to present a modern classification of fiqhi issues done by the late Sayyid Muhammad Baqir as-Sadr in his</w:t>
      </w:r>
      <w:bookmarkStart w:id="117" w:name="pg2298_32716"/>
    </w:p>
    <w:p>
      <w:pPr>
        <w:pStyle w:val="BookText"/>
        <w:bidi w:val="0"/>
        <w:rPr/>
      </w:pPr>
      <w:bookmarkEnd w:id="117"/>
      <w:r>
        <w:rPr>
          <w:rFonts w:eastAsia="Times New Roman" w:cs="Times New Roman" w:ascii="Times New Roman" w:hAnsi="Times New Roman"/>
          <w:color w:val="111111"/>
          <w:sz w:val="28"/>
          <w:szCs w:val="28"/>
          <w:lang w:val="en-US"/>
        </w:rPr>
        <w:t>al-Fatawa al-Wadihah.</w:t>
      </w:r>
      <w:r>
        <w:rPr>
          <w:rStyle w:val="FootnoteAnchor"/>
        </w:rPr>
        <w:footnoteReference w:id="21"/>
      </w:r>
      <w:r>
        <w:rPr>
          <w:rFonts w:eastAsia="Times New Roman" w:cs="Times New Roman" w:ascii="Times New Roman" w:hAnsi="Times New Roman"/>
          <w:color w:val="111111"/>
          <w:sz w:val="28"/>
          <w:szCs w:val="28"/>
          <w:lang w:val="en-US"/>
        </w:rPr>
        <w:t xml:space="preserve"> Ayatullah as-Sadr of Najaf, Iraq was a shinning star among the new generation mujtahids; unfortunately the Shi'ah world was deprived of his knowledge and leadership when he was tortured and killed by Saddam's regime in 1981. According to his classification, which we hope will be adopted by the fiqhi circles of our time all the shari'ah laws are divided into four groups:</w:t>
      </w:r>
    </w:p>
    <w:p>
      <w:pPr>
        <w:pStyle w:val="BookText"/>
        <w:bidi w:val="0"/>
        <w:jc w:val="both"/>
        <w:rPr/>
      </w:pPr>
      <w:r>
        <w:rPr>
          <w:rFonts w:eastAsia="Times New Roman" w:cs="Times New Roman" w:ascii="Times New Roman" w:hAnsi="Times New Roman"/>
          <w:color w:val="111111"/>
          <w:sz w:val="28"/>
          <w:szCs w:val="28"/>
          <w:lang w:val="en-US"/>
        </w:rPr>
        <w:t>Group One: ‘Ibadat -- the Acts of Worship:</w:t>
      </w:r>
    </w:p>
    <w:p>
      <w:pPr>
        <w:pStyle w:val="BookText"/>
        <w:bidi w:val="0"/>
        <w:jc w:val="both"/>
        <w:rPr/>
      </w:pPr>
      <w:r>
        <w:rPr>
          <w:rFonts w:eastAsia="Times New Roman" w:cs="Times New Roman" w:ascii="Times New Roman" w:hAnsi="Times New Roman"/>
          <w:color w:val="111111"/>
          <w:sz w:val="28"/>
          <w:szCs w:val="28"/>
          <w:lang w:val="en-US"/>
        </w:rPr>
        <w:t>Cleanliness</w:t>
      </w:r>
    </w:p>
    <w:p>
      <w:pPr>
        <w:pStyle w:val="BookText"/>
        <w:bidi w:val="0"/>
        <w:jc w:val="both"/>
        <w:rPr/>
      </w:pPr>
      <w:r>
        <w:rPr>
          <w:rFonts w:eastAsia="Times New Roman" w:cs="Times New Roman" w:ascii="Times New Roman" w:hAnsi="Times New Roman"/>
          <w:color w:val="111111"/>
          <w:sz w:val="28"/>
          <w:szCs w:val="28"/>
          <w:lang w:val="en-US"/>
        </w:rPr>
        <w:t>Prayers</w:t>
      </w:r>
    </w:p>
    <w:p>
      <w:pPr>
        <w:pStyle w:val="BookText"/>
        <w:bidi w:val="0"/>
        <w:jc w:val="both"/>
        <w:rPr/>
      </w:pPr>
      <w:r>
        <w:rPr>
          <w:rFonts w:eastAsia="Times New Roman" w:cs="Times New Roman" w:ascii="Times New Roman" w:hAnsi="Times New Roman"/>
          <w:color w:val="111111"/>
          <w:sz w:val="28"/>
          <w:szCs w:val="28"/>
          <w:lang w:val="en-US"/>
        </w:rPr>
        <w:t>Fasting</w:t>
      </w:r>
    </w:p>
    <w:p>
      <w:pPr>
        <w:pStyle w:val="BookText"/>
        <w:bidi w:val="0"/>
        <w:jc w:val="both"/>
        <w:rPr/>
      </w:pPr>
      <w:r>
        <w:rPr>
          <w:rFonts w:eastAsia="Times New Roman" w:cs="Times New Roman" w:ascii="Times New Roman" w:hAnsi="Times New Roman"/>
          <w:color w:val="111111"/>
          <w:sz w:val="28"/>
          <w:szCs w:val="28"/>
          <w:lang w:val="en-US"/>
        </w:rPr>
        <w:t>Pilgrimage to Mecca</w:t>
      </w:r>
    </w:p>
    <w:p>
      <w:pPr>
        <w:pStyle w:val="BookText"/>
        <w:bidi w:val="0"/>
        <w:jc w:val="both"/>
        <w:rPr/>
      </w:pPr>
      <w:r>
        <w:rPr>
          <w:rFonts w:eastAsia="Times New Roman" w:cs="Times New Roman" w:ascii="Times New Roman" w:hAnsi="Times New Roman"/>
          <w:color w:val="111111"/>
          <w:sz w:val="28"/>
          <w:szCs w:val="28"/>
          <w:lang w:val="en-US"/>
        </w:rPr>
        <w:t>Group Two: Financial Laws:</w:t>
      </w:r>
    </w:p>
    <w:p>
      <w:pPr>
        <w:pStyle w:val="BookText"/>
        <w:bidi w:val="0"/>
        <w:jc w:val="both"/>
        <w:rPr/>
      </w:pPr>
      <w:r>
        <w:rPr>
          <w:rFonts w:eastAsia="Times New Roman" w:cs="Times New Roman" w:ascii="Times New Roman" w:hAnsi="Times New Roman"/>
          <w:color w:val="111111"/>
          <w:sz w:val="28"/>
          <w:szCs w:val="28"/>
          <w:lang w:val="en-US"/>
        </w:rPr>
        <w:t>On Social Level:</w:t>
      </w:r>
    </w:p>
    <w:p>
      <w:pPr>
        <w:pStyle w:val="BookText"/>
        <w:bidi w:val="0"/>
        <w:jc w:val="both"/>
        <w:rPr/>
      </w:pPr>
      <w:r>
        <w:rPr>
          <w:rFonts w:eastAsia="Times New Roman" w:cs="Times New Roman" w:ascii="Times New Roman" w:hAnsi="Times New Roman"/>
          <w:color w:val="111111"/>
          <w:sz w:val="28"/>
          <w:szCs w:val="28"/>
          <w:lang w:val="en-US"/>
        </w:rPr>
        <w:t>Zakat</w:t>
      </w:r>
    </w:p>
    <w:p>
      <w:pPr>
        <w:pStyle w:val="BookText"/>
        <w:bidi w:val="0"/>
        <w:jc w:val="both"/>
        <w:rPr/>
      </w:pPr>
      <w:r>
        <w:rPr>
          <w:rFonts w:eastAsia="Times New Roman" w:cs="Times New Roman" w:ascii="Times New Roman" w:hAnsi="Times New Roman"/>
          <w:color w:val="111111"/>
          <w:sz w:val="28"/>
          <w:szCs w:val="28"/>
          <w:lang w:val="en-US"/>
        </w:rPr>
        <w:t>Khums</w:t>
      </w:r>
    </w:p>
    <w:p>
      <w:pPr>
        <w:pStyle w:val="BookText"/>
        <w:bidi w:val="0"/>
        <w:jc w:val="both"/>
        <w:rPr/>
      </w:pPr>
      <w:r>
        <w:rPr>
          <w:rFonts w:eastAsia="Times New Roman" w:cs="Times New Roman" w:ascii="Times New Roman" w:hAnsi="Times New Roman"/>
          <w:color w:val="111111"/>
          <w:sz w:val="28"/>
          <w:szCs w:val="28"/>
          <w:lang w:val="en-US"/>
        </w:rPr>
        <w:t>Land Tax (khiraj)</w:t>
      </w:r>
    </w:p>
    <w:p>
      <w:pPr>
        <w:pStyle w:val="BookText"/>
        <w:bidi w:val="0"/>
        <w:jc w:val="both"/>
        <w:rPr/>
      </w:pPr>
      <w:r>
        <w:rPr>
          <w:rFonts w:eastAsia="Times New Roman" w:cs="Times New Roman" w:ascii="Times New Roman" w:hAnsi="Times New Roman"/>
          <w:color w:val="111111"/>
          <w:sz w:val="28"/>
          <w:szCs w:val="28"/>
          <w:lang w:val="en-US"/>
        </w:rPr>
        <w:t>Tax on the non-Muslims under the protection of an Islamic government (jaziyyah)</w:t>
      </w:r>
    </w:p>
    <w:p>
      <w:pPr>
        <w:pStyle w:val="BookText"/>
        <w:bidi w:val="0"/>
        <w:jc w:val="both"/>
        <w:rPr/>
      </w:pPr>
      <w:r>
        <w:rPr>
          <w:rFonts w:eastAsia="Times New Roman" w:cs="Times New Roman" w:ascii="Times New Roman" w:hAnsi="Times New Roman"/>
          <w:color w:val="111111"/>
          <w:sz w:val="28"/>
          <w:szCs w:val="28"/>
          <w:lang w:val="en-US"/>
        </w:rPr>
        <w:t>Spoils of war (anfal).</w:t>
      </w:r>
    </w:p>
    <w:p>
      <w:pPr>
        <w:pStyle w:val="BookText"/>
        <w:bidi w:val="0"/>
        <w:jc w:val="both"/>
        <w:rPr/>
      </w:pPr>
      <w:r>
        <w:rPr>
          <w:rFonts w:eastAsia="Times New Roman" w:cs="Times New Roman" w:ascii="Times New Roman" w:hAnsi="Times New Roman"/>
          <w:color w:val="111111"/>
          <w:sz w:val="28"/>
          <w:szCs w:val="28"/>
          <w:lang w:val="en-US"/>
        </w:rPr>
        <w:t>(b) On Individual Level:</w:t>
      </w:r>
    </w:p>
    <w:p>
      <w:pPr>
        <w:pStyle w:val="BookText"/>
        <w:bidi w:val="0"/>
        <w:jc w:val="both"/>
        <w:rPr/>
      </w:pPr>
      <w:r>
        <w:rPr>
          <w:rFonts w:eastAsia="Times New Roman" w:cs="Times New Roman" w:ascii="Times New Roman" w:hAnsi="Times New Roman"/>
          <w:color w:val="111111"/>
          <w:sz w:val="28"/>
          <w:szCs w:val="28"/>
          <w:lang w:val="en-US"/>
        </w:rPr>
        <w:t>The laws about the means of possession:</w:t>
      </w:r>
    </w:p>
    <w:p>
      <w:pPr>
        <w:pStyle w:val="BookText"/>
        <w:bidi w:val="0"/>
        <w:jc w:val="both"/>
        <w:rPr/>
      </w:pPr>
      <w:r>
        <w:rPr>
          <w:rFonts w:eastAsia="Times New Roman" w:cs="Times New Roman" w:ascii="Times New Roman" w:hAnsi="Times New Roman"/>
          <w:color w:val="111111"/>
          <w:sz w:val="28"/>
          <w:szCs w:val="28"/>
          <w:lang w:val="en-US"/>
        </w:rPr>
        <w:t>revival of virgin land</w:t>
      </w:r>
    </w:p>
    <w:p>
      <w:pPr>
        <w:pStyle w:val="BookText"/>
        <w:bidi w:val="0"/>
        <w:jc w:val="both"/>
        <w:rPr/>
      </w:pPr>
      <w:r>
        <w:rPr>
          <w:rFonts w:eastAsia="Times New Roman" w:cs="Times New Roman" w:ascii="Times New Roman" w:hAnsi="Times New Roman"/>
          <w:color w:val="111111"/>
          <w:sz w:val="28"/>
          <w:szCs w:val="28"/>
          <w:lang w:val="en-US"/>
        </w:rPr>
        <w:t>hunting</w:t>
      </w:r>
    </w:p>
    <w:p>
      <w:pPr>
        <w:pStyle w:val="BookText"/>
        <w:bidi w:val="0"/>
        <w:jc w:val="both"/>
        <w:rPr/>
      </w:pPr>
      <w:r>
        <w:rPr>
          <w:rFonts w:eastAsia="Times New Roman" w:cs="Times New Roman" w:ascii="Times New Roman" w:hAnsi="Times New Roman"/>
          <w:color w:val="111111"/>
          <w:sz w:val="28"/>
          <w:szCs w:val="28"/>
          <w:lang w:val="en-US"/>
        </w:rPr>
        <w:t>by-products of one's own property</w:t>
      </w:r>
    </w:p>
    <w:p>
      <w:pPr>
        <w:pStyle w:val="BookText"/>
        <w:bidi w:val="0"/>
        <w:jc w:val="both"/>
        <w:rPr/>
      </w:pPr>
      <w:r>
        <w:rPr>
          <w:rFonts w:eastAsia="Times New Roman" w:cs="Times New Roman" w:ascii="Times New Roman" w:hAnsi="Times New Roman"/>
          <w:color w:val="111111"/>
          <w:sz w:val="28"/>
          <w:szCs w:val="28"/>
          <w:lang w:val="en-US"/>
        </w:rPr>
        <w:t>inheritance</w:t>
      </w:r>
    </w:p>
    <w:p>
      <w:pPr>
        <w:pStyle w:val="BookText"/>
        <w:bidi w:val="0"/>
        <w:jc w:val="both"/>
        <w:rPr/>
      </w:pPr>
      <w:r>
        <w:rPr>
          <w:rFonts w:eastAsia="Times New Roman" w:cs="Times New Roman" w:ascii="Times New Roman" w:hAnsi="Times New Roman"/>
          <w:color w:val="111111"/>
          <w:sz w:val="28"/>
          <w:szCs w:val="28"/>
          <w:lang w:val="en-US"/>
        </w:rPr>
        <w:t>loan</w:t>
      </w:r>
    </w:p>
    <w:p>
      <w:pPr>
        <w:pStyle w:val="BookText"/>
        <w:bidi w:val="0"/>
        <w:jc w:val="both"/>
        <w:rPr/>
      </w:pPr>
      <w:r>
        <w:rPr>
          <w:rFonts w:eastAsia="Times New Roman" w:cs="Times New Roman" w:ascii="Times New Roman" w:hAnsi="Times New Roman"/>
          <w:color w:val="111111"/>
          <w:sz w:val="28"/>
          <w:szCs w:val="28"/>
          <w:lang w:val="en-US"/>
        </w:rPr>
        <w:t>mortgage</w:t>
      </w:r>
    </w:p>
    <w:p>
      <w:pPr>
        <w:pStyle w:val="BookText"/>
        <w:bidi w:val="0"/>
        <w:jc w:val="both"/>
        <w:rPr/>
      </w:pPr>
      <w:r>
        <w:rPr>
          <w:rFonts w:eastAsia="Times New Roman" w:cs="Times New Roman" w:ascii="Times New Roman" w:hAnsi="Times New Roman"/>
          <w:color w:val="111111"/>
          <w:sz w:val="28"/>
          <w:szCs w:val="28"/>
          <w:lang w:val="en-US"/>
        </w:rPr>
        <w:t>deeds of gifts</w:t>
      </w:r>
    </w:p>
    <w:p>
      <w:pPr>
        <w:pStyle w:val="BookText"/>
        <w:bidi w:val="0"/>
        <w:jc w:val="both"/>
        <w:rPr/>
      </w:pPr>
      <w:r>
        <w:rPr>
          <w:rFonts w:eastAsia="Times New Roman" w:cs="Times New Roman" w:ascii="Times New Roman" w:hAnsi="Times New Roman"/>
          <w:color w:val="111111"/>
          <w:sz w:val="28"/>
          <w:szCs w:val="28"/>
          <w:lang w:val="en-US"/>
        </w:rPr>
        <w:t>etc.</w:t>
      </w:r>
    </w:p>
    <w:p>
      <w:pPr>
        <w:pStyle w:val="BookText"/>
        <w:bidi w:val="0"/>
        <w:jc w:val="both"/>
        <w:rPr/>
      </w:pPr>
      <w:r>
        <w:rPr>
          <w:rFonts w:eastAsia="Times New Roman" w:cs="Times New Roman" w:ascii="Times New Roman" w:hAnsi="Times New Roman"/>
          <w:color w:val="111111"/>
          <w:sz w:val="28"/>
          <w:szCs w:val="28"/>
          <w:lang w:val="en-US"/>
        </w:rPr>
        <w:t>The laws about the use of possessions:</w:t>
      </w:r>
    </w:p>
    <w:p>
      <w:pPr>
        <w:pStyle w:val="BookText"/>
        <w:bidi w:val="0"/>
        <w:jc w:val="both"/>
        <w:rPr/>
      </w:pPr>
      <w:r>
        <w:rPr>
          <w:rFonts w:eastAsia="Times New Roman" w:cs="Times New Roman" w:ascii="Times New Roman" w:hAnsi="Times New Roman"/>
          <w:color w:val="111111"/>
          <w:sz w:val="28"/>
          <w:szCs w:val="28"/>
          <w:lang w:val="en-US"/>
        </w:rPr>
        <w:t>Business transactions</w:t>
      </w:r>
    </w:p>
    <w:p>
      <w:pPr>
        <w:pStyle w:val="BookText"/>
        <w:bidi w:val="0"/>
        <w:jc w:val="both"/>
        <w:rPr/>
      </w:pPr>
      <w:r>
        <w:rPr>
          <w:rFonts w:eastAsia="Times New Roman" w:cs="Times New Roman" w:ascii="Times New Roman" w:hAnsi="Times New Roman"/>
          <w:color w:val="111111"/>
          <w:sz w:val="28"/>
          <w:szCs w:val="28"/>
          <w:lang w:val="en-US"/>
        </w:rPr>
        <w:t>Exchange of commodities based on compromise</w:t>
      </w:r>
    </w:p>
    <w:p>
      <w:pPr>
        <w:pStyle w:val="BookText"/>
        <w:bidi w:val="0"/>
        <w:jc w:val="both"/>
        <w:rPr/>
      </w:pPr>
      <w:r>
        <w:rPr>
          <w:rFonts w:eastAsia="Times New Roman" w:cs="Times New Roman" w:ascii="Times New Roman" w:hAnsi="Times New Roman"/>
          <w:color w:val="111111"/>
          <w:sz w:val="28"/>
          <w:szCs w:val="28"/>
          <w:lang w:val="en-US"/>
        </w:rPr>
        <w:t>Partnership</w:t>
      </w:r>
    </w:p>
    <w:p>
      <w:pPr>
        <w:pStyle w:val="BookText"/>
        <w:bidi w:val="0"/>
        <w:jc w:val="both"/>
        <w:rPr/>
      </w:pPr>
      <w:r>
        <w:rPr>
          <w:rFonts w:eastAsia="Times New Roman" w:cs="Times New Roman" w:ascii="Times New Roman" w:hAnsi="Times New Roman"/>
          <w:color w:val="111111"/>
          <w:sz w:val="28"/>
          <w:szCs w:val="28"/>
          <w:lang w:val="en-US"/>
        </w:rPr>
        <w:t>Endowment</w:t>
      </w:r>
    </w:p>
    <w:p>
      <w:pPr>
        <w:pStyle w:val="BookText"/>
        <w:bidi w:val="0"/>
        <w:jc w:val="both"/>
        <w:rPr/>
      </w:pPr>
      <w:r>
        <w:rPr>
          <w:rFonts w:eastAsia="Times New Roman" w:cs="Times New Roman" w:ascii="Times New Roman" w:hAnsi="Times New Roman"/>
          <w:color w:val="111111"/>
          <w:sz w:val="28"/>
          <w:szCs w:val="28"/>
          <w:lang w:val="en-US"/>
        </w:rPr>
        <w:t>Legacy</w:t>
      </w:r>
    </w:p>
    <w:p>
      <w:pPr>
        <w:pStyle w:val="BookText"/>
        <w:bidi w:val="0"/>
        <w:jc w:val="both"/>
        <w:rPr/>
      </w:pPr>
      <w:r>
        <w:rPr>
          <w:rFonts w:eastAsia="Times New Roman" w:cs="Times New Roman" w:ascii="Times New Roman" w:hAnsi="Times New Roman"/>
          <w:color w:val="111111"/>
          <w:sz w:val="28"/>
          <w:szCs w:val="28"/>
          <w:lang w:val="en-US"/>
        </w:rPr>
        <w:t>etc.</w:t>
      </w:r>
    </w:p>
    <w:p>
      <w:pPr>
        <w:pStyle w:val="BookText"/>
        <w:bidi w:val="0"/>
        <w:jc w:val="both"/>
        <w:rPr/>
      </w:pPr>
      <w:r>
        <w:rPr>
          <w:rFonts w:eastAsia="Times New Roman" w:cs="Times New Roman" w:ascii="Times New Roman" w:hAnsi="Times New Roman"/>
          <w:color w:val="111111"/>
          <w:sz w:val="28"/>
          <w:szCs w:val="28"/>
          <w:lang w:val="en-US"/>
        </w:rPr>
        <w:t>Group Three: Personal Laws:</w:t>
      </w:r>
    </w:p>
    <w:p>
      <w:pPr>
        <w:pStyle w:val="BookText"/>
        <w:bidi w:val="0"/>
        <w:jc w:val="both"/>
        <w:rPr/>
      </w:pPr>
      <w:r>
        <w:rPr>
          <w:rFonts w:eastAsia="Times New Roman" w:cs="Times New Roman" w:ascii="Times New Roman" w:hAnsi="Times New Roman"/>
          <w:color w:val="111111"/>
          <w:sz w:val="28"/>
          <w:szCs w:val="28"/>
          <w:lang w:val="en-US"/>
        </w:rPr>
        <w:t>Marriage</w:t>
      </w:r>
    </w:p>
    <w:p>
      <w:pPr>
        <w:pStyle w:val="BookText"/>
        <w:bidi w:val="0"/>
        <w:jc w:val="both"/>
        <w:rPr/>
      </w:pPr>
      <w:r>
        <w:rPr>
          <w:rFonts w:eastAsia="Times New Roman" w:cs="Times New Roman" w:ascii="Times New Roman" w:hAnsi="Times New Roman"/>
          <w:color w:val="111111"/>
          <w:sz w:val="28"/>
          <w:szCs w:val="28"/>
          <w:lang w:val="en-US"/>
        </w:rPr>
        <w:t>Divorce</w:t>
      </w:r>
    </w:p>
    <w:p>
      <w:pPr>
        <w:pStyle w:val="BookText"/>
        <w:bidi w:val="0"/>
        <w:jc w:val="both"/>
        <w:rPr/>
      </w:pPr>
      <w:r>
        <w:rPr>
          <w:rFonts w:eastAsia="Times New Roman" w:cs="Times New Roman" w:ascii="Times New Roman" w:hAnsi="Times New Roman"/>
          <w:color w:val="111111"/>
          <w:sz w:val="28"/>
          <w:szCs w:val="28"/>
          <w:lang w:val="en-US"/>
        </w:rPr>
        <w:t>Marital affairs</w:t>
      </w:r>
    </w:p>
    <w:p>
      <w:pPr>
        <w:pStyle w:val="BookText"/>
        <w:bidi w:val="0"/>
        <w:jc w:val="both"/>
        <w:rPr/>
      </w:pPr>
      <w:r>
        <w:rPr>
          <w:rFonts w:eastAsia="Times New Roman" w:cs="Times New Roman" w:ascii="Times New Roman" w:hAnsi="Times New Roman"/>
          <w:color w:val="111111"/>
          <w:sz w:val="28"/>
          <w:szCs w:val="28"/>
          <w:lang w:val="en-US"/>
        </w:rPr>
        <w:t>Eating</w:t>
      </w:r>
    </w:p>
    <w:p>
      <w:pPr>
        <w:pStyle w:val="BookText"/>
        <w:bidi w:val="0"/>
        <w:jc w:val="both"/>
        <w:rPr/>
      </w:pPr>
      <w:r>
        <w:rPr>
          <w:rFonts w:eastAsia="Times New Roman" w:cs="Times New Roman" w:ascii="Times New Roman" w:hAnsi="Times New Roman"/>
          <w:color w:val="111111"/>
          <w:sz w:val="28"/>
          <w:szCs w:val="28"/>
          <w:lang w:val="en-US"/>
        </w:rPr>
        <w:t>Drinking</w:t>
      </w:r>
    </w:p>
    <w:p>
      <w:pPr>
        <w:pStyle w:val="BookText"/>
        <w:bidi w:val="0"/>
        <w:jc w:val="both"/>
        <w:rPr/>
      </w:pPr>
      <w:r>
        <w:rPr>
          <w:rFonts w:eastAsia="Times New Roman" w:cs="Times New Roman" w:ascii="Times New Roman" w:hAnsi="Times New Roman"/>
          <w:color w:val="111111"/>
          <w:sz w:val="28"/>
          <w:szCs w:val="28"/>
          <w:lang w:val="en-US"/>
        </w:rPr>
        <w:t>Dressing</w:t>
      </w:r>
    </w:p>
    <w:p>
      <w:pPr>
        <w:pStyle w:val="BookText"/>
        <w:bidi w:val="0"/>
        <w:jc w:val="both"/>
        <w:rPr/>
      </w:pPr>
      <w:r>
        <w:rPr>
          <w:rFonts w:eastAsia="Times New Roman" w:cs="Times New Roman" w:ascii="Times New Roman" w:hAnsi="Times New Roman"/>
          <w:color w:val="111111"/>
          <w:sz w:val="28"/>
          <w:szCs w:val="28"/>
          <w:lang w:val="en-US"/>
        </w:rPr>
        <w:t>Vows</w:t>
      </w:r>
    </w:p>
    <w:p>
      <w:pPr>
        <w:pStyle w:val="BookText"/>
        <w:bidi w:val="0"/>
        <w:jc w:val="both"/>
        <w:rPr/>
      </w:pPr>
      <w:r>
        <w:rPr>
          <w:rFonts w:eastAsia="Times New Roman" w:cs="Times New Roman" w:ascii="Times New Roman" w:hAnsi="Times New Roman"/>
          <w:color w:val="111111"/>
          <w:sz w:val="28"/>
          <w:szCs w:val="28"/>
          <w:lang w:val="en-US"/>
        </w:rPr>
        <w:t>Oaths</w:t>
      </w:r>
    </w:p>
    <w:p>
      <w:pPr>
        <w:pStyle w:val="BookText"/>
        <w:bidi w:val="0"/>
        <w:jc w:val="both"/>
        <w:rPr/>
      </w:pPr>
      <w:r>
        <w:rPr>
          <w:rFonts w:eastAsia="Times New Roman" w:cs="Times New Roman" w:ascii="Times New Roman" w:hAnsi="Times New Roman"/>
          <w:color w:val="111111"/>
          <w:sz w:val="28"/>
          <w:szCs w:val="28"/>
          <w:lang w:val="en-US"/>
        </w:rPr>
        <w:t>Hunting</w:t>
      </w:r>
    </w:p>
    <w:p>
      <w:pPr>
        <w:pStyle w:val="BookText"/>
        <w:bidi w:val="0"/>
        <w:jc w:val="both"/>
        <w:rPr/>
      </w:pPr>
      <w:r>
        <w:rPr>
          <w:rFonts w:eastAsia="Times New Roman" w:cs="Times New Roman" w:ascii="Times New Roman" w:hAnsi="Times New Roman"/>
          <w:color w:val="111111"/>
          <w:sz w:val="28"/>
          <w:szCs w:val="28"/>
          <w:lang w:val="en-US"/>
        </w:rPr>
        <w:t>Slaughtering</w:t>
      </w:r>
    </w:p>
    <w:p>
      <w:pPr>
        <w:pStyle w:val="BookText"/>
        <w:bidi w:val="0"/>
        <w:jc w:val="both"/>
        <w:rPr/>
      </w:pPr>
      <w:r>
        <w:rPr>
          <w:rFonts w:eastAsia="Times New Roman" w:cs="Times New Roman" w:ascii="Times New Roman" w:hAnsi="Times New Roman"/>
          <w:color w:val="111111"/>
          <w:sz w:val="28"/>
          <w:szCs w:val="28"/>
          <w:lang w:val="en-US"/>
        </w:rPr>
        <w:t>Bidding good and forbidding evil</w:t>
      </w:r>
    </w:p>
    <w:p>
      <w:pPr>
        <w:pStyle w:val="BookText"/>
        <w:bidi w:val="0"/>
        <w:jc w:val="both"/>
        <w:rPr/>
      </w:pPr>
      <w:r>
        <w:rPr>
          <w:rFonts w:eastAsia="Times New Roman" w:cs="Times New Roman" w:ascii="Times New Roman" w:hAnsi="Times New Roman"/>
          <w:color w:val="111111"/>
          <w:sz w:val="28"/>
          <w:szCs w:val="28"/>
          <w:lang w:val="en-US"/>
        </w:rPr>
        <w:t>etc.</w:t>
      </w:r>
    </w:p>
    <w:p>
      <w:pPr>
        <w:pStyle w:val="BookText"/>
        <w:bidi w:val="0"/>
        <w:jc w:val="both"/>
        <w:rPr/>
      </w:pPr>
      <w:r>
        <w:rPr>
          <w:rFonts w:eastAsia="Times New Roman" w:cs="Times New Roman" w:ascii="Times New Roman" w:hAnsi="Times New Roman"/>
          <w:color w:val="111111"/>
          <w:sz w:val="28"/>
          <w:szCs w:val="28"/>
          <w:lang w:val="en-US"/>
        </w:rPr>
        <w:t>Group Four: Social Laws:</w:t>
      </w:r>
    </w:p>
    <w:p>
      <w:pPr>
        <w:pStyle w:val="BookText"/>
        <w:bidi w:val="0"/>
        <w:jc w:val="both"/>
        <w:rPr/>
      </w:pPr>
      <w:r>
        <w:rPr>
          <w:rFonts w:eastAsia="Times New Roman" w:cs="Times New Roman" w:ascii="Times New Roman" w:hAnsi="Times New Roman"/>
          <w:color w:val="111111"/>
          <w:sz w:val="28"/>
          <w:szCs w:val="28"/>
          <w:lang w:val="en-US"/>
        </w:rPr>
        <w:t>Governance</w:t>
      </w:r>
    </w:p>
    <w:p>
      <w:pPr>
        <w:pStyle w:val="BookText"/>
        <w:bidi w:val="0"/>
        <w:jc w:val="both"/>
        <w:rPr/>
      </w:pPr>
      <w:r>
        <w:rPr>
          <w:rFonts w:eastAsia="Times New Roman" w:cs="Times New Roman" w:ascii="Times New Roman" w:hAnsi="Times New Roman"/>
          <w:color w:val="111111"/>
          <w:sz w:val="28"/>
          <w:szCs w:val="28"/>
          <w:lang w:val="en-US"/>
        </w:rPr>
        <w:t>Judiciary</w:t>
      </w:r>
    </w:p>
    <w:p>
      <w:pPr>
        <w:pStyle w:val="BookText"/>
        <w:bidi w:val="0"/>
        <w:jc w:val="both"/>
        <w:rPr/>
      </w:pPr>
      <w:r>
        <w:rPr>
          <w:rFonts w:eastAsia="Times New Roman" w:cs="Times New Roman" w:ascii="Times New Roman" w:hAnsi="Times New Roman"/>
          <w:color w:val="111111"/>
          <w:sz w:val="28"/>
          <w:szCs w:val="28"/>
          <w:lang w:val="en-US"/>
        </w:rPr>
        <w:t>Penal Code</w:t>
      </w:r>
    </w:p>
    <w:p>
      <w:pPr>
        <w:pStyle w:val="BookText"/>
        <w:bidi w:val="0"/>
        <w:jc w:val="both"/>
        <w:rPr/>
      </w:pPr>
      <w:r>
        <w:rPr>
          <w:rFonts w:eastAsia="Times New Roman" w:cs="Times New Roman" w:ascii="Times New Roman" w:hAnsi="Times New Roman"/>
          <w:color w:val="111111"/>
          <w:sz w:val="28"/>
          <w:szCs w:val="28"/>
          <w:lang w:val="en-US"/>
        </w:rPr>
        <w:t>Jihad</w:t>
      </w:r>
    </w:p>
    <w:p>
      <w:pPr>
        <w:pStyle w:val="BookText"/>
        <w:bidi w:val="0"/>
        <w:jc w:val="both"/>
        <w:rPr/>
      </w:pPr>
      <w:r>
        <w:rPr>
          <w:rFonts w:eastAsia="Times New Roman" w:cs="Times New Roman" w:ascii="Times New Roman" w:hAnsi="Times New Roman"/>
          <w:color w:val="111111"/>
          <w:sz w:val="28"/>
          <w:szCs w:val="28"/>
          <w:lang w:val="en-US"/>
        </w:rPr>
        <w:t>etc.</w:t>
      </w:r>
    </w:p>
    <w:p>
      <w:pPr>
        <w:pStyle w:val="BookText"/>
        <w:bidi w:val="0"/>
        <w:jc w:val="both"/>
        <w:rPr/>
      </w:pPr>
      <w:r>
        <w:rPr>
          <w:rFonts w:eastAsia="Times New Roman" w:cs="Times New Roman" w:ascii="Times New Roman" w:hAnsi="Times New Roman"/>
          <w:color w:val="111111"/>
          <w:sz w:val="28"/>
          <w:szCs w:val="28"/>
          <w:lang w:val="en-US"/>
        </w:rPr>
        <w:t>We may add in the list of "social laws" the new chapter started by Ayatullah al-Khu'i known as Kitabu ‘l-Mushtarikat (the Book of Public Property)'</w:t>
      </w:r>
      <w:r>
        <w:rPr>
          <w:rStyle w:val="FootnoteAnchor"/>
        </w:rPr>
        <w:footnoteReference w:id="22"/>
      </w:r>
      <w:r>
        <w:rPr>
          <w:rFonts w:eastAsia="Times New Roman" w:cs="Times New Roman" w:ascii="Times New Roman" w:hAnsi="Times New Roman"/>
          <w:color w:val="111111"/>
          <w:sz w:val="28"/>
          <w:szCs w:val="28"/>
          <w:lang w:val="en-US"/>
        </w:rPr>
        <w:t>which deals with the laws about public road, mosques, schools, welfare homes, rivers and streams, lakes and oceans, and mines.</w:t>
      </w:r>
    </w:p>
    <w:p>
      <w:pPr>
        <w:pStyle w:val="Heading2"/>
        <w:numPr>
          <w:ilvl w:val="1"/>
          <w:numId w:val="1"/>
        </w:numPr>
        <w:bidi w:val="0"/>
        <w:jc w:val="left"/>
        <w:rPr/>
      </w:pPr>
      <w:bookmarkStart w:id="118" w:name="__RefHeading___Toc2027946_3804643083"/>
      <w:bookmarkStart w:id="119" w:name="_Toc44"/>
      <w:bookmarkEnd w:id="118"/>
      <w:r>
        <w:rPr/>
        <w:t>A Look into the Future of Ijtihad</w:t>
      </w:r>
      <w:bookmarkEnd w:id="11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sciences of usulu ‘l-fiqh and fiqh, like any other science, have evolved and expanded with the passage of time. But during the last hundred years, especially since the emergence of Shaykh Murtaza al-Ansari (1214-1281 A.H.), these two sciences have expanded greatly and rapidly. In light of this positive development, an idea has</w:t>
      </w:r>
    </w:p>
    <w:p>
      <w:pPr>
        <w:pStyle w:val="BookText"/>
        <w:bidi w:val="0"/>
        <w:rPr/>
      </w:pPr>
      <w:r>
        <w:rPr>
          <w:rFonts w:eastAsia="Times New Roman" w:cs="Times New Roman" w:ascii="Times New Roman" w:hAnsi="Times New Roman"/>
          <w:color w:val="111111"/>
          <w:sz w:val="28"/>
          <w:szCs w:val="28"/>
          <w:lang w:val="en-US"/>
        </w:rPr>
        <w:t>been floating among the experts of fiqh since the death of Ayatullah Husayn Burujardi about compartmentaliza</w:t>
        <w:softHyphen/>
        <w:t>tion of ijtihad.</w:t>
      </w:r>
    </w:p>
    <w:p>
      <w:pPr>
        <w:pStyle w:val="BookText"/>
        <w:bidi w:val="0"/>
        <w:jc w:val="both"/>
        <w:rPr/>
      </w:pPr>
      <w:r>
        <w:rPr>
          <w:rFonts w:eastAsia="Times New Roman" w:cs="Times New Roman" w:ascii="Times New Roman" w:hAnsi="Times New Roman"/>
          <w:color w:val="111111"/>
          <w:sz w:val="28"/>
          <w:szCs w:val="28"/>
          <w:lang w:val="en-US"/>
        </w:rPr>
        <w:t>The first person who raised this issue was Shaykh ‘Abdu ‘l-Karim Ha’iri Yazdi (1276-1355 A.H.), who has the credit of revitalizing the Hawza 'Ilmiyyah of Qum. Shaykh Ha’iri’s student, Shahid Murtaza Mutahhari brought this idea in a public forum for the first time in a speech at the seminar organized after the demise of Ayatullah Burujardi in early sixties. He says, "It is better that fiqh be divided into different compartments, and that each group, after attaining the general ability of ijtihad, should specialize in one particular area of fiqh."</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This idea is very noble. But two recent developments in the Shi'ah world have made this idea into a necessity. First, the Islamic revolution in Iran has availed an un</w:t>
        <w:softHyphen/>
        <w:t>precedented opportunity for the Shi'ah mujtahids to work on political, economic, social and moral problems which the Shi'ah community faces in Iran. Second, the large scale migration of Muslims to the West has given rise to issues and problems which were unheard of before. Expecting a single person to fully and compre</w:t>
        <w:softHyphen/>
        <w:t>hensively provide guidance for all problems is asking for too much. The only solution for the future of the shari'ah is nothing but the compartmentalization of ijtihad.</w:t>
      </w:r>
    </w:p>
    <w:p>
      <w:pPr>
        <w:pStyle w:val="BookText"/>
        <w:bidi w:val="0"/>
        <w:jc w:val="both"/>
        <w:rPr/>
      </w:pPr>
      <w:r>
        <w:rPr>
          <w:rFonts w:eastAsia="Times New Roman" w:cs="Times New Roman" w:ascii="Times New Roman" w:hAnsi="Times New Roman"/>
          <w:color w:val="111111"/>
          <w:sz w:val="28"/>
          <w:szCs w:val="28"/>
          <w:lang w:val="en-US"/>
        </w:rPr>
        <w:t>However, this is not something which can emerge or be created overnight; it has to take its due course. After a couple of generations, hopefully, we might have mu</w:t>
        <w:softHyphen/>
        <w:t>jtahids specializing in four different areas of fiqh:</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p>
    <w:p>
      <w:pPr>
        <w:pStyle w:val="BookText"/>
        <w:bidi w:val="0"/>
        <w:rPr/>
      </w:pPr>
      <w:r>
        <w:rPr>
          <w:rFonts w:eastAsia="Times New Roman" w:cs="Times New Roman" w:ascii="Times New Roman" w:hAnsi="Times New Roman"/>
          <w:color w:val="111111"/>
          <w:sz w:val="28"/>
          <w:szCs w:val="28"/>
          <w:lang w:val="en-US"/>
        </w:rPr>
        <w:t>Acts of worship (‘ibadat);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Economic problems;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Personal laws;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Social and Political issues.</w:t>
      </w:r>
    </w:p>
    <w:p>
      <w:pPr>
        <w:pStyle w:val="BookText"/>
        <w:bidi w:val="0"/>
        <w:jc w:val="both"/>
        <w:rPr/>
      </w:pPr>
      <w:r>
        <w:rPr>
          <w:rFonts w:eastAsia="Times New Roman" w:cs="Times New Roman" w:ascii="Times New Roman" w:hAnsi="Times New Roman"/>
          <w:color w:val="111111"/>
          <w:sz w:val="28"/>
          <w:szCs w:val="28"/>
          <w:lang w:val="en-US"/>
        </w:rPr>
        <w:t>And the Shi'ahs of that time will be doing taqliq of either four different mujtahids or of a council of ijtihad composed of mujtahids specializing in their respective fields.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dynamic spirit inherited by the Shi'ah 'ulama from their Imams will keep the light of ijtihad shining in one form or another. The future, al-hamdulillah, is bright.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details on this verse, see Rizvi, S.S.A., Imamat: the Vicegerency of the Prophet (Tehran: Wofis, 1984) pp.49-54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details on the love for the Ahlul Bayt, see Mutahhari, M., Wilayah: the Station of the Master (Tehran: Wofis, 1982) p.50-62.</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Al-Makki, Ibn Hajar, as-Sawd'iqu 'l-Muhriqah, chapter 11, section 1. Also see S.S.A. Rizvi, Imamat; Sharafu 'd-Din a1-Musawi, The Right Path; and S.M.H. Jafry, The Origin and Early Development of Shi'a Islam.</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Shi'ah sources, see al-Kulayni, al-Usul mina 'l-Kafi, vol. 1 (Tehran: Daru ‘l-Kutubi 'l-Islamiyyah, 1388 AH) p. 52; in Sunni sources, see ash-Sha'rani, at-Tabaqatu 'l-Kubra, vol. 1, p. 28; Abu Nu'aym, Hilyatu 'l-Awliya', vol. 3, p. 193, 197.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"Taghut" means any thing or person who is followed without authorization of God or his representatives. It is used for Satan, an Idol or even a human being who misleads others.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al-Usul mina ‘l-Kafi, vol. 1 (Tehran: Daru ‘l-Kutubi ‘l-Islamiyyah, 1379 AH) p.67; al-Furu’ mina ‘l-Kafi, vol.7, p.412. In al-Hurr al ‘Amili, Wasa’ilu ‘sh-Shi’ah, see vol.18 (Beirut: Dar Ihyai ‘t-Turathi ‘l-‘Arabi, 1391 AH) p.99.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A1-'Amili, Wasa'ilu 'sh-Shi'ah, vol. 18, p. 100 who has quoted it from at-Tusi, Tahzibu 'l-Ahkam, vol, 6, p. 303.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Both the narrations quoted above are accepted by most of the Shi’ah scholars of fiqh and hadith. The hadith narrated by ‘Umar ibn Hanzalah is considered as a "maqbulah " (acceptable) and that by Abi Khadijah is considered as a "mash-hurah" (famous) hadith, See, for example, the par excellent mujtahid of the last century, Shaykh Murtaza al-Ansari, Kitabu ‘l-Makasib (Tabriz: 1375 AH) p. 154. Moreover, these ahadith have been used here as a secondary argument in favour of taqlid; they are not initiating a process but just endorsing it.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as-Saduq, Kamalu ‘d-Din wa Tamamu ‘n-Ni’mah (Tehran: Maktabatu 's-Saduq, 1395 AH) p. 484; Shaykh at-Tusi, Kitabu ‘l-Ghaybah (Najaf: Maktabatu 's-Sadiq, 1385 AH) p. 177; at-Tabrasi, al-Ihtijaj, vol. 2 (Najaf: Daru ‘n-Nu’man, 1966) p. 283. The text quoted above is from at-Tabrasi (c 6th cent. AH). There is a variation in the last part of this hadith in books of at-Tusi (385-460 AH) and as-Saduq (d. 381). Shaykh at-Tusi's version says, " ... and I am Allah's proof over you" referring to all Shi'ahs whereas Shaykh as-Saduq’s version says, " ... and I am A1lah's proof over them" referring to the mujtahids only. Saduq’s version, who lived before Tusi, leaves absolutely no room for the speculation done by a contemporary writer (Sachedina, Islamic Messianism, p. 101) that Tusi's version "seems to have been tampered with" by the 'ulama' of later or Safavid period (10th cent. AH) to promote their own power and status!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Fuqaha’ is plural of faqih which means expert of Islamic laws, mujtahids.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At-Tabrasi, al-Ihtijaj, vol. 2, p. 264.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detailed discussion on interest, see 'Allamah Tabataba’i, al-Mizan trans. S.S.A. Rizvi, vol. 4 (Tehran: Wofis, 1982) pp. 295-303.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Sherman Silber, The Male (New York: 1981) pp. 115-116.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‘Allamah Hilli, al-Babu ‘l-Hadi ‘Ashar trans. W.M. Miller, (London: Luzac, 1958) pp.45-46; S.S.A. Rizvi, Justice of God (New Jersey: Pyam-e Aman, 1992) chap. 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Al-‘Amili, Shaykh Hurr, Wasa’ilu ‘sh-Shi’ah, vol. 18 (Beirut: Dar Ihyai ‘t-Turathi ‘l-Islami, 1391 AH) p.106-107.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al-Furu’ min al-Kafi, vol. 7, p.412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Istihsan, istislah or maslahah, and ta’awwul are different forms of ijtihad in the meaning of ra’iy. All these terms mean the application of personal discretion in legal decisions.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as-Sadr, S. Muhammad Baqir, Durus fi ‘Ilmi ‘l-‘Usul, vol. 1 (Beirut: Daru 'l-Kitab, 1978) pp, 55-60; also see Mutahhari, M., "Ijtihad dar Islam," in Bahsi dar-barah-e Marji'iyyat wa Ruhaniyyat (Tehran: Shirkat-e Intishar, 2nd edt.) pp. 37-42. Mutahhari mentions 'Allamah Hilli (d. 726 AH) as the first user of the term ijtihad in its new meaning but Sadr has shown that it was used before ‘Allarnah by his uncle the Muhaqqiq al-Hilli.</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saying of the Imams of Ahlul-Bayt in rejection of Qiyas as a source of the shari’ah laws, see the last chapter of Wasa’ilu ‘sh-Shi’ah, vol. 18.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Sadr, S.M. Baqir, al-Fatawa al-Wadihah (Najaf, 1976) pp. 46-47.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Khu’i, S. Abu ‘l-Qasim, Minhaju ‘s-Salihiyn, vol.2 (Najaf, 1394) pp. 174-181.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Mutahhari, “Ijtihad dar Islam,” p. 61.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14091</Words>
  <Characters>68712</Characters>
  <CharactersWithSpaces>82252</CharactersWithSpaces>
  <Paragraphs>611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2026-08-17T05:38:30Z</dcterms:created>
  <dc:creator>ghaemiyeh.com</dc:creator>
  <dc:description/>
  <dc:language>en-US</dc:language>
  <cp:lastModifiedBy/>
  <dcterms:modified xsi:type="dcterms:W3CDTF">2026-08-17T09:08:32Z</dcterms:modified>
  <cp:revision>1</cp:revision>
  <dc:subject/>
  <dc:title>An Introduction to The Islamic Shariah</dc:title>
</cp:coreProperties>
</file>

<file path=docProps/custom.xml><?xml version="1.0" encoding="utf-8"?>
<Properties xmlns="http://schemas.openxmlformats.org/officeDocument/2006/custom-properties" xmlns:vt="http://schemas.openxmlformats.org/officeDocument/2006/docPropsVTypes"/>
</file>