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چکیده مقالات کنگره بزرگداشت عبدالجلیل رازی قزوینی زنده در </w:t>
      </w:r>
      <w:r>
        <w:rPr/>
        <w:t>560</w:t>
      </w:r>
      <w:r>
        <w:rPr>
          <w:rtl w:val="true"/>
        </w:rPr>
        <w:t xml:space="preserve"> </w:t>
      </w:r>
      <w:r>
        <w:rPr>
          <w:rtl w:val="true"/>
        </w:rPr>
        <w:t>ق با ترجمه عربی و انگلیسی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703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47705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7707_3804643083">
            <w:r>
              <w:rPr>
                <w:webHidden/>
                <w:rStyle w:val="IndexLink"/>
                <w:rtl w:val="true"/>
              </w:rPr>
              <w:t>يادداشت دبير علمي</w:t>
            </w:r>
            <w:r>
              <w:rPr>
                <w:rStyle w:val="IndexLink"/>
                <w:rtl w:val="true"/>
              </w:rPr>
              <w:tab/>
            </w:r>
            <w:r>
              <w:rPr>
                <w:rStyle w:val="IndexLink"/>
              </w:rPr>
              <w:t>7</w:t>
            </w:r>
          </w:hyperlink>
        </w:p>
        <w:p>
          <w:pPr>
            <w:pStyle w:val="Contents3"/>
            <w:tabs>
              <w:tab w:val="clear" w:pos="8459"/>
              <w:tab w:val="right" w:pos="9026" w:leader="dot"/>
            </w:tabs>
            <w:rPr/>
          </w:pPr>
          <w:hyperlink w:anchor="__RefHeading___Toc147709_380464308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47711_3804643083">
            <w:r>
              <w:rPr>
                <w:webHidden/>
                <w:rStyle w:val="IndexLink"/>
                <w:rtl w:val="true"/>
              </w:rPr>
              <w:t>الف</w:t>
            </w:r>
            <w:r>
              <w:rPr>
                <w:rStyle w:val="IndexLink"/>
                <w:rtl w:val="true"/>
              </w:rPr>
              <w:t xml:space="preserve">. </w:t>
            </w:r>
            <w:r>
              <w:rPr>
                <w:rStyle w:val="IndexLink"/>
                <w:rtl w:val="true"/>
              </w:rPr>
              <w:t xml:space="preserve">آماده‌سازي مجموعه آثار كنگره </w:t>
            </w:r>
            <w:r>
              <w:rPr>
                <w:rStyle w:val="IndexLink"/>
                <w:rtl w:val="true"/>
              </w:rPr>
              <w:t>(</w:t>
            </w:r>
            <w:r>
              <w:rPr>
                <w:rStyle w:val="IndexLink"/>
              </w:rPr>
              <w:t>۷</w:t>
            </w:r>
            <w:r>
              <w:rPr>
                <w:rStyle w:val="IndexLink"/>
                <w:rtl w:val="true"/>
              </w:rPr>
              <w:t xml:space="preserve"> جلد</w:t>
            </w:r>
            <w:r>
              <w:rPr>
                <w:rStyle w:val="IndexLink"/>
                <w:rtl w:val="true"/>
              </w:rPr>
              <w:t>)</w:t>
              <w:tab/>
            </w:r>
            <w:r>
              <w:rPr>
                <w:rStyle w:val="IndexLink"/>
              </w:rPr>
              <w:t>10</w:t>
            </w:r>
          </w:hyperlink>
        </w:p>
        <w:p>
          <w:pPr>
            <w:pStyle w:val="Contents3"/>
            <w:tabs>
              <w:tab w:val="clear" w:pos="8459"/>
              <w:tab w:val="right" w:pos="9026" w:leader="dot"/>
            </w:tabs>
            <w:rPr/>
          </w:pPr>
          <w:hyperlink w:anchor="__RefHeading___Toc147713_3804643083">
            <w:r>
              <w:rPr>
                <w:webHidden/>
                <w:rStyle w:val="IndexLink"/>
                <w:rtl w:val="true"/>
              </w:rPr>
              <w:t>ب</w:t>
            </w:r>
            <w:r>
              <w:rPr>
                <w:rStyle w:val="IndexLink"/>
                <w:rtl w:val="true"/>
              </w:rPr>
              <w:t xml:space="preserve">. </w:t>
            </w:r>
            <w:r>
              <w:rPr>
                <w:rStyle w:val="IndexLink"/>
                <w:rtl w:val="true"/>
              </w:rPr>
              <w:t xml:space="preserve">خبرنامه كنگره </w:t>
            </w:r>
            <w:r>
              <w:rPr>
                <w:rStyle w:val="IndexLink"/>
                <w:rtl w:val="true"/>
              </w:rPr>
              <w:t>(</w:t>
            </w:r>
            <w:r>
              <w:rPr>
                <w:rStyle w:val="IndexLink"/>
              </w:rPr>
              <w:t>۳</w:t>
            </w:r>
            <w:r>
              <w:rPr>
                <w:rStyle w:val="IndexLink"/>
                <w:rtl w:val="true"/>
              </w:rPr>
              <w:t xml:space="preserve"> شماره</w:t>
            </w:r>
            <w:r>
              <w:rPr>
                <w:rStyle w:val="IndexLink"/>
                <w:rtl w:val="true"/>
              </w:rPr>
              <w:t>)</w:t>
              <w:tab/>
            </w:r>
            <w:r>
              <w:rPr>
                <w:rStyle w:val="IndexLink"/>
              </w:rPr>
              <w:t>10</w:t>
            </w:r>
          </w:hyperlink>
        </w:p>
        <w:p>
          <w:pPr>
            <w:pStyle w:val="Contents3"/>
            <w:tabs>
              <w:tab w:val="clear" w:pos="8459"/>
              <w:tab w:val="right" w:pos="9026" w:leader="dot"/>
            </w:tabs>
            <w:rPr/>
          </w:pPr>
          <w:hyperlink w:anchor="__RefHeading___Toc147715_3804643083">
            <w:r>
              <w:rPr>
                <w:webHidden/>
                <w:rStyle w:val="IndexLink"/>
                <w:rtl w:val="true"/>
              </w:rPr>
              <w:t>ج</w:t>
            </w:r>
            <w:r>
              <w:rPr>
                <w:rStyle w:val="IndexLink"/>
                <w:rtl w:val="true"/>
              </w:rPr>
              <w:t xml:space="preserve">. </w:t>
            </w:r>
            <w:r>
              <w:rPr>
                <w:rStyle w:val="IndexLink"/>
                <w:rtl w:val="true"/>
              </w:rPr>
              <w:t xml:space="preserve">تهيه لوح فشرده </w:t>
            </w:r>
            <w:r>
              <w:rPr>
                <w:rStyle w:val="IndexLink"/>
                <w:rtl w:val="true"/>
              </w:rPr>
              <w:t>(</w:t>
            </w:r>
            <w:r>
              <w:rPr>
                <w:rStyle w:val="IndexLink"/>
              </w:rPr>
              <w:t>DVD</w:t>
            </w:r>
            <w:r>
              <w:rPr>
                <w:rStyle w:val="IndexLink"/>
                <w:rtl w:val="true"/>
              </w:rPr>
              <w:t xml:space="preserve">) </w:t>
            </w:r>
            <w:r>
              <w:rPr>
                <w:rStyle w:val="IndexLink"/>
                <w:rtl w:val="true"/>
              </w:rPr>
              <w:t>از مجموعه آثار كنگره</w:t>
            </w:r>
            <w:r>
              <w:rPr>
                <w:rStyle w:val="IndexLink"/>
                <w:rtl w:val="true"/>
              </w:rPr>
              <w:tab/>
            </w:r>
            <w:r>
              <w:rPr>
                <w:rStyle w:val="IndexLink"/>
              </w:rPr>
              <w:t>10</w:t>
            </w:r>
          </w:hyperlink>
        </w:p>
        <w:p>
          <w:pPr>
            <w:pStyle w:val="Contents3"/>
            <w:tabs>
              <w:tab w:val="clear" w:pos="8459"/>
              <w:tab w:val="right" w:pos="9026" w:leader="dot"/>
            </w:tabs>
            <w:rPr/>
          </w:pPr>
          <w:hyperlink w:anchor="__RefHeading___Toc147717_3804643083">
            <w:r>
              <w:rPr>
                <w:webHidden/>
                <w:rStyle w:val="IndexLink"/>
                <w:rtl w:val="true"/>
              </w:rPr>
              <w:t>الف</w:t>
            </w:r>
            <w:r>
              <w:rPr>
                <w:rStyle w:val="IndexLink"/>
                <w:rtl w:val="true"/>
              </w:rPr>
              <w:t xml:space="preserve">. </w:t>
            </w:r>
            <w:r>
              <w:rPr>
                <w:rStyle w:val="IndexLink"/>
                <w:rtl w:val="true"/>
              </w:rPr>
              <w:t>برگزاركنندگان</w:t>
            </w:r>
            <w:r>
              <w:rPr>
                <w:rStyle w:val="IndexLink"/>
                <w:rtl w:val="true"/>
              </w:rPr>
              <w:tab/>
            </w:r>
            <w:r>
              <w:rPr>
                <w:rStyle w:val="IndexLink"/>
              </w:rPr>
              <w:t>11</w:t>
            </w:r>
          </w:hyperlink>
        </w:p>
        <w:p>
          <w:pPr>
            <w:pStyle w:val="Contents3"/>
            <w:tabs>
              <w:tab w:val="clear" w:pos="8459"/>
              <w:tab w:val="right" w:pos="9026" w:leader="dot"/>
            </w:tabs>
            <w:rPr/>
          </w:pPr>
          <w:hyperlink w:anchor="__RefHeading___Toc147719_3804643083">
            <w:r>
              <w:rPr>
                <w:webHidden/>
                <w:rStyle w:val="IndexLink"/>
                <w:rtl w:val="true"/>
              </w:rPr>
              <w:t>ب</w:t>
            </w:r>
            <w:r>
              <w:rPr>
                <w:rStyle w:val="IndexLink"/>
                <w:rtl w:val="true"/>
              </w:rPr>
              <w:t xml:space="preserve">. </w:t>
            </w:r>
            <w:r>
              <w:rPr>
                <w:rStyle w:val="IndexLink"/>
                <w:rtl w:val="true"/>
              </w:rPr>
              <w:t>اعضاي شوراي علمي كنگره</w:t>
            </w:r>
            <w:r>
              <w:rPr>
                <w:rStyle w:val="IndexLink"/>
                <w:rtl w:val="true"/>
              </w:rPr>
              <w:tab/>
            </w:r>
            <w:r>
              <w:rPr>
                <w:rStyle w:val="IndexLink"/>
              </w:rPr>
              <w:t>12</w:t>
            </w:r>
          </w:hyperlink>
        </w:p>
        <w:p>
          <w:pPr>
            <w:pStyle w:val="Contents3"/>
            <w:tabs>
              <w:tab w:val="clear" w:pos="8459"/>
              <w:tab w:val="right" w:pos="9026" w:leader="dot"/>
            </w:tabs>
            <w:rPr/>
          </w:pPr>
          <w:hyperlink w:anchor="__RefHeading___Toc147721_3804643083">
            <w:r>
              <w:rPr>
                <w:webHidden/>
                <w:rStyle w:val="IndexLink"/>
                <w:rtl w:val="true"/>
              </w:rPr>
              <w:t>ج</w:t>
            </w:r>
            <w:r>
              <w:rPr>
                <w:rStyle w:val="IndexLink"/>
                <w:rtl w:val="true"/>
              </w:rPr>
              <w:t xml:space="preserve">. </w:t>
            </w:r>
            <w:r>
              <w:rPr>
                <w:rStyle w:val="IndexLink"/>
                <w:rtl w:val="true"/>
              </w:rPr>
              <w:t>گروه آماده‌سازي آثار، شامل</w:t>
            </w:r>
            <w:r>
              <w:rPr>
                <w:rStyle w:val="IndexLink"/>
                <w:rtl w:val="true"/>
              </w:rPr>
              <w:t xml:space="preserve">: </w:t>
            </w:r>
            <w:r>
              <w:rPr>
                <w:rStyle w:val="IndexLink"/>
                <w:rtl w:val="true"/>
              </w:rPr>
              <w:t>حروفچيني، ويرايش، نمونه‌خواني</w:t>
            </w:r>
            <w:r>
              <w:rPr>
                <w:rStyle w:val="IndexLink"/>
                <w:rtl w:val="true"/>
              </w:rPr>
              <w:t>...</w:t>
              <w:tab/>
            </w:r>
            <w:r>
              <w:rPr>
                <w:rStyle w:val="IndexLink"/>
              </w:rPr>
              <w:t>13</w:t>
            </w:r>
          </w:hyperlink>
        </w:p>
        <w:p>
          <w:pPr>
            <w:pStyle w:val="Contents3"/>
            <w:tabs>
              <w:tab w:val="clear" w:pos="8459"/>
              <w:tab w:val="right" w:pos="9026" w:leader="dot"/>
            </w:tabs>
            <w:rPr/>
          </w:pPr>
          <w:hyperlink w:anchor="__RefHeading___Toc147723_3804643083">
            <w:r>
              <w:rPr>
                <w:webHidden/>
                <w:rStyle w:val="IndexLink"/>
                <w:rtl w:val="true"/>
              </w:rPr>
              <w:t>د</w:t>
            </w:r>
            <w:r>
              <w:rPr>
                <w:rStyle w:val="IndexLink"/>
                <w:rtl w:val="true"/>
              </w:rPr>
              <w:t xml:space="preserve">. </w:t>
            </w:r>
            <w:r>
              <w:rPr>
                <w:rStyle w:val="IndexLink"/>
                <w:rtl w:val="true"/>
              </w:rPr>
              <w:t>گروه اجرايي كنگره</w:t>
            </w:r>
            <w:r>
              <w:rPr>
                <w:rStyle w:val="IndexLink"/>
                <w:rtl w:val="true"/>
              </w:rPr>
              <w:tab/>
            </w:r>
            <w:r>
              <w:rPr>
                <w:rStyle w:val="IndexLink"/>
              </w:rPr>
              <w:t>13</w:t>
            </w:r>
          </w:hyperlink>
        </w:p>
        <w:p>
          <w:pPr>
            <w:pStyle w:val="Contents3"/>
            <w:tabs>
              <w:tab w:val="clear" w:pos="8459"/>
              <w:tab w:val="right" w:pos="9026" w:leader="dot"/>
            </w:tabs>
            <w:rPr/>
          </w:pPr>
          <w:hyperlink w:anchor="__RefHeading___Toc147725_3804643083">
            <w:r>
              <w:rPr>
                <w:webHidden/>
                <w:rStyle w:val="IndexLink"/>
                <w:rtl w:val="true"/>
              </w:rPr>
              <w:t xml:space="preserve">ه </w:t>
            </w:r>
            <w:r>
              <w:rPr>
                <w:rStyle w:val="IndexLink"/>
                <w:rtl w:val="true"/>
              </w:rPr>
              <w:t xml:space="preserve">. </w:t>
            </w:r>
            <w:r>
              <w:rPr>
                <w:rStyle w:val="IndexLink"/>
                <w:rtl w:val="true"/>
              </w:rPr>
              <w:t>مشاوران علمي كنگره</w:t>
            </w:r>
            <w:r>
              <w:rPr>
                <w:rStyle w:val="IndexLink"/>
                <w:rtl w:val="true"/>
              </w:rPr>
              <w:tab/>
            </w:r>
            <w:r>
              <w:rPr>
                <w:rStyle w:val="IndexLink"/>
              </w:rPr>
              <w:t>13</w:t>
            </w:r>
          </w:hyperlink>
        </w:p>
        <w:p>
          <w:pPr>
            <w:pStyle w:val="Contents2"/>
            <w:tabs>
              <w:tab w:val="clear" w:pos="8743"/>
              <w:tab w:val="right" w:pos="9026" w:leader="dot"/>
            </w:tabs>
            <w:rPr/>
          </w:pPr>
          <w:hyperlink w:anchor="__RefHeading___Toc147727_3804643083">
            <w:r>
              <w:rPr>
                <w:webHidden/>
                <w:rStyle w:val="IndexLink"/>
                <w:rtl w:val="true"/>
              </w:rPr>
              <w:t>دربارة اين اثر</w:t>
            </w:r>
            <w:r>
              <w:rPr>
                <w:rStyle w:val="IndexLink"/>
                <w:rtl w:val="true"/>
              </w:rPr>
              <w:tab/>
            </w:r>
            <w:r>
              <w:rPr>
                <w:rStyle w:val="IndexLink"/>
              </w:rPr>
              <w:t>15</w:t>
            </w:r>
          </w:hyperlink>
        </w:p>
        <w:p>
          <w:pPr>
            <w:pStyle w:val="Contents2"/>
            <w:tabs>
              <w:tab w:val="clear" w:pos="8743"/>
              <w:tab w:val="right" w:pos="9026" w:leader="dot"/>
            </w:tabs>
            <w:rPr/>
          </w:pPr>
          <w:hyperlink w:anchor="__RefHeading___Toc147729_3804643083">
            <w:r>
              <w:rPr>
                <w:webHidden/>
                <w:rStyle w:val="IndexLink"/>
                <w:rtl w:val="true"/>
              </w:rPr>
              <w:t>چكيده مقالات فارسي</w:t>
            </w:r>
            <w:r>
              <w:rPr>
                <w:rStyle w:val="IndexLink"/>
                <w:rtl w:val="true"/>
              </w:rPr>
              <w:tab/>
            </w:r>
            <w:r>
              <w:rPr>
                <w:rStyle w:val="IndexLink"/>
              </w:rPr>
              <w:t>17</w:t>
            </w:r>
          </w:hyperlink>
        </w:p>
        <w:p>
          <w:pPr>
            <w:pStyle w:val="Contents3"/>
            <w:tabs>
              <w:tab w:val="clear" w:pos="8459"/>
              <w:tab w:val="right" w:pos="9026" w:leader="dot"/>
            </w:tabs>
            <w:rPr/>
          </w:pPr>
          <w:hyperlink w:anchor="__RefHeading___Toc147731_380464308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7733_3804643083">
            <w:r>
              <w:rPr>
                <w:webHidden/>
                <w:rStyle w:val="IndexLink"/>
              </w:rPr>
              <w:t>۱</w:t>
            </w:r>
            <w:r>
              <w:rPr>
                <w:rStyle w:val="IndexLink"/>
                <w:rtl w:val="true"/>
              </w:rPr>
              <w:t xml:space="preserve">. </w:t>
            </w:r>
            <w:r>
              <w:rPr>
                <w:rStyle w:val="IndexLink"/>
                <w:rtl w:val="true"/>
              </w:rPr>
              <w:t xml:space="preserve">نگاهي به كتاب </w:t>
            </w:r>
            <w:r>
              <w:rPr>
                <w:rStyle w:val="IndexLink"/>
                <w:rtl w:val="true"/>
              </w:rPr>
              <w:t>«</w:t>
            </w:r>
            <w:r>
              <w:rPr>
                <w:rStyle w:val="IndexLink"/>
                <w:rtl w:val="true"/>
              </w:rPr>
              <w:t>نقض</w:t>
            </w:r>
            <w:r>
              <w:rPr>
                <w:rStyle w:val="IndexLink"/>
                <w:rtl w:val="true"/>
              </w:rPr>
              <w:t xml:space="preserve">» </w:t>
            </w:r>
            <w:r>
              <w:rPr>
                <w:rStyle w:val="IndexLink"/>
                <w:rtl w:val="true"/>
              </w:rPr>
              <w:t>عبد الجليل رازي</w:t>
            </w:r>
            <w:r>
              <w:rPr>
                <w:rStyle w:val="IndexLink"/>
                <w:rtl w:val="true"/>
              </w:rPr>
              <w:tab/>
            </w:r>
            <w:r>
              <w:rPr>
                <w:rStyle w:val="IndexLink"/>
              </w:rPr>
              <w:t>19</w:t>
            </w:r>
          </w:hyperlink>
        </w:p>
        <w:p>
          <w:pPr>
            <w:pStyle w:val="Contents3"/>
            <w:tabs>
              <w:tab w:val="clear" w:pos="8459"/>
              <w:tab w:val="right" w:pos="9026" w:leader="dot"/>
            </w:tabs>
            <w:rPr/>
          </w:pPr>
          <w:hyperlink w:anchor="__RefHeading___Toc147735_3804643083">
            <w:r>
              <w:rPr>
                <w:webHidden/>
                <w:rStyle w:val="IndexLink"/>
              </w:rPr>
              <w:t>۲</w:t>
            </w:r>
            <w:r>
              <w:rPr>
                <w:rStyle w:val="IndexLink"/>
                <w:rtl w:val="true"/>
              </w:rPr>
              <w:t xml:space="preserve">. </w:t>
            </w:r>
            <w:r>
              <w:rPr>
                <w:rStyle w:val="IndexLink"/>
                <w:rtl w:val="true"/>
              </w:rPr>
              <w:t xml:space="preserve">بن‌مايه‌هاي قرآني عبد الجليل رازي در </w:t>
            </w:r>
            <w:r>
              <w:rPr>
                <w:rStyle w:val="IndexLink"/>
                <w:rtl w:val="true"/>
              </w:rPr>
              <w:t>«</w:t>
            </w:r>
            <w:r>
              <w:rPr>
                <w:rStyle w:val="IndexLink"/>
                <w:rtl w:val="true"/>
              </w:rPr>
              <w:t>نقض</w:t>
            </w:r>
            <w:r>
              <w:rPr>
                <w:rStyle w:val="IndexLink"/>
                <w:rtl w:val="true"/>
              </w:rPr>
              <w:t>»</w:t>
              <w:tab/>
            </w:r>
            <w:r>
              <w:rPr>
                <w:rStyle w:val="IndexLink"/>
              </w:rPr>
              <w:t>20</w:t>
            </w:r>
          </w:hyperlink>
        </w:p>
        <w:p>
          <w:pPr>
            <w:pStyle w:val="Contents3"/>
            <w:tabs>
              <w:tab w:val="clear" w:pos="8459"/>
              <w:tab w:val="right" w:pos="9026" w:leader="dot"/>
            </w:tabs>
            <w:rPr/>
          </w:pPr>
          <w:hyperlink w:anchor="__RefHeading___Toc147737_3804643083">
            <w:r>
              <w:rPr>
                <w:webHidden/>
                <w:rStyle w:val="IndexLink"/>
              </w:rPr>
              <w:t>۳</w:t>
            </w:r>
            <w:r>
              <w:rPr>
                <w:rStyle w:val="IndexLink"/>
                <w:rtl w:val="true"/>
              </w:rPr>
              <w:t xml:space="preserve">. </w:t>
            </w:r>
            <w:r>
              <w:rPr>
                <w:rStyle w:val="IndexLink"/>
                <w:rtl w:val="true"/>
              </w:rPr>
              <w:t xml:space="preserve">نگاه تأويلي به آيات قرآن در </w:t>
            </w:r>
            <w:r>
              <w:rPr>
                <w:rStyle w:val="IndexLink"/>
                <w:rtl w:val="true"/>
              </w:rPr>
              <w:t>«</w:t>
            </w:r>
            <w:r>
              <w:rPr>
                <w:rStyle w:val="IndexLink"/>
                <w:rtl w:val="true"/>
              </w:rPr>
              <w:t>نقض</w:t>
            </w:r>
            <w:r>
              <w:rPr>
                <w:rStyle w:val="IndexLink"/>
                <w:rtl w:val="true"/>
              </w:rPr>
              <w:t>»</w:t>
              <w:tab/>
            </w:r>
            <w:r>
              <w:rPr>
                <w:rStyle w:val="IndexLink"/>
              </w:rPr>
              <w:t>21</w:t>
            </w:r>
          </w:hyperlink>
        </w:p>
        <w:p>
          <w:pPr>
            <w:pStyle w:val="Contents3"/>
            <w:tabs>
              <w:tab w:val="clear" w:pos="8459"/>
              <w:tab w:val="right" w:pos="9026" w:leader="dot"/>
            </w:tabs>
            <w:rPr/>
          </w:pPr>
          <w:hyperlink w:anchor="__RefHeading___Toc147739_3804643083">
            <w:r>
              <w:rPr>
                <w:webHidden/>
                <w:rStyle w:val="IndexLink"/>
              </w:rPr>
              <w:t>۴</w:t>
            </w:r>
            <w:r>
              <w:rPr>
                <w:rStyle w:val="IndexLink"/>
                <w:rtl w:val="true"/>
              </w:rPr>
              <w:t xml:space="preserve">. </w:t>
            </w:r>
            <w:r>
              <w:rPr>
                <w:rStyle w:val="IndexLink"/>
                <w:rtl w:val="true"/>
              </w:rPr>
              <w:t>بازشناسي مباني و عملكرد حديثي عبد الجليل رازي</w:t>
            </w:r>
            <w:r>
              <w:rPr>
                <w:rStyle w:val="IndexLink"/>
                <w:rtl w:val="true"/>
              </w:rPr>
              <w:t>...</w:t>
              <w:tab/>
            </w:r>
            <w:r>
              <w:rPr>
                <w:rStyle w:val="IndexLink"/>
              </w:rPr>
              <w:t>23</w:t>
            </w:r>
          </w:hyperlink>
        </w:p>
        <w:p>
          <w:pPr>
            <w:pStyle w:val="Contents3"/>
            <w:tabs>
              <w:tab w:val="clear" w:pos="8459"/>
              <w:tab w:val="right" w:pos="9026" w:leader="dot"/>
            </w:tabs>
            <w:rPr/>
          </w:pPr>
          <w:hyperlink w:anchor="__RefHeading___Toc147741_3804643083">
            <w:r>
              <w:rPr>
                <w:webHidden/>
                <w:rStyle w:val="IndexLink"/>
              </w:rPr>
              <w:t>۵</w:t>
            </w:r>
            <w:r>
              <w:rPr>
                <w:rStyle w:val="IndexLink"/>
                <w:rtl w:val="true"/>
              </w:rPr>
              <w:t xml:space="preserve">. </w:t>
            </w:r>
            <w:r>
              <w:rPr>
                <w:rStyle w:val="IndexLink"/>
                <w:rtl w:val="true"/>
              </w:rPr>
              <w:t>معرفت خدا، توحيد و اسما و صفات از ديدگاه</w:t>
            </w:r>
            <w:r>
              <w:rPr>
                <w:rStyle w:val="IndexLink"/>
                <w:rtl w:val="true"/>
              </w:rPr>
              <w:t>...</w:t>
              <w:tab/>
            </w:r>
            <w:r>
              <w:rPr>
                <w:rStyle w:val="IndexLink"/>
              </w:rPr>
              <w:t>25</w:t>
            </w:r>
          </w:hyperlink>
        </w:p>
        <w:p>
          <w:pPr>
            <w:pStyle w:val="Contents3"/>
            <w:tabs>
              <w:tab w:val="clear" w:pos="8459"/>
              <w:tab w:val="right" w:pos="9026" w:leader="dot"/>
            </w:tabs>
            <w:rPr/>
          </w:pPr>
          <w:hyperlink w:anchor="__RefHeading___Toc147743_3804643083">
            <w:r>
              <w:rPr>
                <w:webHidden/>
                <w:rStyle w:val="IndexLink"/>
              </w:rPr>
              <w:t>۶</w:t>
            </w:r>
            <w:r>
              <w:rPr>
                <w:rStyle w:val="IndexLink"/>
                <w:rtl w:val="true"/>
              </w:rPr>
              <w:t xml:space="preserve">. </w:t>
            </w:r>
            <w:r>
              <w:rPr>
                <w:rStyle w:val="IndexLink"/>
                <w:rtl w:val="true"/>
              </w:rPr>
              <w:t>مفهوم امامت و ويژگي‌هاي امامان عليهم السلام از نظر عبد الجليل رازي</w:t>
            </w:r>
            <w:r>
              <w:rPr>
                <w:rStyle w:val="IndexLink"/>
                <w:rtl w:val="true"/>
              </w:rPr>
              <w:tab/>
            </w:r>
            <w:r>
              <w:rPr>
                <w:rStyle w:val="IndexLink"/>
              </w:rPr>
              <w:t>26</w:t>
            </w:r>
          </w:hyperlink>
        </w:p>
        <w:p>
          <w:pPr>
            <w:pStyle w:val="Contents3"/>
            <w:tabs>
              <w:tab w:val="clear" w:pos="8459"/>
              <w:tab w:val="right" w:pos="9026" w:leader="dot"/>
            </w:tabs>
            <w:rPr/>
          </w:pPr>
          <w:hyperlink w:anchor="__RefHeading___Toc147745_3804643083">
            <w:r>
              <w:rPr>
                <w:webHidden/>
                <w:rStyle w:val="IndexLink"/>
              </w:rPr>
              <w:t>۷</w:t>
            </w:r>
            <w:r>
              <w:rPr>
                <w:rStyle w:val="IndexLink"/>
                <w:rtl w:val="true"/>
              </w:rPr>
              <w:t xml:space="preserve">. </w:t>
            </w:r>
            <w:r>
              <w:rPr>
                <w:rStyle w:val="IndexLink"/>
                <w:rtl w:val="true"/>
              </w:rPr>
              <w:t>مواجهه متكلّمان امامي با فلسفه در سدة ششم هجري</w:t>
            </w:r>
            <w:r>
              <w:rPr>
                <w:rStyle w:val="IndexLink"/>
                <w:rtl w:val="true"/>
              </w:rPr>
              <w:tab/>
            </w:r>
            <w:r>
              <w:rPr>
                <w:rStyle w:val="IndexLink"/>
              </w:rPr>
              <w:t>28</w:t>
            </w:r>
          </w:hyperlink>
        </w:p>
        <w:p>
          <w:pPr>
            <w:pStyle w:val="Contents3"/>
            <w:tabs>
              <w:tab w:val="clear" w:pos="8459"/>
              <w:tab w:val="right" w:pos="9026" w:leader="dot"/>
            </w:tabs>
            <w:rPr/>
          </w:pPr>
          <w:hyperlink w:anchor="__RefHeading___Toc147747_3804643083">
            <w:r>
              <w:rPr>
                <w:webHidden/>
                <w:rStyle w:val="IndexLink"/>
              </w:rPr>
              <w:t>۸</w:t>
            </w:r>
            <w:r>
              <w:rPr>
                <w:rStyle w:val="IndexLink"/>
                <w:rtl w:val="true"/>
              </w:rPr>
              <w:t xml:space="preserve">. </w:t>
            </w:r>
            <w:r>
              <w:rPr>
                <w:rStyle w:val="IndexLink"/>
                <w:rtl w:val="true"/>
              </w:rPr>
              <w:t>ويژگي‌هاي شيعة اصولي در نگاه عبد الجليل قزويني</w:t>
            </w:r>
            <w:r>
              <w:rPr>
                <w:rStyle w:val="IndexLink"/>
                <w:rtl w:val="true"/>
              </w:rPr>
              <w:tab/>
            </w:r>
            <w:r>
              <w:rPr>
                <w:rStyle w:val="IndexLink"/>
              </w:rPr>
              <w:t>30</w:t>
            </w:r>
          </w:hyperlink>
        </w:p>
        <w:p>
          <w:pPr>
            <w:pStyle w:val="Contents3"/>
            <w:tabs>
              <w:tab w:val="clear" w:pos="8459"/>
              <w:tab w:val="right" w:pos="9026" w:leader="dot"/>
            </w:tabs>
            <w:rPr/>
          </w:pPr>
          <w:hyperlink w:anchor="__RefHeading___Toc147749_3804643083">
            <w:r>
              <w:rPr>
                <w:webHidden/>
                <w:rStyle w:val="IndexLink"/>
              </w:rPr>
              <w:t>۹</w:t>
            </w:r>
            <w:r>
              <w:rPr>
                <w:rStyle w:val="IndexLink"/>
                <w:rtl w:val="true"/>
              </w:rPr>
              <w:t xml:space="preserve">. </w:t>
            </w:r>
            <w:r>
              <w:rPr>
                <w:rStyle w:val="IndexLink"/>
                <w:rtl w:val="true"/>
              </w:rPr>
              <w:t xml:space="preserve">جايگاه اصطلاح </w:t>
            </w:r>
            <w:r>
              <w:rPr>
                <w:rStyle w:val="IndexLink"/>
                <w:rtl w:val="true"/>
              </w:rPr>
              <w:t>«</w:t>
            </w:r>
            <w:r>
              <w:rPr>
                <w:rStyle w:val="IndexLink"/>
                <w:rtl w:val="true"/>
              </w:rPr>
              <w:t>شيعة اصوليّه</w:t>
            </w:r>
            <w:r>
              <w:rPr>
                <w:rStyle w:val="IndexLink"/>
                <w:rtl w:val="true"/>
              </w:rPr>
              <w:t xml:space="preserve">» </w:t>
            </w:r>
            <w:r>
              <w:rPr>
                <w:rStyle w:val="IndexLink"/>
                <w:rtl w:val="true"/>
              </w:rPr>
              <w:t>در گفتمان كلامي</w:t>
            </w:r>
            <w:r>
              <w:rPr>
                <w:rStyle w:val="IndexLink"/>
                <w:rtl w:val="true"/>
              </w:rPr>
              <w:t>...</w:t>
              <w:tab/>
            </w:r>
            <w:r>
              <w:rPr>
                <w:rStyle w:val="IndexLink"/>
              </w:rPr>
              <w:t>32</w:t>
            </w:r>
          </w:hyperlink>
        </w:p>
        <w:p>
          <w:pPr>
            <w:pStyle w:val="Contents3"/>
            <w:tabs>
              <w:tab w:val="clear" w:pos="8459"/>
              <w:tab w:val="right" w:pos="9026" w:leader="dot"/>
            </w:tabs>
            <w:rPr/>
          </w:pPr>
          <w:hyperlink w:anchor="__RefHeading___Toc147751_3804643083">
            <w:r>
              <w:rPr>
                <w:webHidden/>
                <w:rStyle w:val="IndexLink"/>
              </w:rPr>
              <w:t>۱۰</w:t>
            </w:r>
            <w:r>
              <w:rPr>
                <w:rStyle w:val="IndexLink"/>
                <w:rtl w:val="true"/>
              </w:rPr>
              <w:t xml:space="preserve">. </w:t>
            </w:r>
            <w:r>
              <w:rPr>
                <w:rStyle w:val="IndexLink"/>
                <w:rtl w:val="true"/>
              </w:rPr>
              <w:t xml:space="preserve">دفاع از اماميه و برائت از اسماعيليه در كتاب </w:t>
            </w:r>
            <w:r>
              <w:rPr>
                <w:rStyle w:val="IndexLink"/>
                <w:rtl w:val="true"/>
              </w:rPr>
              <w:t>«</w:t>
            </w:r>
            <w:r>
              <w:rPr>
                <w:rStyle w:val="IndexLink"/>
                <w:rtl w:val="true"/>
              </w:rPr>
              <w:t>نقض</w:t>
            </w:r>
            <w:r>
              <w:rPr>
                <w:rStyle w:val="IndexLink"/>
                <w:rtl w:val="true"/>
              </w:rPr>
              <w:t>»</w:t>
              <w:tab/>
            </w:r>
            <w:r>
              <w:rPr>
                <w:rStyle w:val="IndexLink"/>
              </w:rPr>
              <w:t>34</w:t>
            </w:r>
          </w:hyperlink>
        </w:p>
        <w:p>
          <w:pPr>
            <w:pStyle w:val="Contents3"/>
            <w:tabs>
              <w:tab w:val="clear" w:pos="8459"/>
              <w:tab w:val="right" w:pos="9026" w:leader="dot"/>
            </w:tabs>
            <w:rPr/>
          </w:pPr>
          <w:hyperlink w:anchor="__RefHeading___Toc147753_3804643083">
            <w:r>
              <w:rPr>
                <w:webHidden/>
                <w:rStyle w:val="IndexLink"/>
              </w:rPr>
              <w:t>۱۱</w:t>
            </w:r>
            <w:r>
              <w:rPr>
                <w:rStyle w:val="IndexLink"/>
                <w:rtl w:val="true"/>
              </w:rPr>
              <w:t xml:space="preserve">. </w:t>
            </w:r>
            <w:r>
              <w:rPr>
                <w:rStyle w:val="IndexLink"/>
                <w:rtl w:val="true"/>
              </w:rPr>
              <w:t xml:space="preserve">تشيّع و تصوّف در كتاب </w:t>
            </w:r>
            <w:r>
              <w:rPr>
                <w:rStyle w:val="IndexLink"/>
                <w:rtl w:val="true"/>
              </w:rPr>
              <w:t>«</w:t>
            </w:r>
            <w:r>
              <w:rPr>
                <w:rStyle w:val="IndexLink"/>
                <w:rtl w:val="true"/>
              </w:rPr>
              <w:t>نقض</w:t>
            </w:r>
            <w:r>
              <w:rPr>
                <w:rStyle w:val="IndexLink"/>
                <w:rtl w:val="true"/>
              </w:rPr>
              <w:t>»</w:t>
              <w:tab/>
            </w:r>
            <w:r>
              <w:rPr>
                <w:rStyle w:val="IndexLink"/>
              </w:rPr>
              <w:t>36</w:t>
            </w:r>
          </w:hyperlink>
        </w:p>
        <w:p>
          <w:pPr>
            <w:pStyle w:val="Contents3"/>
            <w:tabs>
              <w:tab w:val="clear" w:pos="8459"/>
              <w:tab w:val="right" w:pos="9026" w:leader="dot"/>
            </w:tabs>
            <w:rPr/>
          </w:pPr>
          <w:hyperlink w:anchor="__RefHeading___Toc147755_3804643083">
            <w:r>
              <w:rPr>
                <w:webHidden/>
                <w:rStyle w:val="IndexLink"/>
              </w:rPr>
              <w:t>۱۲</w:t>
            </w:r>
            <w:r>
              <w:rPr>
                <w:rStyle w:val="IndexLink"/>
                <w:rtl w:val="true"/>
              </w:rPr>
              <w:t xml:space="preserve">. </w:t>
            </w:r>
            <w:r>
              <w:rPr>
                <w:rStyle w:val="IndexLink"/>
                <w:rtl w:val="true"/>
              </w:rPr>
              <w:t xml:space="preserve">كتاب </w:t>
            </w:r>
            <w:r>
              <w:rPr>
                <w:rStyle w:val="IndexLink"/>
                <w:rtl w:val="true"/>
              </w:rPr>
              <w:t>«</w:t>
            </w:r>
            <w:r>
              <w:rPr>
                <w:rStyle w:val="IndexLink"/>
                <w:rtl w:val="true"/>
              </w:rPr>
              <w:t>نقض</w:t>
            </w:r>
            <w:r>
              <w:rPr>
                <w:rStyle w:val="IndexLink"/>
                <w:rtl w:val="true"/>
              </w:rPr>
              <w:t xml:space="preserve">» </w:t>
            </w:r>
            <w:r>
              <w:rPr>
                <w:rStyle w:val="IndexLink"/>
                <w:rtl w:val="true"/>
              </w:rPr>
              <w:t>و اعتدال مذهبي</w:t>
            </w:r>
            <w:r>
              <w:rPr>
                <w:rStyle w:val="IndexLink"/>
                <w:rtl w:val="true"/>
              </w:rPr>
              <w:tab/>
            </w:r>
            <w:r>
              <w:rPr>
                <w:rStyle w:val="IndexLink"/>
              </w:rPr>
              <w:t>38</w:t>
            </w:r>
          </w:hyperlink>
        </w:p>
        <w:p>
          <w:pPr>
            <w:pStyle w:val="Contents3"/>
            <w:tabs>
              <w:tab w:val="clear" w:pos="8459"/>
              <w:tab w:val="right" w:pos="9026" w:leader="dot"/>
            </w:tabs>
            <w:rPr/>
          </w:pPr>
          <w:hyperlink w:anchor="__RefHeading___Toc147757_3804643083">
            <w:r>
              <w:rPr>
                <w:webHidden/>
                <w:rStyle w:val="IndexLink"/>
              </w:rPr>
              <w:t>۱۳</w:t>
            </w:r>
            <w:r>
              <w:rPr>
                <w:rStyle w:val="IndexLink"/>
                <w:rtl w:val="true"/>
              </w:rPr>
              <w:t xml:space="preserve">. </w:t>
            </w:r>
            <w:r>
              <w:rPr>
                <w:rStyle w:val="IndexLink"/>
                <w:rtl w:val="true"/>
              </w:rPr>
              <w:t>گذري بر ابعاد حيات فرهنگي ـ تمدّني شيعيان در تاريخ</w:t>
            </w:r>
            <w:r>
              <w:rPr>
                <w:rStyle w:val="IndexLink"/>
                <w:rtl w:val="true"/>
              </w:rPr>
              <w:t>...</w:t>
              <w:tab/>
            </w:r>
            <w:r>
              <w:rPr>
                <w:rStyle w:val="IndexLink"/>
              </w:rPr>
              <w:t>40</w:t>
            </w:r>
          </w:hyperlink>
        </w:p>
        <w:p>
          <w:pPr>
            <w:pStyle w:val="Contents3"/>
            <w:tabs>
              <w:tab w:val="clear" w:pos="8459"/>
              <w:tab w:val="right" w:pos="9026" w:leader="dot"/>
            </w:tabs>
            <w:rPr/>
          </w:pPr>
          <w:hyperlink w:anchor="__RefHeading___Toc147759_3804643083">
            <w:r>
              <w:rPr>
                <w:webHidden/>
                <w:rStyle w:val="IndexLink"/>
              </w:rPr>
              <w:t>۱۴</w:t>
            </w:r>
            <w:r>
              <w:rPr>
                <w:rStyle w:val="IndexLink"/>
                <w:rtl w:val="true"/>
              </w:rPr>
              <w:t xml:space="preserve">. </w:t>
            </w:r>
            <w:r>
              <w:rPr>
                <w:rStyle w:val="IndexLink"/>
                <w:rtl w:val="true"/>
              </w:rPr>
              <w:t>پراكندگي جغرافياي جمعيتي شيعيان اماميه</w:t>
            </w:r>
            <w:r>
              <w:rPr>
                <w:rStyle w:val="IndexLink"/>
                <w:rtl w:val="true"/>
              </w:rPr>
              <w:t>...</w:t>
              <w:tab/>
            </w:r>
            <w:r>
              <w:rPr>
                <w:rStyle w:val="IndexLink"/>
              </w:rPr>
              <w:t>41</w:t>
            </w:r>
          </w:hyperlink>
        </w:p>
        <w:p>
          <w:pPr>
            <w:pStyle w:val="Contents3"/>
            <w:tabs>
              <w:tab w:val="clear" w:pos="8459"/>
              <w:tab w:val="right" w:pos="9026" w:leader="dot"/>
            </w:tabs>
            <w:rPr/>
          </w:pPr>
          <w:hyperlink w:anchor="__RefHeading___Toc147761_3804643083">
            <w:r>
              <w:rPr>
                <w:webHidden/>
                <w:rStyle w:val="IndexLink"/>
              </w:rPr>
              <w:t>۱۵</w:t>
            </w:r>
            <w:r>
              <w:rPr>
                <w:rStyle w:val="IndexLink"/>
                <w:rtl w:val="true"/>
              </w:rPr>
              <w:t xml:space="preserve">. </w:t>
            </w:r>
            <w:r>
              <w:rPr>
                <w:rStyle w:val="IndexLink"/>
                <w:rtl w:val="true"/>
              </w:rPr>
              <w:t xml:space="preserve">يادكردهاي فرقه‌شناختي عبد الجليل قزويني در كتاب </w:t>
            </w:r>
            <w:r>
              <w:rPr>
                <w:rStyle w:val="IndexLink"/>
                <w:rtl w:val="true"/>
              </w:rPr>
              <w:t>«</w:t>
            </w:r>
            <w:r>
              <w:rPr>
                <w:rStyle w:val="IndexLink"/>
                <w:rtl w:val="true"/>
              </w:rPr>
              <w:t>نقض</w:t>
            </w:r>
            <w:r>
              <w:rPr>
                <w:rStyle w:val="IndexLink"/>
                <w:rtl w:val="true"/>
              </w:rPr>
              <w:t>»</w:t>
              <w:tab/>
            </w:r>
            <w:r>
              <w:rPr>
                <w:rStyle w:val="IndexLink"/>
              </w:rPr>
              <w:t>43</w:t>
            </w:r>
          </w:hyperlink>
        </w:p>
        <w:p>
          <w:pPr>
            <w:pStyle w:val="Contents3"/>
            <w:tabs>
              <w:tab w:val="clear" w:pos="8459"/>
              <w:tab w:val="right" w:pos="9026" w:leader="dot"/>
            </w:tabs>
            <w:rPr/>
          </w:pPr>
          <w:hyperlink w:anchor="__RefHeading___Toc147763_3804643083">
            <w:r>
              <w:rPr>
                <w:webHidden/>
                <w:rStyle w:val="IndexLink"/>
              </w:rPr>
              <w:t>۱۶</w:t>
            </w:r>
            <w:r>
              <w:rPr>
                <w:rStyle w:val="IndexLink"/>
                <w:rtl w:val="true"/>
              </w:rPr>
              <w:t>. «</w:t>
            </w:r>
            <w:r>
              <w:rPr>
                <w:rStyle w:val="IndexLink"/>
                <w:rtl w:val="true"/>
              </w:rPr>
              <w:t>مدرسه</w:t>
            </w:r>
            <w:r>
              <w:rPr>
                <w:rStyle w:val="IndexLink"/>
                <w:rtl w:val="true"/>
              </w:rPr>
              <w:t xml:space="preserve">» </w:t>
            </w:r>
            <w:r>
              <w:rPr>
                <w:rStyle w:val="IndexLink"/>
                <w:rtl w:val="true"/>
              </w:rPr>
              <w:t xml:space="preserve">سنّيان در برابر </w:t>
            </w:r>
            <w:r>
              <w:rPr>
                <w:rStyle w:val="IndexLink"/>
                <w:rtl w:val="true"/>
              </w:rPr>
              <w:t>«</w:t>
            </w:r>
            <w:r>
              <w:rPr>
                <w:rStyle w:val="IndexLink"/>
                <w:rtl w:val="true"/>
              </w:rPr>
              <w:t>دار العلمِ</w:t>
            </w:r>
            <w:r>
              <w:rPr>
                <w:rStyle w:val="IndexLink"/>
                <w:rtl w:val="true"/>
              </w:rPr>
              <w:t xml:space="preserve">» </w:t>
            </w:r>
            <w:r>
              <w:rPr>
                <w:rStyle w:val="IndexLink"/>
                <w:rtl w:val="true"/>
              </w:rPr>
              <w:t>شيعيان</w:t>
            </w:r>
            <w:r>
              <w:rPr>
                <w:rStyle w:val="IndexLink"/>
                <w:rtl w:val="true"/>
              </w:rPr>
              <w:t>...</w:t>
              <w:tab/>
            </w:r>
            <w:r>
              <w:rPr>
                <w:rStyle w:val="IndexLink"/>
              </w:rPr>
              <w:t>45</w:t>
            </w:r>
          </w:hyperlink>
        </w:p>
        <w:p>
          <w:pPr>
            <w:pStyle w:val="Contents3"/>
            <w:tabs>
              <w:tab w:val="clear" w:pos="8459"/>
              <w:tab w:val="right" w:pos="9026" w:leader="dot"/>
            </w:tabs>
            <w:rPr/>
          </w:pPr>
          <w:hyperlink w:anchor="__RefHeading___Toc147765_3804643083">
            <w:r>
              <w:rPr>
                <w:webHidden/>
                <w:rStyle w:val="IndexLink"/>
              </w:rPr>
              <w:t>۱۷</w:t>
            </w:r>
            <w:r>
              <w:rPr>
                <w:rStyle w:val="IndexLink"/>
                <w:rtl w:val="true"/>
              </w:rPr>
              <w:t xml:space="preserve">. </w:t>
            </w:r>
            <w:r>
              <w:rPr>
                <w:rStyle w:val="IndexLink"/>
                <w:rtl w:val="true"/>
              </w:rPr>
              <w:t xml:space="preserve">مدارس و محافل علمي و ديني و رجال شيعه در كتاب </w:t>
            </w:r>
            <w:r>
              <w:rPr>
                <w:rStyle w:val="IndexLink"/>
                <w:rtl w:val="true"/>
              </w:rPr>
              <w:t>«</w:t>
            </w:r>
            <w:r>
              <w:rPr>
                <w:rStyle w:val="IndexLink"/>
                <w:rtl w:val="true"/>
              </w:rPr>
              <w:t>نقض</w:t>
            </w:r>
            <w:r>
              <w:rPr>
                <w:rStyle w:val="IndexLink"/>
                <w:rtl w:val="true"/>
              </w:rPr>
              <w:t>»</w:t>
              <w:tab/>
            </w:r>
            <w:r>
              <w:rPr>
                <w:rStyle w:val="IndexLink"/>
              </w:rPr>
              <w:t>48</w:t>
            </w:r>
          </w:hyperlink>
        </w:p>
        <w:p>
          <w:pPr>
            <w:pStyle w:val="Contents3"/>
            <w:tabs>
              <w:tab w:val="clear" w:pos="8459"/>
              <w:tab w:val="right" w:pos="9026" w:leader="dot"/>
            </w:tabs>
            <w:rPr/>
          </w:pPr>
          <w:hyperlink w:anchor="__RefHeading___Toc147767_3804643083">
            <w:r>
              <w:rPr>
                <w:webHidden/>
                <w:rStyle w:val="IndexLink"/>
              </w:rPr>
              <w:t>۱۸</w:t>
            </w:r>
            <w:r>
              <w:rPr>
                <w:rStyle w:val="IndexLink"/>
                <w:rtl w:val="true"/>
              </w:rPr>
              <w:t xml:space="preserve">. </w:t>
            </w:r>
            <w:r>
              <w:rPr>
                <w:rStyle w:val="IndexLink"/>
                <w:rtl w:val="true"/>
              </w:rPr>
              <w:t xml:space="preserve">شعراي شيعي ياد شده در كتاب </w:t>
            </w:r>
            <w:r>
              <w:rPr>
                <w:rStyle w:val="IndexLink"/>
                <w:rtl w:val="true"/>
              </w:rPr>
              <w:t>«</w:t>
            </w:r>
            <w:r>
              <w:rPr>
                <w:rStyle w:val="IndexLink"/>
                <w:rtl w:val="true"/>
              </w:rPr>
              <w:t>نقض</w:t>
            </w:r>
            <w:r>
              <w:rPr>
                <w:rStyle w:val="IndexLink"/>
                <w:rtl w:val="true"/>
              </w:rPr>
              <w:t>»</w:t>
              <w:tab/>
            </w:r>
            <w:r>
              <w:rPr>
                <w:rStyle w:val="IndexLink"/>
              </w:rPr>
              <w:t>49</w:t>
            </w:r>
          </w:hyperlink>
        </w:p>
        <w:p>
          <w:pPr>
            <w:pStyle w:val="Contents3"/>
            <w:tabs>
              <w:tab w:val="clear" w:pos="8459"/>
              <w:tab w:val="right" w:pos="9026" w:leader="dot"/>
            </w:tabs>
            <w:rPr/>
          </w:pPr>
          <w:hyperlink w:anchor="__RefHeading___Toc147769_3804643083">
            <w:r>
              <w:rPr>
                <w:webHidden/>
                <w:rStyle w:val="IndexLink"/>
              </w:rPr>
              <w:t>۱۹</w:t>
            </w:r>
            <w:r>
              <w:rPr>
                <w:rStyle w:val="IndexLink"/>
                <w:rtl w:val="true"/>
              </w:rPr>
              <w:t xml:space="preserve">. </w:t>
            </w:r>
            <w:r>
              <w:rPr>
                <w:rStyle w:val="IndexLink"/>
                <w:rtl w:val="true"/>
              </w:rPr>
              <w:t xml:space="preserve">جغرافياي ري و قزوين در كتاب </w:t>
            </w:r>
            <w:r>
              <w:rPr>
                <w:rStyle w:val="IndexLink"/>
                <w:rtl w:val="true"/>
              </w:rPr>
              <w:t>«</w:t>
            </w:r>
            <w:r>
              <w:rPr>
                <w:rStyle w:val="IndexLink"/>
                <w:rtl w:val="true"/>
              </w:rPr>
              <w:t>نقض</w:t>
            </w:r>
            <w:r>
              <w:rPr>
                <w:rStyle w:val="IndexLink"/>
                <w:rtl w:val="true"/>
              </w:rPr>
              <w:t>»</w:t>
              <w:tab/>
            </w:r>
            <w:r>
              <w:rPr>
                <w:rStyle w:val="IndexLink"/>
              </w:rPr>
              <w:t>51</w:t>
            </w:r>
          </w:hyperlink>
        </w:p>
        <w:p>
          <w:pPr>
            <w:pStyle w:val="Contents3"/>
            <w:tabs>
              <w:tab w:val="clear" w:pos="8459"/>
              <w:tab w:val="right" w:pos="9026" w:leader="dot"/>
            </w:tabs>
            <w:rPr/>
          </w:pPr>
          <w:hyperlink w:anchor="__RefHeading___Toc147771_3804643083">
            <w:r>
              <w:rPr>
                <w:webHidden/>
                <w:rStyle w:val="IndexLink"/>
              </w:rPr>
              <w:t>۲۰</w:t>
            </w:r>
            <w:r>
              <w:rPr>
                <w:rStyle w:val="IndexLink"/>
                <w:rtl w:val="true"/>
              </w:rPr>
              <w:t xml:space="preserve">. </w:t>
            </w:r>
            <w:r>
              <w:rPr>
                <w:rStyle w:val="IndexLink"/>
                <w:rtl w:val="true"/>
              </w:rPr>
              <w:t xml:space="preserve">خاندان بابويه در كتاب </w:t>
            </w:r>
            <w:r>
              <w:rPr>
                <w:rStyle w:val="IndexLink"/>
                <w:rtl w:val="true"/>
              </w:rPr>
              <w:t>«</w:t>
            </w:r>
            <w:r>
              <w:rPr>
                <w:rStyle w:val="IndexLink"/>
                <w:rtl w:val="true"/>
              </w:rPr>
              <w:t>نقض</w:t>
            </w:r>
            <w:r>
              <w:rPr>
                <w:rStyle w:val="IndexLink"/>
                <w:rtl w:val="true"/>
              </w:rPr>
              <w:t>»</w:t>
              <w:tab/>
            </w:r>
            <w:r>
              <w:rPr>
                <w:rStyle w:val="IndexLink"/>
              </w:rPr>
              <w:t>53</w:t>
            </w:r>
          </w:hyperlink>
        </w:p>
        <w:p>
          <w:pPr>
            <w:pStyle w:val="Contents3"/>
            <w:tabs>
              <w:tab w:val="clear" w:pos="8459"/>
              <w:tab w:val="right" w:pos="9026" w:leader="dot"/>
            </w:tabs>
            <w:rPr/>
          </w:pPr>
          <w:hyperlink w:anchor="__RefHeading___Toc147773_3804643083">
            <w:r>
              <w:rPr>
                <w:webHidden/>
                <w:rStyle w:val="IndexLink"/>
              </w:rPr>
              <w:t>۲۱</w:t>
            </w:r>
            <w:r>
              <w:rPr>
                <w:rStyle w:val="IndexLink"/>
                <w:rtl w:val="true"/>
              </w:rPr>
              <w:t xml:space="preserve">. </w:t>
            </w:r>
            <w:r>
              <w:rPr>
                <w:rStyle w:val="IndexLink"/>
                <w:rtl w:val="true"/>
              </w:rPr>
              <w:t xml:space="preserve">سيطره سبك مناقب‌نگاري در </w:t>
            </w:r>
            <w:r>
              <w:rPr>
                <w:rStyle w:val="IndexLink"/>
                <w:rtl w:val="true"/>
              </w:rPr>
              <w:t>«</w:t>
            </w:r>
            <w:r>
              <w:rPr>
                <w:rStyle w:val="IndexLink"/>
                <w:rtl w:val="true"/>
              </w:rPr>
              <w:t>سدة ششم و هفتم هجري</w:t>
            </w:r>
            <w:r>
              <w:rPr>
                <w:rStyle w:val="IndexLink"/>
                <w:rtl w:val="true"/>
              </w:rPr>
              <w:t>»</w:t>
              <w:tab/>
            </w:r>
            <w:r>
              <w:rPr>
                <w:rStyle w:val="IndexLink"/>
              </w:rPr>
              <w:t>54</w:t>
            </w:r>
          </w:hyperlink>
        </w:p>
        <w:p>
          <w:pPr>
            <w:pStyle w:val="Contents3"/>
            <w:tabs>
              <w:tab w:val="clear" w:pos="8459"/>
              <w:tab w:val="right" w:pos="9026" w:leader="dot"/>
            </w:tabs>
            <w:rPr/>
          </w:pPr>
          <w:hyperlink w:anchor="__RefHeading___Toc147775_3804643083">
            <w:r>
              <w:rPr>
                <w:webHidden/>
                <w:rStyle w:val="IndexLink"/>
              </w:rPr>
              <w:t>۲۲</w:t>
            </w:r>
            <w:r>
              <w:rPr>
                <w:rStyle w:val="IndexLink"/>
                <w:rtl w:val="true"/>
              </w:rPr>
              <w:t xml:space="preserve">. </w:t>
            </w:r>
            <w:r>
              <w:rPr>
                <w:rStyle w:val="IndexLink"/>
                <w:rtl w:val="true"/>
              </w:rPr>
              <w:t xml:space="preserve">ويژگي‌هاي سبكي، ساختاري و فكري كتاب </w:t>
            </w:r>
            <w:r>
              <w:rPr>
                <w:rStyle w:val="IndexLink"/>
                <w:rtl w:val="true"/>
              </w:rPr>
              <w:t>«</w:t>
            </w:r>
            <w:r>
              <w:rPr>
                <w:rStyle w:val="IndexLink"/>
                <w:rtl w:val="true"/>
              </w:rPr>
              <w:t>نقض</w:t>
            </w:r>
            <w:r>
              <w:rPr>
                <w:rStyle w:val="IndexLink"/>
                <w:rtl w:val="true"/>
              </w:rPr>
              <w:t>»</w:t>
              <w:tab/>
            </w:r>
            <w:r>
              <w:rPr>
                <w:rStyle w:val="IndexLink"/>
              </w:rPr>
              <w:t>56</w:t>
            </w:r>
          </w:hyperlink>
        </w:p>
        <w:p>
          <w:pPr>
            <w:pStyle w:val="Contents3"/>
            <w:tabs>
              <w:tab w:val="clear" w:pos="8459"/>
              <w:tab w:val="right" w:pos="9026" w:leader="dot"/>
            </w:tabs>
            <w:rPr/>
          </w:pPr>
          <w:hyperlink w:anchor="__RefHeading___Toc147777_3804643083">
            <w:r>
              <w:rPr>
                <w:webHidden/>
                <w:rStyle w:val="IndexLink"/>
              </w:rPr>
              <w:t>۲۳</w:t>
            </w:r>
            <w:r>
              <w:rPr>
                <w:rStyle w:val="IndexLink"/>
                <w:rtl w:val="true"/>
              </w:rPr>
              <w:t xml:space="preserve">. </w:t>
            </w:r>
            <w:r>
              <w:rPr>
                <w:rStyle w:val="IndexLink"/>
                <w:rtl w:val="true"/>
              </w:rPr>
              <w:t xml:space="preserve">بررسي فرم زباني كتاب </w:t>
            </w:r>
            <w:r>
              <w:rPr>
                <w:rStyle w:val="IndexLink"/>
                <w:rtl w:val="true"/>
              </w:rPr>
              <w:t>«</w:t>
            </w:r>
            <w:r>
              <w:rPr>
                <w:rStyle w:val="IndexLink"/>
                <w:rtl w:val="true"/>
              </w:rPr>
              <w:t>نقض</w:t>
            </w:r>
            <w:r>
              <w:rPr>
                <w:rStyle w:val="IndexLink"/>
                <w:rtl w:val="true"/>
              </w:rPr>
              <w:t xml:space="preserve">» </w:t>
            </w:r>
            <w:r>
              <w:rPr>
                <w:rStyle w:val="IndexLink"/>
                <w:rtl w:val="true"/>
              </w:rPr>
              <w:t>با اشاراتي</w:t>
            </w:r>
            <w:r>
              <w:rPr>
                <w:rStyle w:val="IndexLink"/>
                <w:rtl w:val="true"/>
              </w:rPr>
              <w:t>...</w:t>
              <w:tab/>
            </w:r>
            <w:r>
              <w:rPr>
                <w:rStyle w:val="IndexLink"/>
              </w:rPr>
              <w:t>58</w:t>
            </w:r>
          </w:hyperlink>
        </w:p>
        <w:p>
          <w:pPr>
            <w:pStyle w:val="Contents3"/>
            <w:tabs>
              <w:tab w:val="clear" w:pos="8459"/>
              <w:tab w:val="right" w:pos="9026" w:leader="dot"/>
            </w:tabs>
            <w:rPr/>
          </w:pPr>
          <w:hyperlink w:anchor="__RefHeading___Toc147779_3804643083">
            <w:r>
              <w:rPr>
                <w:webHidden/>
                <w:rStyle w:val="IndexLink"/>
              </w:rPr>
              <w:t>۲۴</w:t>
            </w:r>
            <w:r>
              <w:rPr>
                <w:rStyle w:val="IndexLink"/>
                <w:rtl w:val="true"/>
              </w:rPr>
              <w:t xml:space="preserve">. </w:t>
            </w:r>
            <w:r>
              <w:rPr>
                <w:rStyle w:val="IndexLink"/>
                <w:rtl w:val="true"/>
              </w:rPr>
              <w:t xml:space="preserve">اخلاق و آيين جدل در كتاب </w:t>
            </w:r>
            <w:r>
              <w:rPr>
                <w:rStyle w:val="IndexLink"/>
                <w:rtl w:val="true"/>
              </w:rPr>
              <w:t>«</w:t>
            </w:r>
            <w:r>
              <w:rPr>
                <w:rStyle w:val="IndexLink"/>
                <w:rtl w:val="true"/>
              </w:rPr>
              <w:t>نقض</w:t>
            </w:r>
            <w:r>
              <w:rPr>
                <w:rStyle w:val="IndexLink"/>
                <w:rtl w:val="true"/>
              </w:rPr>
              <w:t>»</w:t>
              <w:tab/>
            </w:r>
            <w:r>
              <w:rPr>
                <w:rStyle w:val="IndexLink"/>
              </w:rPr>
              <w:t>60</w:t>
            </w:r>
          </w:hyperlink>
        </w:p>
        <w:p>
          <w:pPr>
            <w:pStyle w:val="Contents3"/>
            <w:tabs>
              <w:tab w:val="clear" w:pos="8459"/>
              <w:tab w:val="right" w:pos="9026" w:leader="dot"/>
            </w:tabs>
            <w:rPr/>
          </w:pPr>
          <w:hyperlink w:anchor="__RefHeading___Toc147781_3804643083">
            <w:r>
              <w:rPr>
                <w:webHidden/>
                <w:rStyle w:val="IndexLink"/>
              </w:rPr>
              <w:t>۲۵</w:t>
            </w:r>
            <w:r>
              <w:rPr>
                <w:rStyle w:val="IndexLink"/>
                <w:rtl w:val="true"/>
              </w:rPr>
              <w:t xml:space="preserve">. </w:t>
            </w:r>
            <w:r>
              <w:rPr>
                <w:rStyle w:val="IndexLink"/>
                <w:rtl w:val="true"/>
              </w:rPr>
              <w:t xml:space="preserve">مناظره و وحدت در كتاب </w:t>
            </w:r>
            <w:r>
              <w:rPr>
                <w:rStyle w:val="IndexLink"/>
                <w:rtl w:val="true"/>
              </w:rPr>
              <w:t>«</w:t>
            </w:r>
            <w:r>
              <w:rPr>
                <w:rStyle w:val="IndexLink"/>
                <w:rtl w:val="true"/>
              </w:rPr>
              <w:t>نقض</w:t>
            </w:r>
            <w:r>
              <w:rPr>
                <w:rStyle w:val="IndexLink"/>
                <w:rtl w:val="true"/>
              </w:rPr>
              <w:t>»</w:t>
              <w:tab/>
            </w:r>
            <w:r>
              <w:rPr>
                <w:rStyle w:val="IndexLink"/>
              </w:rPr>
              <w:t>62</w:t>
            </w:r>
          </w:hyperlink>
        </w:p>
        <w:p>
          <w:pPr>
            <w:pStyle w:val="Contents2"/>
            <w:tabs>
              <w:tab w:val="clear" w:pos="8743"/>
              <w:tab w:val="right" w:pos="9026" w:leader="dot"/>
            </w:tabs>
            <w:rPr/>
          </w:pPr>
          <w:hyperlink w:anchor="__RefHeading___Toc147783_3804643083">
            <w:r>
              <w:rPr>
                <w:webHidden/>
                <w:rStyle w:val="IndexLink"/>
                <w:rtl w:val="true"/>
              </w:rPr>
              <w:t>أفكار ورؤى الأمين العلمي للمؤتمر</w:t>
            </w:r>
            <w:r>
              <w:rPr>
                <w:rStyle w:val="IndexLink"/>
                <w:rtl w:val="true"/>
              </w:rPr>
              <w:tab/>
            </w:r>
            <w:r>
              <w:rPr>
                <w:rStyle w:val="IndexLink"/>
              </w:rPr>
              <w:t>67</w:t>
            </w:r>
          </w:hyperlink>
        </w:p>
        <w:p>
          <w:pPr>
            <w:pStyle w:val="Contents3"/>
            <w:tabs>
              <w:tab w:val="clear" w:pos="8459"/>
              <w:tab w:val="right" w:pos="9026" w:leader="dot"/>
            </w:tabs>
            <w:rPr/>
          </w:pPr>
          <w:hyperlink w:anchor="__RefHeading___Toc147785_380464308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47787_3804643083">
            <w:r>
              <w:rPr>
                <w:webHidden/>
                <w:rStyle w:val="IndexLink"/>
                <w:rtl w:val="true"/>
              </w:rPr>
              <w:t>أ</w:t>
            </w:r>
            <w:r>
              <w:rPr>
                <w:rStyle w:val="IndexLink"/>
                <w:rtl w:val="true"/>
              </w:rPr>
              <w:t xml:space="preserve">. </w:t>
            </w:r>
            <w:r>
              <w:rPr>
                <w:rStyle w:val="IndexLink"/>
                <w:rtl w:val="true"/>
              </w:rPr>
              <w:t xml:space="preserve">إعداد مجموعة أعمال المؤتمر </w:t>
            </w:r>
            <w:r>
              <w:rPr>
                <w:rStyle w:val="IndexLink"/>
                <w:rtl w:val="true"/>
              </w:rPr>
              <w:t>(</w:t>
            </w:r>
            <w:r>
              <w:rPr>
                <w:rStyle w:val="IndexLink"/>
                <w:rtl w:val="true"/>
              </w:rPr>
              <w:t>سبع مجلّدات</w:t>
            </w:r>
            <w:r>
              <w:rPr>
                <w:rStyle w:val="IndexLink"/>
                <w:rtl w:val="true"/>
              </w:rPr>
              <w:t>):</w:t>
              <w:tab/>
            </w:r>
            <w:r>
              <w:rPr>
                <w:rStyle w:val="IndexLink"/>
              </w:rPr>
              <w:t>72</w:t>
            </w:r>
          </w:hyperlink>
        </w:p>
        <w:p>
          <w:pPr>
            <w:pStyle w:val="Contents3"/>
            <w:tabs>
              <w:tab w:val="clear" w:pos="8459"/>
              <w:tab w:val="right" w:pos="9026" w:leader="dot"/>
            </w:tabs>
            <w:rPr/>
          </w:pPr>
          <w:hyperlink w:anchor="__RefHeading___Toc147789_3804643083">
            <w:r>
              <w:rPr>
                <w:webHidden/>
                <w:rStyle w:val="IndexLink"/>
                <w:rtl w:val="true"/>
              </w:rPr>
              <w:t>ب</w:t>
            </w:r>
            <w:r>
              <w:rPr>
                <w:rStyle w:val="IndexLink"/>
                <w:rtl w:val="true"/>
              </w:rPr>
              <w:t xml:space="preserve">. </w:t>
            </w:r>
            <w:r>
              <w:rPr>
                <w:rStyle w:val="IndexLink"/>
                <w:rtl w:val="true"/>
              </w:rPr>
              <w:t>إصدار نشرة خبرية لتغطية عمل المؤتمر</w:t>
            </w:r>
            <w:r>
              <w:rPr>
                <w:rStyle w:val="IndexLink"/>
                <w:rtl w:val="true"/>
              </w:rPr>
              <w:t>(</w:t>
            </w:r>
            <w:r>
              <w:rPr>
                <w:rStyle w:val="IndexLink"/>
                <w:rtl w:val="true"/>
              </w:rPr>
              <w:t>ثلاثة أعداد</w:t>
            </w:r>
            <w:r>
              <w:rPr>
                <w:rStyle w:val="IndexLink"/>
                <w:rtl w:val="true"/>
              </w:rPr>
              <w:t>)</w:t>
              <w:tab/>
            </w:r>
            <w:r>
              <w:rPr>
                <w:rStyle w:val="IndexLink"/>
              </w:rPr>
              <w:t>72</w:t>
            </w:r>
          </w:hyperlink>
        </w:p>
        <w:p>
          <w:pPr>
            <w:pStyle w:val="Contents3"/>
            <w:tabs>
              <w:tab w:val="clear" w:pos="8459"/>
              <w:tab w:val="right" w:pos="9026" w:leader="dot"/>
            </w:tabs>
            <w:rPr/>
          </w:pPr>
          <w:hyperlink w:anchor="__RefHeading___Toc147791_3804643083">
            <w:r>
              <w:rPr>
                <w:webHidden/>
                <w:rStyle w:val="IndexLink"/>
                <w:rtl w:val="true"/>
              </w:rPr>
              <w:t>ج</w:t>
            </w:r>
            <w:r>
              <w:rPr>
                <w:rStyle w:val="IndexLink"/>
                <w:rtl w:val="true"/>
              </w:rPr>
              <w:t xml:space="preserve">. </w:t>
            </w:r>
            <w:r>
              <w:rPr>
                <w:rStyle w:val="IndexLink"/>
                <w:rtl w:val="true"/>
              </w:rPr>
              <w:t xml:space="preserve">إعداد قرص مضغوط </w:t>
            </w:r>
            <w:r>
              <w:rPr>
                <w:rStyle w:val="IndexLink"/>
                <w:rtl w:val="true"/>
              </w:rPr>
              <w:t>(</w:t>
            </w:r>
            <w:r>
              <w:rPr>
                <w:rStyle w:val="IndexLink"/>
              </w:rPr>
              <w:t>DVD</w:t>
            </w:r>
            <w:r>
              <w:rPr>
                <w:rStyle w:val="IndexLink"/>
                <w:rtl w:val="true"/>
              </w:rPr>
              <w:t xml:space="preserve">) </w:t>
            </w:r>
            <w:r>
              <w:rPr>
                <w:rStyle w:val="IndexLink"/>
                <w:rtl w:val="true"/>
              </w:rPr>
              <w:t>يحتوي علي كلّ أعمال المؤتمر</w:t>
            </w:r>
            <w:r>
              <w:rPr>
                <w:rStyle w:val="IndexLink"/>
                <w:rtl w:val="true"/>
              </w:rPr>
              <w:t>.</w:t>
              <w:tab/>
            </w:r>
            <w:r>
              <w:rPr>
                <w:rStyle w:val="IndexLink"/>
              </w:rPr>
              <w:t>72</w:t>
            </w:r>
          </w:hyperlink>
        </w:p>
        <w:p>
          <w:pPr>
            <w:pStyle w:val="Contents3"/>
            <w:tabs>
              <w:tab w:val="clear" w:pos="8459"/>
              <w:tab w:val="right" w:pos="9026" w:leader="dot"/>
            </w:tabs>
            <w:rPr/>
          </w:pPr>
          <w:hyperlink w:anchor="__RefHeading___Toc147793_3804643083">
            <w:r>
              <w:rPr>
                <w:webHidden/>
                <w:rStyle w:val="IndexLink"/>
                <w:rtl w:val="true"/>
              </w:rPr>
              <w:t>أ</w:t>
            </w:r>
            <w:r>
              <w:rPr>
                <w:rStyle w:val="IndexLink"/>
                <w:rtl w:val="true"/>
              </w:rPr>
              <w:t xml:space="preserve">. </w:t>
            </w:r>
            <w:r>
              <w:rPr>
                <w:rStyle w:val="IndexLink"/>
                <w:rtl w:val="true"/>
              </w:rPr>
              <w:t>المشاركون في عقد المؤتمر</w:t>
            </w:r>
            <w:r>
              <w:rPr>
                <w:rStyle w:val="IndexLink"/>
                <w:rtl w:val="true"/>
              </w:rPr>
              <w:tab/>
            </w:r>
            <w:r>
              <w:rPr>
                <w:rStyle w:val="IndexLink"/>
              </w:rPr>
              <w:t>73</w:t>
            </w:r>
          </w:hyperlink>
        </w:p>
        <w:p>
          <w:pPr>
            <w:pStyle w:val="Contents3"/>
            <w:tabs>
              <w:tab w:val="clear" w:pos="8459"/>
              <w:tab w:val="right" w:pos="9026" w:leader="dot"/>
            </w:tabs>
            <w:rPr/>
          </w:pPr>
          <w:hyperlink w:anchor="__RefHeading___Toc147795_3804643083">
            <w:r>
              <w:rPr>
                <w:webHidden/>
                <w:rStyle w:val="IndexLink"/>
                <w:rtl w:val="true"/>
              </w:rPr>
              <w:t>ب</w:t>
            </w:r>
            <w:r>
              <w:rPr>
                <w:rStyle w:val="IndexLink"/>
                <w:rtl w:val="true"/>
              </w:rPr>
              <w:t xml:space="preserve">. </w:t>
            </w:r>
            <w:r>
              <w:rPr>
                <w:rStyle w:val="IndexLink"/>
                <w:rtl w:val="true"/>
              </w:rPr>
              <w:t>أعضاء اللجنة العلميّة للمؤتمر</w:t>
            </w:r>
            <w:r>
              <w:rPr>
                <w:rStyle w:val="IndexLink"/>
                <w:rtl w:val="true"/>
              </w:rPr>
              <w:tab/>
            </w:r>
            <w:r>
              <w:rPr>
                <w:rStyle w:val="IndexLink"/>
              </w:rPr>
              <w:t>75</w:t>
            </w:r>
          </w:hyperlink>
        </w:p>
        <w:p>
          <w:pPr>
            <w:pStyle w:val="Contents3"/>
            <w:tabs>
              <w:tab w:val="clear" w:pos="8459"/>
              <w:tab w:val="right" w:pos="9026" w:leader="dot"/>
            </w:tabs>
            <w:rPr/>
          </w:pPr>
          <w:hyperlink w:anchor="__RefHeading___Toc147797_3804643083">
            <w:r>
              <w:rPr>
                <w:webHidden/>
                <w:rStyle w:val="IndexLink"/>
                <w:rtl w:val="true"/>
              </w:rPr>
              <w:t>ج</w:t>
            </w:r>
            <w:r>
              <w:rPr>
                <w:rStyle w:val="IndexLink"/>
                <w:rtl w:val="true"/>
              </w:rPr>
              <w:t xml:space="preserve">. </w:t>
            </w:r>
            <w:r>
              <w:rPr>
                <w:rStyle w:val="IndexLink"/>
                <w:rtl w:val="true"/>
              </w:rPr>
              <w:t>قسم إعداد الأعمال، ويشمل</w:t>
            </w:r>
            <w:r>
              <w:rPr>
                <w:rStyle w:val="IndexLink"/>
                <w:rtl w:val="true"/>
              </w:rPr>
              <w:t xml:space="preserve">: </w:t>
            </w:r>
            <w:r>
              <w:rPr>
                <w:rStyle w:val="IndexLink"/>
                <w:rtl w:val="true"/>
              </w:rPr>
              <w:t>تنضيد الحروف، التنقيح، المقابلة</w:t>
            </w:r>
            <w:r>
              <w:rPr>
                <w:rStyle w:val="IndexLink"/>
                <w:rtl w:val="true"/>
              </w:rPr>
              <w:t>...</w:t>
              <w:tab/>
            </w:r>
            <w:r>
              <w:rPr>
                <w:rStyle w:val="IndexLink"/>
              </w:rPr>
              <w:t>76</w:t>
            </w:r>
          </w:hyperlink>
        </w:p>
        <w:p>
          <w:pPr>
            <w:pStyle w:val="Contents3"/>
            <w:tabs>
              <w:tab w:val="clear" w:pos="8459"/>
              <w:tab w:val="right" w:pos="9026" w:leader="dot"/>
            </w:tabs>
            <w:rPr/>
          </w:pPr>
          <w:hyperlink w:anchor="__RefHeading___Toc147799_3804643083">
            <w:r>
              <w:rPr>
                <w:webHidden/>
                <w:rStyle w:val="IndexLink"/>
                <w:rtl w:val="true"/>
              </w:rPr>
              <w:t>د</w:t>
            </w:r>
            <w:r>
              <w:rPr>
                <w:rStyle w:val="IndexLink"/>
                <w:rtl w:val="true"/>
              </w:rPr>
              <w:t xml:space="preserve">. </w:t>
            </w:r>
            <w:r>
              <w:rPr>
                <w:rStyle w:val="IndexLink"/>
                <w:rtl w:val="true"/>
              </w:rPr>
              <w:t>القسم التنفيذي للمؤتمر</w:t>
            </w:r>
            <w:r>
              <w:rPr>
                <w:rStyle w:val="IndexLink"/>
                <w:rtl w:val="true"/>
              </w:rPr>
              <w:t>:</w:t>
              <w:tab/>
            </w:r>
            <w:r>
              <w:rPr>
                <w:rStyle w:val="IndexLink"/>
              </w:rPr>
              <w:t>76</w:t>
            </w:r>
          </w:hyperlink>
        </w:p>
        <w:p>
          <w:pPr>
            <w:pStyle w:val="Contents3"/>
            <w:tabs>
              <w:tab w:val="clear" w:pos="8459"/>
              <w:tab w:val="right" w:pos="9026" w:leader="dot"/>
            </w:tabs>
            <w:rPr/>
          </w:pPr>
          <w:hyperlink w:anchor="__RefHeading___Toc147801_3804643083">
            <w:r>
              <w:rPr>
                <w:webHidden/>
                <w:rStyle w:val="IndexLink"/>
                <w:rtl w:val="true"/>
              </w:rPr>
              <w:t xml:space="preserve">هـ </w:t>
            </w:r>
            <w:r>
              <w:rPr>
                <w:rStyle w:val="IndexLink"/>
                <w:rtl w:val="true"/>
              </w:rPr>
              <w:t xml:space="preserve">. </w:t>
            </w:r>
            <w:r>
              <w:rPr>
                <w:rStyle w:val="IndexLink"/>
                <w:rtl w:val="true"/>
              </w:rPr>
              <w:t>المستشارون العلميون للمؤتمر</w:t>
            </w:r>
            <w:r>
              <w:rPr>
                <w:rStyle w:val="IndexLink"/>
                <w:rtl w:val="true"/>
              </w:rPr>
              <w:tab/>
            </w:r>
            <w:r>
              <w:rPr>
                <w:rStyle w:val="IndexLink"/>
              </w:rPr>
              <w:t>77</w:t>
            </w:r>
          </w:hyperlink>
        </w:p>
        <w:p>
          <w:pPr>
            <w:pStyle w:val="Contents2"/>
            <w:tabs>
              <w:tab w:val="clear" w:pos="8743"/>
              <w:tab w:val="right" w:pos="9026" w:leader="dot"/>
            </w:tabs>
            <w:rPr/>
          </w:pPr>
          <w:hyperlink w:anchor="__RefHeading___Toc147803_3804643083">
            <w:r>
              <w:rPr>
                <w:webHidden/>
                <w:rStyle w:val="IndexLink"/>
                <w:rtl w:val="true"/>
              </w:rPr>
              <w:t>حول هذا الكتاب</w:t>
            </w:r>
            <w:r>
              <w:rPr>
                <w:rStyle w:val="IndexLink"/>
                <w:rtl w:val="true"/>
              </w:rPr>
              <w:tab/>
            </w:r>
            <w:r>
              <w:rPr>
                <w:rStyle w:val="IndexLink"/>
              </w:rPr>
              <w:t>79</w:t>
            </w:r>
          </w:hyperlink>
        </w:p>
        <w:p>
          <w:pPr>
            <w:pStyle w:val="Contents2"/>
            <w:tabs>
              <w:tab w:val="clear" w:pos="8743"/>
              <w:tab w:val="right" w:pos="9026" w:leader="dot"/>
            </w:tabs>
            <w:rPr/>
          </w:pPr>
          <w:hyperlink w:anchor="__RefHeading___Toc147805_3804643083">
            <w:r>
              <w:rPr>
                <w:webHidden/>
                <w:rStyle w:val="IndexLink"/>
                <w:rtl w:val="true"/>
              </w:rPr>
              <w:t>ملخصات باللغة العربية</w:t>
            </w:r>
            <w:r>
              <w:rPr>
                <w:rStyle w:val="IndexLink"/>
                <w:rtl w:val="true"/>
              </w:rPr>
              <w:tab/>
            </w:r>
            <w:r>
              <w:rPr>
                <w:rStyle w:val="IndexLink"/>
              </w:rPr>
              <w:t>83</w:t>
            </w:r>
          </w:hyperlink>
        </w:p>
        <w:p>
          <w:pPr>
            <w:pStyle w:val="Contents3"/>
            <w:tabs>
              <w:tab w:val="clear" w:pos="8459"/>
              <w:tab w:val="right" w:pos="9026" w:leader="dot"/>
            </w:tabs>
            <w:rPr/>
          </w:pPr>
          <w:hyperlink w:anchor="__RefHeading___Toc147807_380464308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47809_3804643083">
            <w:r>
              <w:rPr>
                <w:webHidden/>
                <w:rStyle w:val="IndexLink"/>
              </w:rPr>
              <w:t>۱</w:t>
            </w:r>
            <w:r>
              <w:rPr>
                <w:rStyle w:val="IndexLink"/>
                <w:rtl w:val="true"/>
              </w:rPr>
              <w:t xml:space="preserve">. </w:t>
            </w:r>
            <w:r>
              <w:rPr>
                <w:rStyle w:val="IndexLink"/>
                <w:rtl w:val="true"/>
              </w:rPr>
              <w:t xml:space="preserve">نظرات في كتاب </w:t>
            </w:r>
            <w:r>
              <w:rPr>
                <w:rStyle w:val="IndexLink"/>
                <w:rtl w:val="true"/>
              </w:rPr>
              <w:t>«</w:t>
            </w:r>
            <w:r>
              <w:rPr>
                <w:rStyle w:val="IndexLink"/>
                <w:rtl w:val="true"/>
              </w:rPr>
              <w:t>النقض</w:t>
            </w:r>
            <w:r>
              <w:rPr>
                <w:rStyle w:val="IndexLink"/>
                <w:rtl w:val="true"/>
              </w:rPr>
              <w:t xml:space="preserve">» </w:t>
            </w:r>
            <w:r>
              <w:rPr>
                <w:rStyle w:val="IndexLink"/>
                <w:rtl w:val="true"/>
              </w:rPr>
              <w:t>لعبد الجليل القزويني الرازي</w:t>
            </w:r>
            <w:r>
              <w:rPr>
                <w:rStyle w:val="IndexLink"/>
                <w:rtl w:val="true"/>
              </w:rPr>
              <w:tab/>
            </w:r>
            <w:r>
              <w:rPr>
                <w:rStyle w:val="IndexLink"/>
              </w:rPr>
              <w:t>85</w:t>
            </w:r>
          </w:hyperlink>
        </w:p>
        <w:p>
          <w:pPr>
            <w:pStyle w:val="Contents3"/>
            <w:tabs>
              <w:tab w:val="clear" w:pos="8459"/>
              <w:tab w:val="right" w:pos="9026" w:leader="dot"/>
            </w:tabs>
            <w:rPr/>
          </w:pPr>
          <w:hyperlink w:anchor="__RefHeading___Toc147811_3804643083">
            <w:r>
              <w:rPr>
                <w:webHidden/>
                <w:rStyle w:val="IndexLink"/>
              </w:rPr>
              <w:t>۲</w:t>
            </w:r>
            <w:r>
              <w:rPr>
                <w:rStyle w:val="IndexLink"/>
                <w:rtl w:val="true"/>
              </w:rPr>
              <w:t xml:space="preserve">. </w:t>
            </w:r>
            <w:r>
              <w:rPr>
                <w:rStyle w:val="IndexLink"/>
                <w:rtl w:val="true"/>
              </w:rPr>
              <w:t xml:space="preserve">المستندات القرآنية لعبد الجليل القزويني الرازي في كتاب </w:t>
            </w:r>
            <w:r>
              <w:rPr>
                <w:rStyle w:val="IndexLink"/>
                <w:rtl w:val="true"/>
              </w:rPr>
              <w:t>«</w:t>
            </w:r>
            <w:r>
              <w:rPr>
                <w:rStyle w:val="IndexLink"/>
                <w:rtl w:val="true"/>
              </w:rPr>
              <w:t>النقض</w:t>
            </w:r>
            <w:r>
              <w:rPr>
                <w:rStyle w:val="IndexLink"/>
                <w:rtl w:val="true"/>
              </w:rPr>
              <w:t>»</w:t>
              <w:tab/>
            </w:r>
            <w:r>
              <w:rPr>
                <w:rStyle w:val="IndexLink"/>
              </w:rPr>
              <w:t>87</w:t>
            </w:r>
          </w:hyperlink>
        </w:p>
        <w:p>
          <w:pPr>
            <w:pStyle w:val="Contents3"/>
            <w:tabs>
              <w:tab w:val="clear" w:pos="8459"/>
              <w:tab w:val="right" w:pos="9026" w:leader="dot"/>
            </w:tabs>
            <w:rPr/>
          </w:pPr>
          <w:hyperlink w:anchor="__RefHeading___Toc147813_3804643083">
            <w:r>
              <w:rPr>
                <w:webHidden/>
                <w:rStyle w:val="IndexLink"/>
              </w:rPr>
              <w:t>۳</w:t>
            </w:r>
            <w:r>
              <w:rPr>
                <w:rStyle w:val="IndexLink"/>
                <w:rtl w:val="true"/>
              </w:rPr>
              <w:t xml:space="preserve">. </w:t>
            </w:r>
            <w:r>
              <w:rPr>
                <w:rStyle w:val="IndexLink"/>
                <w:rtl w:val="true"/>
              </w:rPr>
              <w:t>نظرة تأويلية إلي الآيات القرآنية في كتاب النقض</w:t>
            </w:r>
            <w:r>
              <w:rPr>
                <w:rStyle w:val="IndexLink"/>
                <w:rtl w:val="true"/>
              </w:rPr>
              <w:tab/>
            </w:r>
            <w:r>
              <w:rPr>
                <w:rStyle w:val="IndexLink"/>
              </w:rPr>
              <w:t>89</w:t>
            </w:r>
          </w:hyperlink>
        </w:p>
        <w:p>
          <w:pPr>
            <w:pStyle w:val="Contents3"/>
            <w:tabs>
              <w:tab w:val="clear" w:pos="8459"/>
              <w:tab w:val="right" w:pos="9026" w:leader="dot"/>
            </w:tabs>
            <w:rPr/>
          </w:pPr>
          <w:hyperlink w:anchor="__RefHeading___Toc147815_3804643083">
            <w:r>
              <w:rPr>
                <w:webHidden/>
                <w:rStyle w:val="IndexLink"/>
              </w:rPr>
              <w:t>۴</w:t>
            </w:r>
            <w:r>
              <w:rPr>
                <w:rStyle w:val="IndexLink"/>
                <w:rtl w:val="true"/>
              </w:rPr>
              <w:t xml:space="preserve">. </w:t>
            </w:r>
            <w:r>
              <w:rPr>
                <w:rStyle w:val="IndexLink"/>
                <w:rtl w:val="true"/>
              </w:rPr>
              <w:t>أضواء علي الاُصول والمنهج الحديثي</w:t>
            </w:r>
            <w:r>
              <w:rPr>
                <w:rStyle w:val="IndexLink"/>
                <w:rtl w:val="true"/>
              </w:rPr>
              <w:t>...</w:t>
              <w:tab/>
            </w:r>
            <w:r>
              <w:rPr>
                <w:rStyle w:val="IndexLink"/>
              </w:rPr>
              <w:t>91</w:t>
            </w:r>
          </w:hyperlink>
        </w:p>
        <w:p>
          <w:pPr>
            <w:pStyle w:val="Contents3"/>
            <w:tabs>
              <w:tab w:val="clear" w:pos="8459"/>
              <w:tab w:val="right" w:pos="9026" w:leader="dot"/>
            </w:tabs>
            <w:rPr/>
          </w:pPr>
          <w:hyperlink w:anchor="__RefHeading___Toc147817_3804643083">
            <w:r>
              <w:rPr>
                <w:webHidden/>
                <w:rStyle w:val="IndexLink"/>
              </w:rPr>
              <w:t>۵</w:t>
            </w:r>
            <w:r>
              <w:rPr>
                <w:rStyle w:val="IndexLink"/>
                <w:rtl w:val="true"/>
              </w:rPr>
              <w:t xml:space="preserve">. </w:t>
            </w:r>
            <w:r>
              <w:rPr>
                <w:rStyle w:val="IndexLink"/>
                <w:rtl w:val="true"/>
              </w:rPr>
              <w:t>معرفة اللّه، والتوحيد والأسماء والصفات برأي</w:t>
            </w:r>
            <w:r>
              <w:rPr>
                <w:rStyle w:val="IndexLink"/>
                <w:rtl w:val="true"/>
              </w:rPr>
              <w:t>...</w:t>
              <w:tab/>
            </w:r>
            <w:r>
              <w:rPr>
                <w:rStyle w:val="IndexLink"/>
              </w:rPr>
              <w:t>93</w:t>
            </w:r>
          </w:hyperlink>
        </w:p>
        <w:p>
          <w:pPr>
            <w:pStyle w:val="Contents3"/>
            <w:tabs>
              <w:tab w:val="clear" w:pos="8459"/>
              <w:tab w:val="right" w:pos="9026" w:leader="dot"/>
            </w:tabs>
            <w:rPr/>
          </w:pPr>
          <w:hyperlink w:anchor="__RefHeading___Toc147819_3804643083">
            <w:r>
              <w:rPr>
                <w:webHidden/>
                <w:rStyle w:val="IndexLink"/>
              </w:rPr>
              <w:t>۶</w:t>
            </w:r>
            <w:r>
              <w:rPr>
                <w:rStyle w:val="IndexLink"/>
                <w:rtl w:val="true"/>
              </w:rPr>
              <w:t xml:space="preserve">. </w:t>
            </w:r>
            <w:r>
              <w:rPr>
                <w:rStyle w:val="IndexLink"/>
                <w:rtl w:val="true"/>
              </w:rPr>
              <w:t>مفهوم الإمامة وخصائص الأئمّة عليهم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47821_3804643083">
            <w:r>
              <w:rPr>
                <w:webHidden/>
                <w:rStyle w:val="IndexLink"/>
              </w:rPr>
              <w:t>۷</w:t>
            </w:r>
            <w:r>
              <w:rPr>
                <w:rStyle w:val="IndexLink"/>
                <w:rtl w:val="true"/>
              </w:rPr>
              <w:t xml:space="preserve">. </w:t>
            </w:r>
            <w:r>
              <w:rPr>
                <w:rStyle w:val="IndexLink"/>
                <w:rtl w:val="true"/>
              </w:rPr>
              <w:t>مواجهة متكلّمي الإمامية للفلسفة في القرن السادس للهجرة</w:t>
            </w:r>
            <w:r>
              <w:rPr>
                <w:rStyle w:val="IndexLink"/>
                <w:rtl w:val="true"/>
              </w:rPr>
              <w:tab/>
            </w:r>
            <w:r>
              <w:rPr>
                <w:rStyle w:val="IndexLink"/>
              </w:rPr>
              <w:t>96</w:t>
            </w:r>
          </w:hyperlink>
        </w:p>
        <w:p>
          <w:pPr>
            <w:pStyle w:val="Contents3"/>
            <w:tabs>
              <w:tab w:val="clear" w:pos="8459"/>
              <w:tab w:val="right" w:pos="9026" w:leader="dot"/>
            </w:tabs>
            <w:rPr/>
          </w:pPr>
          <w:hyperlink w:anchor="__RefHeading___Toc147823_3804643083">
            <w:r>
              <w:rPr>
                <w:webHidden/>
                <w:rStyle w:val="IndexLink"/>
              </w:rPr>
              <w:t>۸</w:t>
            </w:r>
            <w:r>
              <w:rPr>
                <w:rStyle w:val="IndexLink"/>
                <w:rtl w:val="true"/>
              </w:rPr>
              <w:t xml:space="preserve">. </w:t>
            </w:r>
            <w:r>
              <w:rPr>
                <w:rStyle w:val="IndexLink"/>
                <w:rtl w:val="true"/>
              </w:rPr>
              <w:t>خصائص الشيعة الاصولية برأي عبد الجليل القزويني الرازي</w:t>
            </w:r>
            <w:r>
              <w:rPr>
                <w:rStyle w:val="IndexLink"/>
                <w:rtl w:val="true"/>
              </w:rPr>
              <w:tab/>
            </w:r>
            <w:r>
              <w:rPr>
                <w:rStyle w:val="IndexLink"/>
              </w:rPr>
              <w:t>98</w:t>
            </w:r>
          </w:hyperlink>
        </w:p>
        <w:p>
          <w:pPr>
            <w:pStyle w:val="Contents3"/>
            <w:tabs>
              <w:tab w:val="clear" w:pos="8459"/>
              <w:tab w:val="right" w:pos="9026" w:leader="dot"/>
            </w:tabs>
            <w:rPr/>
          </w:pPr>
          <w:hyperlink w:anchor="__RefHeading___Toc147825_3804643083">
            <w:r>
              <w:rPr>
                <w:webHidden/>
                <w:rStyle w:val="IndexLink"/>
              </w:rPr>
              <w:t>۹</w:t>
            </w:r>
            <w:r>
              <w:rPr>
                <w:rStyle w:val="IndexLink"/>
                <w:rtl w:val="true"/>
              </w:rPr>
              <w:t xml:space="preserve">. </w:t>
            </w:r>
            <w:r>
              <w:rPr>
                <w:rStyle w:val="IndexLink"/>
                <w:rtl w:val="true"/>
              </w:rPr>
              <w:t xml:space="preserve">مكانة اصطلاح </w:t>
            </w:r>
            <w:r>
              <w:rPr>
                <w:rStyle w:val="IndexLink"/>
                <w:rtl w:val="true"/>
              </w:rPr>
              <w:t>«</w:t>
            </w:r>
            <w:r>
              <w:rPr>
                <w:rStyle w:val="IndexLink"/>
                <w:rtl w:val="true"/>
              </w:rPr>
              <w:t>الشيعة الاُصولية</w:t>
            </w:r>
            <w:r>
              <w:rPr>
                <w:rStyle w:val="IndexLink"/>
                <w:rtl w:val="true"/>
              </w:rPr>
              <w:t xml:space="preserve">» </w:t>
            </w:r>
            <w:r>
              <w:rPr>
                <w:rStyle w:val="IndexLink"/>
                <w:rtl w:val="true"/>
              </w:rPr>
              <w:t>فى</w:t>
            </w:r>
            <w:r>
              <w:rPr>
                <w:rStyle w:val="IndexLink"/>
                <w:rtl w:val="true"/>
              </w:rPr>
              <w:t>...</w:t>
              <w:tab/>
            </w:r>
            <w:r>
              <w:rPr>
                <w:rStyle w:val="IndexLink"/>
              </w:rPr>
              <w:t>100</w:t>
            </w:r>
          </w:hyperlink>
        </w:p>
        <w:p>
          <w:pPr>
            <w:pStyle w:val="Contents3"/>
            <w:tabs>
              <w:tab w:val="clear" w:pos="8459"/>
              <w:tab w:val="right" w:pos="9026" w:leader="dot"/>
            </w:tabs>
            <w:rPr/>
          </w:pPr>
          <w:hyperlink w:anchor="__RefHeading___Toc147827_3804643083">
            <w:r>
              <w:rPr>
                <w:webHidden/>
                <w:rStyle w:val="IndexLink"/>
              </w:rPr>
              <w:t>۱۰</w:t>
            </w:r>
            <w:r>
              <w:rPr>
                <w:rStyle w:val="IndexLink"/>
                <w:rtl w:val="true"/>
              </w:rPr>
              <w:t xml:space="preserve">. </w:t>
            </w:r>
            <w:r>
              <w:rPr>
                <w:rStyle w:val="IndexLink"/>
                <w:rtl w:val="true"/>
              </w:rPr>
              <w:t xml:space="preserve">الدفاع عن الإماميّة والبراءة من الإسماعيليّة في كتاب </w:t>
            </w:r>
            <w:r>
              <w:rPr>
                <w:rStyle w:val="IndexLink"/>
                <w:rtl w:val="true"/>
              </w:rPr>
              <w:t>«</w:t>
            </w:r>
            <w:r>
              <w:rPr>
                <w:rStyle w:val="IndexLink"/>
                <w:rtl w:val="true"/>
              </w:rPr>
              <w:t>النقض</w:t>
            </w:r>
            <w:r>
              <w:rPr>
                <w:rStyle w:val="IndexLink"/>
                <w:rtl w:val="true"/>
              </w:rPr>
              <w:tab/>
            </w:r>
            <w:r>
              <w:rPr>
                <w:rStyle w:val="IndexLink"/>
              </w:rPr>
              <w:t>102</w:t>
            </w:r>
          </w:hyperlink>
        </w:p>
        <w:p>
          <w:pPr>
            <w:pStyle w:val="Contents3"/>
            <w:tabs>
              <w:tab w:val="clear" w:pos="8459"/>
              <w:tab w:val="right" w:pos="9026" w:leader="dot"/>
            </w:tabs>
            <w:rPr/>
          </w:pPr>
          <w:hyperlink w:anchor="__RefHeading___Toc147829_3804643083">
            <w:r>
              <w:rPr>
                <w:webHidden/>
                <w:rStyle w:val="IndexLink"/>
              </w:rPr>
              <w:t>۱۱</w:t>
            </w:r>
            <w:r>
              <w:rPr>
                <w:rStyle w:val="IndexLink"/>
                <w:rtl w:val="true"/>
              </w:rPr>
              <w:t xml:space="preserve">. </w:t>
            </w:r>
            <w:r>
              <w:rPr>
                <w:rStyle w:val="IndexLink"/>
                <w:rtl w:val="true"/>
              </w:rPr>
              <w:t xml:space="preserve">التشيّع والتصوّف في كتاب </w:t>
            </w:r>
            <w:r>
              <w:rPr>
                <w:rStyle w:val="IndexLink"/>
                <w:rtl w:val="true"/>
              </w:rPr>
              <w:t>«</w:t>
            </w:r>
            <w:r>
              <w:rPr>
                <w:rStyle w:val="IndexLink"/>
                <w:rtl w:val="true"/>
              </w:rPr>
              <w:t>النقض</w:t>
            </w:r>
            <w:r>
              <w:rPr>
                <w:rStyle w:val="IndexLink"/>
                <w:rtl w:val="true"/>
              </w:rPr>
              <w:t>»</w:t>
              <w:tab/>
            </w:r>
            <w:r>
              <w:rPr>
                <w:rStyle w:val="IndexLink"/>
              </w:rPr>
              <w:t>105</w:t>
            </w:r>
          </w:hyperlink>
        </w:p>
        <w:p>
          <w:pPr>
            <w:pStyle w:val="Contents3"/>
            <w:tabs>
              <w:tab w:val="clear" w:pos="8459"/>
              <w:tab w:val="right" w:pos="9026" w:leader="dot"/>
            </w:tabs>
            <w:rPr/>
          </w:pPr>
          <w:hyperlink w:anchor="__RefHeading___Toc147831_3804643083">
            <w:r>
              <w:rPr>
                <w:webHidden/>
                <w:rStyle w:val="IndexLink"/>
              </w:rPr>
              <w:t>۱۲</w:t>
            </w:r>
            <w:r>
              <w:rPr>
                <w:rStyle w:val="IndexLink"/>
                <w:rtl w:val="true"/>
              </w:rPr>
              <w:t xml:space="preserve">. </w:t>
            </w:r>
            <w:r>
              <w:rPr>
                <w:rStyle w:val="IndexLink"/>
                <w:rtl w:val="true"/>
              </w:rPr>
              <w:t xml:space="preserve">كتاب </w:t>
            </w:r>
            <w:r>
              <w:rPr>
                <w:rStyle w:val="IndexLink"/>
                <w:rtl w:val="true"/>
              </w:rPr>
              <w:t>«</w:t>
            </w:r>
            <w:r>
              <w:rPr>
                <w:rStyle w:val="IndexLink"/>
                <w:rtl w:val="true"/>
              </w:rPr>
              <w:t>النقض</w:t>
            </w:r>
            <w:r>
              <w:rPr>
                <w:rStyle w:val="IndexLink"/>
                <w:rtl w:val="true"/>
              </w:rPr>
              <w:t xml:space="preserve">» </w:t>
            </w:r>
            <w:r>
              <w:rPr>
                <w:rStyle w:val="IndexLink"/>
                <w:rtl w:val="true"/>
              </w:rPr>
              <w:t>والاعتدال الديني</w:t>
            </w:r>
            <w:r>
              <w:rPr>
                <w:rStyle w:val="IndexLink"/>
                <w:rtl w:val="true"/>
              </w:rPr>
              <w:tab/>
            </w:r>
            <w:r>
              <w:rPr>
                <w:rStyle w:val="IndexLink"/>
              </w:rPr>
              <w:t>107</w:t>
            </w:r>
          </w:hyperlink>
        </w:p>
        <w:p>
          <w:pPr>
            <w:pStyle w:val="Contents3"/>
            <w:tabs>
              <w:tab w:val="clear" w:pos="8459"/>
              <w:tab w:val="right" w:pos="9026" w:leader="dot"/>
            </w:tabs>
            <w:rPr/>
          </w:pPr>
          <w:hyperlink w:anchor="__RefHeading___Toc147833_3804643083">
            <w:r>
              <w:rPr>
                <w:webHidden/>
                <w:rStyle w:val="IndexLink"/>
              </w:rPr>
              <w:t>۱۳</w:t>
            </w:r>
            <w:r>
              <w:rPr>
                <w:rStyle w:val="IndexLink"/>
                <w:rtl w:val="true"/>
              </w:rPr>
              <w:t xml:space="preserve">. </w:t>
            </w:r>
            <w:r>
              <w:rPr>
                <w:rStyle w:val="IndexLink"/>
                <w:rtl w:val="true"/>
              </w:rPr>
              <w:t>إطلالة على جوانب الحياة الثقافية والحضارية للشيعة</w:t>
            </w:r>
            <w:r>
              <w:rPr>
                <w:rStyle w:val="IndexLink"/>
                <w:rtl w:val="true"/>
              </w:rPr>
              <w:t>...</w:t>
              <w:tab/>
            </w:r>
            <w:r>
              <w:rPr>
                <w:rStyle w:val="IndexLink"/>
              </w:rPr>
              <w:t>109</w:t>
            </w:r>
          </w:hyperlink>
        </w:p>
        <w:p>
          <w:pPr>
            <w:pStyle w:val="Contents3"/>
            <w:tabs>
              <w:tab w:val="clear" w:pos="8459"/>
              <w:tab w:val="right" w:pos="9026" w:leader="dot"/>
            </w:tabs>
            <w:rPr/>
          </w:pPr>
          <w:hyperlink w:anchor="__RefHeading___Toc147835_3804643083">
            <w:r>
              <w:rPr>
                <w:webHidden/>
                <w:rStyle w:val="IndexLink"/>
              </w:rPr>
              <w:t>۱۴</w:t>
            </w:r>
            <w:r>
              <w:rPr>
                <w:rStyle w:val="IndexLink"/>
                <w:rtl w:val="true"/>
              </w:rPr>
              <w:t xml:space="preserve">. </w:t>
            </w:r>
            <w:r>
              <w:rPr>
                <w:rStyle w:val="IndexLink"/>
                <w:rtl w:val="true"/>
              </w:rPr>
              <w:t>الجغرافية السكّانية للشيعة الإمامية اسنتاداً</w:t>
            </w:r>
            <w:r>
              <w:rPr>
                <w:rStyle w:val="IndexLink"/>
                <w:rtl w:val="true"/>
              </w:rPr>
              <w:t>...</w:t>
              <w:tab/>
            </w:r>
            <w:r>
              <w:rPr>
                <w:rStyle w:val="IndexLink"/>
              </w:rPr>
              <w:t>110</w:t>
            </w:r>
          </w:hyperlink>
        </w:p>
        <w:p>
          <w:pPr>
            <w:pStyle w:val="Contents3"/>
            <w:tabs>
              <w:tab w:val="clear" w:pos="8459"/>
              <w:tab w:val="right" w:pos="9026" w:leader="dot"/>
            </w:tabs>
            <w:rPr/>
          </w:pPr>
          <w:hyperlink w:anchor="__RefHeading___Toc147837_3804643083">
            <w:r>
              <w:rPr>
                <w:webHidden/>
                <w:rStyle w:val="IndexLink"/>
              </w:rPr>
              <w:t>۱۵</w:t>
            </w:r>
            <w:r>
              <w:rPr>
                <w:rStyle w:val="IndexLink"/>
                <w:rtl w:val="true"/>
              </w:rPr>
              <w:t xml:space="preserve">. </w:t>
            </w:r>
            <w:r>
              <w:rPr>
                <w:rStyle w:val="IndexLink"/>
                <w:rtl w:val="true"/>
              </w:rPr>
              <w:t xml:space="preserve">معرفة الفرق عند عبد الجليل القزويني الرازي في كتاب </w:t>
            </w:r>
            <w:r>
              <w:rPr>
                <w:rStyle w:val="IndexLink"/>
                <w:rtl w:val="true"/>
              </w:rPr>
              <w:t>«</w:t>
            </w:r>
            <w:r>
              <w:rPr>
                <w:rStyle w:val="IndexLink"/>
                <w:rtl w:val="true"/>
              </w:rPr>
              <w:t>النقض</w:t>
            </w:r>
            <w:r>
              <w:rPr>
                <w:rStyle w:val="IndexLink"/>
                <w:rtl w:val="true"/>
              </w:rPr>
              <w:t>»</w:t>
              <w:tab/>
            </w:r>
            <w:r>
              <w:rPr>
                <w:rStyle w:val="IndexLink"/>
              </w:rPr>
              <w:t>112</w:t>
            </w:r>
          </w:hyperlink>
        </w:p>
        <w:p>
          <w:pPr>
            <w:pStyle w:val="Contents3"/>
            <w:tabs>
              <w:tab w:val="clear" w:pos="8459"/>
              <w:tab w:val="right" w:pos="9026" w:leader="dot"/>
            </w:tabs>
            <w:rPr/>
          </w:pPr>
          <w:hyperlink w:anchor="__RefHeading___Toc147839_3804643083">
            <w:r>
              <w:rPr>
                <w:webHidden/>
                <w:rStyle w:val="IndexLink"/>
              </w:rPr>
              <w:t>۱۶</w:t>
            </w:r>
            <w:r>
              <w:rPr>
                <w:rStyle w:val="IndexLink"/>
                <w:rtl w:val="true"/>
              </w:rPr>
              <w:t>. «</w:t>
            </w:r>
            <w:r>
              <w:rPr>
                <w:rStyle w:val="IndexLink"/>
                <w:rtl w:val="true"/>
              </w:rPr>
              <w:t>مدرسة</w:t>
            </w:r>
            <w:r>
              <w:rPr>
                <w:rStyle w:val="IndexLink"/>
                <w:rtl w:val="true"/>
              </w:rPr>
              <w:t xml:space="preserve">» </w:t>
            </w:r>
            <w:r>
              <w:rPr>
                <w:rStyle w:val="IndexLink"/>
                <w:rtl w:val="true"/>
              </w:rPr>
              <w:t xml:space="preserve">أهل السنّة، في مقابل </w:t>
            </w:r>
            <w:r>
              <w:rPr>
                <w:rStyle w:val="IndexLink"/>
                <w:rtl w:val="true"/>
              </w:rPr>
              <w:t>«</w:t>
            </w:r>
            <w:r>
              <w:rPr>
                <w:rStyle w:val="IndexLink"/>
                <w:rtl w:val="true"/>
              </w:rPr>
              <w:t>دار العلم</w:t>
            </w:r>
            <w:r>
              <w:rPr>
                <w:rStyle w:val="IndexLink"/>
                <w:rtl w:val="true"/>
              </w:rPr>
              <w:t xml:space="preserve">» </w:t>
            </w:r>
            <w:r>
              <w:rPr>
                <w:rStyle w:val="IndexLink"/>
                <w:rtl w:val="true"/>
              </w:rPr>
              <w:t>الشيعية</w:t>
            </w:r>
            <w:r>
              <w:rPr>
                <w:rStyle w:val="IndexLink"/>
                <w:rtl w:val="true"/>
              </w:rPr>
              <w:t>...</w:t>
              <w:tab/>
            </w:r>
            <w:r>
              <w:rPr>
                <w:rStyle w:val="IndexLink"/>
              </w:rPr>
              <w:t>114</w:t>
            </w:r>
          </w:hyperlink>
        </w:p>
        <w:p>
          <w:pPr>
            <w:pStyle w:val="Contents3"/>
            <w:tabs>
              <w:tab w:val="clear" w:pos="8459"/>
              <w:tab w:val="right" w:pos="9026" w:leader="dot"/>
            </w:tabs>
            <w:rPr/>
          </w:pPr>
          <w:hyperlink w:anchor="__RefHeading___Toc147841_3804643083">
            <w:r>
              <w:rPr>
                <w:webHidden/>
                <w:rStyle w:val="IndexLink"/>
              </w:rPr>
              <w:t>۱۷</w:t>
            </w:r>
            <w:r>
              <w:rPr>
                <w:rStyle w:val="IndexLink"/>
                <w:rtl w:val="true"/>
              </w:rPr>
              <w:t xml:space="preserve">. </w:t>
            </w:r>
            <w:r>
              <w:rPr>
                <w:rStyle w:val="IndexLink"/>
                <w:rtl w:val="true"/>
              </w:rPr>
              <w:t xml:space="preserve">المدارس والأوساط العلميّة والدينيّة ورجال الشيعة في كتاب </w:t>
            </w:r>
            <w:r>
              <w:rPr>
                <w:rStyle w:val="IndexLink"/>
                <w:rtl w:val="true"/>
              </w:rPr>
              <w:t>«</w:t>
            </w:r>
            <w:r>
              <w:rPr>
                <w:rStyle w:val="IndexLink"/>
                <w:rtl w:val="true"/>
              </w:rPr>
              <w:t>النقض</w:t>
            </w:r>
            <w:r>
              <w:rPr>
                <w:rStyle w:val="IndexLink"/>
                <w:rtl w:val="true"/>
              </w:rPr>
              <w:t>»</w:t>
              <w:tab/>
            </w:r>
            <w:r>
              <w:rPr>
                <w:rStyle w:val="IndexLink"/>
              </w:rPr>
              <w:t>118</w:t>
            </w:r>
          </w:hyperlink>
        </w:p>
        <w:p>
          <w:pPr>
            <w:pStyle w:val="Contents3"/>
            <w:tabs>
              <w:tab w:val="clear" w:pos="8459"/>
              <w:tab w:val="right" w:pos="9026" w:leader="dot"/>
            </w:tabs>
            <w:rPr/>
          </w:pPr>
          <w:hyperlink w:anchor="__RefHeading___Toc147843_3804643083">
            <w:r>
              <w:rPr>
                <w:webHidden/>
                <w:rStyle w:val="IndexLink"/>
              </w:rPr>
              <w:t>۱۸</w:t>
            </w:r>
            <w:r>
              <w:rPr>
                <w:rStyle w:val="IndexLink"/>
                <w:rtl w:val="true"/>
              </w:rPr>
              <w:t xml:space="preserve">. </w:t>
            </w:r>
            <w:r>
              <w:rPr>
                <w:rStyle w:val="IndexLink"/>
                <w:rtl w:val="true"/>
              </w:rPr>
              <w:t xml:space="preserve">الشعراء الشيعة المذكورون في كتاب </w:t>
            </w:r>
            <w:r>
              <w:rPr>
                <w:rStyle w:val="IndexLink"/>
                <w:rtl w:val="true"/>
              </w:rPr>
              <w:t>«</w:t>
            </w:r>
            <w:r>
              <w:rPr>
                <w:rStyle w:val="IndexLink"/>
                <w:rtl w:val="true"/>
              </w:rPr>
              <w:t>النقض</w:t>
            </w:r>
            <w:r>
              <w:rPr>
                <w:rStyle w:val="IndexLink"/>
                <w:rtl w:val="true"/>
              </w:rPr>
              <w:t>»</w:t>
              <w:tab/>
            </w:r>
            <w:r>
              <w:rPr>
                <w:rStyle w:val="IndexLink"/>
              </w:rPr>
              <w:t>120</w:t>
            </w:r>
          </w:hyperlink>
        </w:p>
        <w:p>
          <w:pPr>
            <w:pStyle w:val="Contents3"/>
            <w:tabs>
              <w:tab w:val="clear" w:pos="8459"/>
              <w:tab w:val="right" w:pos="9026" w:leader="dot"/>
            </w:tabs>
            <w:rPr/>
          </w:pPr>
          <w:hyperlink w:anchor="__RefHeading___Toc147845_3804643083">
            <w:r>
              <w:rPr>
                <w:webHidden/>
                <w:rStyle w:val="IndexLink"/>
              </w:rPr>
              <w:t>۱۹</w:t>
            </w:r>
            <w:r>
              <w:rPr>
                <w:rStyle w:val="IndexLink"/>
                <w:rtl w:val="true"/>
              </w:rPr>
              <w:t xml:space="preserve">. </w:t>
            </w:r>
            <w:r>
              <w:rPr>
                <w:rStyle w:val="IndexLink"/>
                <w:rtl w:val="true"/>
              </w:rPr>
              <w:t xml:space="preserve">جغرافية الريّ وقزوين في كتاب </w:t>
            </w:r>
            <w:r>
              <w:rPr>
                <w:rStyle w:val="IndexLink"/>
                <w:rtl w:val="true"/>
              </w:rPr>
              <w:t>«</w:t>
            </w:r>
            <w:r>
              <w:rPr>
                <w:rStyle w:val="IndexLink"/>
                <w:rtl w:val="true"/>
              </w:rPr>
              <w:t>النقض</w:t>
            </w:r>
            <w:r>
              <w:rPr>
                <w:rStyle w:val="IndexLink"/>
                <w:rtl w:val="true"/>
              </w:rPr>
              <w:t>»</w:t>
              <w:tab/>
            </w:r>
            <w:r>
              <w:rPr>
                <w:rStyle w:val="IndexLink"/>
              </w:rPr>
              <w:t>122</w:t>
            </w:r>
          </w:hyperlink>
        </w:p>
        <w:p>
          <w:pPr>
            <w:pStyle w:val="Contents3"/>
            <w:tabs>
              <w:tab w:val="clear" w:pos="8459"/>
              <w:tab w:val="right" w:pos="9026" w:leader="dot"/>
            </w:tabs>
            <w:rPr/>
          </w:pPr>
          <w:hyperlink w:anchor="__RefHeading___Toc147847_3804643083">
            <w:r>
              <w:rPr>
                <w:webHidden/>
                <w:rStyle w:val="IndexLink"/>
              </w:rPr>
              <w:t>۲۰</w:t>
            </w:r>
            <w:r>
              <w:rPr>
                <w:rStyle w:val="IndexLink"/>
                <w:rtl w:val="true"/>
              </w:rPr>
              <w:t xml:space="preserve">. </w:t>
            </w:r>
            <w:r>
              <w:rPr>
                <w:rStyle w:val="IndexLink"/>
                <w:rtl w:val="true"/>
              </w:rPr>
              <w:t xml:space="preserve">اُسرة بابويه في كتاب </w:t>
            </w:r>
            <w:r>
              <w:rPr>
                <w:rStyle w:val="IndexLink"/>
                <w:rtl w:val="true"/>
              </w:rPr>
              <w:t>«</w:t>
            </w:r>
            <w:r>
              <w:rPr>
                <w:rStyle w:val="IndexLink"/>
                <w:rtl w:val="true"/>
              </w:rPr>
              <w:t>النقض</w:t>
            </w:r>
            <w:r>
              <w:rPr>
                <w:rStyle w:val="IndexLink"/>
                <w:rtl w:val="true"/>
              </w:rPr>
              <w:t>»</w:t>
              <w:tab/>
            </w:r>
            <w:r>
              <w:rPr>
                <w:rStyle w:val="IndexLink"/>
              </w:rPr>
              <w:t>124</w:t>
            </w:r>
          </w:hyperlink>
        </w:p>
        <w:p>
          <w:pPr>
            <w:pStyle w:val="Contents3"/>
            <w:tabs>
              <w:tab w:val="clear" w:pos="8459"/>
              <w:tab w:val="right" w:pos="9026" w:leader="dot"/>
            </w:tabs>
            <w:rPr/>
          </w:pPr>
          <w:hyperlink w:anchor="__RefHeading___Toc147849_3804643083">
            <w:r>
              <w:rPr>
                <w:webHidden/>
                <w:rStyle w:val="IndexLink"/>
              </w:rPr>
              <w:t>۲۱</w:t>
            </w:r>
            <w:r>
              <w:rPr>
                <w:rStyle w:val="IndexLink"/>
                <w:rtl w:val="true"/>
              </w:rPr>
              <w:t xml:space="preserve">. </w:t>
            </w:r>
            <w:r>
              <w:rPr>
                <w:rStyle w:val="IndexLink"/>
                <w:rtl w:val="true"/>
              </w:rPr>
              <w:t>غلبة اُسلوب كتابة المناقب في القرنين السادس والسابع للهجرة</w:t>
            </w:r>
            <w:r>
              <w:rPr>
                <w:rStyle w:val="IndexLink"/>
                <w:rtl w:val="true"/>
              </w:rPr>
              <w:tab/>
            </w:r>
            <w:r>
              <w:rPr>
                <w:rStyle w:val="IndexLink"/>
              </w:rPr>
              <w:t>125</w:t>
            </w:r>
          </w:hyperlink>
        </w:p>
        <w:p>
          <w:pPr>
            <w:pStyle w:val="Contents3"/>
            <w:tabs>
              <w:tab w:val="clear" w:pos="8459"/>
              <w:tab w:val="right" w:pos="9026" w:leader="dot"/>
            </w:tabs>
            <w:rPr/>
          </w:pPr>
          <w:hyperlink w:anchor="__RefHeading___Toc147851_3804643083">
            <w:r>
              <w:rPr>
                <w:webHidden/>
                <w:rStyle w:val="IndexLink"/>
              </w:rPr>
              <w:t>۲۲</w:t>
            </w:r>
            <w:r>
              <w:rPr>
                <w:rStyle w:val="IndexLink"/>
                <w:rtl w:val="true"/>
              </w:rPr>
              <w:t xml:space="preserve">. </w:t>
            </w:r>
            <w:r>
              <w:rPr>
                <w:rStyle w:val="IndexLink"/>
                <w:rtl w:val="true"/>
              </w:rPr>
              <w:t xml:space="preserve">الخصائص الاُسلوبيّة، والبنيويّة والفكريّة لكتاب </w:t>
            </w:r>
            <w:r>
              <w:rPr>
                <w:rStyle w:val="IndexLink"/>
                <w:rtl w:val="true"/>
              </w:rPr>
              <w:t>«</w:t>
            </w:r>
            <w:r>
              <w:rPr>
                <w:rStyle w:val="IndexLink"/>
                <w:rtl w:val="true"/>
              </w:rPr>
              <w:t>النقض</w:t>
            </w:r>
            <w:r>
              <w:rPr>
                <w:rStyle w:val="IndexLink"/>
                <w:rtl w:val="true"/>
              </w:rPr>
              <w:t>»</w:t>
              <w:tab/>
            </w:r>
            <w:r>
              <w:rPr>
                <w:rStyle w:val="IndexLink"/>
              </w:rPr>
              <w:t>128</w:t>
            </w:r>
          </w:hyperlink>
        </w:p>
        <w:p>
          <w:pPr>
            <w:pStyle w:val="Contents3"/>
            <w:tabs>
              <w:tab w:val="clear" w:pos="8459"/>
              <w:tab w:val="right" w:pos="9026" w:leader="dot"/>
            </w:tabs>
            <w:rPr/>
          </w:pPr>
          <w:hyperlink w:anchor="__RefHeading___Toc147853_3804643083">
            <w:r>
              <w:rPr>
                <w:webHidden/>
                <w:rStyle w:val="IndexLink"/>
              </w:rPr>
              <w:t>۲۳</w:t>
            </w:r>
            <w:r>
              <w:rPr>
                <w:rStyle w:val="IndexLink"/>
                <w:rtl w:val="true"/>
              </w:rPr>
              <w:t xml:space="preserve">. </w:t>
            </w:r>
            <w:r>
              <w:rPr>
                <w:rStyle w:val="IndexLink"/>
                <w:rtl w:val="true"/>
              </w:rPr>
              <w:t xml:space="preserve">بحث في الصياغة اللغوية لكتاب </w:t>
            </w:r>
            <w:r>
              <w:rPr>
                <w:rStyle w:val="IndexLink"/>
                <w:rtl w:val="true"/>
              </w:rPr>
              <w:t>«</w:t>
            </w:r>
            <w:r>
              <w:rPr>
                <w:rStyle w:val="IndexLink"/>
                <w:rtl w:val="true"/>
              </w:rPr>
              <w:t>النقض</w:t>
            </w:r>
            <w:r>
              <w:rPr>
                <w:rStyle w:val="IndexLink"/>
                <w:rtl w:val="true"/>
              </w:rPr>
              <w:t xml:space="preserve">» </w:t>
            </w:r>
            <w:r>
              <w:rPr>
                <w:rStyle w:val="IndexLink"/>
                <w:rtl w:val="true"/>
              </w:rPr>
              <w:t>بالاشارة إلي مواضيعه</w:t>
            </w:r>
            <w:r>
              <w:rPr>
                <w:rStyle w:val="IndexLink"/>
                <w:rtl w:val="true"/>
              </w:rPr>
              <w:tab/>
            </w:r>
            <w:r>
              <w:rPr>
                <w:rStyle w:val="IndexLink"/>
              </w:rPr>
              <w:t>130</w:t>
            </w:r>
          </w:hyperlink>
        </w:p>
        <w:p>
          <w:pPr>
            <w:pStyle w:val="Contents3"/>
            <w:tabs>
              <w:tab w:val="clear" w:pos="8459"/>
              <w:tab w:val="right" w:pos="9026" w:leader="dot"/>
            </w:tabs>
            <w:rPr/>
          </w:pPr>
          <w:hyperlink w:anchor="__RefHeading___Toc147855_3804643083">
            <w:r>
              <w:rPr>
                <w:webHidden/>
                <w:rStyle w:val="IndexLink"/>
              </w:rPr>
              <w:t>۲۴</w:t>
            </w:r>
            <w:r>
              <w:rPr>
                <w:rStyle w:val="IndexLink"/>
                <w:rtl w:val="true"/>
              </w:rPr>
              <w:t xml:space="preserve">. </w:t>
            </w:r>
            <w:r>
              <w:rPr>
                <w:rStyle w:val="IndexLink"/>
                <w:rtl w:val="true"/>
              </w:rPr>
              <w:t xml:space="preserve">الأخلاق واُسلوب الجدل في كتاب </w:t>
            </w:r>
            <w:r>
              <w:rPr>
                <w:rStyle w:val="IndexLink"/>
                <w:rtl w:val="true"/>
              </w:rPr>
              <w:t>«</w:t>
            </w:r>
            <w:r>
              <w:rPr>
                <w:rStyle w:val="IndexLink"/>
                <w:rtl w:val="true"/>
              </w:rPr>
              <w:t>النقض</w:t>
            </w:r>
            <w:r>
              <w:rPr>
                <w:rStyle w:val="IndexLink"/>
                <w:rtl w:val="true"/>
              </w:rPr>
              <w:t>»</w:t>
              <w:tab/>
            </w:r>
            <w:r>
              <w:rPr>
                <w:rStyle w:val="IndexLink"/>
              </w:rPr>
              <w:t>132</w:t>
            </w:r>
          </w:hyperlink>
        </w:p>
        <w:p>
          <w:pPr>
            <w:pStyle w:val="Contents3"/>
            <w:tabs>
              <w:tab w:val="clear" w:pos="8459"/>
              <w:tab w:val="right" w:pos="9026" w:leader="dot"/>
            </w:tabs>
            <w:rPr/>
          </w:pPr>
          <w:hyperlink w:anchor="__RefHeading___Toc147857_3804643083">
            <w:r>
              <w:rPr>
                <w:webHidden/>
                <w:rStyle w:val="IndexLink"/>
              </w:rPr>
              <w:t>۲۵</w:t>
            </w:r>
            <w:r>
              <w:rPr>
                <w:rStyle w:val="IndexLink"/>
                <w:rtl w:val="true"/>
              </w:rPr>
              <w:t xml:space="preserve">. </w:t>
            </w:r>
            <w:r>
              <w:rPr>
                <w:rStyle w:val="IndexLink"/>
                <w:rtl w:val="true"/>
              </w:rPr>
              <w:t xml:space="preserve">المناظرة والوحدة الإسلامية في كتاب </w:t>
            </w:r>
            <w:r>
              <w:rPr>
                <w:rStyle w:val="IndexLink"/>
                <w:rtl w:val="true"/>
              </w:rPr>
              <w:t>«</w:t>
            </w:r>
            <w:r>
              <w:rPr>
                <w:rStyle w:val="IndexLink"/>
                <w:rtl w:val="true"/>
              </w:rPr>
              <w:t>النقض</w:t>
            </w:r>
            <w:r>
              <w:rPr>
                <w:rStyle w:val="IndexLink"/>
                <w:rtl w:val="true"/>
              </w:rPr>
              <w:t>»</w:t>
              <w:tab/>
            </w:r>
            <w:r>
              <w:rPr>
                <w:rStyle w:val="IndexLink"/>
              </w:rPr>
              <w:t>134</w:t>
            </w:r>
          </w:hyperlink>
        </w:p>
        <w:p>
          <w:pPr>
            <w:pStyle w:val="Contents2"/>
            <w:tabs>
              <w:tab w:val="clear" w:pos="8743"/>
              <w:tab w:val="right" w:pos="9026" w:leader="dot"/>
            </w:tabs>
            <w:rPr/>
          </w:pPr>
          <w:hyperlink w:anchor="__RefHeading___Toc147859_3804643083">
            <w:r>
              <w:rPr>
                <w:webHidden/>
                <w:rStyle w:val="IndexLink"/>
              </w:rPr>
              <w:t>THE NOTE BY THE SCIENTIFIC SECRETARY</w:t>
            </w:r>
            <w:r>
              <w:rPr>
                <w:rStyle w:val="IndexLink"/>
                <w:rtl w:val="true"/>
              </w:rPr>
              <w:tab/>
            </w:r>
            <w:r>
              <w:rPr>
                <w:rStyle w:val="IndexLink"/>
              </w:rPr>
              <w:t>139</w:t>
            </w:r>
          </w:hyperlink>
        </w:p>
        <w:p>
          <w:pPr>
            <w:pStyle w:val="Contents3"/>
            <w:tabs>
              <w:tab w:val="clear" w:pos="8459"/>
              <w:tab w:val="right" w:pos="9026" w:leader="dot"/>
            </w:tabs>
            <w:rPr/>
          </w:pPr>
          <w:hyperlink w:anchor="__RefHeading___Toc147861_380464308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47863_3804643083">
            <w:r>
              <w:rPr>
                <w:webHidden/>
                <w:rStyle w:val="IndexLink"/>
              </w:rPr>
              <w:t>A. PREPARING THE COLLECTION OF THE WORKS</w:t>
            </w:r>
            <w:r>
              <w:rPr>
                <w:rStyle w:val="IndexLink"/>
                <w:rtl w:val="true"/>
              </w:rPr>
              <w:tab/>
            </w:r>
            <w:r>
              <w:rPr>
                <w:rStyle w:val="IndexLink"/>
              </w:rPr>
              <w:t>142</w:t>
            </w:r>
          </w:hyperlink>
        </w:p>
        <w:p>
          <w:pPr>
            <w:pStyle w:val="Contents3"/>
            <w:tabs>
              <w:tab w:val="clear" w:pos="8459"/>
              <w:tab w:val="right" w:pos="9026" w:leader="dot"/>
            </w:tabs>
            <w:rPr/>
          </w:pPr>
          <w:hyperlink w:anchor="__RefHeading___Toc147865_3804643083">
            <w:r>
              <w:rPr>
                <w:webHidden/>
                <w:rStyle w:val="IndexLink"/>
              </w:rPr>
              <w:t>B. THE INFORMATION SHEET OF THE CONGRESS (</w:t>
            </w:r>
            <w:r>
              <w:rPr>
                <w:rStyle w:val="IndexLink"/>
              </w:rPr>
              <w:t xml:space="preserve">۳ </w:t>
            </w:r>
            <w:r>
              <w:rPr>
                <w:rStyle w:val="IndexLink"/>
              </w:rPr>
              <w:t>ISSUES)</w:t>
            </w:r>
            <w:r>
              <w:rPr>
                <w:rStyle w:val="IndexLink"/>
                <w:rtl w:val="true"/>
              </w:rPr>
              <w:tab/>
            </w:r>
            <w:r>
              <w:rPr>
                <w:rStyle w:val="IndexLink"/>
              </w:rPr>
              <w:t>143</w:t>
            </w:r>
          </w:hyperlink>
        </w:p>
        <w:p>
          <w:pPr>
            <w:pStyle w:val="Contents3"/>
            <w:tabs>
              <w:tab w:val="clear" w:pos="8459"/>
              <w:tab w:val="right" w:pos="9026" w:leader="dot"/>
            </w:tabs>
            <w:rPr/>
          </w:pPr>
          <w:hyperlink w:anchor="__RefHeading___Toc147867_3804643083">
            <w:r>
              <w:rPr>
                <w:webHidden/>
                <w:rStyle w:val="IndexLink"/>
              </w:rPr>
              <w:t>C. DVD OF THE WORKS PRESENTED IN THE CONGRESS</w:t>
            </w:r>
            <w:r>
              <w:rPr>
                <w:rStyle w:val="IndexLink"/>
                <w:rtl w:val="true"/>
              </w:rPr>
              <w:tab/>
            </w:r>
            <w:r>
              <w:rPr>
                <w:rStyle w:val="IndexLink"/>
              </w:rPr>
              <w:t>143</w:t>
            </w:r>
          </w:hyperlink>
        </w:p>
        <w:p>
          <w:pPr>
            <w:pStyle w:val="Contents3"/>
            <w:tabs>
              <w:tab w:val="clear" w:pos="8459"/>
              <w:tab w:val="right" w:pos="9026" w:leader="dot"/>
            </w:tabs>
            <w:rPr/>
          </w:pPr>
          <w:hyperlink w:anchor="__RefHeading___Toc147869_3804643083">
            <w:r>
              <w:rPr>
                <w:webHidden/>
                <w:rStyle w:val="IndexLink"/>
              </w:rPr>
              <w:t>A. THE ORGANIZERS OF THE CONGRESS</w:t>
            </w:r>
            <w:r>
              <w:rPr>
                <w:rStyle w:val="IndexLink"/>
                <w:rtl w:val="true"/>
              </w:rPr>
              <w:tab/>
            </w:r>
            <w:r>
              <w:rPr>
                <w:rStyle w:val="IndexLink"/>
              </w:rPr>
              <w:t>143</w:t>
            </w:r>
          </w:hyperlink>
        </w:p>
        <w:p>
          <w:pPr>
            <w:pStyle w:val="Contents3"/>
            <w:tabs>
              <w:tab w:val="clear" w:pos="8459"/>
              <w:tab w:val="right" w:pos="9026" w:leader="dot"/>
            </w:tabs>
            <w:rPr/>
          </w:pPr>
          <w:hyperlink w:anchor="__RefHeading___Toc147871_3804643083">
            <w:r>
              <w:rPr>
                <w:webHidden/>
                <w:rStyle w:val="IndexLink"/>
              </w:rPr>
              <w:t>B. THE MEMBERS OF THE SCIENTIFIC COMMITTEE</w:t>
            </w:r>
            <w:r>
              <w:rPr>
                <w:rStyle w:val="IndexLink"/>
                <w:rtl w:val="true"/>
              </w:rPr>
              <w:tab/>
            </w:r>
            <w:r>
              <w:rPr>
                <w:rStyle w:val="IndexLink"/>
              </w:rPr>
              <w:t>144</w:t>
            </w:r>
          </w:hyperlink>
        </w:p>
        <w:p>
          <w:pPr>
            <w:pStyle w:val="Contents3"/>
            <w:tabs>
              <w:tab w:val="clear" w:pos="8459"/>
              <w:tab w:val="right" w:pos="9026" w:leader="dot"/>
            </w:tabs>
            <w:rPr/>
          </w:pPr>
          <w:hyperlink w:anchor="__RefHeading___Toc147873_3804643083">
            <w:r>
              <w:rPr>
                <w:webHidden/>
                <w:rStyle w:val="IndexLink"/>
              </w:rPr>
              <w:t>C. THE GROUP FOR PREPARATION...</w:t>
            </w:r>
            <w:r>
              <w:rPr>
                <w:rStyle w:val="IndexLink"/>
                <w:rtl w:val="true"/>
              </w:rPr>
              <w:tab/>
            </w:r>
            <w:r>
              <w:rPr>
                <w:rStyle w:val="IndexLink"/>
              </w:rPr>
              <w:t>145</w:t>
            </w:r>
          </w:hyperlink>
        </w:p>
        <w:p>
          <w:pPr>
            <w:pStyle w:val="Contents3"/>
            <w:tabs>
              <w:tab w:val="clear" w:pos="8459"/>
              <w:tab w:val="right" w:pos="9026" w:leader="dot"/>
            </w:tabs>
            <w:rPr/>
          </w:pPr>
          <w:hyperlink w:anchor="__RefHeading___Toc147875_3804643083">
            <w:r>
              <w:rPr>
                <w:webHidden/>
                <w:rStyle w:val="IndexLink"/>
              </w:rPr>
              <w:t>D. THE EXECUTIVE GROUP OF THE CONGRESS</w:t>
            </w:r>
            <w:r>
              <w:rPr>
                <w:rStyle w:val="IndexLink"/>
                <w:rtl w:val="true"/>
              </w:rPr>
              <w:tab/>
            </w:r>
            <w:r>
              <w:rPr>
                <w:rStyle w:val="IndexLink"/>
              </w:rPr>
              <w:t>145</w:t>
            </w:r>
          </w:hyperlink>
        </w:p>
        <w:p>
          <w:pPr>
            <w:pStyle w:val="Contents3"/>
            <w:tabs>
              <w:tab w:val="clear" w:pos="8459"/>
              <w:tab w:val="right" w:pos="9026" w:leader="dot"/>
            </w:tabs>
            <w:rPr/>
          </w:pPr>
          <w:hyperlink w:anchor="__RefHeading___Toc147877_3804643083">
            <w:r>
              <w:rPr>
                <w:webHidden/>
                <w:rStyle w:val="IndexLink"/>
              </w:rPr>
              <w:t>E. THE SCIENTIFIC COUNSELORS OF THE CONGRESS</w:t>
            </w:r>
            <w:r>
              <w:rPr>
                <w:rStyle w:val="IndexLink"/>
                <w:rtl w:val="true"/>
              </w:rPr>
              <w:tab/>
            </w:r>
            <w:r>
              <w:rPr>
                <w:rStyle w:val="IndexLink"/>
              </w:rPr>
              <w:t>145</w:t>
            </w:r>
          </w:hyperlink>
        </w:p>
        <w:p>
          <w:pPr>
            <w:pStyle w:val="Contents2"/>
            <w:tabs>
              <w:tab w:val="clear" w:pos="8743"/>
              <w:tab w:val="right" w:pos="9026" w:leader="dot"/>
            </w:tabs>
            <w:rPr/>
          </w:pPr>
          <w:hyperlink w:anchor="__RefHeading___Toc147879_3804643083">
            <w:r>
              <w:rPr>
                <w:webHidden/>
                <w:rStyle w:val="IndexLink"/>
              </w:rPr>
              <w:t>ABOUT THIS WORK</w:t>
            </w:r>
            <w:r>
              <w:rPr>
                <w:rStyle w:val="IndexLink"/>
                <w:rtl w:val="true"/>
              </w:rPr>
              <w:tab/>
            </w:r>
            <w:r>
              <w:rPr>
                <w:rStyle w:val="IndexLink"/>
              </w:rPr>
              <w:t>147</w:t>
            </w:r>
          </w:hyperlink>
        </w:p>
        <w:p>
          <w:pPr>
            <w:pStyle w:val="Contents2"/>
            <w:tabs>
              <w:tab w:val="clear" w:pos="8743"/>
              <w:tab w:val="right" w:pos="9026" w:leader="dot"/>
            </w:tabs>
            <w:rPr/>
          </w:pPr>
          <w:hyperlink w:anchor="__RefHeading___Toc147881_3804643083">
            <w:r>
              <w:rPr>
                <w:webHidden/>
                <w:rStyle w:val="IndexLink"/>
              </w:rPr>
              <w:t>ENGLISH ABSTRACTS</w:t>
            </w:r>
            <w:r>
              <w:rPr>
                <w:rStyle w:val="IndexLink"/>
                <w:rtl w:val="true"/>
              </w:rPr>
              <w:tab/>
            </w:r>
            <w:r>
              <w:rPr>
                <w:rStyle w:val="IndexLink"/>
              </w:rPr>
              <w:t>149</w:t>
            </w:r>
          </w:hyperlink>
        </w:p>
        <w:p>
          <w:pPr>
            <w:pStyle w:val="Contents3"/>
            <w:tabs>
              <w:tab w:val="clear" w:pos="8459"/>
              <w:tab w:val="right" w:pos="9026" w:leader="dot"/>
            </w:tabs>
            <w:rPr/>
          </w:pPr>
          <w:hyperlink w:anchor="__RefHeading___Toc147883_380464308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47885_3804643083">
            <w:r>
              <w:rPr>
                <w:webHidden/>
                <w:rStyle w:val="IndexLink"/>
              </w:rPr>
              <w:t>۱</w:t>
            </w:r>
            <w:r>
              <w:rPr>
                <w:rStyle w:val="IndexLink"/>
                <w:rtl w:val="true"/>
              </w:rPr>
              <w:t xml:space="preserve">. </w:t>
            </w:r>
            <w:r>
              <w:rPr>
                <w:rStyle w:val="IndexLink"/>
              </w:rPr>
              <w:t>A GLANCE AT THE BOOK OF "NAQD", AUTHORED BY...</w:t>
            </w:r>
            <w:r>
              <w:rPr>
                <w:rStyle w:val="IndexLink"/>
                <w:rtl w:val="true"/>
              </w:rPr>
              <w:tab/>
            </w:r>
            <w:r>
              <w:rPr>
                <w:rStyle w:val="IndexLink"/>
              </w:rPr>
              <w:t>151</w:t>
            </w:r>
          </w:hyperlink>
        </w:p>
        <w:p>
          <w:pPr>
            <w:pStyle w:val="Contents3"/>
            <w:tabs>
              <w:tab w:val="clear" w:pos="8459"/>
              <w:tab w:val="right" w:pos="9026" w:leader="dot"/>
            </w:tabs>
            <w:rPr/>
          </w:pPr>
          <w:hyperlink w:anchor="__RefHeading___Toc147887_3804643083">
            <w:r>
              <w:rPr>
                <w:webHidden/>
                <w:rStyle w:val="IndexLink"/>
              </w:rPr>
              <w:t>۲</w:t>
            </w:r>
            <w:r>
              <w:rPr>
                <w:rStyle w:val="IndexLink"/>
                <w:rtl w:val="true"/>
              </w:rPr>
              <w:t xml:space="preserve">. </w:t>
            </w:r>
            <w:r>
              <w:rPr>
                <w:rStyle w:val="IndexLink"/>
              </w:rPr>
              <w:t>THE PRINCIPLE QUR'ANIC THEMES HAVING INSPIRED...</w:t>
            </w:r>
            <w:r>
              <w:rPr>
                <w:rStyle w:val="IndexLink"/>
                <w:rtl w:val="true"/>
              </w:rPr>
              <w:tab/>
            </w:r>
            <w:r>
              <w:rPr>
                <w:rStyle w:val="IndexLink"/>
              </w:rPr>
              <w:t>152</w:t>
            </w:r>
          </w:hyperlink>
        </w:p>
        <w:p>
          <w:pPr>
            <w:pStyle w:val="Contents3"/>
            <w:tabs>
              <w:tab w:val="clear" w:pos="8459"/>
              <w:tab w:val="right" w:pos="9026" w:leader="dot"/>
            </w:tabs>
            <w:rPr/>
          </w:pPr>
          <w:hyperlink w:anchor="__RefHeading___Toc147889_3804643083">
            <w:r>
              <w:rPr>
                <w:webHidden/>
                <w:rStyle w:val="IndexLink"/>
              </w:rPr>
              <w:t>۳</w:t>
            </w:r>
            <w:r>
              <w:rPr>
                <w:rStyle w:val="IndexLink"/>
                <w:rtl w:val="true"/>
              </w:rPr>
              <w:t xml:space="preserve">. </w:t>
            </w:r>
            <w:r>
              <w:rPr>
                <w:rStyle w:val="IndexLink"/>
              </w:rPr>
              <w:t>A HERMENEUTIC VIEW TOWARD THE QUR'ANIC...</w:t>
            </w:r>
            <w:r>
              <w:rPr>
                <w:rStyle w:val="IndexLink"/>
                <w:rtl w:val="true"/>
              </w:rPr>
              <w:tab/>
            </w:r>
            <w:r>
              <w:rPr>
                <w:rStyle w:val="IndexLink"/>
              </w:rPr>
              <w:t>153</w:t>
            </w:r>
          </w:hyperlink>
        </w:p>
        <w:p>
          <w:pPr>
            <w:pStyle w:val="Contents3"/>
            <w:tabs>
              <w:tab w:val="clear" w:pos="8459"/>
              <w:tab w:val="right" w:pos="9026" w:leader="dot"/>
            </w:tabs>
            <w:rPr/>
          </w:pPr>
          <w:hyperlink w:anchor="__RefHeading___Toc147891_3804643083">
            <w:r>
              <w:rPr>
                <w:webHidden/>
                <w:rStyle w:val="IndexLink"/>
              </w:rPr>
              <w:t>۴</w:t>
            </w:r>
            <w:r>
              <w:rPr>
                <w:rStyle w:val="IndexLink"/>
                <w:rtl w:val="true"/>
              </w:rPr>
              <w:t xml:space="preserve">. </w:t>
            </w:r>
            <w:r>
              <w:rPr>
                <w:rStyle w:val="IndexLink"/>
              </w:rPr>
              <w:t>REINTRODUCTION OF THE 'ABD AL-JALIL RAZI'S...</w:t>
            </w:r>
            <w:r>
              <w:rPr>
                <w:rStyle w:val="IndexLink"/>
                <w:rtl w:val="true"/>
              </w:rPr>
              <w:tab/>
            </w:r>
            <w:r>
              <w:rPr>
                <w:rStyle w:val="IndexLink"/>
              </w:rPr>
              <w:t>155</w:t>
            </w:r>
          </w:hyperlink>
        </w:p>
        <w:p>
          <w:pPr>
            <w:pStyle w:val="Contents3"/>
            <w:tabs>
              <w:tab w:val="clear" w:pos="8459"/>
              <w:tab w:val="right" w:pos="9026" w:leader="dot"/>
            </w:tabs>
            <w:rPr/>
          </w:pPr>
          <w:hyperlink w:anchor="__RefHeading___Toc147893_3804643083">
            <w:r>
              <w:rPr>
                <w:webHidden/>
                <w:rStyle w:val="IndexLink"/>
              </w:rPr>
              <w:t>۵</w:t>
            </w:r>
            <w:r>
              <w:rPr>
                <w:rStyle w:val="IndexLink"/>
                <w:rtl w:val="true"/>
              </w:rPr>
              <w:t xml:space="preserve">. </w:t>
            </w:r>
            <w:r>
              <w:rPr>
                <w:rStyle w:val="IndexLink"/>
              </w:rPr>
              <w:t>THE KNOWLEDGE OF GOD, UNITY, THE NAMES AND...</w:t>
            </w:r>
            <w:r>
              <w:rPr>
                <w:rStyle w:val="IndexLink"/>
                <w:rtl w:val="true"/>
              </w:rPr>
              <w:tab/>
            </w:r>
            <w:r>
              <w:rPr>
                <w:rStyle w:val="IndexLink"/>
              </w:rPr>
              <w:t>157</w:t>
            </w:r>
          </w:hyperlink>
        </w:p>
        <w:p>
          <w:pPr>
            <w:pStyle w:val="Contents3"/>
            <w:tabs>
              <w:tab w:val="clear" w:pos="8459"/>
              <w:tab w:val="right" w:pos="9026" w:leader="dot"/>
            </w:tabs>
            <w:rPr/>
          </w:pPr>
          <w:hyperlink w:anchor="__RefHeading___Toc147895_3804643083">
            <w:r>
              <w:rPr>
                <w:webHidden/>
                <w:rStyle w:val="IndexLink"/>
              </w:rPr>
              <w:t>۶</w:t>
            </w:r>
            <w:r>
              <w:rPr>
                <w:rStyle w:val="IndexLink"/>
                <w:rtl w:val="true"/>
              </w:rPr>
              <w:t xml:space="preserve">. </w:t>
            </w:r>
            <w:r>
              <w:rPr>
                <w:rStyle w:val="IndexLink"/>
              </w:rPr>
              <w:t>THE MEANING OF IMAMATE AND...</w:t>
            </w:r>
            <w:r>
              <w:rPr>
                <w:rStyle w:val="IndexLink"/>
                <w:rtl w:val="true"/>
              </w:rPr>
              <w:tab/>
            </w:r>
            <w:r>
              <w:rPr>
                <w:rStyle w:val="IndexLink"/>
              </w:rPr>
              <w:t>158</w:t>
            </w:r>
          </w:hyperlink>
        </w:p>
        <w:p>
          <w:pPr>
            <w:pStyle w:val="Contents3"/>
            <w:tabs>
              <w:tab w:val="clear" w:pos="8459"/>
              <w:tab w:val="right" w:pos="9026" w:leader="dot"/>
            </w:tabs>
            <w:rPr/>
          </w:pPr>
          <w:hyperlink w:anchor="__RefHeading___Toc147897_3804643083">
            <w:r>
              <w:rPr>
                <w:webHidden/>
                <w:rStyle w:val="IndexLink"/>
              </w:rPr>
              <w:t>۷</w:t>
            </w:r>
            <w:r>
              <w:rPr>
                <w:rStyle w:val="IndexLink"/>
                <w:rtl w:val="true"/>
              </w:rPr>
              <w:t xml:space="preserve">. </w:t>
            </w:r>
            <w:r>
              <w:rPr>
                <w:rStyle w:val="IndexLink"/>
              </w:rPr>
              <w:t>THE APPROACHES TAKEN BY IMAMIYYAH...</w:t>
            </w:r>
            <w:r>
              <w:rPr>
                <w:rStyle w:val="IndexLink"/>
                <w:rtl w:val="true"/>
              </w:rPr>
              <w:tab/>
            </w:r>
            <w:r>
              <w:rPr>
                <w:rStyle w:val="IndexLink"/>
              </w:rPr>
              <w:t>160</w:t>
            </w:r>
          </w:hyperlink>
        </w:p>
        <w:p>
          <w:pPr>
            <w:pStyle w:val="Contents3"/>
            <w:tabs>
              <w:tab w:val="clear" w:pos="8459"/>
              <w:tab w:val="right" w:pos="9026" w:leader="dot"/>
            </w:tabs>
            <w:rPr/>
          </w:pPr>
          <w:hyperlink w:anchor="__RefHeading___Toc147899_3804643083">
            <w:r>
              <w:rPr>
                <w:webHidden/>
                <w:rStyle w:val="IndexLink"/>
              </w:rPr>
              <w:t>۸</w:t>
            </w:r>
            <w:r>
              <w:rPr>
                <w:rStyle w:val="IndexLink"/>
                <w:rtl w:val="true"/>
              </w:rPr>
              <w:t xml:space="preserve">. </w:t>
            </w:r>
            <w:r>
              <w:rPr>
                <w:rStyle w:val="IndexLink"/>
              </w:rPr>
              <w:t>THE CHARACTERISTICS OF THE ...</w:t>
            </w:r>
            <w:r>
              <w:rPr>
                <w:rStyle w:val="IndexLink"/>
                <w:rtl w:val="true"/>
              </w:rPr>
              <w:tab/>
            </w:r>
            <w:r>
              <w:rPr>
                <w:rStyle w:val="IndexLink"/>
              </w:rPr>
              <w:t>162</w:t>
            </w:r>
          </w:hyperlink>
        </w:p>
        <w:p>
          <w:pPr>
            <w:pStyle w:val="Contents3"/>
            <w:tabs>
              <w:tab w:val="clear" w:pos="8459"/>
              <w:tab w:val="right" w:pos="9026" w:leader="dot"/>
            </w:tabs>
            <w:rPr/>
          </w:pPr>
          <w:hyperlink w:anchor="__RefHeading___Toc147901_3804643083">
            <w:r>
              <w:rPr>
                <w:webHidden/>
                <w:rStyle w:val="IndexLink"/>
              </w:rPr>
              <w:t>۹</w:t>
            </w:r>
            <w:r>
              <w:rPr>
                <w:rStyle w:val="IndexLink"/>
                <w:rtl w:val="true"/>
              </w:rPr>
              <w:t xml:space="preserve">. </w:t>
            </w:r>
            <w:r>
              <w:rPr>
                <w:rStyle w:val="IndexLink"/>
              </w:rPr>
              <w:t>THE STATUS OF THE TERM "JURISPRUDENCE...</w:t>
            </w:r>
            <w:r>
              <w:rPr>
                <w:rStyle w:val="IndexLink"/>
                <w:rtl w:val="true"/>
              </w:rPr>
              <w:tab/>
            </w:r>
            <w:r>
              <w:rPr>
                <w:rStyle w:val="IndexLink"/>
              </w:rPr>
              <w:t>164</w:t>
            </w:r>
          </w:hyperlink>
        </w:p>
        <w:p>
          <w:pPr>
            <w:pStyle w:val="Contents3"/>
            <w:tabs>
              <w:tab w:val="clear" w:pos="8459"/>
              <w:tab w:val="right" w:pos="9026" w:leader="dot"/>
            </w:tabs>
            <w:rPr/>
          </w:pPr>
          <w:hyperlink w:anchor="__RefHeading___Toc147903_3804643083">
            <w:r>
              <w:rPr>
                <w:webHidden/>
                <w:rStyle w:val="IndexLink"/>
              </w:rPr>
              <w:t>۱۰</w:t>
            </w:r>
            <w:r>
              <w:rPr>
                <w:rStyle w:val="IndexLink"/>
                <w:rtl w:val="true"/>
              </w:rPr>
              <w:t xml:space="preserve">. </w:t>
            </w:r>
            <w:r>
              <w:rPr>
                <w:rStyle w:val="IndexLink"/>
              </w:rPr>
              <w:t>SUPPORTING IMAMIYYAH AND REJECTING ...</w:t>
            </w:r>
            <w:r>
              <w:rPr>
                <w:rStyle w:val="IndexLink"/>
                <w:rtl w:val="true"/>
              </w:rPr>
              <w:tab/>
            </w:r>
            <w:r>
              <w:rPr>
                <w:rStyle w:val="IndexLink"/>
              </w:rPr>
              <w:t>166</w:t>
            </w:r>
          </w:hyperlink>
        </w:p>
        <w:p>
          <w:pPr>
            <w:pStyle w:val="Contents3"/>
            <w:tabs>
              <w:tab w:val="clear" w:pos="8459"/>
              <w:tab w:val="right" w:pos="9026" w:leader="dot"/>
            </w:tabs>
            <w:rPr/>
          </w:pPr>
          <w:hyperlink w:anchor="__RefHeading___Toc147905_3804643083">
            <w:r>
              <w:rPr>
                <w:webHidden/>
                <w:rStyle w:val="IndexLink"/>
              </w:rPr>
              <w:t>۱۱</w:t>
            </w:r>
            <w:r>
              <w:rPr>
                <w:rStyle w:val="IndexLink"/>
                <w:rtl w:val="true"/>
              </w:rPr>
              <w:t xml:space="preserve">. </w:t>
            </w:r>
            <w:r>
              <w:rPr>
                <w:rStyle w:val="IndexLink"/>
              </w:rPr>
              <w:t>SHIISM AND SUFISM IN THE BOOK OF "NAQD"</w:t>
            </w:r>
            <w:r>
              <w:rPr>
                <w:rStyle w:val="IndexLink"/>
                <w:rtl w:val="true"/>
              </w:rPr>
              <w:tab/>
            </w:r>
            <w:r>
              <w:rPr>
                <w:rStyle w:val="IndexLink"/>
              </w:rPr>
              <w:t>168</w:t>
            </w:r>
          </w:hyperlink>
        </w:p>
        <w:p>
          <w:pPr>
            <w:pStyle w:val="Contents3"/>
            <w:tabs>
              <w:tab w:val="clear" w:pos="8459"/>
              <w:tab w:val="right" w:pos="9026" w:leader="dot"/>
            </w:tabs>
            <w:rPr/>
          </w:pPr>
          <w:hyperlink w:anchor="__RefHeading___Toc147907_3804643083">
            <w:r>
              <w:rPr>
                <w:webHidden/>
                <w:rStyle w:val="IndexLink"/>
              </w:rPr>
              <w:t>۱۲</w:t>
            </w:r>
            <w:r>
              <w:rPr>
                <w:rStyle w:val="IndexLink"/>
                <w:rtl w:val="true"/>
              </w:rPr>
              <w:t xml:space="preserve">. </w:t>
            </w:r>
            <w:r>
              <w:rPr>
                <w:rStyle w:val="IndexLink"/>
              </w:rPr>
              <w:t>THE BOOK OF "NAQD" AND RELIGIOUS MODERATENESS</w:t>
            </w:r>
            <w:r>
              <w:rPr>
                <w:rStyle w:val="IndexLink"/>
                <w:rtl w:val="true"/>
              </w:rPr>
              <w:tab/>
            </w:r>
            <w:r>
              <w:rPr>
                <w:rStyle w:val="IndexLink"/>
              </w:rPr>
              <w:t>170</w:t>
            </w:r>
          </w:hyperlink>
        </w:p>
        <w:p>
          <w:pPr>
            <w:pStyle w:val="Contents3"/>
            <w:tabs>
              <w:tab w:val="clear" w:pos="8459"/>
              <w:tab w:val="right" w:pos="9026" w:leader="dot"/>
            </w:tabs>
            <w:rPr/>
          </w:pPr>
          <w:hyperlink w:anchor="__RefHeading___Toc147909_3804643083">
            <w:r>
              <w:rPr>
                <w:webHidden/>
                <w:rStyle w:val="IndexLink"/>
              </w:rPr>
              <w:t>۱۳</w:t>
            </w:r>
            <w:r>
              <w:rPr>
                <w:rStyle w:val="IndexLink"/>
                <w:rtl w:val="true"/>
              </w:rPr>
              <w:t xml:space="preserve">. </w:t>
            </w:r>
            <w:r>
              <w:rPr>
                <w:rStyle w:val="IndexLink"/>
              </w:rPr>
              <w:t>A REVIEW OF THE ASPECTS OF THE CULTURAL ...</w:t>
            </w:r>
            <w:r>
              <w:rPr>
                <w:rStyle w:val="IndexLink"/>
                <w:rtl w:val="true"/>
              </w:rPr>
              <w:tab/>
            </w:r>
            <w:r>
              <w:rPr>
                <w:rStyle w:val="IndexLink"/>
              </w:rPr>
              <w:t>172</w:t>
            </w:r>
          </w:hyperlink>
        </w:p>
        <w:p>
          <w:pPr>
            <w:pStyle w:val="Contents3"/>
            <w:tabs>
              <w:tab w:val="clear" w:pos="8459"/>
              <w:tab w:val="right" w:pos="9026" w:leader="dot"/>
            </w:tabs>
            <w:rPr/>
          </w:pPr>
          <w:hyperlink w:anchor="__RefHeading___Toc147911_3804643083">
            <w:r>
              <w:rPr>
                <w:webHidden/>
                <w:rStyle w:val="IndexLink"/>
              </w:rPr>
              <w:t>۱۴</w:t>
            </w:r>
            <w:r>
              <w:rPr>
                <w:rStyle w:val="IndexLink"/>
                <w:rtl w:val="true"/>
              </w:rPr>
              <w:t xml:space="preserve">. </w:t>
            </w:r>
            <w:r>
              <w:rPr>
                <w:rStyle w:val="IndexLink"/>
              </w:rPr>
              <w:t>THE GEOGRAPHICAL SPREAD OF THE IMAMIYYAH SHIITE...</w:t>
            </w:r>
            <w:r>
              <w:rPr>
                <w:rStyle w:val="IndexLink"/>
                <w:rtl w:val="true"/>
              </w:rPr>
              <w:tab/>
            </w:r>
            <w:r>
              <w:rPr>
                <w:rStyle w:val="IndexLink"/>
              </w:rPr>
              <w:t>173</w:t>
            </w:r>
          </w:hyperlink>
        </w:p>
        <w:p>
          <w:pPr>
            <w:pStyle w:val="Contents3"/>
            <w:tabs>
              <w:tab w:val="clear" w:pos="8459"/>
              <w:tab w:val="right" w:pos="9026" w:leader="dot"/>
            </w:tabs>
            <w:rPr/>
          </w:pPr>
          <w:hyperlink w:anchor="__RefHeading___Toc147913_3804643083">
            <w:r>
              <w:rPr>
                <w:webHidden/>
                <w:rStyle w:val="IndexLink"/>
              </w:rPr>
              <w:t>۱۵</w:t>
            </w:r>
            <w:r>
              <w:rPr>
                <w:rStyle w:val="IndexLink"/>
                <w:rtl w:val="true"/>
              </w:rPr>
              <w:t xml:space="preserve">. </w:t>
            </w:r>
            <w:r>
              <w:rPr>
                <w:rStyle w:val="IndexLink"/>
              </w:rPr>
              <w:t>SECT-STUDY REFERENCES BY 'ABD AL-JALIL QAZVINI IN ...</w:t>
            </w:r>
            <w:r>
              <w:rPr>
                <w:rStyle w:val="IndexLink"/>
                <w:rtl w:val="true"/>
              </w:rPr>
              <w:tab/>
            </w:r>
            <w:r>
              <w:rPr>
                <w:rStyle w:val="IndexLink"/>
              </w:rPr>
              <w:t>175</w:t>
            </w:r>
          </w:hyperlink>
        </w:p>
        <w:p>
          <w:pPr>
            <w:pStyle w:val="Contents3"/>
            <w:tabs>
              <w:tab w:val="clear" w:pos="8459"/>
              <w:tab w:val="right" w:pos="9026" w:leader="dot"/>
            </w:tabs>
            <w:rPr/>
          </w:pPr>
          <w:hyperlink w:anchor="__RefHeading___Toc147915_3804643083">
            <w:r>
              <w:rPr>
                <w:webHidden/>
                <w:rStyle w:val="IndexLink"/>
              </w:rPr>
              <w:t>۱۶</w:t>
            </w:r>
            <w:r>
              <w:rPr>
                <w:rStyle w:val="IndexLink"/>
                <w:rtl w:val="true"/>
              </w:rPr>
              <w:t xml:space="preserve">. </w:t>
            </w:r>
            <w:r>
              <w:rPr>
                <w:rStyle w:val="IndexLink"/>
              </w:rPr>
              <w:t>THE SUNNITE "MADRASA" VS. THE SHIITE...</w:t>
            </w:r>
            <w:r>
              <w:rPr>
                <w:rStyle w:val="IndexLink"/>
                <w:rtl w:val="true"/>
              </w:rPr>
              <w:tab/>
            </w:r>
            <w:r>
              <w:rPr>
                <w:rStyle w:val="IndexLink"/>
              </w:rPr>
              <w:t>177</w:t>
            </w:r>
          </w:hyperlink>
        </w:p>
        <w:p>
          <w:pPr>
            <w:pStyle w:val="Contents3"/>
            <w:tabs>
              <w:tab w:val="clear" w:pos="8459"/>
              <w:tab w:val="right" w:pos="9026" w:leader="dot"/>
            </w:tabs>
            <w:rPr/>
          </w:pPr>
          <w:hyperlink w:anchor="__RefHeading___Toc147917_3804643083">
            <w:r>
              <w:rPr>
                <w:webHidden/>
                <w:rStyle w:val="IndexLink"/>
              </w:rPr>
              <w:t>۱۷</w:t>
            </w:r>
            <w:r>
              <w:rPr>
                <w:rStyle w:val="IndexLink"/>
                <w:rtl w:val="true"/>
              </w:rPr>
              <w:t xml:space="preserve">. </w:t>
            </w:r>
            <w:r>
              <w:rPr>
                <w:rStyle w:val="IndexLink"/>
              </w:rPr>
              <w:t>THE SCIENTIFIC AND RELIGIOUS SCHOOLS AND...</w:t>
            </w:r>
            <w:r>
              <w:rPr>
                <w:rStyle w:val="IndexLink"/>
                <w:rtl w:val="true"/>
              </w:rPr>
              <w:tab/>
            </w:r>
            <w:r>
              <w:rPr>
                <w:rStyle w:val="IndexLink"/>
              </w:rPr>
              <w:t>180</w:t>
            </w:r>
          </w:hyperlink>
        </w:p>
        <w:p>
          <w:pPr>
            <w:pStyle w:val="Contents3"/>
            <w:tabs>
              <w:tab w:val="clear" w:pos="8459"/>
              <w:tab w:val="right" w:pos="9026" w:leader="dot"/>
            </w:tabs>
            <w:rPr/>
          </w:pPr>
          <w:hyperlink w:anchor="__RefHeading___Toc147919_3804643083">
            <w:r>
              <w:rPr>
                <w:webHidden/>
                <w:rStyle w:val="IndexLink"/>
              </w:rPr>
              <w:t>۱۸</w:t>
            </w:r>
            <w:r>
              <w:rPr>
                <w:rStyle w:val="IndexLink"/>
                <w:rtl w:val="true"/>
              </w:rPr>
              <w:t xml:space="preserve">. </w:t>
            </w:r>
            <w:r>
              <w:rPr>
                <w:rStyle w:val="IndexLink"/>
              </w:rPr>
              <w:t>THE SHIITE POETS MENTIONED IN THE BOOK OF "NAQD"</w:t>
            </w:r>
            <w:r>
              <w:rPr>
                <w:rStyle w:val="IndexLink"/>
                <w:rtl w:val="true"/>
              </w:rPr>
              <w:tab/>
            </w:r>
            <w:r>
              <w:rPr>
                <w:rStyle w:val="IndexLink"/>
              </w:rPr>
              <w:t>181</w:t>
            </w:r>
          </w:hyperlink>
        </w:p>
        <w:p>
          <w:pPr>
            <w:pStyle w:val="Contents3"/>
            <w:tabs>
              <w:tab w:val="clear" w:pos="8459"/>
              <w:tab w:val="right" w:pos="9026" w:leader="dot"/>
            </w:tabs>
            <w:rPr/>
          </w:pPr>
          <w:hyperlink w:anchor="__RefHeading___Toc147921_3804643083">
            <w:r>
              <w:rPr>
                <w:webHidden/>
                <w:rStyle w:val="IndexLink"/>
              </w:rPr>
              <w:t>۱۹</w:t>
            </w:r>
            <w:r>
              <w:rPr>
                <w:rStyle w:val="IndexLink"/>
                <w:rtl w:val="true"/>
              </w:rPr>
              <w:t xml:space="preserve">. </w:t>
            </w:r>
            <w:r>
              <w:rPr>
                <w:rStyle w:val="IndexLink"/>
              </w:rPr>
              <w:t>THE GEOGRAPHY OF RAY AND QAZVIN</w:t>
            </w:r>
            <w:r>
              <w:rPr>
                <w:rStyle w:val="IndexLink"/>
                <w:rtl w:val="true"/>
              </w:rPr>
              <w:tab/>
            </w:r>
            <w:r>
              <w:rPr>
                <w:rStyle w:val="IndexLink"/>
              </w:rPr>
              <w:t>183</w:t>
            </w:r>
          </w:hyperlink>
        </w:p>
        <w:p>
          <w:pPr>
            <w:pStyle w:val="Contents3"/>
            <w:tabs>
              <w:tab w:val="clear" w:pos="8459"/>
              <w:tab w:val="right" w:pos="9026" w:leader="dot"/>
            </w:tabs>
            <w:rPr/>
          </w:pPr>
          <w:hyperlink w:anchor="__RefHeading___Toc147923_3804643083">
            <w:r>
              <w:rPr>
                <w:webHidden/>
                <w:rStyle w:val="IndexLink"/>
              </w:rPr>
              <w:t>۲۰</w:t>
            </w:r>
            <w:r>
              <w:rPr>
                <w:rStyle w:val="IndexLink"/>
                <w:rtl w:val="true"/>
              </w:rPr>
              <w:t xml:space="preserve">. </w:t>
            </w:r>
            <w:r>
              <w:rPr>
                <w:rStyle w:val="IndexLink"/>
              </w:rPr>
              <w:t>THE FAMILY OF BABIVEIH IN THE BOOK OF NAQD</w:t>
            </w:r>
            <w:r>
              <w:rPr>
                <w:rStyle w:val="IndexLink"/>
                <w:rtl w:val="true"/>
              </w:rPr>
              <w:tab/>
            </w:r>
            <w:r>
              <w:rPr>
                <w:rStyle w:val="IndexLink"/>
              </w:rPr>
              <w:t>185</w:t>
            </w:r>
          </w:hyperlink>
        </w:p>
        <w:p>
          <w:pPr>
            <w:pStyle w:val="Contents3"/>
            <w:tabs>
              <w:tab w:val="clear" w:pos="8459"/>
              <w:tab w:val="right" w:pos="9026" w:leader="dot"/>
            </w:tabs>
            <w:rPr/>
          </w:pPr>
          <w:hyperlink w:anchor="__RefHeading___Toc147925_3804643083">
            <w:r>
              <w:rPr>
                <w:webHidden/>
                <w:rStyle w:val="IndexLink"/>
              </w:rPr>
              <w:t>۲۱</w:t>
            </w:r>
            <w:r>
              <w:rPr>
                <w:rStyle w:val="IndexLink"/>
                <w:rtl w:val="true"/>
              </w:rPr>
              <w:t xml:space="preserve">. </w:t>
            </w:r>
            <w:r>
              <w:rPr>
                <w:rStyle w:val="IndexLink"/>
              </w:rPr>
              <w:t>THE PREVALENCE OF HAGIOGRAPHY IN...</w:t>
            </w:r>
            <w:r>
              <w:rPr>
                <w:rStyle w:val="IndexLink"/>
                <w:rtl w:val="true"/>
              </w:rPr>
              <w:tab/>
            </w:r>
            <w:r>
              <w:rPr>
                <w:rStyle w:val="IndexLink"/>
              </w:rPr>
              <w:t>186</w:t>
            </w:r>
          </w:hyperlink>
        </w:p>
        <w:p>
          <w:pPr>
            <w:pStyle w:val="Contents3"/>
            <w:tabs>
              <w:tab w:val="clear" w:pos="8459"/>
              <w:tab w:val="right" w:pos="9026" w:leader="dot"/>
            </w:tabs>
            <w:rPr/>
          </w:pPr>
          <w:hyperlink w:anchor="__RefHeading___Toc147927_3804643083">
            <w:r>
              <w:rPr>
                <w:webHidden/>
                <w:rStyle w:val="IndexLink"/>
              </w:rPr>
              <w:t>۲۲</w:t>
            </w:r>
            <w:r>
              <w:rPr>
                <w:rStyle w:val="IndexLink"/>
                <w:rtl w:val="true"/>
              </w:rPr>
              <w:t xml:space="preserve">. </w:t>
            </w:r>
            <w:r>
              <w:rPr>
                <w:rStyle w:val="IndexLink"/>
              </w:rPr>
              <w:t>THE STYLISTIC, STRUCTURAL AND INTELLECTUAL...</w:t>
            </w:r>
            <w:r>
              <w:rPr>
                <w:rStyle w:val="IndexLink"/>
                <w:rtl w:val="true"/>
              </w:rPr>
              <w:tab/>
            </w:r>
            <w:r>
              <w:rPr>
                <w:rStyle w:val="IndexLink"/>
              </w:rPr>
              <w:t>188</w:t>
            </w:r>
          </w:hyperlink>
        </w:p>
        <w:p>
          <w:pPr>
            <w:pStyle w:val="Contents3"/>
            <w:tabs>
              <w:tab w:val="clear" w:pos="8459"/>
              <w:tab w:val="right" w:pos="9026" w:leader="dot"/>
            </w:tabs>
            <w:rPr/>
          </w:pPr>
          <w:hyperlink w:anchor="__RefHeading___Toc147929_3804643083">
            <w:r>
              <w:rPr>
                <w:webHidden/>
                <w:rStyle w:val="IndexLink"/>
              </w:rPr>
              <w:t>۲۳</w:t>
            </w:r>
            <w:r>
              <w:rPr>
                <w:rStyle w:val="IndexLink"/>
                <w:rtl w:val="true"/>
              </w:rPr>
              <w:t xml:space="preserve">. </w:t>
            </w:r>
            <w:r>
              <w:rPr>
                <w:rStyle w:val="IndexLink"/>
              </w:rPr>
              <w:t>A STUDY OF THE LINGUISTIC FORM...</w:t>
            </w:r>
            <w:r>
              <w:rPr>
                <w:rStyle w:val="IndexLink"/>
                <w:rtl w:val="true"/>
              </w:rPr>
              <w:tab/>
            </w:r>
            <w:r>
              <w:rPr>
                <w:rStyle w:val="IndexLink"/>
              </w:rPr>
              <w:t>190</w:t>
            </w:r>
          </w:hyperlink>
        </w:p>
        <w:p>
          <w:pPr>
            <w:pStyle w:val="Contents3"/>
            <w:tabs>
              <w:tab w:val="clear" w:pos="8459"/>
              <w:tab w:val="right" w:pos="9026" w:leader="dot"/>
            </w:tabs>
            <w:rPr/>
          </w:pPr>
          <w:hyperlink w:anchor="__RefHeading___Toc147931_3804643083">
            <w:r>
              <w:rPr>
                <w:webHidden/>
                <w:rStyle w:val="IndexLink"/>
              </w:rPr>
              <w:t>۲۴</w:t>
            </w:r>
            <w:r>
              <w:rPr>
                <w:rStyle w:val="IndexLink"/>
                <w:rtl w:val="true"/>
              </w:rPr>
              <w:t xml:space="preserve">. </w:t>
            </w:r>
            <w:r>
              <w:rPr>
                <w:rStyle w:val="IndexLink"/>
              </w:rPr>
              <w:t>THE ETHICAL CONSIDERATIONS AND RITES...</w:t>
            </w:r>
            <w:r>
              <w:rPr>
                <w:rStyle w:val="IndexLink"/>
                <w:rtl w:val="true"/>
              </w:rPr>
              <w:tab/>
            </w:r>
            <w:r>
              <w:rPr>
                <w:rStyle w:val="IndexLink"/>
              </w:rPr>
              <w:t>192</w:t>
            </w:r>
          </w:hyperlink>
        </w:p>
        <w:p>
          <w:pPr>
            <w:pStyle w:val="Contents3"/>
            <w:tabs>
              <w:tab w:val="clear" w:pos="8459"/>
              <w:tab w:val="right" w:pos="9026" w:leader="dot"/>
            </w:tabs>
            <w:rPr/>
          </w:pPr>
          <w:hyperlink w:anchor="__RefHeading___Toc147933_3804643083">
            <w:r>
              <w:rPr>
                <w:webHidden/>
                <w:rStyle w:val="IndexLink"/>
              </w:rPr>
              <w:t>۲۵</w:t>
            </w:r>
            <w:r>
              <w:rPr>
                <w:rStyle w:val="IndexLink"/>
                <w:rtl w:val="true"/>
              </w:rPr>
              <w:t xml:space="preserve">. </w:t>
            </w:r>
            <w:r>
              <w:rPr>
                <w:rStyle w:val="IndexLink"/>
              </w:rPr>
              <w:t>ARGUMENTATION AND UNITY IN THE BOOK OF "NAQD"</w:t>
            </w:r>
            <w:r>
              <w:rPr>
                <w:rStyle w:val="IndexLink"/>
                <w:rtl w:val="true"/>
              </w:rPr>
              <w:tab/>
            </w:r>
            <w:r>
              <w:rPr>
                <w:rStyle w:val="IndexLink"/>
              </w:rPr>
              <w:t>194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7_11968"/>
      <w:bookmarkStart w:id="1" w:name="pg2137_11968"/>
      <w:bookmarkEnd w:id="1"/>
    </w:p>
    <w:p>
      <w:pPr>
        <w:pStyle w:val="Heading2"/>
        <w:numPr>
          <w:ilvl w:val="1"/>
          <w:numId w:val="1"/>
        </w:numPr>
        <w:rPr/>
      </w:pPr>
      <w:bookmarkStart w:id="2" w:name="pg2137_11968"/>
      <w:bookmarkStart w:id="3" w:name="__RefHeading___Toc147703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عبدالجليل رازي‌قزويني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مقالات كنگره بزرگداشت عبدالجليل رازي‌قزويني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عربي و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خليل زامل‌عصامي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سيدعبدالمجيد طباطبايي‌لطفي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دارالحديث‌العلميه والثقافيه، مركز للطباعه والنشر؛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موزه و مركز اسناد مجلس شوراي اسلامي،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عبدالجليل رازي‌قزويني؛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مقالات، با ترجمه عربي و انگليسي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مقالات، با ترجمه عربي و انگليسي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قزويني، عبدالجليل بن ابوالحسين،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كنگره‌ها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عبدالجليل قزويني، عبدالجليل بن ابوالحسين،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مقاله‌ها و خطابه‌ها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 عصامي، خليل ،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طباطبايي لطفي، سيدعبدالمجيد ،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شوراي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موزه و مركز اسناد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۳۱۵۷۶۰۴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705_3804643083"/>
      <w:bookmarkStart w:id="6" w:name="_Toc2"/>
      <w:bookmarkEnd w:id="5"/>
      <w:r>
        <w:rPr>
          <w:rtl w:val="true"/>
        </w:rPr>
        <w:t>اشاره</w:t>
      </w:r>
      <w:bookmarkStart w:id="7" w:name="pg2137_11980"/>
      <w:bookmarkEnd w:id="6"/>
    </w:p>
    <w:p>
      <w:pPr>
        <w:pStyle w:val="Heading2"/>
        <w:numPr>
          <w:ilvl w:val="1"/>
          <w:numId w:val="1"/>
        </w:numPr>
        <w:rPr/>
      </w:pPr>
      <w:bookmarkStart w:id="8" w:name="__RefHeading___Toc147707_3804643083"/>
      <w:bookmarkStart w:id="9" w:name="_Toc3"/>
      <w:bookmarkEnd w:id="7"/>
      <w:bookmarkEnd w:id="8"/>
      <w:r>
        <w:rPr>
          <w:rtl w:val="true"/>
        </w:rPr>
        <w:t>يادداشت دبير علمي</w:t>
      </w:r>
      <w:bookmarkEnd w:id="9"/>
    </w:p>
    <w:p>
      <w:pPr>
        <w:pStyle w:val="Heading3"/>
        <w:numPr>
          <w:ilvl w:val="2"/>
          <w:numId w:val="1"/>
        </w:numPr>
        <w:rPr/>
      </w:pPr>
      <w:bookmarkStart w:id="10" w:name="__RefHeading___Toc147709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يادداشت دبير علمييك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 يكي از كهن‌ترين مراكز تمدّني ايران است كه قدمت چندين هزارساله دارد و مردمان آن را قومي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هجري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يكي از بزرگ‌ترين و آبادترين بلاد اسلامي توصيف و جمعيت آن را بالغ بر دو ميليون نفر گزارش كرده‌اند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 دوره اسلامي، ري، از سده سوم و چهارم، داراي يك حوزه نسبتا توانمند علمي شد و شخصيت‌هاي بزرگي را، از شيعه و اهل‌سنّت،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حاتم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فارِس رازي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بكر رازي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زكريا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مي‌زيسته‌اند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افول و از رونق افتادن حوزه‌هاي علمي بغداد و قم، ري به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سرآمدِ شهرهاي علمي شيعه در آن روزگار تبديل شد و قرن پنجم و ششم، دوران بالندگي علمي ري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صفي‌الدين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تبصرة العوام، سديد الدين حمصي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المنقذ من التقليد، شيخ منتجب الدين رازي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الفهرست و قطب الدين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عبد الجليل رازي، اطلاعات دقيقي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براي شناخت اجمالي او، فهرست شيخ منتجب الدين رازي است كه معاصر وي بود و نيز كتاب نقض از خود وي كه در لابه‌لاي آن و به مناسبت، مطالبي را در باره خود، بازگو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عبد الجليل بن أبي الحسين بن أبي الفضل القزويني، عالم، فصيح، دَيّنٌ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علمي، اجتماعي و معنوي عبد الجليل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عبد الجليل، بنا بر كتاب‌هاي الفهرست و نقض،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عايشة عن الفواحش العظيمة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در سال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في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در سال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الراحات في فنون الحكايات يا مفتاح التذكير؛</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رساله‌اي در ردّ ملحدان؛</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في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به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بين سال‌هاي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عبد الجليل، داراي ويژگي‌ها و شاخصه‌هايي است كه آشنايي با آنها در شناخت عبد الجليل و كتاب او بي‌تأثير نيست، چنان كه از روي عناوين آثار عبد الجليل نيز مي‌توان تا حدودي به اين تأثير و ارتباط، پي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عبد الجليل، يعني نيمه دوم قرن پنجم تا اواخر قرن ششم را مي‌توان داراي چند ويژگي عمده دانست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آباداني ري و ايران؛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پايگاه خلافت در جهان اسلام و نيز در فضاي سياسي؛</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باطني‌گري و انديشه‌هاي حسن صباح</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منازعات شيعه و سنّي؛</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مجالس ديني با جان‌مايه مباحث كلامي و برگزاري مجالس مناظره؛</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هم‌انديشي ديني و تفاهم مذهبي؛</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زندقه و دين‌گريزي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چنان كه عناوين آثارش نشان مي‌دهد، عالمي است حاضر در زمان كه رخدادهاي فرهنگي زمانه‌اش را به خوبي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مذهبي دامن نمي‌زند؛ بلكه با پايبندي به باورها و اعتقادات خويش تلاش مي‌كند آنها را به هسته‌اي 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مي‌كوشد پرسش‌هاي مطرح در جامعه‌اش را پاسخ دهد و از اين رو، كتاب السؤالات و الجوابات را در هفت جلد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اتهام‌هاي بي‌جاي يك متعصّب را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137_11986"/>
    </w:p>
    <w:p>
      <w:pPr>
        <w:pStyle w:val="Heading3"/>
        <w:numPr>
          <w:ilvl w:val="2"/>
          <w:numId w:val="1"/>
        </w:numPr>
        <w:rPr/>
      </w:pPr>
      <w:bookmarkStart w:id="13" w:name="__RefHeading___Toc147711_3804643083"/>
      <w:bookmarkStart w:id="14" w:name="_Toc5"/>
      <w:bookmarkEnd w:id="12"/>
      <w:bookmarkEnd w:id="13"/>
      <w:r>
        <w:rPr>
          <w:rtl w:val="true"/>
        </w:rPr>
        <w:t>الف</w:t>
      </w:r>
      <w:r>
        <w:rPr>
          <w:rtl w:val="true"/>
        </w:rPr>
        <w:t xml:space="preserve">. </w:t>
      </w:r>
      <w:r>
        <w:rPr>
          <w:rtl w:val="true"/>
        </w:rPr>
        <w:t xml:space="preserve">آماده‌سازي مجموعه آثار كنگره </w:t>
      </w:r>
      <w:r>
        <w:rPr>
          <w:rtl w:val="true"/>
        </w:rPr>
        <w:t>(</w:t>
      </w:r>
      <w:r>
        <w:rPr/>
        <w:t>۷</w:t>
      </w:r>
      <w:r>
        <w:rPr>
          <w:rtl w:val="true"/>
        </w:rPr>
        <w:t xml:space="preserve"> جلد</w:t>
      </w:r>
      <w:r>
        <w:rPr>
          <w:rtl w:val="true"/>
        </w:rPr>
        <w:t>)</w:t>
      </w:r>
      <w:bookmarkEnd w:id="14"/>
    </w:p>
    <w:p>
      <w:pPr>
        <w:pStyle w:val="Heading3"/>
        <w:numPr>
          <w:ilvl w:val="2"/>
          <w:numId w:val="1"/>
        </w:numPr>
        <w:rPr/>
      </w:pPr>
      <w:bookmarkStart w:id="15" w:name="__RefHeading___Toc147713_3804643083"/>
      <w:bookmarkStart w:id="16" w:name="_Toc6"/>
      <w:bookmarkEnd w:id="15"/>
      <w:r>
        <w:rPr>
          <w:rtl w:val="true"/>
        </w:rPr>
        <w:t>ب</w:t>
      </w:r>
      <w:r>
        <w:rPr>
          <w:rtl w:val="true"/>
        </w:rPr>
        <w:t xml:space="preserve">. </w:t>
      </w:r>
      <w:r>
        <w:rPr>
          <w:rtl w:val="true"/>
        </w:rPr>
        <w:t xml:space="preserve">خبرنامه كنگره </w:t>
      </w:r>
      <w:r>
        <w:rPr>
          <w:rtl w:val="true"/>
        </w:rPr>
        <w:t>(</w:t>
      </w:r>
      <w:r>
        <w:rPr/>
        <w:t>۳</w:t>
      </w:r>
      <w:r>
        <w:rPr>
          <w:rtl w:val="true"/>
        </w:rPr>
        <w:t xml:space="preserve"> شماره</w:t>
      </w:r>
      <w:r>
        <w:rPr>
          <w:rtl w:val="true"/>
        </w:rPr>
        <w:t>)</w:t>
      </w:r>
      <w:bookmarkEnd w:id="16"/>
    </w:p>
    <w:p>
      <w:pPr>
        <w:pStyle w:val="Heading3"/>
        <w:numPr>
          <w:ilvl w:val="2"/>
          <w:numId w:val="1"/>
        </w:numPr>
        <w:rPr/>
      </w:pPr>
      <w:bookmarkStart w:id="17" w:name="__RefHeading___Toc147715_3804643083"/>
      <w:bookmarkStart w:id="18" w:name="_Toc7"/>
      <w:bookmarkEnd w:id="17"/>
      <w:r>
        <w:rPr>
          <w:rtl w:val="true"/>
        </w:rPr>
        <w:t>ج</w:t>
      </w:r>
      <w:r>
        <w:rPr>
          <w:rtl w:val="true"/>
        </w:rPr>
        <w:t xml:space="preserve">. </w:t>
      </w:r>
      <w:r>
        <w:rPr>
          <w:rtl w:val="true"/>
        </w:rPr>
        <w:t xml:space="preserve">تهيه لوح فشرده </w:t>
      </w:r>
      <w:r>
        <w:rPr>
          <w:rtl w:val="true"/>
        </w:rPr>
        <w:t>(</w:t>
      </w:r>
      <w:r>
        <w:rPr/>
        <w:t>DVD</w:t>
      </w:r>
      <w:r>
        <w:rPr>
          <w:rtl w:val="true"/>
        </w:rPr>
        <w:t xml:space="preserve">) </w:t>
      </w:r>
      <w:r>
        <w:rPr>
          <w:rtl w:val="true"/>
        </w:rPr>
        <w:t>از مجموعه آثار كنگره</w:t>
      </w:r>
      <w:bookmarkEnd w:id="18"/>
    </w:p>
    <w:p>
      <w:pPr>
        <w:pStyle w:val="BookText"/>
        <w:rPr/>
      </w:pPr>
      <w:r>
        <w:rPr>
          <w:rFonts w:ascii="IRNazanin" w:hAnsi="IRNazanin" w:eastAsia="IRNazanin"/>
          <w:color w:val="111111"/>
          <w:sz w:val="28"/>
          <w:sz w:val="28"/>
          <w:szCs w:val="28"/>
          <w:rtl w:val="true"/>
          <w:lang w:bidi="fa-IR"/>
        </w:rPr>
        <w:t>عين حال، از گستردگي دانش و اطلاعات عبد الجليل پرده برمي‌دارد و فصاحت و بلاغت و شيوايي نثر او را به نمايش 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برگزاري كنگره بين المللي كليني در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انديشه برگزاري كنگره بزرگداشت عبد الجليل، به صورت جدّي شكل گرفت و از آغاز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با برگزاري جلسات شوراي عالي سياست‌گذاري و نيز جلسات شوراي علمي‌كنگره، فعاليت‌هاي كميته علمي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دو سال فعاليت‌هاي اين كميته را در چند بند، فهرست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آماده‌سازي مجموعه آثار كنگره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با ويرايش علمي جديد؛</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رازي قزويني، روزگار و كتاب وي؛</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عبد الجليل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توصيفي ساختار دستوري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مقالات با ترجمه عربي و انگليسي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كنگرههمچنين شوراي علمي، برنامه‌هاي ديگري را نيز لازم و مفيد تشخيص داد كه از جهت اجرا متوقّف بر آماده‌سازي كتاب نقض با ويرايش جديد بود و از اين رو، انجام يافتن آنها به پس از برگزاري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عبارت‌اند از</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2137_11988"/>
    </w:p>
    <w:p>
      <w:pPr>
        <w:pStyle w:val="Heading3"/>
        <w:numPr>
          <w:ilvl w:val="2"/>
          <w:numId w:val="1"/>
        </w:numPr>
        <w:rPr/>
      </w:pPr>
      <w:bookmarkStart w:id="20" w:name="__RefHeading___Toc147717_3804643083"/>
      <w:bookmarkStart w:id="21" w:name="_Toc8"/>
      <w:bookmarkEnd w:id="19"/>
      <w:bookmarkEnd w:id="20"/>
      <w:r>
        <w:rPr>
          <w:rtl w:val="true"/>
        </w:rPr>
        <w:t>الف</w:t>
      </w:r>
      <w:r>
        <w:rPr>
          <w:rtl w:val="true"/>
        </w:rPr>
        <w:t xml:space="preserve">. </w:t>
      </w:r>
      <w:r>
        <w:rPr>
          <w:rtl w:val="true"/>
        </w:rPr>
        <w:t>برگزاركنندگان</w:t>
      </w:r>
      <w:bookmarkEnd w:id="2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بازنويسي كتاب نقض؛</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بازنويسي شده نقض به زبان انگليسي؛</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بازنويسي شده نقض به زبان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 و قدرشناسي از همه كساني كه در شكل‌گيري و به ثمر نشستن اين كنگره سهم داشتند، وظيفه‌اي اخلاقي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 و سازمان‌هايي كه به شكلي در آن نقش داشته‌اند، كمترين وظيفه را در سپاس‌گزاري، به جاي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برگزاركنندگاناين كنگره با مشاركت علمي، معنوي و مادّي اين مراكز به ثمر نشست كه به ترتيب حروف الفبا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حضرت عبد العظيم حسني عليه السلام ، توليت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محمّدي ري‌شهري؛</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فرهنگي،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جواد ادبي؛</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المصطفي صلي الله عليه و آله العالمية،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عليرضا اعرافي؛</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موزه و مركز اسناد مجلس شوراي اسلامي،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رسول جعفريان؛</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جهاني اهل بيت عليهم السلام ،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حسن اختري؛</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جهاني تقريب مذاهب اسلامي،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محمّدعلي تسخيري؛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137_11990"/>
    </w:p>
    <w:p>
      <w:pPr>
        <w:pStyle w:val="Heading3"/>
        <w:numPr>
          <w:ilvl w:val="2"/>
          <w:numId w:val="1"/>
        </w:numPr>
        <w:rPr/>
      </w:pPr>
      <w:bookmarkStart w:id="23" w:name="__RefHeading___Toc147719_3804643083"/>
      <w:bookmarkStart w:id="24" w:name="_Toc9"/>
      <w:bookmarkEnd w:id="22"/>
      <w:bookmarkEnd w:id="23"/>
      <w:r>
        <w:rPr>
          <w:rtl w:val="true"/>
        </w:rPr>
        <w:t>ب</w:t>
      </w:r>
      <w:r>
        <w:rPr>
          <w:rtl w:val="true"/>
        </w:rPr>
        <w:t xml:space="preserve">. </w:t>
      </w:r>
      <w:r>
        <w:rPr>
          <w:rtl w:val="true"/>
        </w:rPr>
        <w:t>اعضاي شوراي علمي كنگره</w:t>
      </w:r>
      <w:bookmarkEnd w:id="24"/>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كامپيوتري علوم اسلامي،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حميد شهرياري؛</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 وزارت فرهنگ و ارشاد اسلامي،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بهمن درّي؛</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علمي فرهنگي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محمّدي ري‌شهري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 مي‌شود كه جلسات شوراي عالي سياست‌گذاري، با حضور رؤسا و مديران مراكز و نهادهاي ياد شده برگزار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شوراي علمي كنگرهشوراي علمي كنگره، مركب از شخصيت‌هاي علمي حقيقي و نمايندگان علمي مراكز برگزاركننده بود كه به ترتيب حروف الفبا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علي‌اصغر اوحدي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مجمع جهاني تقريب مذاهب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ناصر باقري بيدهندي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جامعة المصطفي صلي الله عليه و آله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رسول جعفريان؛</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قاسم جوادي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محمّدحسين درايتي؛</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محمّدكاظم رحمان ستايش؛</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نماينده مجمع جهاني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137_11992"/>
    </w:p>
    <w:p>
      <w:pPr>
        <w:pStyle w:val="Heading3"/>
        <w:numPr>
          <w:ilvl w:val="2"/>
          <w:numId w:val="1"/>
        </w:numPr>
        <w:rPr/>
      </w:pPr>
      <w:bookmarkStart w:id="26" w:name="__RefHeading___Toc147721_3804643083"/>
      <w:bookmarkStart w:id="27" w:name="_Toc10"/>
      <w:bookmarkEnd w:id="25"/>
      <w:bookmarkEnd w:id="26"/>
      <w:r>
        <w:rPr>
          <w:rtl w:val="true"/>
        </w:rPr>
        <w:t>ج</w:t>
      </w:r>
      <w:r>
        <w:rPr>
          <w:rtl w:val="true"/>
        </w:rPr>
        <w:t xml:space="preserve">. </w:t>
      </w:r>
      <w:r>
        <w:rPr>
          <w:rtl w:val="true"/>
        </w:rPr>
        <w:t>گروه آماده‌سازي آثار، شامل</w:t>
      </w:r>
      <w:r>
        <w:rPr>
          <w:rtl w:val="true"/>
        </w:rPr>
        <w:t xml:space="preserve">: </w:t>
      </w:r>
      <w:r>
        <w:rPr>
          <w:rtl w:val="true"/>
        </w:rPr>
        <w:t>حروفچيني، ويرايش، نمونه‌خواني</w:t>
      </w:r>
      <w:r>
        <w:rPr>
          <w:rtl w:val="true"/>
        </w:rPr>
        <w:t>...</w:t>
      </w:r>
      <w:bookmarkEnd w:id="27"/>
    </w:p>
    <w:p>
      <w:pPr>
        <w:pStyle w:val="Heading3"/>
        <w:numPr>
          <w:ilvl w:val="2"/>
          <w:numId w:val="1"/>
        </w:numPr>
        <w:rPr/>
      </w:pPr>
      <w:bookmarkStart w:id="28" w:name="__RefHeading___Toc147723_3804643083"/>
      <w:bookmarkStart w:id="29" w:name="_Toc11"/>
      <w:bookmarkEnd w:id="28"/>
      <w:r>
        <w:rPr>
          <w:rtl w:val="true"/>
        </w:rPr>
        <w:t>د</w:t>
      </w:r>
      <w:r>
        <w:rPr>
          <w:rtl w:val="true"/>
        </w:rPr>
        <w:t xml:space="preserve">. </w:t>
      </w:r>
      <w:r>
        <w:rPr>
          <w:rtl w:val="true"/>
        </w:rPr>
        <w:t>گروه اجرايي كنگره</w:t>
      </w:r>
      <w:bookmarkEnd w:id="29"/>
    </w:p>
    <w:p>
      <w:pPr>
        <w:pStyle w:val="Heading3"/>
        <w:numPr>
          <w:ilvl w:val="2"/>
          <w:numId w:val="1"/>
        </w:numPr>
        <w:rPr/>
      </w:pPr>
      <w:bookmarkStart w:id="30" w:name="__RefHeading___Toc147725_3804643083"/>
      <w:bookmarkStart w:id="31" w:name="_Toc12"/>
      <w:bookmarkEnd w:id="30"/>
      <w:r>
        <w:rPr>
          <w:rtl w:val="true"/>
        </w:rPr>
        <w:t xml:space="preserve">ه </w:t>
      </w:r>
      <w:r>
        <w:rPr>
          <w:rtl w:val="true"/>
        </w:rPr>
        <w:t xml:space="preserve">. </w:t>
      </w:r>
      <w:r>
        <w:rPr>
          <w:rtl w:val="true"/>
        </w:rPr>
        <w:t>مشاوران علمي كنگره</w:t>
      </w:r>
      <w:bookmarkEnd w:id="31"/>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علي صدرايي خويي؛</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دكتر پرويز فارسيجاني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ميرهاشم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 جلال الدين محدّث اُرموي، مصحّح 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محمّدمهدي معراجي؛</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محمّدعلي مهدوي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آماده‌سازي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حروفچيني، ويرايش، نمونه‌خواني و صفحه‌آرايي</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مهدي جوهرچي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محمّد كريم صالحي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اجرايي كنگره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محمّدمهدي خوش‌قلب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اجرايي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اميرحسين سعيدي 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علمي كنگره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هادي ربّاني؛</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محمّدهادي خالقي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همين‌جا بايد از نويسندگان آثار و مقالات و اساتيدي كه در مراحل مختلف ويرايش جديد كتاب نقض، تلاش و همكاري داشتند، سپاس‌گزاري كرد كه البته نام آنها بر روي آثار و نيز در شناسنامه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همه بزرگواراني كه در ارزيابي آثار يا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برقراري ارتباطات علمي كوشش نمودند، قدرداني مي‌كنم و تلاش همكاران خود را در بخش‌هاي مختلف معاونت اداري ـ مالي مؤسّسه علمي ـ فرهنگي دار الحديث مي‌ستايم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مهريزيدبير كميته علميجمعه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۱۳۹۱۱۴</w:t>
      </w:r>
      <w:r>
        <w:rPr>
          <w:rFonts w:ascii="IRNazanin" w:hAnsi="IRNazanin" w:eastAsia="IRNazanin"/>
          <w:color w:val="111111"/>
          <w:sz w:val="28"/>
          <w:sz w:val="28"/>
          <w:szCs w:val="28"/>
          <w:rtl w:val="true"/>
          <w:lang w:bidi="fa-IR"/>
        </w:rPr>
        <w:t xml:space="preserve"> جمادي الاُولي </w:t>
      </w:r>
      <w:r>
        <w:rPr>
          <w:rFonts w:ascii="IRNazanin" w:hAnsi="IRNazanin" w:eastAsia="IRNazanin"/>
          <w:color w:val="111111"/>
          <w:sz w:val="28"/>
          <w:sz w:val="28"/>
          <w:szCs w:val="28"/>
          <w:lang w:bidi="fa-IR"/>
        </w:rPr>
        <w:t>۱۴۳۳۶</w:t>
      </w:r>
      <w:r>
        <w:rPr>
          <w:rFonts w:ascii="IRNazanin" w:hAnsi="IRNazanin" w:eastAsia="IRNazanin"/>
          <w:color w:val="111111"/>
          <w:sz w:val="28"/>
          <w:sz w:val="28"/>
          <w:szCs w:val="28"/>
          <w:rtl w:val="true"/>
          <w:lang w:bidi="fa-IR"/>
        </w:rPr>
        <w:t xml:space="preserve"> آوريل </w:t>
      </w:r>
      <w:r>
        <w:rPr>
          <w:rFonts w:ascii="IRNazanin" w:hAnsi="IRNazanin" w:eastAsia="IRNazanin"/>
          <w:color w:val="111111"/>
          <w:sz w:val="28"/>
          <w:sz w:val="28"/>
          <w:szCs w:val="28"/>
          <w:lang w:bidi="fa-IR"/>
        </w:rPr>
        <w:t>۲۰۱۲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37_11996"/>
    </w:p>
    <w:p>
      <w:pPr>
        <w:pStyle w:val="Heading2"/>
        <w:numPr>
          <w:ilvl w:val="1"/>
          <w:numId w:val="1"/>
        </w:numPr>
        <w:rPr/>
      </w:pPr>
      <w:bookmarkStart w:id="33" w:name="__RefHeading___Toc147727_3804643083"/>
      <w:bookmarkStart w:id="34" w:name="_Toc13"/>
      <w:bookmarkEnd w:id="32"/>
      <w:bookmarkEnd w:id="33"/>
      <w:r>
        <w:rPr>
          <w:rtl w:val="true"/>
        </w:rPr>
        <w:t>دربارة اين اثر</w:t>
      </w:r>
      <w:bookmarkEnd w:id="34"/>
    </w:p>
    <w:p>
      <w:pPr>
        <w:pStyle w:val="BookText"/>
        <w:rPr/>
      </w:pPr>
      <w:r>
        <w:rPr>
          <w:rFonts w:ascii="IRNazanin" w:hAnsi="IRNazanin" w:eastAsia="IRNazanin"/>
          <w:color w:val="111111"/>
          <w:sz w:val="28"/>
          <w:sz w:val="28"/>
          <w:szCs w:val="28"/>
          <w:rtl w:val="true"/>
          <w:lang w:bidi="fa-IR"/>
        </w:rPr>
        <w:t>دربارة اين اثرآنچه مي‌توانست محور پژوهش‌ها يا نگارش مقالات در باره عبد الجليل رازي قزويني قرار گيرد، يكي زندگي و آثار وي بود و ديگري زمانه و روزگار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زندگي او در منابع تاريخ و تراجِم، انعكاس اندكي داشته و از آثارش تنها كتاب نقض باقي مانده است، نگارش و پژوهش در محور نخست، تنها به كتاب نقض اختصاص مي‌يافت، در حالي كه زمانه و روزگار او، زمينه تأملات علمي و پژوهشي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مقالات فارسي منتشر شده پيش از اين در باره كتاب نقض و شخصيت عبد الجليل ـ كه دست كم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عنوان مقاله است ـ ، دايره كار تدوين مقاله محدودتر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كارهاي تحليل تاريخي، نگرش نقادانه به تاريخ و جريان‌شناسي تاريخي، در مجامع علمي ايران، راغبان اندك دارد و كم‌تر دغدغه پژوهشگران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اوصاف، با فراخوان و سفارش‌هاي خاص، تعداد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مقاله پذيرفته و تأييد شده توسط شوراي علمي، به كنگره واصل شد كه در دو جلد، در اختيار محققان و اهل نظر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مقاله در جلد نخست و سيزده مقاله در جلد دوم جاي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مقالات را از نظر محتوا مي‌توان در شش موضوع عام، دسته‌بندي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كلي به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قرآني و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دوم تا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مقاله‌هاي پنجم تا دوازدهم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تاريخ و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مقاله‌هاي اول تا نهم از جلد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سبك‌شناسي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مقاله‌هاي دهم و يازدهم از جلد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مقاله‌هاي دوازدهم و سيزدهم از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منظري ديگر، از اين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مقاله، سه مقاله به روزگار و زمانه عبد الجليل مربوط‌اند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هفتم از جلد اول و مقاله‌هاي اول و نهم از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مقاله به كتاب نقض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نويسندگان مقالات، چهار تن خانم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نفر مرد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حاضر، چكيدة اين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مقاله به سه زبان فارسي، عربي و انگليسي در اختيار محققان و پژوهشگران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 چكيده‌ها توسط جناب آقاي خليل زامل عصامي و ترجمه به انگليسي توسط جناب آقاي سيد عبد المجيد طباطبايي لطفي صورت گرفته است كه بدين وسيله از تلاش آنان تقدير مي‌گردد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137_12000"/>
    </w:p>
    <w:p>
      <w:pPr>
        <w:pStyle w:val="Heading2"/>
        <w:numPr>
          <w:ilvl w:val="1"/>
          <w:numId w:val="1"/>
        </w:numPr>
        <w:rPr/>
      </w:pPr>
      <w:bookmarkStart w:id="36" w:name="__RefHeading___Toc147729_3804643083"/>
      <w:bookmarkStart w:id="37" w:name="_Toc14"/>
      <w:bookmarkEnd w:id="35"/>
      <w:bookmarkEnd w:id="36"/>
      <w:r>
        <w:rPr>
          <w:rtl w:val="true"/>
        </w:rPr>
        <w:t>چكيده مقالات فارسي</w:t>
      </w:r>
      <w:bookmarkEnd w:id="37"/>
    </w:p>
    <w:p>
      <w:pPr>
        <w:pStyle w:val="Heading3"/>
        <w:numPr>
          <w:ilvl w:val="2"/>
          <w:numId w:val="1"/>
        </w:numPr>
        <w:rPr/>
      </w:pPr>
      <w:bookmarkStart w:id="38" w:name="__RefHeading___Toc147731_3804643083"/>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چكيدة مقالات فارسي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2137_12005"/>
    </w:p>
    <w:p>
      <w:pPr>
        <w:pStyle w:val="Heading3"/>
        <w:numPr>
          <w:ilvl w:val="2"/>
          <w:numId w:val="1"/>
        </w:numPr>
        <w:rPr/>
      </w:pPr>
      <w:bookmarkStart w:id="41" w:name="__RefHeading___Toc147733_3804643083"/>
      <w:bookmarkStart w:id="42" w:name="_Toc16"/>
      <w:bookmarkEnd w:id="40"/>
      <w:bookmarkEnd w:id="41"/>
      <w:r>
        <w:rPr/>
        <w:t>۱</w:t>
      </w:r>
      <w:r>
        <w:rPr>
          <w:rtl w:val="true"/>
        </w:rPr>
        <w:t xml:space="preserve">. </w:t>
      </w:r>
      <w:r>
        <w:rPr>
          <w:rtl w:val="true"/>
        </w:rPr>
        <w:t xml:space="preserve">نگاهي به كتاب </w:t>
      </w:r>
      <w:r>
        <w:rPr>
          <w:rtl w:val="true"/>
        </w:rPr>
        <w:t>«</w:t>
      </w:r>
      <w:r>
        <w:rPr>
          <w:rtl w:val="true"/>
        </w:rPr>
        <w:t>نقض</w:t>
      </w:r>
      <w:r>
        <w:rPr>
          <w:rtl w:val="true"/>
        </w:rPr>
        <w:t xml:space="preserve">» </w:t>
      </w:r>
      <w:r>
        <w:rPr>
          <w:rtl w:val="true"/>
        </w:rPr>
        <w:t>عبد الجليل رازي</w:t>
      </w:r>
      <w:bookmarkEnd w:id="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نگاهي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رازيآية اللّه رضا استاديكتاب نقض با اين كه كتابي كلامي شناخته مي‌شود كه در ردّ كتاب بعض فضائح الروافض نگاشته شده است، پُر است از نكات تاريخي، جغرافيايي،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استخراج و بررسي آنها مي‌تواند بسيار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بر آن بوده است كه از لابه‌لاي كتاب نقض، برخي نكات را كه مفيد و ارزشمند تشخيص مي‌دهد، بيرون بكشد و آنها را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تأليف نقض؛ ترك پاسخگويي عجولانه؛ مقابله به مثل با معاندان و متعصّبان؛ شفاف‌سازي عقايد جريان؛ اختلاف با محدّثان؛ رعايت خطّ قرمزها؛ فضائح پنج‌گانه روافض از ديد نويسنده سنّي؛ احترام به اهل سنّت؛ شهرهاي شيعه‌نشين و سنّي‌نشين؛ برخي نكات تاريخي، جغرافيايي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نويسنده، مطالب سودمند و تازه‌اي در كتاب نقض وجود دارند كه بسياري از آنها جز در اين اثر، در جاي ديگر بيان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عبد الجليل رازي، آداب مناظره، جغرافياي تاريخي، كلام شيعه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37_12007"/>
    </w:p>
    <w:p>
      <w:pPr>
        <w:pStyle w:val="Heading3"/>
        <w:numPr>
          <w:ilvl w:val="2"/>
          <w:numId w:val="1"/>
        </w:numPr>
        <w:rPr/>
      </w:pPr>
      <w:bookmarkStart w:id="44" w:name="__RefHeading___Toc147735_3804643083"/>
      <w:bookmarkStart w:id="45" w:name="_Toc17"/>
      <w:bookmarkEnd w:id="43"/>
      <w:bookmarkEnd w:id="44"/>
      <w:r>
        <w:rPr/>
        <w:t>۲</w:t>
      </w:r>
      <w:r>
        <w:rPr>
          <w:rtl w:val="true"/>
        </w:rPr>
        <w:t xml:space="preserve">. </w:t>
      </w:r>
      <w:r>
        <w:rPr>
          <w:rtl w:val="true"/>
        </w:rPr>
        <w:t xml:space="preserve">بن‌مايه‌هاي قرآني عبد الجليل رازي در </w:t>
      </w:r>
      <w:r>
        <w:rPr>
          <w:rtl w:val="true"/>
        </w:rPr>
        <w:t>«</w:t>
      </w:r>
      <w:r>
        <w:rPr>
          <w:rtl w:val="true"/>
        </w:rPr>
        <w:t>نقض</w:t>
      </w:r>
      <w:r>
        <w:rPr>
          <w:rtl w:val="true"/>
        </w:rPr>
        <w:t>»</w:t>
      </w:r>
      <w:bookmarkEnd w:id="4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بن‌مايه‌هاي قرآني عبد الجليل رازي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علي راد</w:t>
      </w:r>
      <w:r>
        <w:rPr>
          <w:rStyle w:val="FootnoteAnchor"/>
          <w:rtl w:val="true"/>
        </w:rPr>
        <w:footnoteReference w:id="4"/>
      </w:r>
      <w:r>
        <w:rPr>
          <w:rFonts w:ascii="IRNazanin" w:hAnsi="IRNazanin" w:eastAsia="IRNazanin"/>
          <w:color w:val="111111"/>
          <w:sz w:val="28"/>
          <w:sz w:val="28"/>
          <w:szCs w:val="28"/>
          <w:rtl w:val="true"/>
          <w:lang w:bidi="fa-IR"/>
        </w:rPr>
        <w:t>كتابِ نقض عبد الجليل رازي، هر چند كتابي كلامي با رويكرد جدلي است، ليكن قرآن، حضور جدّي‌اي در مباحث آن دارد و نزديك به سيصد آيه، در آن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رازي از اين آيات، در ردّ و ابطال ديدگاه مخالف، يا تثبيت آراي خودش بهره جسته و با روش اجتهادي ـ كلامي، تلويحا تفسيري كلامي از معارف اعتقادي قرآن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رازي، آگاهي‌هاي خوبي از دانش تفسير داشته و مطابق با مباني تفسيري اماميه، اصول و قواعد خاص دانش تفسير، به بررسي آيات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قرآن‌شناختي، آراي علوم قرآني، روش‌شناسي تفسيري، ديدگاه‌هاي تفسيري و تأويلي رازي، و آموزه‌هاي قرآني ـ كلامي نقض، از محورهاي اصلي اين پژوهه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رازي، نقض، قرآن، تفسير، تأويل، مباني، روش، آرا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37_12009"/>
    </w:p>
    <w:p>
      <w:pPr>
        <w:pStyle w:val="Heading3"/>
        <w:numPr>
          <w:ilvl w:val="2"/>
          <w:numId w:val="1"/>
        </w:numPr>
        <w:rPr/>
      </w:pPr>
      <w:bookmarkStart w:id="47" w:name="__RefHeading___Toc147737_3804643083"/>
      <w:bookmarkStart w:id="48" w:name="_Toc18"/>
      <w:bookmarkEnd w:id="46"/>
      <w:bookmarkEnd w:id="47"/>
      <w:r>
        <w:rPr/>
        <w:t>۳</w:t>
      </w:r>
      <w:r>
        <w:rPr>
          <w:rtl w:val="true"/>
        </w:rPr>
        <w:t xml:space="preserve">. </w:t>
      </w:r>
      <w:r>
        <w:rPr>
          <w:rtl w:val="true"/>
        </w:rPr>
        <w:t xml:space="preserve">نگاه تأويلي به آيات قرآن در </w:t>
      </w:r>
      <w:r>
        <w:rPr>
          <w:rtl w:val="true"/>
        </w:rPr>
        <w:t>«</w:t>
      </w:r>
      <w:r>
        <w:rPr>
          <w:rtl w:val="true"/>
        </w:rPr>
        <w:t>نقض</w:t>
      </w:r>
      <w:r>
        <w:rPr>
          <w:rtl w:val="true"/>
        </w:rPr>
        <w:t>»</w:t>
      </w:r>
      <w:bookmarkEnd w:id="4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نگاه تأويلي به آيات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محمّدرضا موحّدي </w:t>
      </w:r>
      <w:r>
        <w:rPr>
          <w:rStyle w:val="FootnoteAnchor"/>
          <w:rtl w:val="true"/>
        </w:rPr>
        <w:footnoteReference w:id="5"/>
      </w:r>
      <w:r>
        <w:rPr>
          <w:rFonts w:ascii="IRNazanin" w:hAnsi="IRNazanin" w:eastAsia="IRNazanin"/>
          <w:color w:val="111111"/>
          <w:sz w:val="28"/>
          <w:sz w:val="28"/>
          <w:szCs w:val="28"/>
          <w:rtl w:val="true"/>
          <w:lang w:bidi="fa-IR"/>
        </w:rPr>
        <w:t>شيوه بهره‌گيري از تأويل آيات قرآني در كتاب نقض، اساسي‌ترين دغدغه مقاله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پس از توضيحي مختصر در باره تفاوت تفسير و تأويل، مطلبي به اختصار در باب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تنوّع معاني آن در نقض،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بررسي نمونه‌هاي برجسته از تأويل آيات قرآني در نقض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اعظم كاربرد آيات قرآني در نقض، پس از استشهادهاي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لغوي، فقهي، تاريخي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تطبيق‌هاي كلامي و از آن مهم‌تر، برداشت‌هاي تأويلي، اختصاص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تأويل‌ها گاه در سياق ردّيّه بر اتهام‌ها و افتراهاي حريف بوده و في المثل در ردّ اين تأويل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و فاطمه عليها السلام بوده باشند، سخن از چنين تأويلي به ميان آمده و گاه اين تأويلات در سياق پذيرش، اثبات يا تأييد عقيده مؤلّفْ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بخشي از تأويل‌هاي به كار گرفته شده در نقض، مي‌تواند خواننده را به اين نتيجه نزديك سازد كه ميزان كاربرد برداشت‌هاي تأويلي نسبت به مباحث تفسيري، تا چه ميزان پُرتأثير و جريان‌ساز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را حتّي مي‌توان در برخي تأويلات باز بسته به شيعه كه از زبان خصم بيرون مي‌تراود، واكاوي كرد و از آن طريق، مجالي را كه زمينه‌سازِ چنان اتّهاماتي شده،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با شناخت اين گُسل‌هاست كه گام‌هاي نخست در آسيب‌شناسي فرقه‌هاي آغازين اسلامي، برداشته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قرآن، انديشه‌هاي كلامي، تفسير، كتاب نقض، عبد الجليل رازي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2137_12013"/>
    </w:p>
    <w:p>
      <w:pPr>
        <w:pStyle w:val="Heading3"/>
        <w:numPr>
          <w:ilvl w:val="2"/>
          <w:numId w:val="1"/>
        </w:numPr>
        <w:rPr/>
      </w:pPr>
      <w:bookmarkStart w:id="50" w:name="__RefHeading___Toc147739_3804643083"/>
      <w:bookmarkStart w:id="51" w:name="_Toc19"/>
      <w:bookmarkEnd w:id="49"/>
      <w:bookmarkEnd w:id="50"/>
      <w:r>
        <w:rPr/>
        <w:t>۴</w:t>
      </w:r>
      <w:r>
        <w:rPr>
          <w:rtl w:val="true"/>
        </w:rPr>
        <w:t xml:space="preserve">. </w:t>
      </w:r>
      <w:r>
        <w:rPr>
          <w:rtl w:val="true"/>
        </w:rPr>
        <w:t>بازشناسي مباني و عملكرد حديثي عبد الجليل رازي</w:t>
      </w:r>
      <w:r>
        <w:rPr>
          <w:rtl w:val="true"/>
        </w:rPr>
        <w:t>...</w:t>
      </w:r>
      <w:bookmarkEnd w:id="5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بازشناسي مباني و عملكرد حديثي عبد الجليل رازي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محمّدمهدي احساني‌فر </w:t>
      </w:r>
      <w:r>
        <w:rPr>
          <w:rStyle w:val="FootnoteAnchor"/>
          <w:rtl w:val="true"/>
        </w:rPr>
        <w:footnoteReference w:id="6"/>
      </w:r>
      <w:r>
        <w:rPr>
          <w:rFonts w:ascii="IRNazanin" w:hAnsi="IRNazanin" w:eastAsia="IRNazanin"/>
          <w:color w:val="111111"/>
          <w:sz w:val="28"/>
          <w:sz w:val="28"/>
          <w:szCs w:val="28"/>
          <w:rtl w:val="true"/>
          <w:lang w:bidi="fa-IR"/>
        </w:rPr>
        <w:t xml:space="preserve">عبد الجليل قزويني رازي متكلّم شيعي، كتاب نقض يا همان بعض مثالب النواصب في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نيمه دوم قرن ششم هجري نگاشت و در آن به برخي از شبهات اهل سنّت زمان خود در باره شيعه،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دويست و هفتاد آيه قرآن و بيشتر از صد و هشتاد حديث را بُن‌مايه مناظرات خود قرار داد و آنها را در مجموعه پانصد صفحه‌اي كتابش به بررسي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ابتدا شناخت‌نامه‌اي كوتاه از عبد الجليل و كتاب وي مي‌آيد؛ سپس مباني حديثي او ـ كه در زمره اصوليان است ـ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دراية الحديث در كتاب نقض در همين بخش آمده و روشن مي‌شود كه سابقه قواعد الحديث و مصطلحات حديثي در شيعه به پيش از شهيد ثاني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روش و مباني فقه الحديثي و نقد الحديثي مؤلّف ـ كه نشان‌دهنده روشمندي محدّثان متقدّم در فهم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حديث است ـ ، شناسايي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شناس‌نامه‌اي از تفكر حديثي عبد الجليل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يافته‌هاي اين مقاله از عملكرد حديثي عبد الجليل استخراج شده و اندك گفتارهاي حديثي او نيز مورد بهره‌برداري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قزويني رازي، نقض، مناظرات فريقين، كلام و عقايد، علوم حديث، روش‌شناسي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137_12017"/>
    </w:p>
    <w:p>
      <w:pPr>
        <w:pStyle w:val="Heading3"/>
        <w:numPr>
          <w:ilvl w:val="2"/>
          <w:numId w:val="1"/>
        </w:numPr>
        <w:rPr/>
      </w:pPr>
      <w:bookmarkStart w:id="53" w:name="__RefHeading___Toc147741_3804643083"/>
      <w:bookmarkStart w:id="54" w:name="_Toc20"/>
      <w:bookmarkEnd w:id="52"/>
      <w:bookmarkEnd w:id="53"/>
      <w:r>
        <w:rPr/>
        <w:t>۵</w:t>
      </w:r>
      <w:r>
        <w:rPr>
          <w:rtl w:val="true"/>
        </w:rPr>
        <w:t xml:space="preserve">. </w:t>
      </w:r>
      <w:r>
        <w:rPr>
          <w:rtl w:val="true"/>
        </w:rPr>
        <w:t>معرفت خدا، توحيد و اسما و صفات از ديدگاه</w:t>
      </w:r>
      <w:r>
        <w:rPr>
          <w:rtl w:val="true"/>
        </w:rPr>
        <w:t>...</w:t>
      </w:r>
      <w:bookmarkEnd w:id="5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معرفت خدا، توحيد و اسما و صفات از ديدگاه مرحوم عبدالجليل قزوينيمحمّد بياباني اسكويي </w:t>
      </w:r>
      <w:r>
        <w:rPr>
          <w:rStyle w:val="FootnoteAnchor"/>
          <w:rtl w:val="true"/>
        </w:rPr>
        <w:footnoteReference w:id="7"/>
      </w:r>
      <w:r>
        <w:rPr>
          <w:rFonts w:ascii="IRNazanin" w:hAnsi="IRNazanin" w:eastAsia="IRNazanin"/>
          <w:color w:val="111111"/>
          <w:sz w:val="28"/>
          <w:sz w:val="28"/>
          <w:szCs w:val="28"/>
          <w:rtl w:val="true"/>
          <w:lang w:bidi="fa-IR"/>
        </w:rPr>
        <w:t>انسان، آن گاه كه به خداي خويش، به حقيقت معرفت توجّه مي‌كند، خود را مخلوق و مملوك و محتاج به تمام ذات او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عبوديت و بندگي او را بالاترين كمال خويش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راه رسيدن به حقيقت معرفت خدا از نظر عبد الجليل قزويني رازي و ديگر عالمان شيعي و نيز از منظر آيات قرآن و روايات اهل بيت عليهم السلام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خداي تعالي و اسما و صفات الهي، بخش‌هاي ديگر اين تحقيق را به خود اختصاص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توحيد، اقسام توحيد، اسما و صفات، عبد الجليل قزويني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137_12019"/>
    </w:p>
    <w:p>
      <w:pPr>
        <w:pStyle w:val="Heading3"/>
        <w:numPr>
          <w:ilvl w:val="2"/>
          <w:numId w:val="1"/>
        </w:numPr>
        <w:rPr/>
      </w:pPr>
      <w:bookmarkStart w:id="56" w:name="__RefHeading___Toc147743_3804643083"/>
      <w:bookmarkStart w:id="57" w:name="_Toc21"/>
      <w:bookmarkEnd w:id="55"/>
      <w:bookmarkEnd w:id="56"/>
      <w:r>
        <w:rPr/>
        <w:t>۶</w:t>
      </w:r>
      <w:r>
        <w:rPr>
          <w:rtl w:val="true"/>
        </w:rPr>
        <w:t xml:space="preserve">. </w:t>
      </w:r>
      <w:r>
        <w:rPr>
          <w:rtl w:val="true"/>
        </w:rPr>
        <w:t>مفهوم امامت و ويژگي‌هاي امامان عليهم السلام از نظر عبد الجليل رازي</w:t>
      </w:r>
      <w:bookmarkEnd w:id="5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مفهوم امامت و ويژگي‌هاي امامان عليهم السلام از نظر عبد الجليل رازياصغر غلامي </w:t>
      </w:r>
      <w:r>
        <w:rPr>
          <w:rStyle w:val="FootnoteAnchor"/>
          <w:rtl w:val="true"/>
        </w:rPr>
        <w:footnoteReference w:id="8"/>
      </w:r>
      <w:r>
        <w:rPr>
          <w:rFonts w:ascii="IRNazanin" w:hAnsi="IRNazanin" w:eastAsia="IRNazanin"/>
          <w:color w:val="111111"/>
          <w:sz w:val="28"/>
          <w:sz w:val="28"/>
          <w:szCs w:val="28"/>
          <w:rtl w:val="true"/>
          <w:lang w:bidi="fa-IR"/>
        </w:rPr>
        <w:t>امامت، منصبي الهي است و امام، وظيفه هدايت خلق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الهي براي انجام دادن اين مسئوليت مهم بايد ويژگي‌هايي متناسب با مقام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مقاله به بررسي ويژگي‌هاي امامان الهي از نظر عبد الجليل رازي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ويژگي‌ها، پس از بررسي اجمالي آن از منظر عقل، قرآن و روايات اهل بيت عليهم السلام ، نظر نويسنده كتاب نقض و نقدهاي وي بر كلام نويسنده بعض فضائح الروافض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 يا شرايط لازم امامت از نظر عبد الجليل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امام را مفترض الطاعة مي‌داند و جاري شدن معجزه به دست او را ممكن و گاه واجب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پس از اشاره به اهميت موضوع و پيشينه بحث،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زير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حقيقت امامت، راه تعيين امام و بررسي نظر عبد الجليل رازي در باره علم، عصمت، منصوص بودن و امكان جاري شدن معجزه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علم الهي، عصمت، نص، معجزه، و عبد الجليل رازي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137_12024"/>
    </w:p>
    <w:p>
      <w:pPr>
        <w:pStyle w:val="Heading3"/>
        <w:numPr>
          <w:ilvl w:val="2"/>
          <w:numId w:val="1"/>
        </w:numPr>
        <w:rPr/>
      </w:pPr>
      <w:bookmarkStart w:id="59" w:name="__RefHeading___Toc147745_3804643083"/>
      <w:bookmarkStart w:id="60" w:name="_Toc22"/>
      <w:bookmarkEnd w:id="58"/>
      <w:bookmarkEnd w:id="59"/>
      <w:r>
        <w:rPr/>
        <w:t>۷</w:t>
      </w:r>
      <w:r>
        <w:rPr>
          <w:rtl w:val="true"/>
        </w:rPr>
        <w:t xml:space="preserve">. </w:t>
      </w:r>
      <w:r>
        <w:rPr>
          <w:rtl w:val="true"/>
        </w:rPr>
        <w:t>مواجهه متكلّمان امامي با فلسفه در سدة ششم هجري</w:t>
      </w:r>
      <w:bookmarkEnd w:id="60"/>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مواجهه متكلّمان امامي با فلسفه در سدة ششم هجريدكتر علي‌نقي خداياري </w:t>
      </w:r>
      <w:r>
        <w:rPr>
          <w:rStyle w:val="FootnoteAnchor"/>
          <w:rtl w:val="true"/>
        </w:rPr>
        <w:footnoteReference w:id="9"/>
      </w:r>
      <w:r>
        <w:rPr>
          <w:rFonts w:ascii="IRNazanin" w:hAnsi="IRNazanin" w:eastAsia="IRNazanin"/>
          <w:color w:val="111111"/>
          <w:sz w:val="28"/>
          <w:sz w:val="28"/>
          <w:szCs w:val="28"/>
          <w:rtl w:val="true"/>
          <w:lang w:bidi="fa-IR"/>
        </w:rPr>
        <w:t>يكي از مباحث درخور مطالعه در ساحت تاريخ كلام اماميه، شيوه مواجهه و تعامل متكلّمان امامي با فلسفه و آموزه‌هاي فلسفي در دوره‌هاي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مطالعه حاضر، در سده ششم هجري، مواجهه اماميان با فلسفه، بر دو گونه رويارويي مثبت، و رويارويي منفي و انتقادي،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مواجهه مثبت، گونه‌هايي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مباني و آموزه‌هاي فلسفي در اثبات مسائل كلامي، پذيرش برخي آموزه‌هاي فلسفي مغاير آموزه‌هاي كلامي، تاريخ‌نگاري فلسفي، نقل سخنان فيلسوفان در متون اخلاقي، مناقب نگاشته‌ها و تفاسير قرآن كريم، قابل شناسايي‌اند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منفي با فلسفه و آموزه‌هاي فلسفي نيز در سه شكل نقد عمومي، ردّيه‌نگاري و نقد مباني و آموزه‌هاي فلسفي، صورت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 اختلافي و مورد نقد متكلّمان امامي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فاعليت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ديرينگي جهان، فلسفه آفرينش، حقيقت انسان، معاد، قول به طبايع، معجزه و راه شناخت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مواجهه مثبت با فلسفه، نمودي ندارد و رويكرد نويسنده به فلسفه و آموزه‌هاي فلسفي، سراسر منفي و انتقادي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اماميه، فلسفه، مواجهه مثبت، مواجهه منفي، رديه‌نگاري، سده ششم، عبد الجليل رازي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2137_12028"/>
    </w:p>
    <w:p>
      <w:pPr>
        <w:pStyle w:val="Heading3"/>
        <w:numPr>
          <w:ilvl w:val="2"/>
          <w:numId w:val="1"/>
        </w:numPr>
        <w:rPr/>
      </w:pPr>
      <w:bookmarkStart w:id="62" w:name="__RefHeading___Toc147747_3804643083"/>
      <w:bookmarkStart w:id="63" w:name="_Toc23"/>
      <w:bookmarkEnd w:id="61"/>
      <w:bookmarkEnd w:id="62"/>
      <w:r>
        <w:rPr/>
        <w:t>۸</w:t>
      </w:r>
      <w:r>
        <w:rPr>
          <w:rtl w:val="true"/>
        </w:rPr>
        <w:t xml:space="preserve">. </w:t>
      </w:r>
      <w:r>
        <w:rPr>
          <w:rtl w:val="true"/>
        </w:rPr>
        <w:t>ويژگي‌هاي شيعة اصولي در نگاه عبد الجليل قزويني</w:t>
      </w:r>
      <w:bookmarkEnd w:id="6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ويژگي‌هاي شيعة اصولي در نگاه عبد الجليل قزوينيقاسم 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جوادي</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كتاب نقض، تنها اثر به جاي مانده از عبد الجليل قزويني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شيعي قرن ششم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داراي اطلاعات منحصر به فردي از تاريخ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و ما قبل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فرقه‌هاي گوناگون شيعي، جغرافياي تشيّع در ايران و كشورهاي ديگر، انديشه‌هاي شيعي و غير شيعي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نوشتار، سعي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ويژگي‌هاي شيعه اصولي در نگاه عبد الجليل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قزويني در كتاب نقض آورده، كلاًّ از ناحيه شيعه اصوليه است؛ امّا در اين جا تنها به مواردي پرداخته شده كه صراحتاً به عنوان عقيده شيعه اصوليه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يا در عبارات ديگر، قرينه‌اي وجود داشته كه منظور از آن، همان شيعه اصوليه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مباحث مربوط به ويژگي‌هاي شيعه اصولي در نقض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صورتي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ترتيبي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شده‌اند، با اين حال، در اين مقاله، به اين ويژگي‌ها، ترتيب خاصي بخشيده شده و براي هر موضوع، سخن نويسنده بعض فضائح الروافض و به دنبال آن، پاسخ عبد الجليل قزويني از كتاب نقض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 شيعه اصوليه، شيعيان اصولي، شيعه اماميه اصوليه، نقض، بعض فضائح الروافض</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137_12032"/>
    </w:p>
    <w:p>
      <w:pPr>
        <w:pStyle w:val="Heading3"/>
        <w:numPr>
          <w:ilvl w:val="2"/>
          <w:numId w:val="1"/>
        </w:numPr>
        <w:rPr/>
      </w:pPr>
      <w:bookmarkStart w:id="65" w:name="__RefHeading___Toc147749_3804643083"/>
      <w:bookmarkStart w:id="66" w:name="_Toc24"/>
      <w:bookmarkEnd w:id="64"/>
      <w:bookmarkEnd w:id="65"/>
      <w:r>
        <w:rPr/>
        <w:t>۹</w:t>
      </w:r>
      <w:r>
        <w:rPr>
          <w:rtl w:val="true"/>
        </w:rPr>
        <w:t xml:space="preserve">. </w:t>
      </w:r>
      <w:r>
        <w:rPr>
          <w:rtl w:val="true"/>
        </w:rPr>
        <w:t xml:space="preserve">جايگاه اصطلاح </w:t>
      </w:r>
      <w:r>
        <w:rPr>
          <w:rtl w:val="true"/>
        </w:rPr>
        <w:t>«</w:t>
      </w:r>
      <w:r>
        <w:rPr>
          <w:rtl w:val="true"/>
        </w:rPr>
        <w:t>شيعة اصوليّه</w:t>
      </w:r>
      <w:r>
        <w:rPr>
          <w:rtl w:val="true"/>
        </w:rPr>
        <w:t xml:space="preserve">» </w:t>
      </w:r>
      <w:r>
        <w:rPr>
          <w:rtl w:val="true"/>
        </w:rPr>
        <w:t>در گفتمان كلامي</w:t>
      </w:r>
      <w:r>
        <w:rPr>
          <w:rtl w:val="true"/>
        </w:rPr>
        <w:t>...</w:t>
      </w:r>
      <w:bookmarkEnd w:id="6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جايگاه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كلامي عبدالجليل قزويني رازيسيّد محمّدهادي گرامي </w:t>
      </w:r>
      <w:r>
        <w:rPr>
          <w:rStyle w:val="FootnoteAnchor"/>
          <w:rtl w:val="true"/>
        </w:rPr>
        <w:footnoteReference w:id="11"/>
      </w:r>
      <w:r>
        <w:rPr>
          <w:rFonts w:ascii="IRNazanin" w:hAnsi="IRNazanin" w:eastAsia="IRNazanin"/>
          <w:color w:val="111111"/>
          <w:sz w:val="28"/>
          <w:sz w:val="28"/>
          <w:szCs w:val="28"/>
          <w:rtl w:val="true"/>
          <w:lang w:bidi="fa-IR"/>
        </w:rPr>
        <w:t>تقابل اخباريان و اصوليان از سده يازده هجري و هم‌زمان با فعّاليت‌هاي ملاّ محمّدامين استرآبادي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كاربرد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به شكل محدودتري در سده‌هاي پيشين نيز پيجويي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عبد الجليل قزويني رازي، از معدودترين آثار امامي در سده‌هاي ميانه است كه در آنها تقابل ميان اصوليّه و اخباريّه، به شكل نسبتاً خوبي انعكاس يافته است و به طور خاص، در موارد متعدّدي از گروهي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خوانش اوليّه، به نظر مي‌رسد كه تقابل مطرح شده در كتاب نقض، به اصحاب حديث قم و اماميان متمايل به مكتب متكلّمان بغداد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با ردّ اين خوانش و يك فرضيّه ديگر، در نهايت نشان خواهد كه كاربرد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كلامي عبد الجليل قزويني رازي، ماهيّتي كاملاً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راهبردي </w:t>
      </w:r>
      <w:r>
        <w:rPr>
          <w:rStyle w:val="FootnoteAnchor"/>
          <w:rtl w:val="true"/>
        </w:rPr>
        <w:footnoteReference w:id="1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ظاهر، عبد الجليل از جريان‌هاي امامي همچون اصوليّه و اخباريّه، ياد مي‌كند، امّا عدم تطبيق اطلاعات موجود در كتاب، با شخصيّت‌هاي شناخته شده اين جريان‌ها، نشان مي‌دهد كه مطرح كردن جرياني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خبر دادن از تقابل آنها با اخباريّه، صرفاً راهبردي براي بازيابي جايگاه اجتماعي اماميّه در عصر عبد الجليل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اصوليّه، شيعه اخباريّه، نقض، عبد الجليل قزويني، سده ششم، راهبرد، گفتمان كلامي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137_12037"/>
    </w:p>
    <w:p>
      <w:pPr>
        <w:pStyle w:val="Heading3"/>
        <w:numPr>
          <w:ilvl w:val="2"/>
          <w:numId w:val="1"/>
        </w:numPr>
        <w:rPr/>
      </w:pPr>
      <w:bookmarkStart w:id="68" w:name="__RefHeading___Toc147751_3804643083"/>
      <w:bookmarkStart w:id="69" w:name="_Toc25"/>
      <w:bookmarkEnd w:id="67"/>
      <w:bookmarkEnd w:id="68"/>
      <w:r>
        <w:rPr/>
        <w:t>۱۰</w:t>
      </w:r>
      <w:r>
        <w:rPr>
          <w:rtl w:val="true"/>
        </w:rPr>
        <w:t xml:space="preserve">. </w:t>
      </w:r>
      <w:r>
        <w:rPr>
          <w:rtl w:val="true"/>
        </w:rPr>
        <w:t xml:space="preserve">دفاع از اماميه و برائت از اسماعيليه در كتاب </w:t>
      </w:r>
      <w:r>
        <w:rPr>
          <w:rtl w:val="true"/>
        </w:rPr>
        <w:t>«</w:t>
      </w:r>
      <w:r>
        <w:rPr>
          <w:rtl w:val="true"/>
        </w:rPr>
        <w:t>نقض</w:t>
      </w:r>
      <w:r>
        <w:rPr>
          <w:rtl w:val="true"/>
        </w:rPr>
        <w:t>»</w:t>
      </w:r>
      <w:bookmarkEnd w:id="6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دفاع از اماميه و برائت از اسماعيليه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رسول رضوي </w:t>
      </w:r>
      <w:r>
        <w:rPr>
          <w:rStyle w:val="FootnoteAnchor"/>
          <w:rtl w:val="true"/>
        </w:rPr>
        <w:footnoteReference w:id="13"/>
      </w:r>
      <w:r>
        <w:rPr>
          <w:rFonts w:ascii="IRNazanin" w:hAnsi="IRNazanin" w:eastAsia="IRNazanin"/>
          <w:color w:val="111111"/>
          <w:sz w:val="28"/>
          <w:sz w:val="28"/>
          <w:szCs w:val="28"/>
          <w:rtl w:val="true"/>
          <w:lang w:bidi="fa-IR"/>
        </w:rPr>
        <w:t>در عصري كه عبد الجليل رازي، كتاب نقض را مي‌نگاشت، ممالك اسلامي، بين دو خلافت غربي فاطمي و شرقي عبّاسي،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خلافت، با استفاده از ابزار سياست، فرهنگ، دين، مذهب و هر مستمسك ديگري، سعي داشتند تا مخالفان خود را از ميان بردارند و سرتاسر ممالك اسلامي را تحت نفوذ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پيروان اهل بيت عليهم السلام يعني شيعيان اماميه ـ كه بعد از برافتادن آل بويه و حمدانيان، پناه سياسي و نظامي خود را از دست داده بودند ـ ، بايد فشارهاي هر دو طرف را تحمّل مي‌كردند و در عين حال، به دفاع از مكتب خود مي‌پرداختند؛ چرا كه عبّاسيان، آنان را به اتّهام قرمطي و اسماعيلي بودن مي‌كشتند و نزاريان و قرمطيان، به اتّهام تقيّه و همراهي با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اوضاع و احوالي، نقش علماي اماميه، حياتي و تعيين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علاوه بر تبيين اصول و فروع مكتب اهل بيت عليهم السلام بايد از اتّهام‌هاي وارده از سوي مخالفان، برائت مي‌جستند و از گرايش ضعفا به مكاتب مخالف يا ورود آراي مخالفان در ميان شيعيان اماميه، جلوگيري مي‌كردند و اين همان كار يا شاه‌كاري است كه عبد الجليل رازي در كتاب بعض مثالب النواصب في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نقض، انجام داده و به زيبايي از عهده آن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در دفاع از اماميه، تبييني دقيق و شفّاف از عقايد و احكام مكتب اهل بيت عليهم السلام ارائه مي‌دهد و مرز بين اماميه و اسماعيليان نزاري، مستعلوي و قرمطي را مشخص مي‌كند و در عين دفاع، حمله را نيز فراموش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سعي مي‌كند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 جدا كند و سپس آراي ظاهرگرايان را مخالف منافع و مقاصد خلافت عبّاسي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ملحد، قرمطي، صباحيان، اماميه، باطنيه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137_12042"/>
    </w:p>
    <w:p>
      <w:pPr>
        <w:pStyle w:val="Heading3"/>
        <w:numPr>
          <w:ilvl w:val="2"/>
          <w:numId w:val="1"/>
        </w:numPr>
        <w:rPr/>
      </w:pPr>
      <w:bookmarkStart w:id="71" w:name="__RefHeading___Toc147753_3804643083"/>
      <w:bookmarkStart w:id="72" w:name="_Toc26"/>
      <w:bookmarkEnd w:id="70"/>
      <w:bookmarkEnd w:id="71"/>
      <w:r>
        <w:rPr/>
        <w:t>۱۱</w:t>
      </w:r>
      <w:r>
        <w:rPr>
          <w:rtl w:val="true"/>
        </w:rPr>
        <w:t xml:space="preserve">. </w:t>
      </w:r>
      <w:r>
        <w:rPr>
          <w:rtl w:val="true"/>
        </w:rPr>
        <w:t xml:space="preserve">تشيّع و تصوّف در كتاب </w:t>
      </w:r>
      <w:r>
        <w:rPr>
          <w:rtl w:val="true"/>
        </w:rPr>
        <w:t>«</w:t>
      </w:r>
      <w:r>
        <w:rPr>
          <w:rtl w:val="true"/>
        </w:rPr>
        <w:t>نقض</w:t>
      </w:r>
      <w:r>
        <w:rPr>
          <w:rtl w:val="true"/>
        </w:rPr>
        <w:t>»</w:t>
      </w:r>
      <w:bookmarkEnd w:id="7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تشيّع و تصوّف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هاشميكتاب نقض، در قرن ششم به منظور پاسخ دادن به شبهاتي عليه شيعيان، توسط شيخ عبد الجليل قزويني نگاشته شده و عقايد شيعه و اوضاع جامعه شيعي آن عصر، در آن، منعكس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بررسي رابطه تشيّع و تصوّف از نظرگاه كتاب،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 شيعه واقعي را كسي مي‌داند كه به امامت و خلافت بلافصل ائمّه عليهم السلام بعد از پيامبر صلي الله عليه و آله معتقد است و صحابه را انسان‌هاي محترم مي‌شمارد و در اعتقاد خود اعتدال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متصوّفه حقيقي را افراد شايسته‌اي مي‌داند كه به بسياري از باورهاي شيعيانْ معتقد هستند؛ چرا كه آنها را عدلي‌مذهب و مثبتان توحيد و به دور از جبر و تشبيه و عقايد باطل و دوستدار ائمّه عليهم السلام دانسته و از آنها كراماتي نقل كرده و دليل بر فضيلت ايشان مي‌داند و حتّي بر اين باور است كه برخي از آنها شيعه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اگرچه خاستگاه اصلي تصوّف، اهل سنّت است، ولي متصوّفه حقيقي، به خاطر صفاي باطن و رسيدن به بسياري از حقايق، به مذهب حقّه، بسيار نزديك شده‌اند و شيعيان، آنان را دوست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ارتباط تنگاتنگي ميان تشيّع و تصوّف وجود دارد؛ اگرچه در مقابل، به صوفي دروغين هم اشاره كرده و آنان را به طور كلّي از سنّت پيامبر صلي الله عليه و آله به دور مي‌داند كه هيچ ارتباطي با تشيّع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متصوّفه، شيعه، رافضي، زاهد و عابد، طريقت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2137_12046"/>
    </w:p>
    <w:p>
      <w:pPr>
        <w:pStyle w:val="Heading3"/>
        <w:numPr>
          <w:ilvl w:val="2"/>
          <w:numId w:val="1"/>
        </w:numPr>
        <w:rPr/>
      </w:pPr>
      <w:bookmarkStart w:id="74" w:name="__RefHeading___Toc147755_3804643083"/>
      <w:bookmarkStart w:id="75" w:name="_Toc27"/>
      <w:bookmarkEnd w:id="73"/>
      <w:bookmarkEnd w:id="74"/>
      <w:r>
        <w:rPr/>
        <w:t>۱۲</w:t>
      </w:r>
      <w:r>
        <w:rPr>
          <w:rtl w:val="true"/>
        </w:rPr>
        <w:t xml:space="preserve">. </w:t>
      </w:r>
      <w:r>
        <w:rPr>
          <w:rtl w:val="true"/>
        </w:rPr>
        <w:t xml:space="preserve">كتاب </w:t>
      </w:r>
      <w:r>
        <w:rPr>
          <w:rtl w:val="true"/>
        </w:rPr>
        <w:t>«</w:t>
      </w:r>
      <w:r>
        <w:rPr>
          <w:rtl w:val="true"/>
        </w:rPr>
        <w:t>نقض</w:t>
      </w:r>
      <w:r>
        <w:rPr>
          <w:rtl w:val="true"/>
        </w:rPr>
        <w:t xml:space="preserve">» </w:t>
      </w:r>
      <w:r>
        <w:rPr>
          <w:rtl w:val="true"/>
        </w:rPr>
        <w:t>و اعتدال مذهبي</w:t>
      </w:r>
      <w:bookmarkEnd w:id="75"/>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اعتدال مذهبيرضا بابايي </w:t>
      </w:r>
      <w:r>
        <w:rPr>
          <w:rStyle w:val="FootnoteAnchor"/>
          <w:rtl w:val="true"/>
        </w:rPr>
        <w:footnoteReference w:id="14"/>
      </w:r>
      <w:r>
        <w:rPr>
          <w:rFonts w:ascii="IRNazanin" w:hAnsi="IRNazanin" w:eastAsia="IRNazanin"/>
          <w:color w:val="111111"/>
          <w:sz w:val="28"/>
          <w:sz w:val="28"/>
          <w:szCs w:val="28"/>
          <w:rtl w:val="true"/>
          <w:lang w:bidi="fa-IR"/>
        </w:rPr>
        <w:t>پيش رو، اشاراتي است به برخي عبارات كتاب نقض كه بر اعتدال ديني و انديشه اصولي مؤلّف، دلالتي روشن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آشكار مي‌گردد كه اين ميانه‌روي در كتاب، دستاورد تقيه و مماشات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دانشمند نقض، در عين دفاع جانانه از همه مباني شيعه اثناعشري، پاره‌اي از آنچه در روزگار وي از آموزه‌هاي شيعي به شمار مي‌آمد و در سده‌هاي پسين بر شمار آنها افزوده شد، جزء اصول و فروع مذهب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حشويه و غلات را مقصّران اصلي در اين بدعت‌ها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اگرچه در نقد كتابي است كه در زمان او در نقد شيعه به تحرير درآمده بود، آراي غاليان و حشويه را نيز از تيغ نقد خود بي‌نصيب نمي‌گذارد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تصريحات عبد الجليل در جاي‌جاي كتاب، شيوه او در نقد كتاب بعض فضائح الروافض نيز به‌خوبي، مرام اعتدالي او را نشان مي‌دهد كه شايد از همه آشكارتر، احترامي است كه براي همه بزرگان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و مذاهب اسلامي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پاياني نوشتار حاضر، نمونه‌هايي از مواضع اعتدالي او در مواجهه با اصحاب و خلفا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اعتدال مذهبي، بدعت، اصحاب، خلفا، نقض</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137_12050"/>
    </w:p>
    <w:p>
      <w:pPr>
        <w:pStyle w:val="Heading3"/>
        <w:numPr>
          <w:ilvl w:val="2"/>
          <w:numId w:val="1"/>
        </w:numPr>
        <w:rPr/>
      </w:pPr>
      <w:bookmarkStart w:id="77" w:name="__RefHeading___Toc147757_3804643083"/>
      <w:bookmarkStart w:id="78" w:name="_Toc28"/>
      <w:bookmarkEnd w:id="76"/>
      <w:bookmarkEnd w:id="77"/>
      <w:r>
        <w:rPr/>
        <w:t>۱۳</w:t>
      </w:r>
      <w:r>
        <w:rPr>
          <w:rtl w:val="true"/>
        </w:rPr>
        <w:t xml:space="preserve">. </w:t>
      </w:r>
      <w:r>
        <w:rPr>
          <w:rtl w:val="true"/>
        </w:rPr>
        <w:t>گذري بر ابعاد حيات فرهنگي ـ تمدّني شيعيان در تاريخ</w:t>
      </w:r>
      <w:r>
        <w:rPr>
          <w:rtl w:val="true"/>
        </w:rPr>
        <w:t>...</w:t>
      </w:r>
      <w:bookmarkEnd w:id="78"/>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گذري بر ابعاد حيات فرهنگي ـ تمدّني شيعيان در تاريخ اسلام، به روايت عبد الجليل رازي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محمّد باغستاني </w:t>
      </w:r>
      <w:r>
        <w:rPr>
          <w:rStyle w:val="FootnoteAnchor"/>
          <w:rtl w:val="true"/>
        </w:rPr>
        <w:footnoteReference w:id="15"/>
      </w:r>
      <w:r>
        <w:rPr>
          <w:rFonts w:ascii="IRNazanin" w:hAnsi="IRNazanin" w:eastAsia="IRNazanin"/>
          <w:color w:val="111111"/>
          <w:sz w:val="28"/>
          <w:sz w:val="28"/>
          <w:szCs w:val="28"/>
          <w:rtl w:val="true"/>
          <w:lang w:bidi="fa-IR"/>
        </w:rPr>
        <w:t>آنچه در پي مي‌آيد، كوششي است در راه واكاوي متن معروف نقض، نوشته عبد الجليل قزويني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واكاوي، ابعاد گوناگون حيات فرهنگي ـ تمدّني شيعيان در تاريخ اسلام به اجمال بررسي خواهد شد و ارزش‌هاي نهفته در اين متن را در ارائه تصويري از نقش‌هاي گوناگوني كه شيعيان اقليت در درون جامعه اكثريت اهل سنّت بر سيماي فرهنگ و تمدّن اسلامي زده‌اند، نشان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تشيّع، تمدّن اسلامي، فرهنگ، نقض، عبد الجليل رازي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37_12052"/>
    </w:p>
    <w:p>
      <w:pPr>
        <w:pStyle w:val="Heading3"/>
        <w:numPr>
          <w:ilvl w:val="2"/>
          <w:numId w:val="1"/>
        </w:numPr>
        <w:rPr/>
      </w:pPr>
      <w:bookmarkStart w:id="80" w:name="__RefHeading___Toc147759_3804643083"/>
      <w:bookmarkStart w:id="81" w:name="_Toc29"/>
      <w:bookmarkEnd w:id="79"/>
      <w:bookmarkEnd w:id="80"/>
      <w:r>
        <w:rPr/>
        <w:t>۱۴</w:t>
      </w:r>
      <w:r>
        <w:rPr>
          <w:rtl w:val="true"/>
        </w:rPr>
        <w:t xml:space="preserve">. </w:t>
      </w:r>
      <w:r>
        <w:rPr>
          <w:rtl w:val="true"/>
        </w:rPr>
        <w:t>پراكندگي جغرافياي جمعيتي شيعيان اماميه</w:t>
      </w:r>
      <w:r>
        <w:rPr>
          <w:rtl w:val="true"/>
        </w:rPr>
        <w:t>...</w:t>
      </w:r>
      <w:bookmarkEnd w:id="81"/>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پراكندگي جغرافياي جمعيتي شيعيان اماميه بر مبناي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بخشندهبررسي وضعيت سياسي، اجتماعي و فرهنگي شيعيان در قرن پنجم هجري در پرتو كتاب ارزشمند نقض، در تعيين جايگاه سياسي، وضعيت اجتماعي و در نهايت، در به تصوير كشيدن جامعه شيعيان، اهميت به سزايي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نخستين كتاب نقدي است كه مي‌توان آن را نقد تاريخي ـ كلامي تلقّي كرد و چنين نقد تاريخي‌اي به صورت منسجم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گنجينه‌هاي فكري مسلمانان و از متون قديم فارسي است كه فقط چند سالي پس از چهار مقاله عروضي و مقامات حميدي تأليف شده و مشتمل بر مطالب مهم تاريخي، ادبي، كلامي، جغرافيايي، ملل و نحل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نقض، تنها در بازگو كردن امور شرعي و آييني نيست؛ بلكه نويسنده ضمن پاسخگويي و ردّ اتّهامات، نام شهرها و محلّه‌هاي متعدّد شيعه‌نشين در سده‌هاي اوّل هجرت، نام بسياري از علما و خاندان‌هاي پُرنفوذ شيعه و بسياري مسائل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را در باره سهم و نقش شيعه در فرهنگ و تمدّن اسلامي بيان كرده است كه اهميت و ضرورت پرداختن به اين بحث را نشان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نوشتار حاضر بر آن است كه به تأمّل در باب جغرافياي جمعيتي شيعيان پرداخته تا بدين وسيله، به ساختار دروني اجتماع شيعيان پي ببرد و اين‌گونه حضور قابل قبول آنان را در صحنه جامعه تأييد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دوازده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 عشري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جغرافياي جمعيتي، سلجوقيان‌ِ ايران، كتاب نقض</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37_12056"/>
    </w:p>
    <w:p>
      <w:pPr>
        <w:pStyle w:val="Heading3"/>
        <w:numPr>
          <w:ilvl w:val="2"/>
          <w:numId w:val="1"/>
        </w:numPr>
        <w:rPr/>
      </w:pPr>
      <w:bookmarkStart w:id="83" w:name="__RefHeading___Toc147761_3804643083"/>
      <w:bookmarkStart w:id="84" w:name="_Toc30"/>
      <w:bookmarkEnd w:id="82"/>
      <w:bookmarkEnd w:id="83"/>
      <w:r>
        <w:rPr/>
        <w:t>۱۵</w:t>
      </w:r>
      <w:r>
        <w:rPr>
          <w:rtl w:val="true"/>
        </w:rPr>
        <w:t xml:space="preserve">. </w:t>
      </w:r>
      <w:r>
        <w:rPr>
          <w:rtl w:val="true"/>
        </w:rPr>
        <w:t xml:space="preserve">يادكردهاي فرقه‌شناختي عبد الجليل قزويني در كتاب </w:t>
      </w:r>
      <w:r>
        <w:rPr>
          <w:rtl w:val="true"/>
        </w:rPr>
        <w:t>«</w:t>
      </w:r>
      <w:r>
        <w:rPr>
          <w:rtl w:val="true"/>
        </w:rPr>
        <w:t>نقض</w:t>
      </w:r>
      <w:r>
        <w:rPr>
          <w:rtl w:val="true"/>
        </w:rPr>
        <w:t>»</w:t>
      </w:r>
      <w:bookmarkEnd w:id="84"/>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يادكردهاي فرقه‌شناختي عبد الجليل قزويني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احمدي جلفايي </w:t>
      </w:r>
      <w:r>
        <w:rPr>
          <w:rStyle w:val="FootnoteAnchor"/>
          <w:rtl w:val="true"/>
        </w:rPr>
        <w:footnoteReference w:id="16"/>
      </w:r>
      <w:r>
        <w:rPr>
          <w:rFonts w:ascii="IRNazanin" w:hAnsi="IRNazanin" w:eastAsia="IRNazanin"/>
          <w:color w:val="111111"/>
          <w:sz w:val="28"/>
          <w:sz w:val="28"/>
          <w:szCs w:val="28"/>
          <w:rtl w:val="true"/>
          <w:lang w:bidi="fa-IR"/>
        </w:rPr>
        <w:t>يكي از پيش‌نيازهاي مهم در تحكيم اصول عقايد و اعتقادات اسلامي، آشنايي با فرقه‌ها و مذاهب و نحله‌هاي مختلف شكل گرفته در مكتب اسلام و عقايد خاصّ هر كدام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 است كه در اين راستا، كتب و منابع نسبتاً قديمي و نزديك به عصر پيدايش در هر يك از مكاتب و فرقه‌ها ـ كه نقل آنها از وقايع و عقايد پيروانِ فرق و مكاتب، به صورت عَن حسٍّ و شهودي و يا نسبتاً عن حسّ و شهودي است ـ از اهمّيت بسيار ويژه‌اي برخوردار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از كتب و منابع قديمي كه در اين راستا، لازم است مورد استفاده و مراجعه محقّقان اين عرصه قرار بگيرد،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مرحوم عبد الجليل قزويني رازي، از عالمان سده ششم 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كه اصل اين كتاب را به نظر نگارنده، نمي‌توان از جمله آثار قوي و منسجم شيعه به حساب آورد ـ ؛ چرا كه اشتباهات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تناقض‌هاي آشكاري در اين كتاب ديده مي‌شود ـ ، با اين حال، از برخي جهات، اطّلاعات آمده در اين اثر، به جهت قدمتِ آن، حائز اهميّت‌اند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اين پژوهش، به بيان يادكردهاي مصنّف اين كتاب، در باره عقايد خاصّ هر يك از فرقه‌هاي موجود تا آن زمان، پرداخته شده و نكات قابل تأمّل آن، معرفي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مذهب، مكتب، نحله، شيعه، سنّي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37_12061"/>
    </w:p>
    <w:p>
      <w:pPr>
        <w:pStyle w:val="Heading3"/>
        <w:numPr>
          <w:ilvl w:val="2"/>
          <w:numId w:val="1"/>
        </w:numPr>
        <w:rPr/>
      </w:pPr>
      <w:bookmarkStart w:id="86" w:name="__RefHeading___Toc147763_3804643083"/>
      <w:bookmarkStart w:id="87" w:name="_Toc31"/>
      <w:bookmarkEnd w:id="85"/>
      <w:bookmarkEnd w:id="86"/>
      <w:r>
        <w:rPr/>
        <w:t>۱۶</w:t>
      </w:r>
      <w:r>
        <w:rPr>
          <w:rtl w:val="true"/>
        </w:rPr>
        <w:t>. «</w:t>
      </w:r>
      <w:r>
        <w:rPr>
          <w:rtl w:val="true"/>
        </w:rPr>
        <w:t>مدرسه</w:t>
      </w:r>
      <w:r>
        <w:rPr>
          <w:rtl w:val="true"/>
        </w:rPr>
        <w:t xml:space="preserve">» </w:t>
      </w:r>
      <w:r>
        <w:rPr>
          <w:rtl w:val="true"/>
        </w:rPr>
        <w:t xml:space="preserve">سنّيان در برابر </w:t>
      </w:r>
      <w:r>
        <w:rPr>
          <w:rtl w:val="true"/>
        </w:rPr>
        <w:t>«</w:t>
      </w:r>
      <w:r>
        <w:rPr>
          <w:rtl w:val="true"/>
        </w:rPr>
        <w:t>دار العلمِ</w:t>
      </w:r>
      <w:r>
        <w:rPr>
          <w:rtl w:val="true"/>
        </w:rPr>
        <w:t xml:space="preserve">» </w:t>
      </w:r>
      <w:r>
        <w:rPr>
          <w:rtl w:val="true"/>
        </w:rPr>
        <w:t>شيعيان</w:t>
      </w:r>
      <w:r>
        <w:rPr>
          <w:rtl w:val="true"/>
        </w:rPr>
        <w:t>...</w:t>
      </w:r>
      <w:bookmarkEnd w:id="87"/>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بحثي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لئوناردو كپِتزُنه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سَپيِنزا ـ 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فريده مهدوي دامغانياقدام سلجوقيان به نابود كردن دار العلم‌هاي ابو نصر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شيعي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رضي و شريف مرتضي در بغداد و دار الكتب عضد الدوله بويه در شيراز و كتاب‌خانه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شيعي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 به گستردگي در منابع تاريخي قرن پنجم و پس از آن، ياد شده و موجب بدنامي سلاجقه ـ كه متظاهر به مسلماني و اطاعت از خليفه عبّاسي و بر مذهب شافعي بودند ـ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مورّخان و پژوهشگران حوزه تمدّن و فرهنگ، به سهم بزرگ سلجوقيان در شكل‌گيري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نتيجه در تاريخ نهادهاي آموزشي در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مي‌كنند و در اين بحث،</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اين حكومتگران سُنّي مذهب براي مقابله با مراكز علمي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العلم‌ها و دار الكتب‌هاي آل بويه و فاطميان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اهتمام آنها به جبران خسارت‌هاي وارد شده بر علم و اهل علم را عاملي مؤثّر و بلكه اصلي مي‌شمارند؛ امّا مروري بر كتاب نقض نشان مي‌دهد كه مؤلّف آن، در بيان آثار و مفاخر شيعه، تا نهايت درجه ممكن، از ذكر نام كتاب‌خانه‌ها و دار العلم‌ها و دار الكتب‌هاي سوخته و بر باد رفته شيعيان، پرهيز مي‌كند و در عوض، در يادكرد مؤسّسان شيعي اين مراكز علمي، با زيركي، بر خدمات اجتماعي و عام المنفعه و حسن تدبير و درايت و كشورداري و مردم‌داري آنها تأكيد مي‌كند و در اين راه، ساختن پُل و نهر و كاريز و بيمارستان و برگزاري مجالس مناظره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تأسيس دار العلم‌ها و كتاب‌خانه‌هايي كه ويژه اهل علم و مستقر در دربار بوده‌اند، مقدّم 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همچنين، تلاش گسترده سلجوقيان را در تأسيس مدارس، مي‌ستايد و به گستردگي به نقش وزيران شيعي در اين توسعه و تجهيز و پشتيباني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موقوفات و عطايا و مَبرّات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مي‌كند و مي‌كوشد تا نشان دهد كه مدارس عصر سلجوقي، ادامه طبيعي و تاريخي دار العلم‌ها و دار الكتب‌ها و دار الحكمه‌هاي پيش از خودند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به كثرت وزيران و ديوانيان شيعي در دربارهاي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نام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كثرت مدارس و موقوفات فرهنگي آنها در اين عصر، افتخار مي‌كند و از وفاداري و صداقت آنها در خدمت به مخدومان خويش و تبعيّتشان از سياست‌هاي فرهنگي سلاجقه، شواهد و مؤيّدات فراوان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ذهنيت مشهور تقابل و تعصّب شيعه و سنّي را در تحليل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تاريخي خود، يك سره به هيچ مي‌انگارد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دلايل و شواهدي كه ديدگاه مشهور تقابل مدارس و دار العلم‌ها را زير سؤال مي‌برد و تحليل عبد الجليل رازي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مي‌كند، وجود دار العلم‌هاي سُنّي، مثل دار العلم ابن سِوار در بصره در روزگار آل بويه و دار العلم مارستاني در بغداد پس از آل بويه و نيز وجود مدارس شيعي متعدّد در قم و ري در روزگار سلجوقيان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عبد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مراكز علمي و كتاب‌خانه‌ها در عصر سلجوقي ـ كه تحوّلي مثبت در نهاد آموزش محسوب مي‌شوند ـ و نيز اهتمام سلاجقه به گردآوري كتاب‌هاي دار العلم‌هاي پيشين و استنساخ آنها را مي‌ستايد و بدين ترتيب، به طور ضمني اشاره مي‌كند كه ميراث علمي عصر آل بويه، همچنان محفوظ است و وزيران و ديوانيان سياستمدار سلجوقي، آنها را به در بُرده و به كتاب‌خانه‌هاي مدارس بعدي، منتقل و وقف نموده‌اند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137_12067"/>
    </w:p>
    <w:p>
      <w:pPr>
        <w:pStyle w:val="Heading3"/>
        <w:numPr>
          <w:ilvl w:val="2"/>
          <w:numId w:val="1"/>
        </w:numPr>
        <w:rPr/>
      </w:pPr>
      <w:bookmarkStart w:id="89" w:name="__RefHeading___Toc147765_3804643083"/>
      <w:bookmarkStart w:id="90" w:name="_Toc32"/>
      <w:bookmarkEnd w:id="88"/>
      <w:bookmarkEnd w:id="89"/>
      <w:r>
        <w:rPr/>
        <w:t>۱۷</w:t>
      </w:r>
      <w:r>
        <w:rPr>
          <w:rtl w:val="true"/>
        </w:rPr>
        <w:t xml:space="preserve">. </w:t>
      </w:r>
      <w:r>
        <w:rPr>
          <w:rtl w:val="true"/>
        </w:rPr>
        <w:t xml:space="preserve">مدارس و محافل علمي و ديني و رجال شيعه در كتاب </w:t>
      </w:r>
      <w:r>
        <w:rPr>
          <w:rtl w:val="true"/>
        </w:rPr>
        <w:t>«</w:t>
      </w:r>
      <w:r>
        <w:rPr>
          <w:rtl w:val="true"/>
        </w:rPr>
        <w:t>نقض</w:t>
      </w:r>
      <w:r>
        <w:rPr>
          <w:rtl w:val="true"/>
        </w:rPr>
        <w:t>»</w:t>
      </w:r>
      <w:bookmarkEnd w:id="90"/>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مدارس و محافل علمي و ديني و رجال شيعه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مرتضي وفائييكي از تأليفات كلامي شيعه كه در قرن ششم هجري در مقابله و نقد كتابي عليه شيعه نوشته شده، كتاب مشهور به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غير از محتواي كلامي و ديني خود، گنجينه‌اي از اطّلاعات تاريخي، مذهبي، فرهنگي، اجتماعي و ادبي مردم ايران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گستردگي و پراكندگي داده‌هاي كتاب، اين نوشته، تنها به جستجوي گزارش‌ها و اطلاعاتي پرداخته كه مؤلّف در مورد مدارس و مراكز علمي ـ فرهنگي و نيز برخي عالمان شيعه آن دوره در شهرهاي شيعه‌نشين ايران، به ويژه ناحيه مركزي آن ارائه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شيعه‌نشين، قرن ششم هجري، مدارس علمي، عالمان شيعي، نقض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137_12069"/>
    </w:p>
    <w:p>
      <w:pPr>
        <w:pStyle w:val="Heading3"/>
        <w:numPr>
          <w:ilvl w:val="2"/>
          <w:numId w:val="1"/>
        </w:numPr>
        <w:rPr/>
      </w:pPr>
      <w:bookmarkStart w:id="92" w:name="__RefHeading___Toc147767_3804643083"/>
      <w:bookmarkStart w:id="93" w:name="_Toc33"/>
      <w:bookmarkEnd w:id="91"/>
      <w:bookmarkEnd w:id="92"/>
      <w:r>
        <w:rPr/>
        <w:t>۱۸</w:t>
      </w:r>
      <w:r>
        <w:rPr>
          <w:rtl w:val="true"/>
        </w:rPr>
        <w:t xml:space="preserve">. </w:t>
      </w:r>
      <w:r>
        <w:rPr>
          <w:rtl w:val="true"/>
        </w:rPr>
        <w:t xml:space="preserve">شعراي شيعي ياد شده در كتاب </w:t>
      </w:r>
      <w:r>
        <w:rPr>
          <w:rtl w:val="true"/>
        </w:rPr>
        <w:t>«</w:t>
      </w:r>
      <w:r>
        <w:rPr>
          <w:rtl w:val="true"/>
        </w:rPr>
        <w:t>نقض</w:t>
      </w:r>
      <w:r>
        <w:rPr>
          <w:rtl w:val="true"/>
        </w:rPr>
        <w:t>»</w:t>
      </w:r>
      <w:bookmarkEnd w:id="93"/>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شعراي شيعي ياد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پورشريف </w:t>
      </w:r>
      <w:r>
        <w:rPr>
          <w:rStyle w:val="FootnoteAnchor"/>
          <w:rtl w:val="true"/>
        </w:rPr>
        <w:footnoteReference w:id="17"/>
      </w:r>
      <w:r>
        <w:rPr>
          <w:rFonts w:ascii="IRNazanin" w:hAnsi="IRNazanin" w:eastAsia="IRNazanin"/>
          <w:color w:val="111111"/>
          <w:sz w:val="28"/>
          <w:sz w:val="28"/>
          <w:szCs w:val="28"/>
          <w:rtl w:val="true"/>
          <w:lang w:bidi="fa-IR"/>
        </w:rPr>
        <w:t xml:space="preserve">موقعيت تاريخي عبد الجليل قزويني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نزديكي زماني‌اش به كساني كه مذهبشان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 اجتماعي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عالم و متكلّم شيعي برجسته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و كاركرد اثرِ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كتابي در مناظره و جدل است و ناگزير، بر مطالب ترديدآميز و ضعيف و دوپهلو و محلّ اختلاف، تكيه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كلام وي و كتاب وي، منبع تاريخي معتبري در شناخت مذهب بسياري از عالمان و مصنّفان و سياستمداران و ديوانيان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شعرا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دقّت در آثار تراجم‌نگاران متأخّر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المؤمنين، أمل الآمل و ذيل‌هاي آن، رياض العلماء، روضات الجنّات و 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مي‌شويم كه به دليل گُسست تاريخي گزارش‌ها و آسان‌گيري مؤلّفان در نسبت دادن مذهب به افراد بر اساس شواهد و قرائن ضعيف و اِجمالي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شيعه‌تراشي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قابل اعتنا و استناد به نظر نمي‌رسند، در حالي كه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گزارش‌هاي عبد الجليل، از جهت قُرب تاريخي و معاصرت، كم‌نظيرند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نوشتار، سعي بر آن است تا با آوردن فهرستي از نام شعراي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به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به ترتيب دوره تاريخي، آشنايي گسترده عبد الجليل با ادبيات فارسي و عربي روزگار خود و پيش از آن و نيز مهارت وي را در به كارگيري ادبيات و تاريخ ادبيات در مجادلات كلامي، نشان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شرح حال مختصري از شعرا و آثار آنها ارائه مي‌گردد و در ادامه، نمونه شعري از آنها آورده مي‌شود كه تا حدي، افكار و عقايد مذهبي آنها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تاريخ تشيّع، ادبيات شيعي، منقبت، نقض، عبد الجليل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2137_12073"/>
    </w:p>
    <w:p>
      <w:pPr>
        <w:pStyle w:val="Heading3"/>
        <w:numPr>
          <w:ilvl w:val="2"/>
          <w:numId w:val="1"/>
        </w:numPr>
        <w:rPr/>
      </w:pPr>
      <w:bookmarkStart w:id="95" w:name="__RefHeading___Toc147769_3804643083"/>
      <w:bookmarkStart w:id="96" w:name="_Toc34"/>
      <w:bookmarkEnd w:id="94"/>
      <w:bookmarkEnd w:id="95"/>
      <w:r>
        <w:rPr/>
        <w:t>۱۹</w:t>
      </w:r>
      <w:r>
        <w:rPr>
          <w:rtl w:val="true"/>
        </w:rPr>
        <w:t xml:space="preserve">. </w:t>
      </w:r>
      <w:r>
        <w:rPr>
          <w:rtl w:val="true"/>
        </w:rPr>
        <w:t xml:space="preserve">جغرافياي ري و قزوين در كتاب </w:t>
      </w:r>
      <w:r>
        <w:rPr>
          <w:rtl w:val="true"/>
        </w:rPr>
        <w:t>«</w:t>
      </w:r>
      <w:r>
        <w:rPr>
          <w:rtl w:val="true"/>
        </w:rPr>
        <w:t>نقض</w:t>
      </w:r>
      <w:r>
        <w:rPr>
          <w:rtl w:val="true"/>
        </w:rPr>
        <w:t>»</w:t>
      </w:r>
      <w:bookmarkEnd w:id="96"/>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جغرافياي ري و قزوين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ملكي ميانجي </w:t>
      </w:r>
      <w:r>
        <w:rPr>
          <w:rStyle w:val="FootnoteAnchor"/>
          <w:rtl w:val="true"/>
        </w:rPr>
        <w:footnoteReference w:id="18"/>
      </w:r>
      <w:r>
        <w:rPr>
          <w:rFonts w:ascii="IRNazanin" w:hAnsi="IRNazanin" w:eastAsia="IRNazanin"/>
          <w:color w:val="111111"/>
          <w:sz w:val="28"/>
          <w:sz w:val="28"/>
          <w:szCs w:val="28"/>
          <w:rtl w:val="true"/>
          <w:lang w:bidi="fa-IR"/>
        </w:rPr>
        <w:t>ري و قزوين، دو شهر مهم از نواحي مركزي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ري به عنوان منطقه‌اي مهم از دوران مادها تا زمان حاضر، اهميت سياسي خود را با نوساناتي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ناحيه، شهر ري در سده‌هاي نخستين اسلامي تا عصر مغول، از مهم‌ترين شهرهاي جهان و اُمّ البلاد شمرده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اسلامي، ابتدا اين شهر، داراي مذهب اهل سنّت با گرايش اُمَوي بود؛ امّا كم كم تشيّع در آن رواج يافت، به گونه‌اي كه در عصر مؤلّف نقض، در ميانه سده ششم هجري، غالب جمعيت آن را شيعيان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مذاهب و فرقه‌ها و نحله‌هاي اعتقادي مختلفي در آن مي‌زيستند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بازتاب اطلاعات سودمندي از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ري در اين نوشتار، با عنايت به اين اثر تدوين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قزوين، شهري مهم در شمالِ ناحيه مركزي ايران قرار دارد كه قدمت آن به دوران ساسانيان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سده‌هاي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اسلامي، رشد و گسترش چشمگيري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مؤلّف نقض، مذهب اين ناحيه، ممزوجي از شيعه و سنّي و برخي فرقه‌هاي ديگر بود با وجود اين‌كه شيعيان اين منطقه در آن دوران، در اقليت قرار داشتند، امّا از نفوذ و اقتدار فراوان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حقايق گذشته اين شهر در كتاب نقض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قزوين در اين نوشتار، با عنايت به اين معلوماتْ سامان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ري، جغرافياي قزوين، نقض، سده ششم هجري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137_12078"/>
    </w:p>
    <w:p>
      <w:pPr>
        <w:pStyle w:val="Heading3"/>
        <w:numPr>
          <w:ilvl w:val="2"/>
          <w:numId w:val="1"/>
        </w:numPr>
        <w:rPr/>
      </w:pPr>
      <w:bookmarkStart w:id="98" w:name="__RefHeading___Toc147771_3804643083"/>
      <w:bookmarkStart w:id="99" w:name="_Toc35"/>
      <w:bookmarkEnd w:id="97"/>
      <w:bookmarkEnd w:id="98"/>
      <w:r>
        <w:rPr/>
        <w:t>۲۰</w:t>
      </w:r>
      <w:r>
        <w:rPr>
          <w:rtl w:val="true"/>
        </w:rPr>
        <w:t xml:space="preserve">. </w:t>
      </w:r>
      <w:r>
        <w:rPr>
          <w:rtl w:val="true"/>
        </w:rPr>
        <w:t xml:space="preserve">خاندان بابويه در كتاب </w:t>
      </w:r>
      <w:r>
        <w:rPr>
          <w:rtl w:val="true"/>
        </w:rPr>
        <w:t>«</w:t>
      </w:r>
      <w:r>
        <w:rPr>
          <w:rtl w:val="true"/>
        </w:rPr>
        <w:t>نقض</w:t>
      </w:r>
      <w:r>
        <w:rPr>
          <w:rtl w:val="true"/>
        </w:rPr>
        <w:t>»</w:t>
      </w:r>
      <w:bookmarkEnd w:id="99"/>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خاندان بابويه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سيّد محسن موسوي </w:t>
      </w:r>
      <w:r>
        <w:rPr>
          <w:rStyle w:val="FootnoteAnchor"/>
          <w:rtl w:val="true"/>
        </w:rPr>
        <w:footnoteReference w:id="19"/>
      </w:r>
      <w:r>
        <w:rPr>
          <w:rFonts w:ascii="IRNazanin" w:hAnsi="IRNazanin" w:eastAsia="IRNazanin"/>
          <w:color w:val="111111"/>
          <w:sz w:val="28"/>
          <w:sz w:val="28"/>
          <w:szCs w:val="28"/>
          <w:rtl w:val="true"/>
          <w:lang w:bidi="fa-IR"/>
        </w:rPr>
        <w:t>كتاب نقض، از جمله آثار شيعي‌اي است كه اطّلاعات سودمندي را درباره شخصيت‌هاي مهمّ شيعه تا عصر خود به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دانشياني كه عبد الجليل رازي، خود يا به تبع نويسنده سنّي، از آنها نام مي‌بَرَد و يا بخشي از اقوال و نظريات و آثار ايشان را نقل يا نقد مي‌كند، از يك خاندان دانشي‌اند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اين خانواده‌هاي علمي،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 نفر از دانشوران خاندان بابويه در اين كتاب آمده است كه در اين نوشته به ايشان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الدين حسن بابويه؛ ابو طالب اسحاق بابويه؛ و ابو عبد اللّه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بابويه، نقض، صدوق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2137_12080"/>
    </w:p>
    <w:p>
      <w:pPr>
        <w:pStyle w:val="Heading3"/>
        <w:numPr>
          <w:ilvl w:val="2"/>
          <w:numId w:val="1"/>
        </w:numPr>
        <w:rPr/>
      </w:pPr>
      <w:bookmarkStart w:id="101" w:name="__RefHeading___Toc147773_3804643083"/>
      <w:bookmarkStart w:id="102" w:name="_Toc36"/>
      <w:bookmarkEnd w:id="100"/>
      <w:bookmarkEnd w:id="101"/>
      <w:r>
        <w:rPr/>
        <w:t>۲۱</w:t>
      </w:r>
      <w:r>
        <w:rPr>
          <w:rtl w:val="true"/>
        </w:rPr>
        <w:t xml:space="preserve">. </w:t>
      </w:r>
      <w:r>
        <w:rPr>
          <w:rtl w:val="true"/>
        </w:rPr>
        <w:t xml:space="preserve">سيطره سبك مناقب‌نگاري در </w:t>
      </w:r>
      <w:r>
        <w:rPr>
          <w:rtl w:val="true"/>
        </w:rPr>
        <w:t>«</w:t>
      </w:r>
      <w:r>
        <w:rPr>
          <w:rtl w:val="true"/>
        </w:rPr>
        <w:t>سدة ششم و هفتم هجري</w:t>
      </w:r>
      <w:r>
        <w:rPr>
          <w:rtl w:val="true"/>
        </w:rPr>
        <w:t>»</w:t>
      </w:r>
      <w:bookmarkEnd w:id="102"/>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سيطره سبك مناقب‌نگاري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 ششم و هفتم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غلامعلي </w:t>
      </w:r>
      <w:r>
        <w:rPr>
          <w:rStyle w:val="FootnoteAnchor"/>
          <w:rtl w:val="true"/>
        </w:rPr>
        <w:footnoteReference w:id="20"/>
      </w:r>
      <w:r>
        <w:rPr>
          <w:rFonts w:ascii="IRNazanin" w:hAnsi="IRNazanin" w:eastAsia="IRNazanin"/>
          <w:color w:val="111111"/>
          <w:sz w:val="28"/>
          <w:sz w:val="28"/>
          <w:szCs w:val="28"/>
          <w:rtl w:val="true"/>
          <w:lang w:bidi="fa-IR"/>
        </w:rPr>
        <w:t>سده‌هاي ششم و هفتم هجري را مي‌توان نقطه عطفي در تاريخ تشيّع دانست؛ دوراني كه با وجود دشواري‌هاي طاقت‌فرسا، دانشيان شيعي توانستند از انديشه شيعي در مقابل سيل شبهات و اتّهامات عامه و دستگاه حاكميت به نيكي پاسداري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دوران در تاريخ حديث شيعه، همواره با عناوين دوران فترت يا ركود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مقايسه با سده‌هاي پيشين، اين تعبير صحيح است، امّا بايد توجّه داشت، دشمني‌هاي مخالفان، بسيار شديد بوده است و نويسندگان براي مقابله با هجمه‌هاي مختلف حاكمان، از هيچ تلاشي فرو گذار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سبك‌هاي مناقب‌نگاري و اربعين‌نويسي، نمادي از تلاش سترگ ايشان است كه بيش از ديگر سبك‌ها در اين بازه زماني در تاريخ تدوين حديث شيعه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شيوه‌ها داراي نقاط قوّت و ضعف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سيطره منقبت‌نگاري در اين دو سده، بيش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قابل توجّه است، به گونه‌اي كه حدود شصت اثر در اين راستا در دويست سال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اين افزايش، نيازمند بررسي كتاب‌هاي مناقبِ باقي مانده و گزاره‌هاي تاريخي است كه اين پژوهش، عهده‌دار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اثر عبد الجليل قزويني، يكي از مهم‌ترين آثاري است كه به موضوع مناقب‌خواني پرداخته و به خوبي، فضاي مه‌آلود اين دوران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منبع خوبي براي شناسايي علل و عوامل فزوني مناقب‌نگاري در اين سده‌هاست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عوامل متعدّد سياسي، علمي و فرهنگي، سبب اين جهش نگارشي شده كه به برخي از آنها در اين نوشتار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مناقب‌نگاري، فضائل‌نويسي، سده ششم هجري، سده هفتم هجري، سبك‌شناسي، تاريخ حديث</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137_12084"/>
    </w:p>
    <w:p>
      <w:pPr>
        <w:pStyle w:val="Heading3"/>
        <w:numPr>
          <w:ilvl w:val="2"/>
          <w:numId w:val="1"/>
        </w:numPr>
        <w:rPr/>
      </w:pPr>
      <w:bookmarkStart w:id="104" w:name="__RefHeading___Toc147775_3804643083"/>
      <w:bookmarkStart w:id="105" w:name="_Toc37"/>
      <w:bookmarkEnd w:id="103"/>
      <w:bookmarkEnd w:id="104"/>
      <w:r>
        <w:rPr/>
        <w:t>۲۲</w:t>
      </w:r>
      <w:r>
        <w:rPr>
          <w:rtl w:val="true"/>
        </w:rPr>
        <w:t xml:space="preserve">. </w:t>
      </w:r>
      <w:r>
        <w:rPr>
          <w:rtl w:val="true"/>
        </w:rPr>
        <w:t xml:space="preserve">ويژگي‌هاي سبكي، ساختاري و فكري كتاب </w:t>
      </w:r>
      <w:r>
        <w:rPr>
          <w:rtl w:val="true"/>
        </w:rPr>
        <w:t>«</w:t>
      </w:r>
      <w:r>
        <w:rPr>
          <w:rtl w:val="true"/>
        </w:rPr>
        <w:t>نقض</w:t>
      </w:r>
      <w:r>
        <w:rPr>
          <w:rtl w:val="true"/>
        </w:rPr>
        <w:t>»</w:t>
      </w:r>
      <w:bookmarkEnd w:id="105"/>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ويژگي‌هاي سبكي، ساختاري و فكري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عبدالرضا مدرّس‌زاده </w:t>
      </w:r>
      <w:r>
        <w:rPr>
          <w:rStyle w:val="FootnoteAnchor"/>
          <w:rtl w:val="true"/>
        </w:rPr>
        <w:footnoteReference w:id="21"/>
      </w:r>
      <w:r>
        <w:rPr>
          <w:rFonts w:ascii="IRNazanin" w:hAnsi="IRNazanin" w:eastAsia="IRNazanin"/>
          <w:color w:val="111111"/>
          <w:sz w:val="28"/>
          <w:sz w:val="28"/>
          <w:szCs w:val="28"/>
          <w:rtl w:val="true"/>
          <w:lang w:bidi="fa-IR"/>
        </w:rPr>
        <w:t>زبان و ادبيات فارسي، به دليل ارتباط مستقيمي كه برخي از شاعران با مراكز قدرت سياسي روزگار خود داشته‌اند، تقريباً آينه بازتاب دهنده باورهاي رايج و رسمي‌اي است كه با محوريت اعتقادات اهل سنّت و جماعتْ همراه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چهره‌هاي درخشان ادب فارسي با وجود گرايش مذهبي به اهل سنّت در گرامي‌داشت و شأن خاندان مصطفوي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نكرده‌اند، امّا به هر روي، مباحث فقهي و كلامي مورد توجّه شاعران، بر پايه‌هاي باور مذهبي شكل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نقض ـ كه نويسنده مخلص و پاك‌اعتقاد آن، به دفاع از باورهاي آيين تشيّع پرداخته است ـ ، يادآور روزگاري است كه رويارويي‌ها و چالش‌هاي مذهبي، به اوج خود مي‌رسند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سده‌هاي پس از تأليف، با وجود اهميتش، كمتر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توجّه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حاضر، كوششي مختصر است در معرّفي سبك و ساختار و ارزش‌هاي ادبي اين كتاب مستطاب كه مي‌تواند پايه‌اي براي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نثر فارسي، سبك‌شناسي، ادب شيعي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137_12088"/>
    </w:p>
    <w:p>
      <w:pPr>
        <w:pStyle w:val="Heading3"/>
        <w:numPr>
          <w:ilvl w:val="2"/>
          <w:numId w:val="1"/>
        </w:numPr>
        <w:rPr/>
      </w:pPr>
      <w:bookmarkStart w:id="107" w:name="__RefHeading___Toc147777_3804643083"/>
      <w:bookmarkStart w:id="108" w:name="_Toc38"/>
      <w:bookmarkEnd w:id="106"/>
      <w:bookmarkEnd w:id="107"/>
      <w:r>
        <w:rPr/>
        <w:t>۲۳</w:t>
      </w:r>
      <w:r>
        <w:rPr>
          <w:rtl w:val="true"/>
        </w:rPr>
        <w:t xml:space="preserve">. </w:t>
      </w:r>
      <w:r>
        <w:rPr>
          <w:rtl w:val="true"/>
        </w:rPr>
        <w:t xml:space="preserve">بررسي فرم زباني كتاب </w:t>
      </w:r>
      <w:r>
        <w:rPr>
          <w:rtl w:val="true"/>
        </w:rPr>
        <w:t>«</w:t>
      </w:r>
      <w:r>
        <w:rPr>
          <w:rtl w:val="true"/>
        </w:rPr>
        <w:t>نقض</w:t>
      </w:r>
      <w:r>
        <w:rPr>
          <w:rtl w:val="true"/>
        </w:rPr>
        <w:t xml:space="preserve">» </w:t>
      </w:r>
      <w:r>
        <w:rPr>
          <w:rtl w:val="true"/>
        </w:rPr>
        <w:t>با اشاراتي</w:t>
      </w:r>
      <w:r>
        <w:rPr>
          <w:rtl w:val="true"/>
        </w:rPr>
        <w:t>...</w:t>
      </w:r>
      <w:bookmarkEnd w:id="108"/>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بررسي فرم زباني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اشاراتي به موضوعات محتوايي آنمريم غفّاري جاهد </w:t>
      </w:r>
      <w:r>
        <w:rPr>
          <w:rStyle w:val="FootnoteAnchor"/>
          <w:rtl w:val="true"/>
        </w:rPr>
        <w:footnoteReference w:id="22"/>
      </w:r>
      <w:r>
        <w:rPr>
          <w:rFonts w:ascii="IRNazanin" w:hAnsi="IRNazanin" w:eastAsia="IRNazanin"/>
          <w:color w:val="111111"/>
          <w:sz w:val="28"/>
          <w:sz w:val="28"/>
          <w:szCs w:val="28"/>
          <w:rtl w:val="true"/>
          <w:lang w:bidi="fa-IR"/>
        </w:rPr>
        <w:t>كتاب نقض، تأليف عبد الجليل رازي قزويني، دانشمند شيعي قرن ششم است كه در ردّ كتاب بعض فضائح الروافض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ـ كه حدود پنجاه سال پيش از حمله مغول تأليف شده ـ از جهت اطلاعات مفيدي كه در باره نام كتاب‌ها و محلاّت و مدارس و كتاب‌خانه‌هاي شيعه در شهرهاي ايران مي‌دهد ـ كه از برخي از آنها اثري نيست ـ ،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در نيمه قرن ششم به رشته تحرير در آمده و از نظر زباني، تحت تأثير سه جريان سبكي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نثر دوره ساماني، سبك نثر دوره غزنوي و سلجوقي اوّل و سبك نثر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ديدگاهي ديگر برخي واژه‌ها و تركيبات اين كتاب، تحت تأثير لهجه اهالي 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اين مقاله، به محتواي اين كتاب از جهت اهميت و ارزش مطالب، پرداخته شده و در بخش دوم، پس از توضيح ويژگي‌هاي سبكي سه دوره نثر فارسي،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آوردن نمونه‌هايي از متن كتاب، جلوه‌هاي اين سه دوره، همچنين نقش زبان ري در اين كتاب، بررسي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زباني كتاب نقض، دوره ساماني، دوره غزنوي، دوره سلجوقي، نثر فنّي، آرايه‌هاي ادبي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137_12092"/>
    </w:p>
    <w:p>
      <w:pPr>
        <w:pStyle w:val="Heading3"/>
        <w:numPr>
          <w:ilvl w:val="2"/>
          <w:numId w:val="1"/>
        </w:numPr>
        <w:rPr/>
      </w:pPr>
      <w:bookmarkStart w:id="110" w:name="__RefHeading___Toc147779_3804643083"/>
      <w:bookmarkStart w:id="111" w:name="_Toc39"/>
      <w:bookmarkEnd w:id="109"/>
      <w:bookmarkEnd w:id="110"/>
      <w:r>
        <w:rPr/>
        <w:t>۲۴</w:t>
      </w:r>
      <w:r>
        <w:rPr>
          <w:rtl w:val="true"/>
        </w:rPr>
        <w:t xml:space="preserve">. </w:t>
      </w:r>
      <w:r>
        <w:rPr>
          <w:rtl w:val="true"/>
        </w:rPr>
        <w:t xml:space="preserve">اخلاق و آيين جدل در كتاب </w:t>
      </w:r>
      <w:r>
        <w:rPr>
          <w:rtl w:val="true"/>
        </w:rPr>
        <w:t>«</w:t>
      </w:r>
      <w:r>
        <w:rPr>
          <w:rtl w:val="true"/>
        </w:rPr>
        <w:t>نقض</w:t>
      </w:r>
      <w:r>
        <w:rPr>
          <w:rtl w:val="true"/>
        </w:rPr>
        <w:t>»</w:t>
      </w:r>
      <w:bookmarkEnd w:id="111"/>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اخلاق و آيين جدل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سيّد حسن اسلامي اردكاني </w:t>
      </w:r>
      <w:r>
        <w:rPr>
          <w:rStyle w:val="FootnoteAnchor"/>
          <w:rtl w:val="true"/>
        </w:rPr>
        <w:footnoteReference w:id="23"/>
      </w:r>
      <w:r>
        <w:rPr>
          <w:rFonts w:ascii="IRNazanin" w:hAnsi="IRNazanin" w:eastAsia="IRNazanin"/>
          <w:color w:val="111111"/>
          <w:sz w:val="28"/>
          <w:sz w:val="28"/>
          <w:szCs w:val="28"/>
          <w:rtl w:val="true"/>
          <w:lang w:bidi="fa-IR"/>
        </w:rPr>
        <w:t>مقاله حاضر، در پي گزارش و تحليل شيوه پاسخگويي عبد الجليل رازي به مدّعيات نويسنده كتاب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پاسخ‌هاي رازي و شيوه او يك‌دست و يكسان نيستند؛ برخي پاسخ‌ها دقيق، سنجيده، تحليلي و اخلاقي‌اند و پاره‌اي از آنها 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كتاب رازي، فاقد ساختاري روشن است و نويسنده، عمدتا در پي آن بوده است تا پا به پاي اشكالات كتاب بعض فضائح الروافض پيش برود و به اشكالات مندرج در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مقاله مي‌كوشد تا شيوه پاسخگويي وي را استخراج و نمونه‌هاي مختلفي از آن را كه در سراسر كتاب پراكنده اند، طبقه‌بندي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رهيافت، نوشتار حاضر در شانزده محور، نكات كليدي شيوه عبد الجليل رازي را طبقه‌بندي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محورها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پيشينه تشيّع مدّعي؛ اشاره به الزامات خاص تفكر اشعري كه مدّعي به آن وابسته است، امّا از آنها بي‌خبر است يا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بدان‌ها پايبند نيست؛ حفظ حريم خاندان پيامبر صلي الله عليه و آله در سراسر مناقشات، برخلاف مدّعي؛ به كارگيري قياس ذوحدّين بر ضدّ حريف و به دام انداختن وي؛ آشكار كردن منطق يك بام و دو هواي مدّعي؛ تفكيك بين حقّانيت شخص از رفتار پيروانش؛ نشان دادن اشكالات نامرتبط با مسائل اعتقادي؛ به كارگيري منطق توضيح و تبيين مسائل و ابهام‌زدايي؛ نشان دادن مغالطه همسويي؛ و به كارگيري منطق كلوخ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جدل، عبد الجليل رازي، نقض، بعض فضائح الروافض، مدّعي، ناقض</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137_12096"/>
    </w:p>
    <w:p>
      <w:pPr>
        <w:pStyle w:val="Heading3"/>
        <w:numPr>
          <w:ilvl w:val="2"/>
          <w:numId w:val="1"/>
        </w:numPr>
        <w:rPr/>
      </w:pPr>
      <w:bookmarkStart w:id="113" w:name="__RefHeading___Toc147781_3804643083"/>
      <w:bookmarkStart w:id="114" w:name="_Toc40"/>
      <w:bookmarkEnd w:id="112"/>
      <w:bookmarkEnd w:id="113"/>
      <w:r>
        <w:rPr/>
        <w:t>۲۵</w:t>
      </w:r>
      <w:r>
        <w:rPr>
          <w:rtl w:val="true"/>
        </w:rPr>
        <w:t xml:space="preserve">. </w:t>
      </w:r>
      <w:r>
        <w:rPr>
          <w:rtl w:val="true"/>
        </w:rPr>
        <w:t xml:space="preserve">مناظره و وحدت در كتاب </w:t>
      </w:r>
      <w:r>
        <w:rPr>
          <w:rtl w:val="true"/>
        </w:rPr>
        <w:t>«</w:t>
      </w:r>
      <w:r>
        <w:rPr>
          <w:rtl w:val="true"/>
        </w:rPr>
        <w:t>نقض</w:t>
      </w:r>
      <w:r>
        <w:rPr>
          <w:rtl w:val="true"/>
        </w:rPr>
        <w:t>»</w:t>
      </w:r>
      <w:bookmarkEnd w:id="114"/>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مناظره و وحدت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صديقه لبّاني مطلق </w:t>
      </w:r>
      <w:r>
        <w:rPr>
          <w:rStyle w:val="FootnoteAnchor"/>
          <w:rtl w:val="true"/>
        </w:rPr>
        <w:footnoteReference w:id="24"/>
      </w:r>
      <w:r>
        <w:rPr>
          <w:rFonts w:ascii="IRNazanin" w:hAnsi="IRNazanin" w:eastAsia="IRNazanin"/>
          <w:color w:val="111111"/>
          <w:sz w:val="28"/>
          <w:sz w:val="28"/>
          <w:szCs w:val="28"/>
          <w:rtl w:val="true"/>
          <w:lang w:bidi="fa-IR"/>
        </w:rPr>
        <w:t>نقض، كتابي است در ردّ اتّهامات و شبهات وارد شده بر شيعه كه توسّط عالم بزرگوار، عبد الجليل قزويني رازي، به طريق مناظره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 از نخستين نظريه‌پردازهاي تشيّع دانسته‌اند كه با داشتن روشي صحيح در انجام مناظره، گامي اساسي در جهت تقريب مذاهب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در صدد يافتن روشي مناسب براي جمع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مذاهب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عبد الجليل قزويني، اين جمع را به خوبي نمودار ساخته است؛ چرا كه با رعايت جوانبي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حق و توجّه به وجوه اشتراك دو طرف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مطلوبي را در جهت ايجاد و حفظ وحدت اسلامي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عبد الجليل قزويني، مناظره، وحدت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خلاصات بحوثمؤتمر تخليد عبد الجليل القزويني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في عام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ترجمتها إلي اللغتين العربية والإنجليزيةالمترجمانخليل زامِل العِصامي، سيّد عبد المجيد طباطبايي لطفي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المحتويات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2137_12105"/>
    </w:p>
    <w:p>
      <w:pPr>
        <w:pStyle w:val="Heading2"/>
        <w:numPr>
          <w:ilvl w:val="1"/>
          <w:numId w:val="1"/>
        </w:numPr>
        <w:rPr/>
      </w:pPr>
      <w:bookmarkStart w:id="116" w:name="__RefHeading___Toc147783_3804643083"/>
      <w:bookmarkStart w:id="117" w:name="_Toc41"/>
      <w:bookmarkEnd w:id="115"/>
      <w:bookmarkEnd w:id="116"/>
      <w:r>
        <w:rPr>
          <w:rtl w:val="true"/>
        </w:rPr>
        <w:t>أفكار ورؤى الأمين العلمي للمؤتمر</w:t>
      </w:r>
      <w:bookmarkEnd w:id="117"/>
    </w:p>
    <w:p>
      <w:pPr>
        <w:pStyle w:val="Heading3"/>
        <w:numPr>
          <w:ilvl w:val="2"/>
          <w:numId w:val="1"/>
        </w:numPr>
        <w:rPr/>
      </w:pPr>
      <w:bookmarkStart w:id="118" w:name="__RefHeading___Toc147785_3804643083"/>
      <w:bookmarkStart w:id="119" w:name="_Toc42"/>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أفكار ورؤى الأمين العلمي للمؤتمرأوّلاً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مدينة الريّ إحدي أقدم حواضر المدنيّة في إيران، وهي تعود في قِدَمها إلى آلاف السنين، وكان أهلها قوم وُصفوا أنّهم أصحاب حضارة وفن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فُتحت هذه المدينة على أيدي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ذلك الحين أخذت بالاتّساع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من الاتّساع بحيث وُصِفت قبل هجوم المغول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ascii="Amiri" w:hAnsi="Amiri" w:eastAsia="Amiri" w:cs="Amiri"/>
          <w:color w:val="111111"/>
          <w:sz w:val="28"/>
          <w:sz w:val="28"/>
          <w:szCs w:val="28"/>
          <w:lang w:bidi="ar-SA"/>
        </w:rPr>
        <w:t>۶۱۶</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إحدي أكبر البلاد الإسلامية وأعظمها عمراناً، وأنّ عدد نفوسها كان يومذاك يربو على مليوني نسمة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كانت في الري ـ في العهد الإسلامي، ابتداءً من القرنين الثالث والرابع ـ ، حوزة علمية ذات وزن، وقد تعلّمت فيها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شخصيات بارزة من الفريقين الشيعة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والمفكّرين الذين كانوا يعيشون فيها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أعقاب اُفول رونق الحوزات العلمية في بغداد وقم، غدت مدينة الريّ في طليعة حواضر مدن الشيعة يومذاك، فكان القرنان الخامس والسادس عصر الازدهار العلمي لمدينة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المدّة كان من العلماء الذين برزوا وتركوا بصماتهم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صفى‌الدين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تبصرة العوام، سديد الدين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المنقذ من التقليد، الشيخ منتجب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الفهرست، و 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۷۶۶</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تتوفّر لدينا معلومات دقيقة حول عبد الجليل القزويني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الوحيد الذي يقدّم نبذة إجمالية عنه هو كتاب الفهرست للشيخ منتجب الدين الرازي الذي كان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معاصريه، وكذلك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تحدّث في بعض مواضعه عن نفسه لسبب أو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منتجب الدين،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الواعظ، نصير الدين عبد الجليل بن أبي الحسين بن أبي الفضل القزويني، عالم، فصيح، دَيّنٌ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إنّ هذه التعابير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الواعظ، نصير الدين، عالم، فصيح،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عمّا كان لعبد الجليل من مكانة علمية، واجتماعية، ومعنوية مرموقة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عبد الجليل استناداً إلى ما جاء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عائشة عن الفواحش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في عام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في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في عام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السؤالات و الجوابات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الراحات في فنون الحكايات أو مفتاح التذكير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الملحدين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مثالب النواصب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ألّفه بين الأعوام </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 xml:space="preserve"> الى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زمان عبد الجليل يتّصف ببعض الخصائص والمظاهر التي لا تخلو معرفتها من فائدة لتسليط الضوء بشكل أفضل على عبد الجليل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أيضاً فهم طبيعة هذا التأثير والترابط إلى حدّ ما من خلال النظر إلى عناوين مؤلّفات عبد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عصر عبد الجليل ـ أي النصف الثاني من القرن الخامس وحتّى أواخر القرن السادس ـ يتّصف بمجموعة من الخصائص الرئيسيّة،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العمران في مدينة الريّ وعموم بلاد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قاعدة الخلافة في العالم الإسلامي، وخصوصاً من الناحية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الدعوة الباطنية وأفكار حسن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اختلافات ونزاعات مذهبية بين 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المجالس الدينية، وبواعث المباحث الكلامية وكثرة مجالس النقاش والمناظرة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تفكير ديني مشترك وتفاهم مذهبي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الزندقة والخروج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من خلال عناوين مؤلّفات عبد الجليل أنّه كان عالماً عارفاً بزمانه ومستوعباً للتيّارات والوقائع الثقافية التي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سائدة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دأبه إذكاء النزاعات الطائفية، وإنّما كان يحاول تقليصها من خلال التمسّك بمعتقداته، وتحويلها إلى مبادئ رصينة وجديرة بالإيمان بها والذود عنها؛ ولهذا نرى أنّ أوّل مؤلّفاته كان 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يحاول أيضاً الإجابة عن التساؤلات التي كانت تراود أذهان الناس في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دفعه إلى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السؤالات والجوابات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في سبع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تفنيد اتّهامات أثارها شخص 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الكتاب في الوقت ذاته يكشف عن مدى غزارة علم عبد الجليل وسعة معلوماته؛ كما ينمّ عن فصاحته وبلاغته وبراعته في النثر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أعقاب عقد المؤتمر الدولي للشيخ الكليني في ربيع عام </w:t>
      </w:r>
      <w:r>
        <w:rPr>
          <w:rFonts w:ascii="Amiri" w:hAnsi="Amiri" w:eastAsia="Amiri" w:cs="Amiri"/>
          <w:color w:val="111111"/>
          <w:sz w:val="28"/>
          <w:sz w:val="28"/>
          <w:szCs w:val="28"/>
          <w:lang w:bidi="ar-SA"/>
        </w:rPr>
        <w:t>۲۰۰۹</w:t>
      </w:r>
      <w:r>
        <w:rPr>
          <w:rFonts w:ascii="Amiri" w:hAnsi="Amiri" w:eastAsia="Amiri" w:cs="Amiri"/>
          <w:color w:val="111111"/>
          <w:sz w:val="28"/>
          <w:sz w:val="28"/>
          <w:szCs w:val="28"/>
          <w:rtl w:val="true"/>
          <w:lang w:bidi="ar-SA"/>
        </w:rPr>
        <w:t xml:space="preserve"> تبلورت بشكل جاد فكرة عقد مؤتمر لتخليد ذكرى عبد الجليل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ربيع عام </w:t>
      </w:r>
      <w:r>
        <w:rPr>
          <w:rFonts w:ascii="Amiri" w:hAnsi="Amiri" w:eastAsia="Amiri" w:cs="Amiri"/>
          <w:color w:val="111111"/>
          <w:sz w:val="28"/>
          <w:sz w:val="28"/>
          <w:szCs w:val="28"/>
          <w:lang w:bidi="ar-SA"/>
        </w:rPr>
        <w:t>۲۰۱۰</w:t>
      </w:r>
      <w:r>
        <w:rPr>
          <w:rFonts w:ascii="Amiri" w:hAnsi="Amiri" w:eastAsia="Amiri" w:cs="Amiri"/>
          <w:color w:val="111111"/>
          <w:sz w:val="28"/>
          <w:sz w:val="28"/>
          <w:szCs w:val="28"/>
          <w:rtl w:val="true"/>
          <w:lang w:bidi="ar-SA"/>
        </w:rPr>
        <w:t>، جرى من خلال عقد عدّة جلسات للهيئة العليا لرسم السياسات، وكذلك الجلسات التي عقدتها اللجنة العلمية للمؤتمر، بدأت هذه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137_12115"/>
    </w:p>
    <w:p>
      <w:pPr>
        <w:pStyle w:val="Heading3"/>
        <w:numPr>
          <w:ilvl w:val="2"/>
          <w:numId w:val="1"/>
        </w:numPr>
        <w:rPr/>
      </w:pPr>
      <w:bookmarkStart w:id="121" w:name="__RefHeading___Toc147787_3804643083"/>
      <w:bookmarkStart w:id="122" w:name="_Toc43"/>
      <w:bookmarkEnd w:id="120"/>
      <w:bookmarkEnd w:id="121"/>
      <w:r>
        <w:rPr>
          <w:rtl w:val="true"/>
        </w:rPr>
        <w:t>أ</w:t>
      </w:r>
      <w:r>
        <w:rPr>
          <w:rtl w:val="true"/>
        </w:rPr>
        <w:t xml:space="preserve">. </w:t>
      </w:r>
      <w:r>
        <w:rPr>
          <w:rtl w:val="true"/>
        </w:rPr>
        <w:t xml:space="preserve">إعداد مجموعة أعمال المؤتمر </w:t>
      </w:r>
      <w:r>
        <w:rPr>
          <w:rtl w:val="true"/>
        </w:rPr>
        <w:t>(</w:t>
      </w:r>
      <w:r>
        <w:rPr>
          <w:rtl w:val="true"/>
        </w:rPr>
        <w:t>سبع مجلّدات</w:t>
      </w:r>
      <w:r>
        <w:rPr>
          <w:rtl w:val="true"/>
        </w:rPr>
        <w:t>):</w:t>
      </w:r>
      <w:bookmarkEnd w:id="122"/>
    </w:p>
    <w:p>
      <w:pPr>
        <w:pStyle w:val="Heading3"/>
        <w:numPr>
          <w:ilvl w:val="2"/>
          <w:numId w:val="1"/>
        </w:numPr>
        <w:rPr/>
      </w:pPr>
      <w:bookmarkStart w:id="123" w:name="__RefHeading___Toc147789_3804643083"/>
      <w:bookmarkStart w:id="124" w:name="_Toc44"/>
      <w:bookmarkEnd w:id="123"/>
      <w:r>
        <w:rPr>
          <w:rtl w:val="true"/>
        </w:rPr>
        <w:t>ب</w:t>
      </w:r>
      <w:r>
        <w:rPr>
          <w:rtl w:val="true"/>
        </w:rPr>
        <w:t xml:space="preserve">. </w:t>
      </w:r>
      <w:r>
        <w:rPr>
          <w:rtl w:val="true"/>
        </w:rPr>
        <w:t>إصدار نشرة خبرية لتغطية عمل المؤتمر</w:t>
      </w:r>
      <w:r>
        <w:rPr>
          <w:rtl w:val="true"/>
        </w:rPr>
        <w:t>(</w:t>
      </w:r>
      <w:r>
        <w:rPr>
          <w:rtl w:val="true"/>
        </w:rPr>
        <w:t>ثلاثة أعداد</w:t>
      </w:r>
      <w:r>
        <w:rPr>
          <w:rtl w:val="true"/>
        </w:rPr>
        <w:t>)</w:t>
      </w:r>
      <w:bookmarkEnd w:id="124"/>
    </w:p>
    <w:p>
      <w:pPr>
        <w:pStyle w:val="Heading3"/>
        <w:numPr>
          <w:ilvl w:val="2"/>
          <w:numId w:val="1"/>
        </w:numPr>
        <w:rPr/>
      </w:pPr>
      <w:bookmarkStart w:id="125" w:name="__RefHeading___Toc147791_3804643083"/>
      <w:bookmarkStart w:id="126" w:name="_Toc45"/>
      <w:bookmarkEnd w:id="125"/>
      <w:r>
        <w:rPr>
          <w:rtl w:val="true"/>
        </w:rPr>
        <w:t>ج</w:t>
      </w:r>
      <w:r>
        <w:rPr>
          <w:rtl w:val="true"/>
        </w:rPr>
        <w:t xml:space="preserve">. </w:t>
      </w:r>
      <w:r>
        <w:rPr>
          <w:rtl w:val="true"/>
        </w:rPr>
        <w:t xml:space="preserve">إعداد قرص مضغوط </w:t>
      </w:r>
      <w:r>
        <w:rPr>
          <w:rtl w:val="true"/>
        </w:rPr>
        <w:t>(</w:t>
      </w:r>
      <w:r>
        <w:rPr/>
        <w:t>DVD</w:t>
      </w:r>
      <w:r>
        <w:rPr>
          <w:rtl w:val="true"/>
        </w:rPr>
        <w:t xml:space="preserve">) </w:t>
      </w:r>
      <w:r>
        <w:rPr>
          <w:rtl w:val="true"/>
        </w:rPr>
        <w:t>يحتوي علي كلّ أعمال المؤتمر</w:t>
      </w:r>
      <w:r>
        <w:rPr>
          <w:rtl w:val="true"/>
        </w:rPr>
        <w:t>.</w:t>
      </w:r>
      <w:bookmarkEnd w:id="126"/>
    </w:p>
    <w:p>
      <w:pPr>
        <w:pStyle w:val="BookText"/>
        <w:rPr/>
      </w:pPr>
      <w:r>
        <w:rPr>
          <w:rFonts w:ascii="Amiri" w:hAnsi="Amiri" w:eastAsia="Amiri" w:cs="Amiri"/>
          <w:color w:val="111111"/>
          <w:sz w:val="28"/>
          <w:sz w:val="28"/>
          <w:szCs w:val="28"/>
          <w:rtl w:val="true"/>
          <w:lang w:bidi="ar-SA"/>
        </w:rPr>
        <w:t>اللجنة بممارسة نشاطها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حصيلة عمل هذه اللجنة على مدى سنتين، هو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مجموعة أعمال المؤتمر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علمي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القزويني الرازي، أضواء على عصره وكتابه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وصفي للصياغة اللغوية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البحوث التي قُدّمت إلى المؤتمر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في مجلّدين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خلاصة للبحوث مع ترجمة تلك الخلاصات إلى اللغتين العربية والانجليزية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نشرة خبرية لتغطية عمل المؤتمر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قرص مضغوط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يحتوي علي كلّ أعمال المؤتمر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ارتأت اللجنة العلمية للمؤتمر إنّ هناك أعمالاً اُخرى جيّدة ومفيدة، إلّا أنّ القيام بها يتوقّف على الانتهاء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بطبعته الجديدة المنقّحة؛ لذلك فقد أُرجئ القيام بها إلى ما بعد الانتهاء من المؤتمر، وهذه الأعمال عبارة عمّا يلي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137_12117"/>
    </w:p>
    <w:p>
      <w:pPr>
        <w:pStyle w:val="Heading3"/>
        <w:numPr>
          <w:ilvl w:val="2"/>
          <w:numId w:val="1"/>
        </w:numPr>
        <w:rPr/>
      </w:pPr>
      <w:bookmarkStart w:id="128" w:name="__RefHeading___Toc147793_3804643083"/>
      <w:bookmarkStart w:id="129" w:name="_Toc46"/>
      <w:bookmarkEnd w:id="127"/>
      <w:bookmarkEnd w:id="128"/>
      <w:r>
        <w:rPr>
          <w:rtl w:val="true"/>
        </w:rPr>
        <w:t>أ</w:t>
      </w:r>
      <w:r>
        <w:rPr>
          <w:rtl w:val="true"/>
        </w:rPr>
        <w:t xml:space="preserve">. </w:t>
      </w:r>
      <w:r>
        <w:rPr>
          <w:rtl w:val="true"/>
        </w:rPr>
        <w:t>المشاركون في عقد المؤتمر</w:t>
      </w:r>
      <w:bookmarkEnd w:id="129"/>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صياغة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جرى تنقيحه وإعادة صياغته، إلى اللغة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نصّ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جرى تنقيحه وإعادة صياغته إلى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لزاماً علينا أخلاقياً ودينياً أن نتقدّم بالشكر والتقدير لكلّ من كانت له مساهمة في الإعداد لهذا المؤتمر وإنجاحه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وإنطلاقاً من ذلك فإنّ أدنى مراتب التقدير هو أن نستعرض أسماء المؤسّسات والأفراد الذين ساهموا في هذا العمل بشكل أو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المشاركون في عقد المؤتمرتكلّل هذا المؤتمر بالنجاح نتيجة للمشاركة العلمية والمعنوية والمادّية للمؤسّسات والمراكز التالية التي ندرجها هنا وفقاً للترتيب الألفبائي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المقدّسة للسيّد عبد العظيم الحسني عليه السلام ، متولّيها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محمّدي الريشهري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الأعمال والإبداعات الثقافية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والمسلمين محمّد جواد أدبي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المصطفى صلي الله عليه و آله العالمية، رئيسها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المسلمين علي رضا أعرافي؛</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ومتحف ومركز وثائق مجلس الشورى الإسلامي، رئيسها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المسلمين رسول جعفريان؛</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عليهم السلام ، رئيسه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والمسلمين محمّد حسن أختري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للتقريب بين المذاهب الإسلامية، رئيسه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علي التسخيري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التقنية الحاسوبية للعلوم الإسلامية، رئيسه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والمسلمين حميد شهرياري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معاونية الشؤون الثقافية في وزارة الثقافة والإرشاد الإسلامي، معاونها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بهمن درّي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الحديث العلمية والثقافية، رئيسها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محمّدي الريشهري</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137_12121"/>
    </w:p>
    <w:p>
      <w:pPr>
        <w:pStyle w:val="Heading3"/>
        <w:numPr>
          <w:ilvl w:val="2"/>
          <w:numId w:val="1"/>
        </w:numPr>
        <w:rPr/>
      </w:pPr>
      <w:bookmarkStart w:id="131" w:name="__RefHeading___Toc147795_3804643083"/>
      <w:bookmarkStart w:id="132" w:name="_Toc47"/>
      <w:bookmarkEnd w:id="130"/>
      <w:bookmarkEnd w:id="131"/>
      <w:r>
        <w:rPr>
          <w:rtl w:val="true"/>
        </w:rPr>
        <w:t>ب</w:t>
      </w:r>
      <w:r>
        <w:rPr>
          <w:rtl w:val="true"/>
        </w:rPr>
        <w:t xml:space="preserve">. </w:t>
      </w:r>
      <w:r>
        <w:rPr>
          <w:rtl w:val="true"/>
        </w:rPr>
        <w:t>أعضاء اللجنة العلميّة للمؤتمر</w:t>
      </w:r>
      <w:bookmarkEnd w:id="132"/>
    </w:p>
    <w:p>
      <w:pPr>
        <w:pStyle w:val="BookText"/>
        <w:rPr/>
      </w:pPr>
      <w:r>
        <w:rPr>
          <w:rFonts w:ascii="Amiri" w:hAnsi="Amiri" w:eastAsia="Amiri" w:cs="Amiri"/>
          <w:color w:val="111111"/>
          <w:sz w:val="28"/>
          <w:sz w:val="28"/>
          <w:szCs w:val="28"/>
          <w:rtl w:val="true"/>
          <w:lang w:bidi="ar-SA"/>
        </w:rPr>
        <w:t>تجدر الإشارة إلى أنّ جلسات الهيئة العليا لوضع السياسات كانت تُعقد بحضور رؤساء ومدراء المراكز والمؤسّسات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اللجنة العلميّة للمؤتمرتتألّف اللجنة العلمية للمؤتمر من الشخصيات العلميّة الأصيلة أو الوكيلة عن المراكز المشاركة في عقد المؤتمر، الذين ندرج أسماءهم في ما يلي طبقاً للترتيب الألفبائي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والمسلمين علي أصغر أوحدي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 المجمع العالمي للتقريب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ناصر باقري بيدهندي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 جامعة المصطفى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والمسلمين رسول جعفريان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قاسم جوادي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والمسلمين محمّد حسين درايتي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والمسلمين محمّد كاظم رحمان ستايش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والمسلمين محمّد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ممثل المجمع العالمي لأهل البيت عليهم السلام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137_12124"/>
    </w:p>
    <w:p>
      <w:pPr>
        <w:pStyle w:val="Heading3"/>
        <w:numPr>
          <w:ilvl w:val="2"/>
          <w:numId w:val="1"/>
        </w:numPr>
        <w:rPr/>
      </w:pPr>
      <w:bookmarkStart w:id="134" w:name="__RefHeading___Toc147797_3804643083"/>
      <w:bookmarkStart w:id="135" w:name="_Toc48"/>
      <w:bookmarkEnd w:id="133"/>
      <w:bookmarkEnd w:id="134"/>
      <w:r>
        <w:rPr>
          <w:rtl w:val="true"/>
        </w:rPr>
        <w:t>ج</w:t>
      </w:r>
      <w:r>
        <w:rPr>
          <w:rtl w:val="true"/>
        </w:rPr>
        <w:t xml:space="preserve">. </w:t>
      </w:r>
      <w:r>
        <w:rPr>
          <w:rtl w:val="true"/>
        </w:rPr>
        <w:t>قسم إعداد الأعمال، ويشمل</w:t>
      </w:r>
      <w:r>
        <w:rPr>
          <w:rtl w:val="true"/>
        </w:rPr>
        <w:t xml:space="preserve">: </w:t>
      </w:r>
      <w:r>
        <w:rPr>
          <w:rtl w:val="true"/>
        </w:rPr>
        <w:t>تنضيد الحروف، التنقيح، المقابلة</w:t>
      </w:r>
      <w:r>
        <w:rPr>
          <w:rtl w:val="true"/>
        </w:rPr>
        <w:t>...</w:t>
      </w:r>
      <w:bookmarkEnd w:id="135"/>
    </w:p>
    <w:p>
      <w:pPr>
        <w:pStyle w:val="Heading3"/>
        <w:numPr>
          <w:ilvl w:val="2"/>
          <w:numId w:val="1"/>
        </w:numPr>
        <w:rPr/>
      </w:pPr>
      <w:bookmarkStart w:id="136" w:name="__RefHeading___Toc147799_3804643083"/>
      <w:bookmarkStart w:id="137" w:name="_Toc49"/>
      <w:bookmarkEnd w:id="136"/>
      <w:r>
        <w:rPr>
          <w:rtl w:val="true"/>
        </w:rPr>
        <w:t>د</w:t>
      </w:r>
      <w:r>
        <w:rPr>
          <w:rtl w:val="true"/>
        </w:rPr>
        <w:t xml:space="preserve">. </w:t>
      </w:r>
      <w:r>
        <w:rPr>
          <w:rtl w:val="true"/>
        </w:rPr>
        <w:t>القسم التنفيذي للمؤتمر</w:t>
      </w:r>
      <w:r>
        <w:rPr>
          <w:rtl w:val="true"/>
        </w:rPr>
        <w:t>:</w:t>
      </w:r>
      <w:bookmarkEnd w:id="137"/>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والمسلمين علي صدرايى خويي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الدكتور پرويز فارسيجاني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 جمعية الأعمال والإبداعات الثقافية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الاُستاذ مير هاشم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مير جلال الدين المحدّث الاُرموي، محقق كتاب النقض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والمسلمين محمّد مهدي معراجي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والمسلمين محمّد علي مهدوي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إعداد الأعمال، ويشمل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تنضيد الحروف، التنقيح، المقابلة، والإخراج الفني، وهم كلّ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مهدي جوهرچي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محمّد كريم صالحي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تنضيد الحروف، والإخراج الفني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التنفيذي للمؤتمر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محمّد مهدي خوش‌قلب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المدير التنفيذي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أمير حسين سعيدي صابر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137_12126"/>
    </w:p>
    <w:p>
      <w:pPr>
        <w:pStyle w:val="Heading3"/>
        <w:numPr>
          <w:ilvl w:val="2"/>
          <w:numId w:val="1"/>
        </w:numPr>
        <w:rPr/>
      </w:pPr>
      <w:bookmarkStart w:id="139" w:name="__RefHeading___Toc147801_3804643083"/>
      <w:bookmarkStart w:id="140" w:name="_Toc50"/>
      <w:bookmarkEnd w:id="138"/>
      <w:bookmarkEnd w:id="139"/>
      <w:r>
        <w:rPr>
          <w:rtl w:val="true"/>
        </w:rPr>
        <w:t xml:space="preserve">هـ </w:t>
      </w:r>
      <w:r>
        <w:rPr>
          <w:rtl w:val="true"/>
        </w:rPr>
        <w:t xml:space="preserve">. </w:t>
      </w:r>
      <w:r>
        <w:rPr>
          <w:rtl w:val="true"/>
        </w:rPr>
        <w:t>المستشارون العلميون للمؤتمر</w:t>
      </w:r>
      <w:bookmarkEnd w:id="140"/>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المستشارون العلميون للمؤتمر</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هادي 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محمّد هادي خالقي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ينبغي أن نبدي شكرنا لكُتّاب الأعمال والبحوث والأساتذة الذين كانت لهم جهود ومساهمة في المراحل المختلفة في إعداد النسخة الجديدة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ونعلن أيضاً أنّ أسماءهم قد وردت على مؤلّفاتهم، وفي صفحات هوية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ونعبّرعن تقديرنا لجميع السادة الأفاضل الذي بذلوا جهوداً في تقييم المؤلّفات أو في رفد العلاقات العلمية مع الجهات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ونثمّن أيضاً جهود الزملاء في الأقسام المختلفة لمعاونية الشؤون الإدارية والمالية في مؤسّسة دار الحديث العلمية والثقافية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المهريزيأمين اللجنة العلميةالجمعة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جمادى الاُولى </w:t>
      </w:r>
      <w:r>
        <w:rPr>
          <w:rFonts w:ascii="Amiri" w:hAnsi="Amiri" w:eastAsia="Amiri" w:cs="Amiri"/>
          <w:color w:val="111111"/>
          <w:sz w:val="28"/>
          <w:sz w:val="28"/>
          <w:szCs w:val="28"/>
          <w:lang w:bidi="ar-SA"/>
        </w:rPr>
        <w:t>۱۴۳۳</w:t>
      </w:r>
      <w:r>
        <w:rPr>
          <w:rFonts w:ascii="Amiri" w:hAnsi="Amiri" w:eastAsia="Amiri" w:cs="Amiri"/>
          <w:color w:val="111111"/>
          <w:sz w:val="28"/>
          <w:sz w:val="28"/>
          <w:szCs w:val="28"/>
          <w:rtl w:val="true"/>
          <w:lang w:bidi="ar-SA"/>
        </w:rPr>
        <w:t xml:space="preserve"> هـالمصادف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۱۳۹۱۶</w:t>
      </w:r>
      <w:r>
        <w:rPr>
          <w:rFonts w:ascii="Amiri" w:hAnsi="Amiri" w:eastAsia="Amiri" w:cs="Amiri"/>
          <w:color w:val="111111"/>
          <w:sz w:val="28"/>
          <w:sz w:val="28"/>
          <w:szCs w:val="28"/>
          <w:rtl w:val="true"/>
          <w:lang w:bidi="ar-SA"/>
        </w:rPr>
        <w:t xml:space="preserve"> أبريل </w:t>
      </w:r>
      <w:r>
        <w:rPr>
          <w:rFonts w:ascii="Amiri" w:hAnsi="Amiri" w:eastAsia="Amiri" w:cs="Amiri"/>
          <w:color w:val="111111"/>
          <w:sz w:val="28"/>
          <w:sz w:val="28"/>
          <w:szCs w:val="28"/>
          <w:lang w:bidi="ar-SA"/>
        </w:rPr>
        <w:t>۲۰۱۲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1" w:name="pg2137_12130"/>
    </w:p>
    <w:p>
      <w:pPr>
        <w:pStyle w:val="Heading2"/>
        <w:numPr>
          <w:ilvl w:val="1"/>
          <w:numId w:val="1"/>
        </w:numPr>
        <w:rPr/>
      </w:pPr>
      <w:bookmarkStart w:id="142" w:name="__RefHeading___Toc147803_3804643083"/>
      <w:bookmarkStart w:id="143" w:name="_Toc51"/>
      <w:bookmarkEnd w:id="141"/>
      <w:bookmarkEnd w:id="142"/>
      <w:r>
        <w:rPr>
          <w:rtl w:val="true"/>
        </w:rPr>
        <w:t>حول هذا الكتاب</w:t>
      </w:r>
      <w:bookmarkEnd w:id="143"/>
    </w:p>
    <w:p>
      <w:pPr>
        <w:pStyle w:val="BookText"/>
        <w:rPr/>
      </w:pPr>
      <w:r>
        <w:rPr>
          <w:rFonts w:ascii="Amiri" w:hAnsi="Amiri" w:eastAsia="Amiri" w:cs="Amiri"/>
          <w:color w:val="111111"/>
          <w:sz w:val="28"/>
          <w:sz w:val="28"/>
          <w:szCs w:val="28"/>
          <w:rtl w:val="true"/>
          <w:lang w:bidi="ar-SA"/>
        </w:rPr>
        <w:t>حول هذا الكتابالجوانب التي يمكن اتّخاذها موضوعاً للبحث والتأليف حول عبد الجليل الرازي القزويني هي حياته ومؤلّفاته من جانب، وعصره وزمانه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ونظراً إلى أنّ كتب التراجم والمصادر التاريخية لم تذكر إلّا النزر اليسير عن حياته، وأنّه لم يبق من مؤلّفاته إلاّ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كُرِّس البحث والتأليف في الجانب الأوّل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بينما الجانب الثاني ـ وهو عصره ـ فيمكن إجالة النظر فيه على صعيد البحث والتأمّل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نشير إلى أنّ هناك بحوثاً كانت قد نُشرت من قبل في اللغة الفارسية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شخصية عبد الجليل ـ وهي عبارة عن اثنين وعشرين بحثاً على أدنى تقدير ـ وهذا أدّى بطبيعة الحال إلى تضييق المجال أمام ما كُنّا نصبو إليه من كتابة بحوث أكثر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أعمال التحليل التاريخي، والنظرة النقدية إلى التاريخ، وتسليط الضوء على التيارات التاريخية نادراً ما تلقى إقبالاً في الأوساط العلمية في إيران، ولذلك فهي قلّما تكون موضع اهتمام وهواجس 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ما سبق ذكره، من بعد نشر الدعوة لاستكتاب البحوث حول هذا الموضوع، وما أُرسل من دعوات خاصّة لهذا الغرض، وصل إلى المؤتمر خمسة وعشرون بحثاً من البحوث التي نالت القبول في اللجنة العلمية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في مجلّدين ليطّلع عليها الباحثون وذوو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المجلّد الأوّل منهما اثني عشر بحثاً، بينما يضمّ المجلّد الثاني بين دفّتيه ثلاثة عشر بحثاً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تقسيم هذه البحوث من حيث المحتوى إلى ستّة مواضيع عامّة،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عامّة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القرآنية والحديثية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ثلاثة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البحث الثاني إلى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ثمانية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البحث الخامس إلى الثاني عشر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التاريخ والجغرافية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تسعة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البحث الأوّل إلى التاسع من 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وصياغة كتاب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العاشر والحادي عشر من 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 عشر والثالث عشر من 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صعيد آخر فإنّ ثلاثة من مجموع هذه البحوث تسلّط الضوء على العصر الذي كان يعيش فيه عبد الجليل القزويني،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السابع من المجلّد الأوّل، والبحثان الأوّل والتاسع من المجلّد الثاني، وأمّا الاثنان والعشرون الاُخر فهي تتحدّث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كُتّاب البحوث فكان منهم أربع نساء، وواحد وعشرون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الكتاب نضع بين أيدي الباحثين خلاصات لهذه البحوث التي بلغ عددها خمسة وعشرين بحثاً، بثلاث لغات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والفارسية، والانجليزية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بترجمتها إلى اللغة العربية خليل زامِل العِصامي، وإلى اللغة الانجليزية سيّد عبد المجيد طباطبائي 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نعبّر عن تقديرنا لجهودهما، وأمّا البحوث فهي كالتالي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4" w:name="pg2137_12137"/>
    </w:p>
    <w:p>
      <w:pPr>
        <w:pStyle w:val="Heading2"/>
        <w:numPr>
          <w:ilvl w:val="1"/>
          <w:numId w:val="1"/>
        </w:numPr>
        <w:rPr/>
      </w:pPr>
      <w:bookmarkStart w:id="145" w:name="__RefHeading___Toc147805_3804643083"/>
      <w:bookmarkStart w:id="146" w:name="_Toc52"/>
      <w:bookmarkEnd w:id="144"/>
      <w:bookmarkEnd w:id="145"/>
      <w:r>
        <w:rPr>
          <w:rtl w:val="true"/>
        </w:rPr>
        <w:t>ملخصات باللغة العربية</w:t>
      </w:r>
      <w:bookmarkEnd w:id="146"/>
    </w:p>
    <w:p>
      <w:pPr>
        <w:pStyle w:val="Heading3"/>
        <w:numPr>
          <w:ilvl w:val="2"/>
          <w:numId w:val="1"/>
        </w:numPr>
        <w:rPr/>
      </w:pPr>
      <w:bookmarkStart w:id="147" w:name="__RefHeading___Toc147807_3804643083"/>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خلاصات بحوث</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9" w:name="pg2137_12141"/>
    </w:p>
    <w:p>
      <w:pPr>
        <w:pStyle w:val="Heading3"/>
        <w:numPr>
          <w:ilvl w:val="2"/>
          <w:numId w:val="1"/>
        </w:numPr>
        <w:rPr/>
      </w:pPr>
      <w:bookmarkStart w:id="150" w:name="__RefHeading___Toc147809_3804643083"/>
      <w:bookmarkStart w:id="151" w:name="_Toc54"/>
      <w:bookmarkEnd w:id="149"/>
      <w:bookmarkEnd w:id="150"/>
      <w:r>
        <w:rPr/>
        <w:t>۱</w:t>
      </w:r>
      <w:r>
        <w:rPr>
          <w:rtl w:val="true"/>
        </w:rPr>
        <w:t xml:space="preserve">. </w:t>
      </w:r>
      <w:r>
        <w:rPr>
          <w:rtl w:val="true"/>
        </w:rPr>
        <w:t xml:space="preserve">نظرات في كتاب </w:t>
      </w:r>
      <w:r>
        <w:rPr>
          <w:rtl w:val="true"/>
        </w:rPr>
        <w:t>«</w:t>
      </w:r>
      <w:r>
        <w:rPr>
          <w:rtl w:val="true"/>
        </w:rPr>
        <w:t>النقض</w:t>
      </w:r>
      <w:r>
        <w:rPr>
          <w:rtl w:val="true"/>
        </w:rPr>
        <w:t xml:space="preserve">» </w:t>
      </w:r>
      <w:r>
        <w:rPr>
          <w:rtl w:val="true"/>
        </w:rPr>
        <w:t>لعبد الجليل القزويني الرازي</w:t>
      </w:r>
      <w:bookmarkEnd w:id="15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نظرات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الجليل القزويني الرازيآية الله رضا استاديالمعروف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كتاب كلامي دوّنه مؤّلّفه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في واقع الحال زاخر بمعلومات تاريخية، وجغرافية، وثقافية، وغير ذلك، ويمكن أن يكون استخراجها وبحثها مفيداً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يرمي كاتب هذا البحث إلى اسختراج ما يراه مفيداً وقيّماً من بين ثنايا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تبيينها وتسليط الضوء عليها، وهذه الملاحظات عبارة عمّا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اجتناب الإجابات المتسرّعة؛ الردّ على المعاندين والمتعصّبين بالمثل؛ طرح العقائد ببساطة وشفّافية؛ الاختلاف مع المحدّثين؛ الوقوف عند الخطوط الحمراء؛ فضائح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الروافض الخمسة ـ برأي كاتبها السنّي ـ ؛ احترام أهل السنّة؛ المدن الشيعية والمدن السُنيّة؛ بعض المعلومات التاريخية والجغرافية،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كاتب هذا البحث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علي معلومات لم يرد ذكر الكثير منها إلّا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عبد الجليل القزويني الرازي، آداب المناظرة، الجغرافية التأريخية، كلام الشيعة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2137_12145"/>
    </w:p>
    <w:p>
      <w:pPr>
        <w:pStyle w:val="Heading3"/>
        <w:numPr>
          <w:ilvl w:val="2"/>
          <w:numId w:val="1"/>
        </w:numPr>
        <w:rPr/>
      </w:pPr>
      <w:bookmarkStart w:id="153" w:name="__RefHeading___Toc147811_3804643083"/>
      <w:bookmarkStart w:id="154" w:name="_Toc55"/>
      <w:bookmarkEnd w:id="152"/>
      <w:bookmarkEnd w:id="153"/>
      <w:r>
        <w:rPr/>
        <w:t>۲</w:t>
      </w:r>
      <w:r>
        <w:rPr>
          <w:rtl w:val="true"/>
        </w:rPr>
        <w:t xml:space="preserve">. </w:t>
      </w:r>
      <w:r>
        <w:rPr>
          <w:rtl w:val="true"/>
        </w:rPr>
        <w:t xml:space="preserve">المستندات القرآنية لعبد الجليل القزويني الرازي في كتاب </w:t>
      </w:r>
      <w:r>
        <w:rPr>
          <w:rtl w:val="true"/>
        </w:rPr>
        <w:t>«</w:t>
      </w:r>
      <w:r>
        <w:rPr>
          <w:rtl w:val="true"/>
        </w:rPr>
        <w:t>النقض</w:t>
      </w:r>
      <w:r>
        <w:rPr>
          <w:rtl w:val="true"/>
        </w:rPr>
        <w:t>»</w:t>
      </w:r>
      <w:bookmarkEnd w:id="154"/>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المستندات القرآنية لعبد الجليل القزويني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علي راد </w:t>
      </w:r>
      <w:r>
        <w:rPr>
          <w:rStyle w:val="FootnoteAnchor"/>
          <w:rtl w:val="true"/>
        </w:rPr>
        <w:footnoteReference w:id="27"/>
      </w:r>
      <w:r>
        <w:rPr>
          <w:rFonts w:ascii="Amiri" w:hAnsi="Amiri" w:eastAsia="Amiri" w:cs="Amiri"/>
          <w:color w:val="111111"/>
          <w:sz w:val="28"/>
          <w:sz w:val="28"/>
          <w:szCs w:val="28"/>
          <w:rtl w:val="true"/>
          <w:lang w:bidi="ar-SA"/>
        </w:rPr>
        <w:t xml:space="preserve">رغم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عبد الجليل القزويني الرازي كتاب كلامي باُسلوب جدلي، غير أنّ للقرآن تواجداً مشهوداً بكلّ وضوح في مباحثه؛ إذ يوجد فيه ما يُقارب ثلاثمائة آية جاءت على سبيل الاستناد والاستشهاد، حيث وظّف الرازي هذه الآيات لتفنيد آراء مخالفيه أو لإثبات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قد عرض تفسيراً كلامياً للمعارف الاعتقادية في القرآن باُسلوب اجتهادي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لدى الرازي معرفة لابأس بها بعلم التفسير، فقد تناول بحث الآيات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وتفسيرها وفقاً لاُصول التفسير عند الإمامية واستناداً إلى الاُصول والقواعد الخاصّة بعلم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المواضيع الأساسية التي تناولها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معرفة القرآن؛ آراء علوم القرآن؛ معرفة مناهج التفسير؛ الآراء التفسيرية والتأويلية للرازي؛ التعاليم القرآنية الكلامية للنقض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القزويني الرازي، النقض، القرآن، التفسير، التأويل، المباني، المنهج، الآراء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137_12148"/>
    </w:p>
    <w:p>
      <w:pPr>
        <w:pStyle w:val="Heading3"/>
        <w:numPr>
          <w:ilvl w:val="2"/>
          <w:numId w:val="1"/>
        </w:numPr>
        <w:rPr/>
      </w:pPr>
      <w:bookmarkStart w:id="156" w:name="__RefHeading___Toc147813_3804643083"/>
      <w:bookmarkStart w:id="157" w:name="_Toc56"/>
      <w:bookmarkEnd w:id="155"/>
      <w:bookmarkEnd w:id="156"/>
      <w:r>
        <w:rPr/>
        <w:t>۳</w:t>
      </w:r>
      <w:r>
        <w:rPr>
          <w:rtl w:val="true"/>
        </w:rPr>
        <w:t xml:space="preserve">. </w:t>
      </w:r>
      <w:r>
        <w:rPr>
          <w:rtl w:val="true"/>
        </w:rPr>
        <w:t>نظرة تأويلية إلي الآيات القرآنية في كتاب النقض</w:t>
      </w:r>
      <w:bookmarkEnd w:id="157"/>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نظرة تأويلية إلي الآيات القرآنية في كتاب النقضالدكتور محمد رضا موحدي </w:t>
      </w:r>
      <w:r>
        <w:rPr>
          <w:rStyle w:val="FootnoteAnchor"/>
          <w:rtl w:val="true"/>
        </w:rPr>
        <w:footnoteReference w:id="28"/>
      </w:r>
      <w:r>
        <w:rPr>
          <w:rFonts w:ascii="Amiri" w:hAnsi="Amiri" w:eastAsia="Amiri" w:cs="Amiri"/>
          <w:color w:val="111111"/>
          <w:sz w:val="28"/>
          <w:sz w:val="28"/>
          <w:szCs w:val="28"/>
          <w:rtl w:val="true"/>
          <w:lang w:bidi="ar-SA"/>
        </w:rPr>
        <w:t xml:space="preserve">المسألة الأساسية التي يُعنى هذا البحث بالنظر فيها هي اُسلوب الاستفادة من تأويل الآيات القرآنية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تعرّض هذا البحث ـ بعد إلقاء نظرة موجزة على الفرق بين التفسير والتأويل ـ إلى تقديم شرح موجز لاستعمال كلمة التأويل وتنوّع معانيها في كتاب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يعرض امثلة بارزة من تأويل الآيات القرآنية الواردة في كتاب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الأعظم من استعمال الآيات القرآنية في النقض، من بعد الاستشهادات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اللغوية، والفقهية، والتاريخية،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يختصّ بالمقارنات الكلامية، والأهم من ذلك ما يختص بالفهم التأويلي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استعمال هذه التأويلات تارة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سياق الرد على التهم والافتراءات التي يثيرها الخصم، وجاء الكلام عن مثل هذا التأويل في الرد على سبيل المثال بأن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استعمال هذه التأويلات تارة أُخرى في قبول أو إثبات أو معتقدات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تسليط الضوء على قسم من التأويلات التي جاءت في كتاب النقض، يمكن أن تقترب بالقارئ من هذه النتيجة وهي ان استعمال التأويلات بالمقارنة إلى المباحث التفسيرية كانت ذات مدىً واسع من التأثير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تقصّي هذا التأثير حتّى في بعض التأويلات التي تُنسب إلى الشيعة من خلال ما ينضح من كلام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عن هذا الطريق وضع الاصبع على الطريق الذي كان مدعاة لإثارة مثل هذه الاتهامات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لاشك فيه ان معرفة هذه الفجوات تعدّ بمثابة الخطوات الاولى لتعرف على مواطن الضعف لدى الفرق الإسلامية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القرآن، الآراء الكلامية، التفسير، كتاب النقض، عبد الجليل القزويني الرازي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137_12150"/>
    </w:p>
    <w:p>
      <w:pPr>
        <w:pStyle w:val="Heading3"/>
        <w:numPr>
          <w:ilvl w:val="2"/>
          <w:numId w:val="1"/>
        </w:numPr>
        <w:rPr/>
      </w:pPr>
      <w:bookmarkStart w:id="159" w:name="__RefHeading___Toc147815_3804643083"/>
      <w:bookmarkStart w:id="160" w:name="_Toc57"/>
      <w:bookmarkEnd w:id="158"/>
      <w:bookmarkEnd w:id="159"/>
      <w:r>
        <w:rPr/>
        <w:t>۴</w:t>
      </w:r>
      <w:r>
        <w:rPr>
          <w:rtl w:val="true"/>
        </w:rPr>
        <w:t xml:space="preserve">. </w:t>
      </w:r>
      <w:r>
        <w:rPr>
          <w:rtl w:val="true"/>
        </w:rPr>
        <w:t>أضواء علي الاُصول والمنهج الحديثي</w:t>
      </w:r>
      <w:r>
        <w:rPr>
          <w:rtl w:val="true"/>
        </w:rPr>
        <w:t>...</w:t>
      </w:r>
      <w:bookmarkEnd w:id="16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أضواء علي الاُصول والمنهج الحديثي لعبد الجليل الرازي القزويني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مهدي إحساني‌فر </w:t>
      </w:r>
      <w:r>
        <w:rPr>
          <w:rStyle w:val="FootnoteAnchor"/>
          <w:rtl w:val="true"/>
        </w:rPr>
        <w:footnoteReference w:id="29"/>
      </w:r>
      <w:r>
        <w:rPr>
          <w:rFonts w:ascii="Amiri" w:hAnsi="Amiri" w:eastAsia="Amiri" w:cs="Amiri"/>
          <w:color w:val="111111"/>
          <w:sz w:val="28"/>
          <w:sz w:val="28"/>
          <w:szCs w:val="28"/>
          <w:rtl w:val="true"/>
          <w:lang w:bidi="ar-SA"/>
        </w:rPr>
        <w:t xml:space="preserve">عبد الجليل القزويني الرازي المتكلّم الشيعي، ألّف في النصف الثاني من القرن السادس الهجري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مثالب النواصب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ردّ فيه على بعض شبهات أهل السنّة حول الشيعة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استشهد في مناظراته بما يربو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القرآن الكريم، وما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طرحها للبحث بين ثنايا كتابه الذي يتألّف من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هذه المقالة نبذة عن عبد الجليل القزويني وكتابه، ثمّ يجري بعد ذلك تحليل مبانيه الحديثية، حيث انّه يُعد في عداد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دراية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هذا الكتاب ويتّضح من خلالها أنّ قواعد الحديث والمصطلحات الحديثية عند الشيعة تعود في قِدَمها إلى ما قبل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يُسلط الضوء على منهج المؤلّف ومبانيه في فقه الحديث ونقد الحديث، وهو ما يعكس منهجية المحدّثين المتقدّمين في فهم الحديث ونقده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الختام تُقدّم صورة عن التفكير الحديثي لعبد الجليل، وتنتهي هذه المقالة بطرح النتيجة والمقترحات البحثية، وسرد بمصادر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معطيات هذه المقالة مستخرجة من المنهج الحديثي لعبد الجليل، ونادراً مّا اعتمدت أقواله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القزويني الرازي، كتاب النقض، مناظرات الفريقين، الكلام و العقائد، علوم الحديث، المنهجية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2137_12152"/>
    </w:p>
    <w:p>
      <w:pPr>
        <w:pStyle w:val="Heading3"/>
        <w:numPr>
          <w:ilvl w:val="2"/>
          <w:numId w:val="1"/>
        </w:numPr>
        <w:rPr/>
      </w:pPr>
      <w:bookmarkStart w:id="162" w:name="__RefHeading___Toc147817_3804643083"/>
      <w:bookmarkStart w:id="163" w:name="_Toc58"/>
      <w:bookmarkEnd w:id="161"/>
      <w:bookmarkEnd w:id="162"/>
      <w:r>
        <w:rPr/>
        <w:t>۵</w:t>
      </w:r>
      <w:r>
        <w:rPr>
          <w:rtl w:val="true"/>
        </w:rPr>
        <w:t xml:space="preserve">. </w:t>
      </w:r>
      <w:r>
        <w:rPr>
          <w:rtl w:val="true"/>
        </w:rPr>
        <w:t>معرفة اللّه، والتوحيد والأسماء والصفات برأي</w:t>
      </w:r>
      <w:r>
        <w:rPr>
          <w:rtl w:val="true"/>
        </w:rPr>
        <w:t>...</w:t>
      </w:r>
      <w:bookmarkEnd w:id="16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معرفة اللّه، والتوحيد والأسماء والصفات برأي المرحوم عبد الجليل القزويني الرازيمحمّد بياباني اُسكوئي </w:t>
      </w:r>
      <w:r>
        <w:rPr>
          <w:rStyle w:val="FootnoteAnchor"/>
          <w:rtl w:val="true"/>
        </w:rPr>
        <w:footnoteReference w:id="30"/>
      </w:r>
      <w:r>
        <w:rPr>
          <w:rFonts w:ascii="Amiri" w:hAnsi="Amiri" w:eastAsia="Amiri" w:cs="Amiri"/>
          <w:color w:val="111111"/>
          <w:sz w:val="28"/>
          <w:sz w:val="28"/>
          <w:szCs w:val="28"/>
          <w:rtl w:val="true"/>
          <w:lang w:bidi="ar-SA"/>
        </w:rPr>
        <w:t>حين ينظر الإنسان إلى اللّه، ويتوجّه إلى حقيقة المعرفة، يجد ذاته مخلوقاً ومملوكاً ومحتاجاً إلى تمام ذاته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يرى أنّ العبودية له تمثّل أسمى درجات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تبحث هذه المقالة سبيل الوصول إلى حقيقة معرفة الله من وجهة نظر عبد الجليل القزويني الرازي وعلماء الشيعة الآخرين انطلاقاً ممّا جاء فى آيات القرآن الكريم والأحاديث المنقولة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الجوانب الاُخرى التي يتناولها هذا البحث توحيد اللّه تعالى، وأسماؤه وصفاته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التوحيد، أقسام التوحيد، الأسماء والصفات، عبد الجليل القزويني الرازي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2137_12153"/>
    </w:p>
    <w:p>
      <w:pPr>
        <w:pStyle w:val="Heading3"/>
        <w:numPr>
          <w:ilvl w:val="2"/>
          <w:numId w:val="1"/>
        </w:numPr>
        <w:rPr/>
      </w:pPr>
      <w:bookmarkStart w:id="165" w:name="__RefHeading___Toc147819_3804643083"/>
      <w:bookmarkStart w:id="166" w:name="_Toc59"/>
      <w:bookmarkEnd w:id="164"/>
      <w:bookmarkEnd w:id="165"/>
      <w:r>
        <w:rPr/>
        <w:t>۶</w:t>
      </w:r>
      <w:r>
        <w:rPr>
          <w:rtl w:val="true"/>
        </w:rPr>
        <w:t xml:space="preserve">. </w:t>
      </w:r>
      <w:r>
        <w:rPr>
          <w:rtl w:val="true"/>
        </w:rPr>
        <w:t>مفهوم الإمامة وخصائص الأئمّة عليهم السلام</w:t>
      </w:r>
      <w:bookmarkEnd w:id="166"/>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مفهوم الإمامة وخصائص الأئمّة عليهم السلام برأي عبد الجليل القزويني الرازيأصغر غلامى </w:t>
      </w:r>
      <w:r>
        <w:rPr>
          <w:rStyle w:val="FootnoteAnchor"/>
          <w:rtl w:val="true"/>
        </w:rPr>
        <w:footnoteReference w:id="31"/>
      </w:r>
      <w:r>
        <w:rPr>
          <w:rFonts w:ascii="Amiri" w:hAnsi="Amiri" w:eastAsia="Amiri" w:cs="Amiri"/>
          <w:color w:val="111111"/>
          <w:sz w:val="28"/>
          <w:sz w:val="28"/>
          <w:szCs w:val="28"/>
          <w:rtl w:val="true"/>
          <w:lang w:bidi="ar-SA"/>
        </w:rPr>
        <w:t>الإمامة منصب إلهي، والإمام مكلّف بمهمّة هداية الناس، ولابدّ أن تكون للإمام بعض الخصائص التي تتناسب مع مقامه من أجل النهوض بهذه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هذه المقالة تسليط الضوء على خصائص الأئمّة برأي عبد الجليل القزويني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طرحت كلّ واحدة من هذه الخصائص من بعد عرض بحث إجمالي لها من منظار العقل، والقرآن، والروايات الواردة عن أهل البيت عليهم السلام ، ثمّ ذكر بعد ذلك رأي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بشأنها، وما كتبه من ردّ على كلام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الخصائص أو الشروط اللازمة للإمامة برأي عبد الجليل القزويني الرازي فتتلخّص في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يعتبر الإمام مفترض الطاعة، ويمكن أن تجري المعجزة على يده، بل وتجب أن تجري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المقالة بعد أن تشير إلى أهميّة الموضوع وتعرض نبذة عن تاريخه، تأتي على بحث المواضيع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وحقيقة الإمامة؛ طريق تعيين الإمام؛ وبحث رأي عبد الجليل القزويني الرازي حول علم الإمام وعصمته والنصّ عليه وإمكان وقوع المعجزة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العلم الإلهي، العصمة، النصّ، المعجزة، عبد الجليل القزويني الرازي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2137_12155"/>
    </w:p>
    <w:p>
      <w:pPr>
        <w:pStyle w:val="Heading3"/>
        <w:numPr>
          <w:ilvl w:val="2"/>
          <w:numId w:val="1"/>
        </w:numPr>
        <w:rPr/>
      </w:pPr>
      <w:bookmarkStart w:id="168" w:name="__RefHeading___Toc147821_3804643083"/>
      <w:bookmarkStart w:id="169" w:name="_Toc60"/>
      <w:bookmarkEnd w:id="167"/>
      <w:bookmarkEnd w:id="168"/>
      <w:r>
        <w:rPr/>
        <w:t>۷</w:t>
      </w:r>
      <w:r>
        <w:rPr>
          <w:rtl w:val="true"/>
        </w:rPr>
        <w:t xml:space="preserve">. </w:t>
      </w:r>
      <w:r>
        <w:rPr>
          <w:rtl w:val="true"/>
        </w:rPr>
        <w:t>مواجهة متكلّمي الإمامية للفلسفة في القرن السادس للهجرة</w:t>
      </w:r>
      <w:bookmarkEnd w:id="169"/>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مواجهة متكلّمي الإمامية للفلسفة في القرن السادس للهجرةعلي‌نقي خداياري </w:t>
      </w:r>
      <w:r>
        <w:rPr>
          <w:rStyle w:val="FootnoteAnchor"/>
          <w:rtl w:val="true"/>
        </w:rPr>
        <w:footnoteReference w:id="32"/>
      </w:r>
      <w:r>
        <w:rPr>
          <w:rFonts w:ascii="Amiri" w:hAnsi="Amiri" w:eastAsia="Amiri" w:cs="Amiri"/>
          <w:color w:val="111111"/>
          <w:sz w:val="28"/>
          <w:sz w:val="28"/>
          <w:szCs w:val="28"/>
          <w:rtl w:val="true"/>
          <w:lang w:bidi="ar-SA"/>
        </w:rPr>
        <w:t>من المباحث الجديرة بالنظر في مجال تاريخ كلام الإمامية، مبحث اُسلوب مواجهة وتعامل متكلّمي الإمامية مع الفلسفة ومع التعاليم الفلسفية في الأدوار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في ضوء هذه الدراسة أنّ تعاطي علماء الإمامية مع الفلسفة في القرن السادس للهجرة كان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 الإيجابي، والتعاطي السلبي والنقدي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 التعاطي الإيجابي كانت هناك عدّة أوجه،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الاُصول والتعاليم الفلسفية لإثبات المسائل الكلامية والأخذ ببعض التعاليم الفلسفية المغايرة للتعاليم الكلامية، التدوين الفلسفي للتاريخ،</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الاستشهاد بأقوال الفلاسفة في النصوص الأخلاقية، تدوين المناقب، وتفاسير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التعاطي السلبي مع الفلسفة فقد تجسّد في ثلاثة أوجه،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العام؛ وتدوين الردود؛ ونقد الاُسس والتعاليم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أهم القضايا الخلافية والتي توجّه إليها متكلّمو الإمامية بالنقد فهي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فعل اللّه؛ وقِدم العالم؛ وفلسفة الخلق؛ وحقيقة الإنسان؛ والمعاد؛ والقول في الطبائع؛ والمعجزة؛ والطريق إلى معرفة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جوانب إيجابية في التعاطي مع الفلسفة، والاتّجاه العامّ الذي يحمله الكاتب إزاء الفلسفة وإزاء التعاليم الفلسفية، كلّه سلبي ونقدي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الإمامية، الفلسفة، التعاطي الإيجابي، التعاطي السلبي، كتابة الردود، القرن السادس، عبد الجليل القزويني الرازي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137_12157"/>
    </w:p>
    <w:p>
      <w:pPr>
        <w:pStyle w:val="Heading3"/>
        <w:numPr>
          <w:ilvl w:val="2"/>
          <w:numId w:val="1"/>
        </w:numPr>
        <w:rPr/>
      </w:pPr>
      <w:bookmarkStart w:id="171" w:name="__RefHeading___Toc147823_3804643083"/>
      <w:bookmarkStart w:id="172" w:name="_Toc61"/>
      <w:bookmarkEnd w:id="170"/>
      <w:bookmarkEnd w:id="171"/>
      <w:r>
        <w:rPr/>
        <w:t>۸</w:t>
      </w:r>
      <w:r>
        <w:rPr>
          <w:rtl w:val="true"/>
        </w:rPr>
        <w:t xml:space="preserve">. </w:t>
      </w:r>
      <w:r>
        <w:rPr>
          <w:rtl w:val="true"/>
        </w:rPr>
        <w:t>خصائص الشيعة الاصولية برأي عبد الجليل القزويني الرازي</w:t>
      </w:r>
      <w:bookmarkEnd w:id="172"/>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خصائص الشيعة الاصولية برأي عبد الجليل القزويني الرازيقاسم 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جوادي</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الوحيد الذي تركه عبد الجليل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الشيعي في القرن السادس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الكتاب بين دفّتيه معلومات حصرية حول تاريخ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السادس وما 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الشيعية المختلفة، والوجود الجغرافي للتشيّع في إيران والبلدان الاُخرى، والأفكار الشيعية وغير الشيعية، وما إلى ذلك من المواضيع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تحاول هذه المقالة تسليط الضوء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الشيعة الاُصولية بنظر عبد الجليل القزويني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جاء 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من ناحية الشيعة الاُصولية، وأمّا هنا فقد تناول فقط ما جاء بشكل صريح تحت عنوان عقيدة الشيعة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الشيعة الاُصولية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بعبارات اُخرى ذات قرينة دالّة على الشيعة الاُصولية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المباحث المتعلّقة بالشيعة الاُصولية متناثرة بين ثنايا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مرتّبة على نحو منهجي، إلّا أنّ هذه المقالة ترمي إلى عرضها وفقاً لترتيب خاص، حيث أدرج تحت كلّ موضوع كلام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جاء بجواب ما كتبه عبد الجليل القزويني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الاُصولي، الشيعة الاُصولية، الشيعة الاُصوليّون، الشيعة الإمامية الاُصولية، النقض، بعض فضائح الروافض</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137_12159"/>
    </w:p>
    <w:p>
      <w:pPr>
        <w:pStyle w:val="Heading3"/>
        <w:numPr>
          <w:ilvl w:val="2"/>
          <w:numId w:val="1"/>
        </w:numPr>
        <w:rPr/>
      </w:pPr>
      <w:bookmarkStart w:id="174" w:name="__RefHeading___Toc147825_3804643083"/>
      <w:bookmarkStart w:id="175" w:name="_Toc62"/>
      <w:bookmarkEnd w:id="173"/>
      <w:bookmarkEnd w:id="174"/>
      <w:r>
        <w:rPr/>
        <w:t>۹</w:t>
      </w:r>
      <w:r>
        <w:rPr>
          <w:rtl w:val="true"/>
        </w:rPr>
        <w:t xml:space="preserve">. </w:t>
      </w:r>
      <w:r>
        <w:rPr>
          <w:rtl w:val="true"/>
        </w:rPr>
        <w:t xml:space="preserve">مكانة اصطلاح </w:t>
      </w:r>
      <w:r>
        <w:rPr>
          <w:rtl w:val="true"/>
        </w:rPr>
        <w:t>«</w:t>
      </w:r>
      <w:r>
        <w:rPr>
          <w:rtl w:val="true"/>
        </w:rPr>
        <w:t>الشيعة الاُصولية</w:t>
      </w:r>
      <w:r>
        <w:rPr>
          <w:rtl w:val="true"/>
        </w:rPr>
        <w:t xml:space="preserve">» </w:t>
      </w:r>
      <w:r>
        <w:rPr>
          <w:rtl w:val="true"/>
        </w:rPr>
        <w:t>فى</w:t>
      </w:r>
      <w:r>
        <w:rPr>
          <w:rtl w:val="true"/>
        </w:rPr>
        <w:t>...</w:t>
      </w:r>
      <w:bookmarkEnd w:id="17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مكانة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الاُصولية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المنهج الكلامي عند عبد الجليل القزويني الرازيسيّد محمّد هادي گرامي </w:t>
      </w:r>
      <w:r>
        <w:rPr>
          <w:rStyle w:val="FootnoteAnchor"/>
          <w:rtl w:val="true"/>
        </w:rPr>
        <w:footnoteReference w:id="34"/>
      </w:r>
      <w:r>
        <w:rPr>
          <w:rFonts w:ascii="Amiri" w:hAnsi="Amiri" w:eastAsia="Amiri" w:cs="Amiri"/>
          <w:color w:val="111111"/>
          <w:sz w:val="28"/>
          <w:sz w:val="28"/>
          <w:szCs w:val="28"/>
          <w:rtl w:val="true"/>
          <w:lang w:bidi="ar-SA"/>
        </w:rPr>
        <w:t>بدأت المواجهة بين الأخباريّين والاُصوليين في القرن الحادي عشر للهجرة، متزامنة مع النشاطات التي قام بها الملّا محمّد أمين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يمكن العثور على استعمالات نادرة 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المتقدّمة علي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الجليل القزويني الرازي من الكتب المعدودة للإمامية في القرون الوسيطة، التي انعكست فيها المواجهة بشكل واضح نسبياً بين الاُصولية والأخباريّة، وعلى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الخصوص ما جاء في موارد متعدّدة من ذكر لفرقة تحت مسمّى الشيعة الاُصولية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واستناداً إلى قراءة أوّلية يبدو أنّ المواجهة التي طُرحت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تشير إلى أصحاب الحديث في قم، والإمامية الذين يميلون إلى مدرسة الكلام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تحاول هذه المقالة تفنيد هذه القراءة وطرح افتراض آخر، لتثبت في ختام المطاف أنّ استعمال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الكلامي لعبد الجليل القزويني الرازي جاء انطلاقاً من بعد استراتيجي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ممّا يشير إليه عبد الجليل في الظاهر من تيّارات وفرق ـ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الاُصولية والأخباريّة، إلّا أنّ عدم تطابق المعلومات الموجودة في الكتاب مع الشخصيّات المعروفة لهذه التيّارات يدلّ على أنّ طرح تيار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التحدّث عن مواجهة هذا التيّار لتيّار الأخباريّة ينمّ عن هدف بعيد المدى، وهو استعادة المكانة الاجتماعية للإمامية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الاُصوليّة، الشيعة الأخباريّة، النقض، عبد الجليل القزويني الرازي، القرن السادس، الاستراتيجية، الخطاب الكلامي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137_12161"/>
    </w:p>
    <w:p>
      <w:pPr>
        <w:pStyle w:val="Heading3"/>
        <w:numPr>
          <w:ilvl w:val="2"/>
          <w:numId w:val="1"/>
        </w:numPr>
        <w:rPr/>
      </w:pPr>
      <w:bookmarkStart w:id="177" w:name="__RefHeading___Toc147827_3804643083"/>
      <w:bookmarkStart w:id="178" w:name="_Toc63"/>
      <w:bookmarkEnd w:id="176"/>
      <w:bookmarkEnd w:id="177"/>
      <w:r>
        <w:rPr/>
        <w:t>۱۰</w:t>
      </w:r>
      <w:r>
        <w:rPr>
          <w:rtl w:val="true"/>
        </w:rPr>
        <w:t xml:space="preserve">. </w:t>
      </w:r>
      <w:r>
        <w:rPr>
          <w:rtl w:val="true"/>
        </w:rPr>
        <w:t xml:space="preserve">الدفاع عن الإماميّة والبراءة من الإسماعيليّة في كتاب </w:t>
      </w:r>
      <w:r>
        <w:rPr>
          <w:rtl w:val="true"/>
        </w:rPr>
        <w:t>«</w:t>
      </w:r>
      <w:r>
        <w:rPr>
          <w:rtl w:val="true"/>
        </w:rPr>
        <w:t>النقض</w:t>
      </w:r>
      <w:bookmarkEnd w:id="17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الدفاع عن الإماميّة والبراءة من الإسماعيليّة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رضوي </w:t>
      </w:r>
      <w:r>
        <w:rPr>
          <w:rStyle w:val="FootnoteAnchor"/>
          <w:rtl w:val="true"/>
        </w:rPr>
        <w:footnoteReference w:id="35"/>
      </w:r>
      <w:r>
        <w:rPr>
          <w:rFonts w:ascii="Amiri" w:hAnsi="Amiri" w:eastAsia="Amiri" w:cs="Amiri"/>
          <w:color w:val="111111"/>
          <w:sz w:val="28"/>
          <w:sz w:val="28"/>
          <w:szCs w:val="28"/>
          <w:rtl w:val="true"/>
          <w:lang w:bidi="ar-SA"/>
        </w:rPr>
        <w:t xml:space="preserve">في العصر الذي كان فيه عبد الجليل القزويني الرازي يؤلّف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العالم الإسلامي مقسّماً بين الخلافة الفاطمية في غرب العالم الإسلامي، والخلافة العبّاسية في شرقه، وقد اتّبعت كلّ واحدة من هاتين الخلافتين مختلف الأساليب السياسية، والثقافية، والدينية، والمذهبية، وكلّ وسيلة اُخرى ممكنة من أجل القضاء على خصومها وفرض سلطتها على جميع ربوع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تلك الأوضاع التي فقد فيها أتباع أهل البيت عليهم السلام ـ أي الشيعة الإمامية ـ ، ما كان لهم من ملاذ سياسي وعسكري على أثر سقوط الدولة البويهية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والدولة الحمدانية، فكان عليهم أن يتحمّلوا الضغوط من كلا الجانبين، وكان عليهم في الوقت ذاته الدفاع عن مذهبهم؛ وذلك لأنّ العبّاسيين كانوا يمارسون قتلهم بتهمة الانتماء إلى القرامطة والإسماعيلية؛ بينما كان النزاريون والقرامطة يقتلونهم أيضاً بتهمة التقيّة والتعاون مع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ظل تلك الأوضاع والأحوال كان دور علماء الإمامية حيوياً ومصيرياً؛ إذ كان عليهم ـ مضافاً إلي تبيين اُصول وفروع مذهب أهل البيت عليهم السلام ـ أن يتبرّأوا مِن التهم التي كان يثيرها خصومهم ضدّهم، وأنّ يحولوا دون وصول آراء المخالفين إلي ضعفاء الشيعة الإماميّة ممّا يؤدّي إلى خروج الضعفاء منهم من مذهبهم والانتماء إلى المذاهب الاُخرى، أو يؤدّي تغلغل آراء المذاهب المخالفة في أوساط المذهب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العمل،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الإنجاز الباهر الذي قام به عبد الجليل القزويني الرازي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به على خير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هذا المؤلّف في سياق دفاعه عن الإمامية تبييناً دقيقاً وشفّافاً لعقائد وأحكام مذهب أهل البيت عليهم السلام ، وبيّن بشكل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الحدود الفاصلة بين الإمامية والإسماعيلية النزارية، والمستعلوية، والقرامطة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ـ وهو في حالة الدفاع ـ لم يغفل عن مهاجمة الخصوم أيضاً، حيث حاول في بداية الأمر تمييز السلاجقة الحنفيين، عن الحنابلة وأصحاب الحديث الذين يؤمنون بالجبر، ثمّ حاول بعد ذلك إبراز أنّ آراء أهل الظاهر تتعارض مع مصالح ومقاصد الخلافة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الملحد، القرمطي، أنصار حسن الصباح، الإمامية، الباطنية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137_12164"/>
    </w:p>
    <w:p>
      <w:pPr>
        <w:pStyle w:val="Heading3"/>
        <w:numPr>
          <w:ilvl w:val="2"/>
          <w:numId w:val="1"/>
        </w:numPr>
        <w:rPr/>
      </w:pPr>
      <w:bookmarkStart w:id="180" w:name="__RefHeading___Toc147829_3804643083"/>
      <w:bookmarkStart w:id="181" w:name="_Toc64"/>
      <w:bookmarkEnd w:id="179"/>
      <w:bookmarkEnd w:id="180"/>
      <w:r>
        <w:rPr/>
        <w:t>۱۱</w:t>
      </w:r>
      <w:r>
        <w:rPr>
          <w:rtl w:val="true"/>
        </w:rPr>
        <w:t xml:space="preserve">. </w:t>
      </w:r>
      <w:r>
        <w:rPr>
          <w:rtl w:val="true"/>
        </w:rPr>
        <w:t xml:space="preserve">التشيّع والتصوّف في كتاب </w:t>
      </w:r>
      <w:r>
        <w:rPr>
          <w:rtl w:val="true"/>
        </w:rPr>
        <w:t>«</w:t>
      </w:r>
      <w:r>
        <w:rPr>
          <w:rtl w:val="true"/>
        </w:rPr>
        <w:t>النقض</w:t>
      </w:r>
      <w:r>
        <w:rPr>
          <w:rtl w:val="true"/>
        </w:rPr>
        <w:t>»</w:t>
      </w:r>
      <w:bookmarkEnd w:id="181"/>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التشيّع والتصوّف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هاشميجاء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عبد الجليل القزويني في القرن السادس للهجرة بهدف الردّ على الشبهات التي كانت تُثار ضدّ الشيعة، ومن هنا فإنّ هذا الكتاب يعكس عقائد الشيعة ويقدّم صورة عن أوضاع المجتمع الشيعي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هذه المقالة إلى بحث العلاقة بين التشيّع والتصوّف برأي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الحقيقي هو من يؤمن بإمامة وخلافة الأئمّة عليهم السلام من بعد رسول اللّه صلي الله عليه و آله ، وأمّا الصحابة فيعتبرهم شخصيّات جليلة وكبيرة، وهو ينتهج في هذا المجال منهج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في كتابه هذا أنّ المتصوّفة الحقيقيين شخصيّات جديرة بالاحترام، وهم يؤمنون بالكثير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معتقدات الشيعة؛ وذلك لأنّهم على مذهب أهل العدل وإقرار التوحيد، وبعيدين عن معتقدات الجبر والتشبيه وغيرها من المعتقدات الباطلة، كما أنّهم يحبّون الأئمّة عليهم السلام وينقلون عنهم كرامات ويعتبرونها دليلاً على فضيلتهم، بل ويُظنّ أيضاً أنّ البعض منهم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المستفادة من ذلك هي أنّه بالرغم من المنطلق الأصلي للتصوّف هم أهل السنّة، إلّا أنّ المتصوّفة الحقيقيين، بسبب ما يتّصفون به من صفاء الباطن والوصول إلى الكثير من الحقائق، يقتربون جدّاً إلى مذهب الحقّ، ولذلك يحبّهم الشيعة؛ إذاً فهناك ترابط وثيق بين التشيّع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المقابل يشير إلى من ينتحلون التصوّف ويعتبرهم بعيدين تماماً عن سنّة النبيّ صلي الله عليه و آله ، وليست لهم أيّة صلة بالتشيّع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المتصوّفة، الشيعة، الرافضي، الزاهد و العابد، الطريقة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2137_12166"/>
    </w:p>
    <w:p>
      <w:pPr>
        <w:pStyle w:val="Heading3"/>
        <w:numPr>
          <w:ilvl w:val="2"/>
          <w:numId w:val="1"/>
        </w:numPr>
        <w:rPr/>
      </w:pPr>
      <w:bookmarkStart w:id="183" w:name="__RefHeading___Toc147831_3804643083"/>
      <w:bookmarkStart w:id="184" w:name="_Toc65"/>
      <w:bookmarkEnd w:id="182"/>
      <w:bookmarkEnd w:id="183"/>
      <w:r>
        <w:rPr/>
        <w:t>۱۲</w:t>
      </w:r>
      <w:r>
        <w:rPr>
          <w:rtl w:val="true"/>
        </w:rPr>
        <w:t xml:space="preserve">. </w:t>
      </w:r>
      <w:r>
        <w:rPr>
          <w:rtl w:val="true"/>
        </w:rPr>
        <w:t xml:space="preserve">كتاب </w:t>
      </w:r>
      <w:r>
        <w:rPr>
          <w:rtl w:val="true"/>
        </w:rPr>
        <w:t>«</w:t>
      </w:r>
      <w:r>
        <w:rPr>
          <w:rtl w:val="true"/>
        </w:rPr>
        <w:t>النقض</w:t>
      </w:r>
      <w:r>
        <w:rPr>
          <w:rtl w:val="true"/>
        </w:rPr>
        <w:t xml:space="preserve">» </w:t>
      </w:r>
      <w:r>
        <w:rPr>
          <w:rtl w:val="true"/>
        </w:rPr>
        <w:t>والاعتدال الديني</w:t>
      </w:r>
      <w:bookmarkEnd w:id="184"/>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والاعتدال الدينيرضا بابايي </w:t>
      </w:r>
      <w:r>
        <w:rPr>
          <w:rStyle w:val="FootnoteAnchor"/>
          <w:rtl w:val="true"/>
        </w:rPr>
        <w:footnoteReference w:id="36"/>
      </w:r>
      <w:r>
        <w:rPr>
          <w:rFonts w:ascii="Amiri" w:hAnsi="Amiri" w:eastAsia="Amiri" w:cs="Amiri"/>
          <w:color w:val="111111"/>
          <w:sz w:val="28"/>
          <w:sz w:val="28"/>
          <w:szCs w:val="28"/>
          <w:rtl w:val="true"/>
          <w:lang w:bidi="ar-SA"/>
        </w:rPr>
        <w:t xml:space="preserve">يعرض النصّ الذي بين أيديكم إشارات إلى بعض عبارات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الدلالة الواضحة على الاعتدال الديني والفكر الاُصولي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منذ البداية أنّ هذا الاعتدال الذي يغلب على الكتاب لم يأتِ نتيجة للتقية والمماشاة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فمؤلّف الكتاب يدافع دفاعاً مستميتاً عن اُصول المذهب الشيعي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يُعتبر في زمانه من التعاليم الشيعية ثمّ اُدخلت عليها إضافات في القرون اللاحقة، فلا يعتبرها من اُصول المذهب الشيعي ولا 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يلقي باللائمة في حصول هذه البدع على الحشوية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الرغم من تكريس كتابه للردّ على كتاب اُلّف في زمانه وأثار شبهات وتهماً ضدّ الشيعة، غير أنّه لم يفته توجيه سهام نقده إلى الغلاة والحشوية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 عمّا يصرّح به عبد الجليل في مواضع كثيرة من كتابه، فإنّ اُسلوبه في نقد كتاب نقض فضائح الروافض، ينمّ بوضوح عن نهجه الاعتدالي، ولعلّ أبرز ما في ذلك هو الاحترام الذي يبديه لكبار شخصيات الفرق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هذا البحث سُرِدت أمثلة من مواقفه المعتدلة ازاء الصحابة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الاعتدال المذهبي، البدعة، الأصحاب، الخلفاء، النقض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137_12168"/>
    </w:p>
    <w:p>
      <w:pPr>
        <w:pStyle w:val="Heading3"/>
        <w:numPr>
          <w:ilvl w:val="2"/>
          <w:numId w:val="1"/>
        </w:numPr>
        <w:rPr/>
      </w:pPr>
      <w:bookmarkStart w:id="186" w:name="__RefHeading___Toc147833_3804643083"/>
      <w:bookmarkStart w:id="187" w:name="_Toc66"/>
      <w:bookmarkEnd w:id="185"/>
      <w:bookmarkEnd w:id="186"/>
      <w:r>
        <w:rPr/>
        <w:t>۱۳</w:t>
      </w:r>
      <w:r>
        <w:rPr>
          <w:rtl w:val="true"/>
        </w:rPr>
        <w:t xml:space="preserve">. </w:t>
      </w:r>
      <w:r>
        <w:rPr>
          <w:rtl w:val="true"/>
        </w:rPr>
        <w:t>إطلالة على جوانب الحياة الثقافية والحضارية للشيعة</w:t>
      </w:r>
      <w:r>
        <w:rPr>
          <w:rtl w:val="true"/>
        </w:rPr>
        <w:t>...</w:t>
      </w:r>
      <w:bookmarkEnd w:id="187"/>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إطلالة على جوانب الحياة الثقافية والحضارية للشيعة في تاريخ الإسلام، كما جاء في كتاب النقض لعبد الجليل القزوينيالدكتور محمّد باغستاني </w:t>
      </w:r>
      <w:r>
        <w:rPr>
          <w:rStyle w:val="FootnoteAnchor"/>
          <w:rtl w:val="true"/>
        </w:rPr>
        <w:footnoteReference w:id="37"/>
      </w:r>
      <w:r>
        <w:rPr>
          <w:rFonts w:ascii="Amiri" w:hAnsi="Amiri" w:eastAsia="Amiri" w:cs="Amiri"/>
          <w:color w:val="111111"/>
          <w:sz w:val="28"/>
          <w:sz w:val="28"/>
          <w:szCs w:val="28"/>
          <w:rtl w:val="true"/>
          <w:lang w:bidi="ar-SA"/>
        </w:rPr>
        <w:t>في ما يلي محاولة لتسليط الضوء على النص المعروف بعنوان كتاب النقض وهو من تأليف عبد الجليل القزويني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الاضواء في هذا البحث على شتّى جوانب الحياة الثقافية والحضارية للشيعة في تاريخ الإسلام بشكل إجمالي، وتعرض القيم الكامنة في هذا الكتاب الذي يقدّم صورة عن أنواع المساهمات التي قامت بها الأقلية الشيعية في وسط مجتمع الاكثرية من أهل السنّة، وما رسمته من معالم على جبين الثقافة والحضارة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التشيّع، الحضارة الإسلامية، الثقافة، النقض، عبد الجليل القزويني الرازي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2137_12169"/>
    </w:p>
    <w:p>
      <w:pPr>
        <w:pStyle w:val="Heading3"/>
        <w:numPr>
          <w:ilvl w:val="2"/>
          <w:numId w:val="1"/>
        </w:numPr>
        <w:rPr/>
      </w:pPr>
      <w:bookmarkStart w:id="189" w:name="__RefHeading___Toc147835_3804643083"/>
      <w:bookmarkStart w:id="190" w:name="_Toc67"/>
      <w:bookmarkEnd w:id="188"/>
      <w:bookmarkEnd w:id="189"/>
      <w:r>
        <w:rPr/>
        <w:t>۱۴</w:t>
      </w:r>
      <w:r>
        <w:rPr>
          <w:rtl w:val="true"/>
        </w:rPr>
        <w:t xml:space="preserve">. </w:t>
      </w:r>
      <w:r>
        <w:rPr>
          <w:rtl w:val="true"/>
        </w:rPr>
        <w:t>الجغرافية السكّانية للشيعة الإمامية اسنتاداً</w:t>
      </w:r>
      <w:r>
        <w:rPr>
          <w:rtl w:val="true"/>
        </w:rPr>
        <w:t>...</w:t>
      </w:r>
      <w:bookmarkEnd w:id="190"/>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الجغرافية السكّانية للشيعة الإمامية اسنتاداً إلي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مائدة بخشندهإنّ دراسة الوضع السياسي، والاجتماعي، والثقافي للشيعة في القرن الخامس للهجرة، في ضوء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 لها أهمّية بالغة في تعيين المكانة السياسية، والأحوال الاجتماعية للشيعة، ثمّ في ختام المطاف يقدّم صورة عن المجتمع الشيعي يومذاك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كتاب نقدي في مجال النقد التاريخي الكلامي؛ إذ لم يسبقه أيّ كتاب آخر في النقد التاريخي على هذه الشاكلة المنسجمة والرصينة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الكتاب يُعدّ من الكنوز الفكرية للمسلمين، ومن النصوص الفارسية القديمة، وكان تأليفه بعد بضعة سنوات فقط من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عروضي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ويضم بين دفّتيه مواضيع مهمّة تاريخية، وأدبية، وكلامية، وجغرافية، وفي الملل والنحل،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مجال ما يتضمّنه من اُمور شرعية واعتقادية، بل إنّ المؤلّف في سياق ردّه على التهم والشبهات، يأتي على ذكر أسماء مدن وحارات شيعية متعدّدة في القرون الاُولى للهجرة، إضافة إلى ذكر أسماء الكثير من العلماء، والأُسر الشيعية المتنفّذة، إضافة إلى كثير من القضايا الاُخرى التي تبيّن دور الشيعة ومساهماتهم في بناء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يُبرز أهمّية تناول أمثال هذه المباحث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فإنّ هذا البحث يسلّط الضوء على الجغرافية السكّانية للشيعة؛ لكي يتسنّى له من خلال ذلك تكوين صورة عن البناء الداخلي للمجتمع الشيعي، لإثبات مساهمتهم وتواجدهم في الحياة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الجغرافية السكّانية، سلاجقة إيران، كتاب النقض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2137_12171"/>
    </w:p>
    <w:p>
      <w:pPr>
        <w:pStyle w:val="Heading3"/>
        <w:numPr>
          <w:ilvl w:val="2"/>
          <w:numId w:val="1"/>
        </w:numPr>
        <w:rPr/>
      </w:pPr>
      <w:bookmarkStart w:id="192" w:name="__RefHeading___Toc147837_3804643083"/>
      <w:bookmarkStart w:id="193" w:name="_Toc68"/>
      <w:bookmarkEnd w:id="191"/>
      <w:bookmarkEnd w:id="192"/>
      <w:r>
        <w:rPr/>
        <w:t>۱۵</w:t>
      </w:r>
      <w:r>
        <w:rPr>
          <w:rtl w:val="true"/>
        </w:rPr>
        <w:t xml:space="preserve">. </w:t>
      </w:r>
      <w:r>
        <w:rPr>
          <w:rtl w:val="true"/>
        </w:rPr>
        <w:t xml:space="preserve">معرفة الفرق عند عبد الجليل القزويني الرازي في كتاب </w:t>
      </w:r>
      <w:r>
        <w:rPr>
          <w:rtl w:val="true"/>
        </w:rPr>
        <w:t>«</w:t>
      </w:r>
      <w:r>
        <w:rPr>
          <w:rtl w:val="true"/>
        </w:rPr>
        <w:t>النقض</w:t>
      </w:r>
      <w:r>
        <w:rPr>
          <w:rtl w:val="true"/>
        </w:rPr>
        <w:t>»</w:t>
      </w:r>
      <w:bookmarkEnd w:id="193"/>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معرفة الفرق عند عبد الجليل القزويني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أحمدي جلفايي </w:t>
      </w:r>
      <w:r>
        <w:rPr>
          <w:rStyle w:val="FootnoteAnchor"/>
          <w:rtl w:val="true"/>
        </w:rPr>
        <w:footnoteReference w:id="38"/>
      </w:r>
      <w:r>
        <w:rPr>
          <w:rFonts w:ascii="Amiri" w:hAnsi="Amiri" w:eastAsia="Amiri" w:cs="Amiri"/>
          <w:color w:val="111111"/>
          <w:sz w:val="28"/>
          <w:sz w:val="28"/>
          <w:szCs w:val="28"/>
          <w:rtl w:val="true"/>
          <w:lang w:bidi="ar-SA"/>
        </w:rPr>
        <w:t>إحدى الضرورات التمهيدية في تحكيم اُصول العقائد والمعتقدات الإسلامية هي معرفة الفرق والنحل والمذاهب المختلفة التي نشأت على امتداد تاريخ الإسلام، ومعرفة المعتقدات الخاصّة بكلّ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من البديهي أن يكون الاعتبار الأوفر للكتب والمصادر القديمة والأقرب إلى عصر ظهور كلّ واحدة من تلك الفرق والنحل، على اعتبار أنّها تنقل وقائع وعقائد أتباع تلك الفرق والنحل عن حسّ ومشاهدة، أو عن درجة مقاربة للحسّ والمشاهدة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 أحد الكتب والمصادر القديمة في هذا المجال ـ والذي من الضروري أن يرجع إليه الباحثون في هذا المضمار ـ ، كتاب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عبد الجليل القزويني الرازي، من علماء القرن السادس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هذا الكتاب برأي الباحث المحترم لا يُعدّ من الكتب الشيعية الرصينة والمنسجمة؛ وذلك لوجود أخطاء وتناقضات واضحة فيه، ولكن على الرغم من ذلك فهو يحظى بدرجة عالية من الأهمّية بسبب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وانطلاقاً من ذلك يتناول هذا البحث الاُسلوب الذي انتهجه مؤلّف هذا الكتاب في بيان معتقدات كلّ واحدة من الفرق التي كانت موجودة حتّى ذلك الزمان، مع تسليط الضوء على الجوانب الجديرة بالتأمّل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المذهب، العقيدة، النِحلة، الشيعة، السنّة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137_12173"/>
    </w:p>
    <w:p>
      <w:pPr>
        <w:pStyle w:val="Heading3"/>
        <w:numPr>
          <w:ilvl w:val="2"/>
          <w:numId w:val="1"/>
        </w:numPr>
        <w:rPr/>
      </w:pPr>
      <w:bookmarkStart w:id="195" w:name="__RefHeading___Toc147839_3804643083"/>
      <w:bookmarkStart w:id="196" w:name="_Toc69"/>
      <w:bookmarkEnd w:id="194"/>
      <w:bookmarkEnd w:id="195"/>
      <w:r>
        <w:rPr/>
        <w:t>۱۶</w:t>
      </w:r>
      <w:r>
        <w:rPr>
          <w:rtl w:val="true"/>
        </w:rPr>
        <w:t>. «</w:t>
      </w:r>
      <w:r>
        <w:rPr>
          <w:rtl w:val="true"/>
        </w:rPr>
        <w:t>مدرسة</w:t>
      </w:r>
      <w:r>
        <w:rPr>
          <w:rtl w:val="true"/>
        </w:rPr>
        <w:t xml:space="preserve">» </w:t>
      </w:r>
      <w:r>
        <w:rPr>
          <w:rtl w:val="true"/>
        </w:rPr>
        <w:t xml:space="preserve">أهل السنّة، في مقابل </w:t>
      </w:r>
      <w:r>
        <w:rPr>
          <w:rtl w:val="true"/>
        </w:rPr>
        <w:t>«</w:t>
      </w:r>
      <w:r>
        <w:rPr>
          <w:rtl w:val="true"/>
        </w:rPr>
        <w:t>دار العلم</w:t>
      </w:r>
      <w:r>
        <w:rPr>
          <w:rtl w:val="true"/>
        </w:rPr>
        <w:t xml:space="preserve">» </w:t>
      </w:r>
      <w:r>
        <w:rPr>
          <w:rtl w:val="true"/>
        </w:rPr>
        <w:t>الشيعية</w:t>
      </w:r>
      <w:r>
        <w:rPr>
          <w:rtl w:val="true"/>
        </w:rPr>
        <w:t>...</w:t>
      </w:r>
      <w:bookmarkEnd w:id="196"/>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السنّة، 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كتاب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ليوناردو كَپِتزُنه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جامعة سَپيِنزا ـ في روما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فريدة مهدوي دامغانيإنّ ما أقدم عليه السلاجقة من تدمير لدور العلم التي أنشأها كلّ من أبي نصر 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الوزير الشيعي للبويهيين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والشريف الرضي، والشريف المرتضى في بغداد، ودار الكتب لعضد الدولة البويهي في شيراز، ومكتبة الصاحب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الوزير الشيعي لآل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الريّ، غدا يُشار إليه بكثرة في المصادر التاريخية ابتداءً من القرن الخامس وما تلاه، وكانت مدعاة للإساءة إلى سمعة السلاجقة ـ الذين كانوا يتظاهرون بالإسلام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وإطاعة الخليفة العبّاسي والالتزام بالمذهب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ذاته يشير المؤرّخون والباحثون في مجال الحضارة والثقافة إلى الدور الكبير للسلاجقة في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وبالنتيجة دورهم في تاريخ المؤسّسات التعليمية في 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المضمار يعتبرون جهود هؤلاء الحكّام السنّة، لمجابهة المراكز العلمية للشيعة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العلم، ودور الكتب لآل بويه وللفاطميين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اهتمامهم بتعويض الخسائر التي سبّبوها للعلم وأهله، ويعتبرون ذلك عاملاً مؤثّراً بل وأساسياً، ولكن عند إلقاء نظرة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مؤلّفه يتحاشى إلى أقصى حدٍّ ممكن ـ عند ذكره لمؤلّفات ومفاخر الشيعة ـ ذكر أسماء المكتبات ودور العلم الشيعية التي اُحرقت ودُمّرت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عن ذلك نراه يركّز على ذكر مؤسّسي هذه المراكز العلمية، ويحاول بذكاء تسليط الضوء على ما قاموا به من خدمات اجتماعية عامّة، مع ذكر ما كانوا يتّصفون به من دراية وحسن تدبير، ومن سياسة حكيمة وإدارة لشؤون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المجال يُعطي الأولوية لشقّ الطرق والأنهر وبناء الجسور والقنوات والمستشفيات، وعقد مجالس المناظرة وغير ذلك من الأعمال، ويقدّمها على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دور العلم والمكتبات التي هي عبارة عن أشياء خاصّة بأهل العلم وتنحصر عادة في بلاط السلاطين والولاة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نراه يثني على الجهود الواسعة التي قام بها السلاجقة لتأسيس المدارس، ويكثر من ذكر دور الوزراء الشيعة في هذا العمران والتطوّر، وما قاموا به من دعم ورفد لتلك المدارس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الموقوفات والعطايا والمبرّات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من خلال ذلك أن يبيّن أنّ مدارس العصر السلجوقي جاءت كامتداد طبيعي وتاريخي لما كان قبلها من دور العلم ودور الكتب ودور الحكمة، وليست في مقابلها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نراه يتفاخر بكثرة الوزراء وعمّال الديوان الشيعة في بلاط السلاجقة ـ مع ذكر أسمائهم ومناصبهم ـ وكثرة مدارسهم وموقوفاتهم الثقافية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بكثير من الأمثلة والشواهد على وفائهم وإخلاصهم في خدمة الولاة والسلاطين وانقيادهم لسياستهم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فهو يتجاهل تماماً التصوّر السائد في التعصّب والتضادّ بين الشيعة والسنّة في تحليله التاريخي لمجريات الاُمور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الشواهد والأدلّة التي تقلّل من أهمّية الفكرة السائدة في التضادّ بين المدارس ودور العلم، وتؤيّد تحليل عبد الجليل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وجود دور علم سُنيّة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ابن سِوار في البصرة في عهد البويهيين، ودار العلم مارستاني في بغداد بعد عصر البويهيين، وكذلك وجود مدارس شيعية متعدّدة في قم والريّ في العصر السلجوقي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ذلك نلاحظ أنّ عبد الجليل يثني على ما حصل في العصر السلجوقي من تحويل المراكز العلمية والمكتبات إلى موقوفات ومؤسّسات عامّة ـ وهو ما يُعتبر تحوّلاً إيجابياً في حقل التعليم ـ وكذلك اهتمام السلاجقة بجمع واستنساخ ما كان في دور العلم السابقة من الكتب؛ وهو بذلك يشير ضمنياً إلى أنّ الميراث العلمي للعصر البويهي بقي محفوظاً على حاله، وأنّ السياسيين من الوزراء ورجال الديوان السلاجقة قد أخرجوها ونقلوها إلى مكتبات المدارس التي تأسّست بعدها وجعلوها وقفاً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137_12177"/>
    </w:p>
    <w:p>
      <w:pPr>
        <w:pStyle w:val="Heading3"/>
        <w:numPr>
          <w:ilvl w:val="2"/>
          <w:numId w:val="1"/>
        </w:numPr>
        <w:rPr/>
      </w:pPr>
      <w:bookmarkStart w:id="198" w:name="__RefHeading___Toc147841_3804643083"/>
      <w:bookmarkStart w:id="199" w:name="_Toc70"/>
      <w:bookmarkEnd w:id="197"/>
      <w:bookmarkEnd w:id="198"/>
      <w:r>
        <w:rPr/>
        <w:t>۱۷</w:t>
      </w:r>
      <w:r>
        <w:rPr>
          <w:rtl w:val="true"/>
        </w:rPr>
        <w:t xml:space="preserve">. </w:t>
      </w:r>
      <w:r>
        <w:rPr>
          <w:rtl w:val="true"/>
        </w:rPr>
        <w:t xml:space="preserve">المدارس والأوساط العلميّة والدينيّة ورجال الشيعة في كتاب </w:t>
      </w:r>
      <w:r>
        <w:rPr>
          <w:rtl w:val="true"/>
        </w:rPr>
        <w:t>«</w:t>
      </w:r>
      <w:r>
        <w:rPr>
          <w:rtl w:val="true"/>
        </w:rPr>
        <w:t>النقض</w:t>
      </w:r>
      <w:r>
        <w:rPr>
          <w:rtl w:val="true"/>
        </w:rPr>
        <w:t>»</w:t>
      </w:r>
      <w:bookmarkEnd w:id="199"/>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المدارس والأوساط العلميّة والدينيّة ورجال الشيعة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مرتضي وفائيمن المؤلّفات الكلامية الشيعية التي كتبت في القرن السادس للهجرة، ردّاً على كتاب يتهجّم على الشيعة، الكتاب المعروف باسم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وفضلاً عن المعلومات الكلامية والدينية التي يضمّها هذا الكتاب بين دفّتيه، فإنّه يُعِدُّ بمثابة كنز ثمين لما فيه من المعلومات التاريخية، والثقافية، والاجتماعية، والأدبية لأهالي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ونظراً إلى اتّساع وتناثر المعلومات التي يحتويها الكتاب، فإنّ هذا البحث يقتصر على جمع المعلومات التي ذكرها المؤّلّف حول المدارس والمراكز العلمية والثقافية، إضافة إلى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علماء الشيعة الذين كانوا يعيشون يومذاك في مختلف المدن الإيرانية الشيعية وخاصّة في المناطق الوسطى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الشيعية، القرن السادس للهجرة، المدارس العلمية، علماء الشيعة، النقض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137_12179"/>
    </w:p>
    <w:p>
      <w:pPr>
        <w:pStyle w:val="Heading3"/>
        <w:numPr>
          <w:ilvl w:val="2"/>
          <w:numId w:val="1"/>
        </w:numPr>
        <w:rPr/>
      </w:pPr>
      <w:bookmarkStart w:id="201" w:name="__RefHeading___Toc147843_3804643083"/>
      <w:bookmarkStart w:id="202" w:name="_Toc71"/>
      <w:bookmarkEnd w:id="200"/>
      <w:bookmarkEnd w:id="201"/>
      <w:r>
        <w:rPr/>
        <w:t>۱۸</w:t>
      </w:r>
      <w:r>
        <w:rPr>
          <w:rtl w:val="true"/>
        </w:rPr>
        <w:t xml:space="preserve">. </w:t>
      </w:r>
      <w:r>
        <w:rPr>
          <w:rtl w:val="true"/>
        </w:rPr>
        <w:t xml:space="preserve">الشعراء الشيعة المذكورون في كتاب </w:t>
      </w:r>
      <w:r>
        <w:rPr>
          <w:rtl w:val="true"/>
        </w:rPr>
        <w:t>«</w:t>
      </w:r>
      <w:r>
        <w:rPr>
          <w:rtl w:val="true"/>
        </w:rPr>
        <w:t>النقض</w:t>
      </w:r>
      <w:r>
        <w:rPr>
          <w:rtl w:val="true"/>
        </w:rPr>
        <w:t>»</w:t>
      </w:r>
      <w:bookmarkEnd w:id="202"/>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الشعراء الشيعة المذكورون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پور شريف </w:t>
      </w:r>
      <w:r>
        <w:rPr>
          <w:rStyle w:val="FootnoteAnchor"/>
          <w:rtl w:val="true"/>
        </w:rPr>
        <w:footnoteReference w:id="39"/>
      </w:r>
      <w:r>
        <w:rPr>
          <w:rFonts w:ascii="Amiri" w:hAnsi="Amiri" w:eastAsia="Amiri" w:cs="Amiri"/>
          <w:color w:val="111111"/>
          <w:sz w:val="28"/>
          <w:sz w:val="28"/>
          <w:szCs w:val="28"/>
          <w:rtl w:val="true"/>
          <w:lang w:bidi="ar-SA"/>
        </w:rPr>
        <w:t>إنّ المكانة التاريخية لعبد الجليل القزويني الرازي ـ بسبب قربه الزماني ممّن ذكر مذاهبهم في كتابه ـ ومكانته الاجتماعية ـ بصفته عالماً ومتكلّماً شيعياً بارزاً في عصره ـ ، واعتبار وأهمّية كتابه ـ وهو كتاب في المناظرة والجدل، وهذا ما دعاه بالضرورة إلى عدم الاستناد أو التعويل على الاستدلالات الضعيفة والمشكوك فيها، والمختلف حولها، والتي تحتمل الوجهين ـ كلّ هذا جعل من كلامه ومن كتابه مصدراً تاريخياً معتبراً لمعرفة مذهب الكثير من العلماء والمؤلّفين، ورجال السياسة، وعمّال الديوان، والشعراء، وغيرهم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النظر في مؤلّفات كُتّاب التراجم الشيعة المتأخّرين ـ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 وأمل الآمل وتتمّته وتكملته، ورياض العلماء، وروضات الجنّات، وقصص العلماء ـ ، نلاحظ أنّه بسبب الفاصلة الزمنية للأخبار وتساهل المؤلّفين في نسبة المذهب إلى الأفراد استناداً إلى شواهد وقرائن واهية وإجمالية ومحدودة، فانّها تبدو غير جديرة بالنظر والاعتبار، في حين أنّ الأخبار التي نقلها عبد الجليل قليلة النظير من حيث قربها التاريخي ومعاصرتها لذلك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تحاول هذه المقالة إدراج سرد بأسماء الشعراء الذين يوصفون بالتشيّع ممّن وردت أسماؤهم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ترتيب العهد التاريخي لكلّ واحد منهم، وتبيّن الاطلّاع الواسع لعبد الجليل على الأدب الفارسي والادب العربي في عصره وما سبقه، ومهارته في التعاطي مع الأدب وتاريخ الأدب في المجادلات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الباحث في مستهلّ الأمر نبذة عن الشعراء وآثارهم، ثمّ ـ واستمراراً لهذا العمل ـ أتي بنماذج من أشعارهم التي تعكس إلى حدٍ مّا أفكارهم ومعتقداتهم المذهبية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تاريخ التشيّع، الأدب الشيعي، المنقبة، النقض، عبد الجليل القزويني الرازي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137_12181"/>
    </w:p>
    <w:p>
      <w:pPr>
        <w:pStyle w:val="Heading3"/>
        <w:numPr>
          <w:ilvl w:val="2"/>
          <w:numId w:val="1"/>
        </w:numPr>
        <w:rPr/>
      </w:pPr>
      <w:bookmarkStart w:id="204" w:name="__RefHeading___Toc147845_3804643083"/>
      <w:bookmarkStart w:id="205" w:name="_Toc72"/>
      <w:bookmarkEnd w:id="203"/>
      <w:bookmarkEnd w:id="204"/>
      <w:r>
        <w:rPr/>
        <w:t>۱۹</w:t>
      </w:r>
      <w:r>
        <w:rPr>
          <w:rtl w:val="true"/>
        </w:rPr>
        <w:t xml:space="preserve">. </w:t>
      </w:r>
      <w:r>
        <w:rPr>
          <w:rtl w:val="true"/>
        </w:rPr>
        <w:t xml:space="preserve">جغرافية الريّ وقزوين في كتاب </w:t>
      </w:r>
      <w:r>
        <w:rPr>
          <w:rtl w:val="true"/>
        </w:rPr>
        <w:t>«</w:t>
      </w:r>
      <w:r>
        <w:rPr>
          <w:rtl w:val="true"/>
        </w:rPr>
        <w:t>النقض</w:t>
      </w:r>
      <w:r>
        <w:rPr>
          <w:rtl w:val="true"/>
        </w:rPr>
        <w:t>»</w:t>
      </w:r>
      <w:bookmarkEnd w:id="205"/>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جغرافية الريّ وقزوين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ملكي ميانجي </w:t>
      </w:r>
      <w:r>
        <w:rPr>
          <w:rStyle w:val="FootnoteAnchor"/>
          <w:rtl w:val="true"/>
        </w:rPr>
        <w:footnoteReference w:id="40"/>
      </w:r>
      <w:r>
        <w:rPr>
          <w:rFonts w:ascii="Amiri" w:hAnsi="Amiri" w:eastAsia="Amiri" w:cs="Amiri"/>
          <w:color w:val="111111"/>
          <w:sz w:val="28"/>
          <w:sz w:val="28"/>
          <w:szCs w:val="28"/>
          <w:rtl w:val="true"/>
          <w:lang w:bidi="ar-SA"/>
        </w:rPr>
        <w:t>الريّ وقزوين مدينتان مهمّتان في المناطق الوسطى من إيران، فمدينة الريّ منطقة مهمّة، ورغم التقلّبات التي مرّت بها غير أنّها حافظت على أهميّتها السياسية منذ عهد الماديين إلى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هذه المنطقة هي مدينة الريّ التي كانت في القرون الاُولى للعصر الإسلامي وحتّى مجيء المغول واحدة من أهم الحواضر العلميّة في العالم، وكانت توصف بأمّ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العهد الإسلامي كانت هذه المدينة في بداية أمرها على مذهب أهل السنّة وذات ميول اُموية، إلّا أنّ التشيّع أخذ ينتشر فيها تدريجياً إلى أن غدت في عصر حياة مؤلّف كتاب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أواسط القرن السادس للهجرة ذات غالبية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فقد كانت تعيش فيها جماعات من مختلف المذاهب والفرق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معلومات قيّمة عن أوضاع هذه المدينة، وقد كُتب هذا البحث حول جغرافية بلاد الريّ في ضوء ما جاء في هذا الكتاب من معلومات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مدينة قزوين فهي مدينة مهمّة تقع في شمال المنطقة الوسطى من إيران، وتعود في قِدَمها إلى العهد الساساني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تطوّرت هذه المدينة في القرون الإسلامية وحصل فيها اتّساع وعمران كثير، وكان سكّانها إلى عصر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مزيجاً من الشيعة والسنّة وغيرهما من الفرق والنحل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الشيعة كانوا يومذاك أقلّية في هذه البلاد إلّا أنّهم كانوا على درجة عالية من القوّة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حول بعض الحقائق التي كانت عليها هذه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البحث يسلّط الأضواء على جغرافية قزوين استناداً إلى هذه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الري، جغرافية قزوين، النقض، القرن السادس للهجرة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37_12183"/>
    </w:p>
    <w:p>
      <w:pPr>
        <w:pStyle w:val="Heading3"/>
        <w:numPr>
          <w:ilvl w:val="2"/>
          <w:numId w:val="1"/>
        </w:numPr>
        <w:rPr/>
      </w:pPr>
      <w:bookmarkStart w:id="207" w:name="__RefHeading___Toc147847_3804643083"/>
      <w:bookmarkStart w:id="208" w:name="_Toc73"/>
      <w:bookmarkEnd w:id="206"/>
      <w:bookmarkEnd w:id="207"/>
      <w:r>
        <w:rPr/>
        <w:t>۲۰</w:t>
      </w:r>
      <w:r>
        <w:rPr>
          <w:rtl w:val="true"/>
        </w:rPr>
        <w:t xml:space="preserve">. </w:t>
      </w:r>
      <w:r>
        <w:rPr>
          <w:rtl w:val="true"/>
        </w:rPr>
        <w:t xml:space="preserve">اُسرة بابويه في كتاب </w:t>
      </w:r>
      <w:r>
        <w:rPr>
          <w:rtl w:val="true"/>
        </w:rPr>
        <w:t>«</w:t>
      </w:r>
      <w:r>
        <w:rPr>
          <w:rtl w:val="true"/>
        </w:rPr>
        <w:t>النقض</w:t>
      </w:r>
      <w:r>
        <w:rPr>
          <w:rtl w:val="true"/>
        </w:rPr>
        <w:t>»</w:t>
      </w:r>
      <w:bookmarkEnd w:id="208"/>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اُسرة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سيّد محسن موسوي </w:t>
      </w:r>
      <w:r>
        <w:rPr>
          <w:rStyle w:val="FootnoteAnchor"/>
          <w:rtl w:val="true"/>
        </w:rPr>
        <w:footnoteReference w:id="41"/>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الشيعية التي تقدّم معلومات مفيدة حول الشخصيات الشيعية المهمّة إلى زمان تأليف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الذين يذكرهم عبد الجليل القزويني الرازي بنفسه أو تبعاً لمؤلّف سنّي، أو ينقل أو ينقد بعضاً من أقوالهم وآرائهم، ينتمون إلى اُسر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هذه الاُسر العلمية اُسرة آل بابويه، فقد وردت في هذا الكتاب أسماء خمسة من علماء اُسرة آل بابويه، وهذا هو ما تتناوله هذه المقالة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شمس الدين حسن بابويه، وطالب إسحاق بابويه، وأبو عبد اللّه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اُسرة آل بابويه، النقض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37_12184"/>
    </w:p>
    <w:p>
      <w:pPr>
        <w:pStyle w:val="Heading3"/>
        <w:numPr>
          <w:ilvl w:val="2"/>
          <w:numId w:val="1"/>
        </w:numPr>
        <w:rPr/>
      </w:pPr>
      <w:bookmarkStart w:id="210" w:name="__RefHeading___Toc147849_3804643083"/>
      <w:bookmarkStart w:id="211" w:name="_Toc74"/>
      <w:bookmarkEnd w:id="209"/>
      <w:bookmarkEnd w:id="210"/>
      <w:r>
        <w:rPr/>
        <w:t>۲۱</w:t>
      </w:r>
      <w:r>
        <w:rPr>
          <w:rtl w:val="true"/>
        </w:rPr>
        <w:t xml:space="preserve">. </w:t>
      </w:r>
      <w:r>
        <w:rPr>
          <w:rtl w:val="true"/>
        </w:rPr>
        <w:t>غلبة اُسلوب كتابة المناقب في القرنين السادس والسابع للهجرة</w:t>
      </w:r>
      <w:bookmarkEnd w:id="211"/>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غلبة اُسلوب كتابة المناقب في القرنين السادس والسابع للهجرةمهدى غلامعلي </w:t>
      </w:r>
      <w:r>
        <w:rPr>
          <w:rStyle w:val="FootnoteAnchor"/>
          <w:rtl w:val="true"/>
        </w:rPr>
        <w:footnoteReference w:id="42"/>
      </w:r>
      <w:r>
        <w:rPr>
          <w:rFonts w:ascii="Amiri" w:hAnsi="Amiri" w:eastAsia="Amiri" w:cs="Amiri"/>
          <w:color w:val="111111"/>
          <w:sz w:val="28"/>
          <w:sz w:val="28"/>
          <w:szCs w:val="28"/>
          <w:rtl w:val="true"/>
          <w:lang w:bidi="ar-SA"/>
        </w:rPr>
        <w:t>يمكن النظر إلى القرنين السادس والسابع من الهجرة على أنّهما يمثّلان منعطفاً في تاريخ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العصر، على الرغم من الصعوبات المضنية، استطاع علماء الشيعة المحافظة على الفكر الشيعي في مقابل ما كان يُصَبُّ نحوهم من سيل جارف من التهم والشبهات من قبل العامّة ومن السلطات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يُشار إلى هذا الدور من تاريخ الحديث عند الشيعة على أنّه دور الفتور أو الركود، وهذا التعبير إذا كان صحيحاً بالمقارنة مع القرون السابقة، ولكن ينبغي الالتفات إلى أنّ عداء الخصوم كان يومها على درجة من الشدّة، ولم يدّخر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وسعاً في صدّ الهجومات المختلفة التي كان يشنّها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اُسلوب تدوين المناقب وكتابة الأربعين مظهراً لما كانوا يبذلونه من جهود كبرى، ويتجلّى في هذه المدّة الزمانية من تاريخ تدوين الحديث عند الشيعة بنحو يفوق غيره من الأساليب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الاُسلوبان كان لهما ما لهما من نقاط القوّة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يلفت الانتباه في هذين القرنين هو غلبة واتّساع اُسلوب كتابة المناقب، بحيث إنّ ما يقارب الستّين كتاباً قد أُلِّفت في هذا المجال على مدى القرنين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السبب الذي دعا إلى ذلك، فيتطلّب إجراء بحث حول كتب المناقب المتبقية ولما جاء حول ذلك في المصادر التاريخية، وهذا هو ما تنهض به هذه الدراسة التي بين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عبد الجليل القزويني أهمّ مصدر يتناول موضوع قراءة المناقب، وقد رسم صورة واضحة لتلك الأجواء المعتمة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مصدر غني لمعرفة الأساليب والعوامل التي دعت إلى زيادة كتابة المناقب في القرنين المشار إليهما؛ إذ يبدو أنّ هناك عوامل متعدّدة سياسية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وعلمية وثقافية أدّت إلى هذه القفزة في حقل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البحث بشير الباحث إلى قسم من تلك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المناقب، تدوين الفضائل، القرن السادس للهجرة، القرن السابع للهجرة، الاُسلوب، تاريخ الحديث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37_12187"/>
    </w:p>
    <w:p>
      <w:pPr>
        <w:pStyle w:val="Heading3"/>
        <w:numPr>
          <w:ilvl w:val="2"/>
          <w:numId w:val="1"/>
        </w:numPr>
        <w:rPr/>
      </w:pPr>
      <w:bookmarkStart w:id="213" w:name="__RefHeading___Toc147851_3804643083"/>
      <w:bookmarkStart w:id="214" w:name="_Toc75"/>
      <w:bookmarkEnd w:id="212"/>
      <w:bookmarkEnd w:id="213"/>
      <w:r>
        <w:rPr/>
        <w:t>۲۲</w:t>
      </w:r>
      <w:r>
        <w:rPr>
          <w:rtl w:val="true"/>
        </w:rPr>
        <w:t xml:space="preserve">. </w:t>
      </w:r>
      <w:r>
        <w:rPr>
          <w:rtl w:val="true"/>
        </w:rPr>
        <w:t xml:space="preserve">الخصائص الاُسلوبيّة، والبنيويّة والفكريّة لكتاب </w:t>
      </w:r>
      <w:r>
        <w:rPr>
          <w:rtl w:val="true"/>
        </w:rPr>
        <w:t>«</w:t>
      </w:r>
      <w:r>
        <w:rPr>
          <w:rtl w:val="true"/>
        </w:rPr>
        <w:t>النقض</w:t>
      </w:r>
      <w:r>
        <w:rPr>
          <w:rtl w:val="true"/>
        </w:rPr>
        <w:t>»</w:t>
      </w:r>
      <w:bookmarkEnd w:id="214"/>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الخصائص الاُسلوبيّة، والبنيويّة والفكريّة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عبد الرضا مدرّس زاده </w:t>
      </w:r>
      <w:r>
        <w:rPr>
          <w:rStyle w:val="FootnoteAnchor"/>
          <w:rtl w:val="true"/>
        </w:rPr>
        <w:footnoteReference w:id="43"/>
      </w:r>
      <w:r>
        <w:rPr>
          <w:rFonts w:ascii="Amiri" w:hAnsi="Amiri" w:eastAsia="Amiri" w:cs="Amiri"/>
          <w:color w:val="111111"/>
          <w:sz w:val="28"/>
          <w:sz w:val="28"/>
          <w:szCs w:val="28"/>
          <w:rtl w:val="true"/>
          <w:lang w:bidi="ar-SA"/>
        </w:rPr>
        <w:t>إن اللغة والأدب الفارسي، بسبب الارتباط المباشر لبعض الشعراء بمراكز السلطة السياسية آنذاك، يكاد يمثّل مرآة تعكس المعتقدات الرائجة والرسمية التي كانت تقترن بالتركيز على معتقدات أهل السنّة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الشخصيات اللامعة في الأدب الفارسي رغم ميولها المذهبية إلى أهل السنّة، إلّا أنّها لم تأل جهداً في تكريم أهل بيت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كلّ الأحوال فإنّ المباحث الفقهية والكلامية التي كانت موضع اهتمام الشعراء تبلورت بناءً على المعتقدات المذهبية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يدافع فيه مؤلّفه المخلص والنقي العقيدة عن معتقدات المذهب الشيعي يعيد إلى الأذهان عصراً بلغت فيه المواجهات والتحدّيات المذهبية ذروتها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القرن الهجري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هذا الكتاب قليلاً مّا حظي بالاهتمام على مدى القرون التي تلت تأليفه رغم كلّ ما له من 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هذا البحث نبذة للتعريف باُسلوب هذا الكتاب وصياغته وبنائيّته وما فيه من محاسن أدبية، واتّخاذه مرتكزاً للانطلاق نحو دراسة الأدب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النثر الفارسي، الاُسلوب، الأدب الشيعي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137_12189"/>
    </w:p>
    <w:p>
      <w:pPr>
        <w:pStyle w:val="Heading3"/>
        <w:numPr>
          <w:ilvl w:val="2"/>
          <w:numId w:val="1"/>
        </w:numPr>
        <w:rPr/>
      </w:pPr>
      <w:bookmarkStart w:id="216" w:name="__RefHeading___Toc147853_3804643083"/>
      <w:bookmarkStart w:id="217" w:name="_Toc76"/>
      <w:bookmarkEnd w:id="215"/>
      <w:bookmarkEnd w:id="216"/>
      <w:r>
        <w:rPr/>
        <w:t>۲۳</w:t>
      </w:r>
      <w:r>
        <w:rPr>
          <w:rtl w:val="true"/>
        </w:rPr>
        <w:t xml:space="preserve">. </w:t>
      </w:r>
      <w:r>
        <w:rPr>
          <w:rtl w:val="true"/>
        </w:rPr>
        <w:t xml:space="preserve">بحث في الصياغة اللغوية لكتاب </w:t>
      </w:r>
      <w:r>
        <w:rPr>
          <w:rtl w:val="true"/>
        </w:rPr>
        <w:t>«</w:t>
      </w:r>
      <w:r>
        <w:rPr>
          <w:rtl w:val="true"/>
        </w:rPr>
        <w:t>النقض</w:t>
      </w:r>
      <w:r>
        <w:rPr>
          <w:rtl w:val="true"/>
        </w:rPr>
        <w:t xml:space="preserve">» </w:t>
      </w:r>
      <w:r>
        <w:rPr>
          <w:rtl w:val="true"/>
        </w:rPr>
        <w:t>بالاشارة إلي مواضيعه</w:t>
      </w:r>
      <w:bookmarkEnd w:id="217"/>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بحث في الصياغة اللغوية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بالاشارة إلي مواضيعهمريم غفّاري جاهد </w:t>
      </w:r>
      <w:r>
        <w:rPr>
          <w:rStyle w:val="FootnoteAnchor"/>
          <w:rtl w:val="true"/>
        </w:rPr>
        <w:footnoteReference w:id="44"/>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عبد الجليل القزويني الرازي، وهو من علماء الشيعة في القرن السادس، ألّفه ردّاً على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قد تمّ تأليفه قبل خمسين سنة من الهجوم المغولي، فهو ذو أهمّية عالية بسبب ما فيه من معلومات مفيدة حول أسماء الكتب، والحارات والمدارس والمكتبات الشيعية في المدن الإيرانية، التي اندثر البعض منها ولم يبق له أيّ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تأليف هذا الكتاب في منتصف القرن السادس، وهو متأثّر من الناحية اللغوية بثلاث اتّجاهات في أساليب الصياغة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العهد الساماني؛ والاُسلوب النثري للعهد الغزنوي والسلجوقي الأوّل؛ واُسلوب النثر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اُخرى يلاحظ أنّ بعض ألفاظ وعبارات هذا الكتاب متأثّرة بلهجة أهالي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القسم الأوّل من هذه المقالة تسليط الضوء على محتوى هذا الكتاب من حيث أهمّية عالية المواضيع وقيمتها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منها ومن بعد توضيح خصائص العهود الثلاثة من أساليب النثر الفارسي، عن طريق ذكر أمثلة من نصّ الكتاب، تبحث ما تجلّى فيها من ملامح تلك العهود الثلاثة، وكذلك التأثير اللغوي لمدينة الري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الصياغة اللغوية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العهد الساماني، العهد الغزنوي، العهد السلجوقي، النثر الفنّي، التزويق الأدبي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137_12191"/>
    </w:p>
    <w:p>
      <w:pPr>
        <w:pStyle w:val="Heading3"/>
        <w:numPr>
          <w:ilvl w:val="2"/>
          <w:numId w:val="1"/>
        </w:numPr>
        <w:rPr/>
      </w:pPr>
      <w:bookmarkStart w:id="219" w:name="__RefHeading___Toc147855_3804643083"/>
      <w:bookmarkStart w:id="220" w:name="_Toc77"/>
      <w:bookmarkEnd w:id="218"/>
      <w:bookmarkEnd w:id="219"/>
      <w:r>
        <w:rPr/>
        <w:t>۲۴</w:t>
      </w:r>
      <w:r>
        <w:rPr>
          <w:rtl w:val="true"/>
        </w:rPr>
        <w:t xml:space="preserve">. </w:t>
      </w:r>
      <w:r>
        <w:rPr>
          <w:rtl w:val="true"/>
        </w:rPr>
        <w:t xml:space="preserve">الأخلاق واُسلوب الجدل في كتاب </w:t>
      </w:r>
      <w:r>
        <w:rPr>
          <w:rtl w:val="true"/>
        </w:rPr>
        <w:t>«</w:t>
      </w:r>
      <w:r>
        <w:rPr>
          <w:rtl w:val="true"/>
        </w:rPr>
        <w:t>النقض</w:t>
      </w:r>
      <w:r>
        <w:rPr>
          <w:rtl w:val="true"/>
        </w:rPr>
        <w:t>»</w:t>
      </w:r>
      <w:bookmarkEnd w:id="220"/>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الأخلاق واُسلوب الجدل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سيّد حسن اسلامي اردكاني </w:t>
      </w:r>
      <w:r>
        <w:rPr>
          <w:rStyle w:val="FootnoteAnchor"/>
          <w:rtl w:val="true"/>
        </w:rPr>
        <w:footnoteReference w:id="45"/>
      </w:r>
      <w:r>
        <w:rPr>
          <w:rFonts w:ascii="Amiri" w:hAnsi="Amiri" w:eastAsia="Amiri" w:cs="Amiri"/>
          <w:color w:val="111111"/>
          <w:sz w:val="28"/>
          <w:sz w:val="28"/>
          <w:szCs w:val="28"/>
          <w:rtl w:val="true"/>
          <w:lang w:bidi="ar-SA"/>
        </w:rPr>
        <w:t>يحاول هذا البحث تقصّي وتحليل الاُسلوب الذي اتّبعه عبد الجليل القزويني الرازي في الرد على مدّعيات مؤّلف كتاب بعض فضائح الروافض؛ ان الاجابات والاُسلوب الذي يتّبعه الرازي لا يسير على نسق واحد؛ فبعض إجاباته دقيقة ومدروسة وذات اُسلوب تحليلي وأخلاقي، والبعض الآخر منها 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هذا فان كتاب الرازي يفتقر إلى الهيكلية الواضحة، وكان الكاتب يرمي بشكل أساسي إلى السير على اثر الاشكالات التي يثيرها كتاب بعض فضائح الروافض والرد على ما ورد فيها من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يرمي هذا البحث إلى استخراج اُسلوبه في الاجابات والردود، وتبويب نماذج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مختلفة منها ممّا هو متناثر بين ثنايا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المنهجية ينطلق هذا البحث في تبويب وتحليل الجوانب الأساسية في اُسلوب عبد الجليل القزويني في ستّة عشرا محوراً 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لتاريخ تشيّع المدّعي؛ إشارة إلى الالزامات الخاصّة في الفكر الاشعري الذي ينتمي إليه المدّعي ولكنّه لا يعرفها أو لا يلتزم بها، صيانة حرمة أهل بيت النبي صلي الله عليه و آله على امتداد النقاشات على خلاف المدّعي؛ استعمال القياس ذي الحدين ضدّ الخصم وايقاعه في فخّه، فضح منطق الكيل بمكيالين؛ الفصل يبن حقّانية الشخص وسلوك أتباعه، الكشف عن الاشكالات التي لا صلة لها بالقضايا الاعتقادية، اتّباع منطق توضيح وتبيين المسائل وإزالة الغموض، الكشف عن مغالطة المماشاة؛ واستعمال منطق الحجارة والصخور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الجدل، عبد الجليل القزويني الرازي، النقض، بعض فضائح الروافض، المدّعي، الناقض</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2137_12193"/>
    </w:p>
    <w:p>
      <w:pPr>
        <w:pStyle w:val="Heading3"/>
        <w:numPr>
          <w:ilvl w:val="2"/>
          <w:numId w:val="1"/>
        </w:numPr>
        <w:rPr/>
      </w:pPr>
      <w:bookmarkStart w:id="222" w:name="__RefHeading___Toc147857_3804643083"/>
      <w:bookmarkStart w:id="223" w:name="_Toc78"/>
      <w:bookmarkEnd w:id="221"/>
      <w:bookmarkEnd w:id="222"/>
      <w:r>
        <w:rPr/>
        <w:t>۲۵</w:t>
      </w:r>
      <w:r>
        <w:rPr>
          <w:rtl w:val="true"/>
        </w:rPr>
        <w:t xml:space="preserve">. </w:t>
      </w:r>
      <w:r>
        <w:rPr>
          <w:rtl w:val="true"/>
        </w:rPr>
        <w:t xml:space="preserve">المناظرة والوحدة الإسلامية في كتاب </w:t>
      </w:r>
      <w:r>
        <w:rPr>
          <w:rtl w:val="true"/>
        </w:rPr>
        <w:t>«</w:t>
      </w:r>
      <w:r>
        <w:rPr>
          <w:rtl w:val="true"/>
        </w:rPr>
        <w:t>النقض</w:t>
      </w:r>
      <w:r>
        <w:rPr>
          <w:rtl w:val="true"/>
        </w:rPr>
        <w:t>»</w:t>
      </w:r>
      <w:bookmarkEnd w:id="223"/>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المناظرة والوحدة الإسلامية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صديقة لباني مطلقكتاب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العالم النحرير عبد الجليل القزويني الرازي، وقد كتبه باُسلوب المناظرة للردّ على الاتّهامات والشبهات التي تُثار ضدّ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عبد الجليل من أوائل أصحاب نظريات التشيّع؛ إذ أنّه من خلال اُسلوبه الصحيح في المناظرة، وضع الخطوة الأساسية على طريق 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تحاول هذه المقالة العثور على اُسلوب مناسب للتوفيق بين المناظرة المذهبية، وبين وحدة المذاهب الإسلامية، وهو التوفيق الذي جسّده عبد الجليل القزويني الرازي بشكل جيّد؛ وذلك لأنّه من خلال رعايته لجوانب متعدّدة ـ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للحقّ، الاهتمام بوجود مشتركات بين الجانبين، وغير ذلك من الاُمور ـ ، حقّق المناظرة الكفيلة بإيجاد وحفظ الوحدة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عبد الجليل القزويني الرازي، المناظرة، الوحدة الإسلامية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Abstracts of the ArticlesThe Congress of Commemoration of 'Abd al-Jalil Razi Qazvini(Living in </w:t>
      </w:r>
      <w:r>
        <w:rPr>
          <w:rFonts w:ascii="IRNazanin" w:hAnsi="IRNazanin" w:eastAsia="IRNazanin"/>
          <w:color w:val="111111"/>
          <w:sz w:val="28"/>
          <w:sz w:val="28"/>
          <w:szCs w:val="28"/>
          <w:lang w:bidi="fa-IR"/>
        </w:rPr>
        <w:t xml:space="preserve">۵۶۰ </w:t>
      </w:r>
      <w:r>
        <w:rPr>
          <w:rFonts w:eastAsia="Times New Roman" w:cs="Times New Roman" w:ascii="Times New Roman" w:hAnsi="Times New Roman"/>
          <w:color w:val="111111"/>
          <w:sz w:val="28"/>
          <w:szCs w:val="28"/>
          <w:lang w:val="en-US" w:bidi="en-US"/>
        </w:rPr>
        <w:t>After Hijrah)Presented along with the Original PersianAbstracts and Their Arabic TranslationsTranslatorsKhalil Zamil 'AsamiandSeyyed 'Abd ol-Majid Tabatabaee LotfiEditor:Sayyid Mohammad Ali Razavi</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Table of Contents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 w:name="pg2137_12198"/>
    </w:p>
    <w:p>
      <w:pPr>
        <w:pStyle w:val="Heading2"/>
        <w:numPr>
          <w:ilvl w:val="1"/>
          <w:numId w:val="1"/>
        </w:numPr>
        <w:rPr/>
      </w:pPr>
      <w:bookmarkStart w:id="225" w:name="__RefHeading___Toc147859_3804643083"/>
      <w:bookmarkStart w:id="226" w:name="_Toc79"/>
      <w:bookmarkEnd w:id="224"/>
      <w:bookmarkEnd w:id="225"/>
      <w:r>
        <w:rPr/>
        <w:t>THE NOTE BY THE SCIENTIFIC SECRETARY</w:t>
      </w:r>
      <w:bookmarkEnd w:id="226"/>
    </w:p>
    <w:p>
      <w:pPr>
        <w:pStyle w:val="Heading3"/>
        <w:numPr>
          <w:ilvl w:val="2"/>
          <w:numId w:val="1"/>
        </w:numPr>
        <w:rPr/>
      </w:pPr>
      <w:bookmarkStart w:id="227" w:name="__RefHeading___Toc147861_3804643083"/>
      <w:bookmarkStart w:id="228" w:name="_Toc80"/>
      <w:bookmarkEnd w:id="227"/>
      <w:r>
        <w:rPr>
          <w:rtl w:val="true"/>
        </w:rPr>
        <w:t>اشاره</w:t>
      </w:r>
      <w:bookmarkEnd w:id="228"/>
    </w:p>
    <w:p>
      <w:pPr>
        <w:pStyle w:val="BookText"/>
        <w:rPr/>
      </w:pPr>
      <w:r>
        <w:rPr>
          <w:rFonts w:eastAsia="Times New Roman" w:cs="Times New Roman" w:ascii="Times New Roman" w:hAnsi="Times New Roman"/>
          <w:color w:val="111111"/>
          <w:sz w:val="28"/>
          <w:szCs w:val="28"/>
          <w:lang w:val="en-US" w:bidi="en-US"/>
        </w:rPr>
        <w:t xml:space="preserve">The Note by the ScientificRay is one of the most ancient civilization centers of Iran, with an antiquity of more than several thousands years. Its people have been described as a civilized nation with an advanced art. The city was captured in the year </w:t>
      </w:r>
      <w:r>
        <w:rPr>
          <w:rFonts w:ascii="IRNazanin" w:hAnsi="IRNazanin" w:eastAsia="IRNazanin"/>
          <w:color w:val="111111"/>
          <w:sz w:val="28"/>
          <w:sz w:val="28"/>
          <w:szCs w:val="28"/>
          <w:lang w:bidi="fa-IR"/>
        </w:rPr>
        <w:t xml:space="preserve">۲۲ </w:t>
      </w:r>
      <w:r>
        <w:rPr>
          <w:rFonts w:eastAsia="Times New Roman" w:cs="Times New Roman" w:ascii="Times New Roman" w:hAnsi="Times New Roman"/>
          <w:color w:val="111111"/>
          <w:sz w:val="28"/>
          <w:szCs w:val="28"/>
          <w:lang w:val="en-US" w:bidi="en-US"/>
        </w:rPr>
        <w:t>After Hijrah by Moslems and its development started since then; so that before the attack of the Moguls (</w:t>
      </w:r>
      <w:r>
        <w:rPr>
          <w:rFonts w:ascii="IRNazanin" w:hAnsi="IRNazanin" w:eastAsia="IRNazanin"/>
          <w:color w:val="111111"/>
          <w:sz w:val="28"/>
          <w:sz w:val="28"/>
          <w:szCs w:val="28"/>
          <w:lang w:bidi="fa-IR"/>
        </w:rPr>
        <w:t xml:space="preserve">۶۱۶ </w:t>
      </w:r>
      <w:r>
        <w:rPr>
          <w:rFonts w:eastAsia="Times New Roman" w:cs="Times New Roman" w:ascii="Times New Roman" w:hAnsi="Times New Roman"/>
          <w:color w:val="111111"/>
          <w:sz w:val="28"/>
          <w:szCs w:val="28"/>
          <w:lang w:val="en-US" w:bidi="en-US"/>
        </w:rPr>
        <w:t xml:space="preserve">After Hijrah) it was one of the greatest and most developed Islamic cities with a population of over two million people </w:t>
      </w:r>
      <w:r>
        <w:rPr>
          <w:rStyle w:val="FootnoteAnchor"/>
        </w:rPr>
        <w:footnoteReference w:id="46"/>
      </w:r>
      <w:r>
        <w:rPr>
          <w:rFonts w:eastAsia="Times New Roman" w:cs="Times New Roman" w:ascii="Times New Roman" w:hAnsi="Times New Roman"/>
          <w:color w:val="111111"/>
          <w:sz w:val="28"/>
          <w:szCs w:val="28"/>
          <w:lang w:val="en-US" w:bidi="en-US"/>
        </w:rPr>
        <w:t>.In the Islamic period, since the third and forth centuries, it possessed a rather powerful scientific seminary, from which a number of great Shiite and Sunnite characters were graduated. Among them, one can refer to: Thiqatulislam Kulayni (</w:t>
      </w:r>
      <w:r>
        <w:rPr>
          <w:rFonts w:ascii="IRNazanin" w:hAnsi="IRNazanin" w:eastAsia="IRNazanin"/>
          <w:color w:val="111111"/>
          <w:sz w:val="28"/>
          <w:sz w:val="28"/>
          <w:szCs w:val="28"/>
          <w:lang w:bidi="fa-IR"/>
        </w:rPr>
        <w:t xml:space="preserve">۳۲۹ </w:t>
      </w:r>
      <w:r>
        <w:rPr>
          <w:rFonts w:eastAsia="Times New Roman" w:cs="Times New Roman" w:ascii="Times New Roman" w:hAnsi="Times New Roman"/>
          <w:color w:val="111111"/>
          <w:sz w:val="28"/>
          <w:szCs w:val="28"/>
          <w:lang w:val="en-US" w:bidi="en-US"/>
        </w:rPr>
        <w:t>After Hijrah), Ibn Qibbah Razi (</w:t>
      </w:r>
      <w:r>
        <w:rPr>
          <w:rFonts w:ascii="IRNazanin" w:hAnsi="IRNazanin" w:eastAsia="IRNazanin"/>
          <w:color w:val="111111"/>
          <w:sz w:val="28"/>
          <w:sz w:val="28"/>
          <w:szCs w:val="28"/>
          <w:lang w:bidi="fa-IR"/>
        </w:rPr>
        <w:t xml:space="preserve">۴۰۰ </w:t>
      </w:r>
      <w:r>
        <w:rPr>
          <w:rFonts w:eastAsia="Times New Roman" w:cs="Times New Roman" w:ascii="Times New Roman" w:hAnsi="Times New Roman"/>
          <w:color w:val="111111"/>
          <w:sz w:val="28"/>
          <w:szCs w:val="28"/>
          <w:lang w:val="en-US" w:bidi="en-US"/>
        </w:rPr>
        <w:t>After Hijrah), Ibn Miskawayh (</w:t>
      </w:r>
      <w:r>
        <w:rPr>
          <w:rFonts w:ascii="IRNazanin" w:hAnsi="IRNazanin" w:eastAsia="IRNazanin"/>
          <w:color w:val="111111"/>
          <w:sz w:val="28"/>
          <w:sz w:val="28"/>
          <w:szCs w:val="28"/>
          <w:lang w:bidi="fa-IR"/>
        </w:rPr>
        <w:t xml:space="preserve">۳۲۱ – ۴۲۱ </w:t>
      </w:r>
      <w:r>
        <w:rPr>
          <w:rFonts w:eastAsia="Times New Roman" w:cs="Times New Roman" w:ascii="Times New Roman" w:hAnsi="Times New Roman"/>
          <w:color w:val="111111"/>
          <w:sz w:val="28"/>
          <w:szCs w:val="28"/>
          <w:lang w:val="en-US" w:bidi="en-US"/>
        </w:rPr>
        <w:t>After Hijrah), Abu Hatam Razi (</w:t>
      </w:r>
      <w:r>
        <w:rPr>
          <w:rFonts w:ascii="IRNazanin" w:hAnsi="IRNazanin" w:eastAsia="IRNazanin"/>
          <w:color w:val="111111"/>
          <w:sz w:val="28"/>
          <w:sz w:val="28"/>
          <w:szCs w:val="28"/>
          <w:lang w:bidi="fa-IR"/>
        </w:rPr>
        <w:t xml:space="preserve">۳۲۲ </w:t>
      </w:r>
      <w:r>
        <w:rPr>
          <w:rFonts w:eastAsia="Times New Roman" w:cs="Times New Roman" w:ascii="Times New Roman" w:hAnsi="Times New Roman"/>
          <w:color w:val="111111"/>
          <w:sz w:val="28"/>
          <w:szCs w:val="28"/>
          <w:lang w:val="en-US" w:bidi="en-US"/>
        </w:rPr>
        <w:t>After Hijrah), Ibn Fars Razi (</w:t>
      </w:r>
      <w:r>
        <w:rPr>
          <w:rFonts w:ascii="IRNazanin" w:hAnsi="IRNazanin" w:eastAsia="IRNazanin"/>
          <w:color w:val="111111"/>
          <w:sz w:val="28"/>
          <w:sz w:val="28"/>
          <w:szCs w:val="28"/>
          <w:lang w:bidi="fa-IR"/>
        </w:rPr>
        <w:t xml:space="preserve">۳۲۹ – ۳۹۵ </w:t>
      </w:r>
      <w:r>
        <w:rPr>
          <w:rFonts w:eastAsia="Times New Roman" w:cs="Times New Roman" w:ascii="Times New Roman" w:hAnsi="Times New Roman"/>
          <w:color w:val="111111"/>
          <w:sz w:val="28"/>
          <w:szCs w:val="28"/>
          <w:lang w:val="en-US" w:bidi="en-US"/>
        </w:rPr>
        <w:t>After Hijrah), Abu Bakr Razi (</w:t>
      </w:r>
      <w:r>
        <w:rPr>
          <w:rFonts w:ascii="IRNazanin" w:hAnsi="IRNazanin" w:eastAsia="IRNazanin"/>
          <w:color w:val="111111"/>
          <w:sz w:val="28"/>
          <w:sz w:val="28"/>
          <w:szCs w:val="28"/>
          <w:lang w:bidi="fa-IR"/>
        </w:rPr>
        <w:t xml:space="preserve">۳۲۵ – ۳۸۵ </w:t>
      </w:r>
      <w:r>
        <w:rPr>
          <w:rFonts w:eastAsia="Times New Roman" w:cs="Times New Roman" w:ascii="Times New Roman" w:hAnsi="Times New Roman"/>
          <w:color w:val="111111"/>
          <w:sz w:val="28"/>
          <w:szCs w:val="28"/>
          <w:lang w:val="en-US" w:bidi="en-US"/>
        </w:rPr>
        <w:t>After Hijrah), Mohammad bin Zakariyya Razi (</w:t>
      </w:r>
      <w:r>
        <w:rPr>
          <w:rFonts w:ascii="IRNazanin" w:hAnsi="IRNazanin" w:eastAsia="IRNazanin"/>
          <w:color w:val="111111"/>
          <w:sz w:val="28"/>
          <w:sz w:val="28"/>
          <w:szCs w:val="28"/>
          <w:lang w:bidi="fa-IR"/>
        </w:rPr>
        <w:t xml:space="preserve">۳۰۲ </w:t>
      </w:r>
      <w:r>
        <w:rPr>
          <w:rFonts w:eastAsia="Times New Roman" w:cs="Times New Roman" w:ascii="Times New Roman" w:hAnsi="Times New Roman"/>
          <w:color w:val="111111"/>
          <w:sz w:val="28"/>
          <w:szCs w:val="28"/>
          <w:lang w:val="en-US" w:bidi="en-US"/>
        </w:rPr>
        <w:t>After Hijrah and etc</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the decline of the seminary schools of Baghdad and Qom, Ray became the most outstanding scientific center of Shiites at that period; so that the fifth and sixth century is considered as its flourishing period. During that time, one can notice the following influential characters: Abu al-Futuh Razi (</w:t>
      </w: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bidi="en-US"/>
        </w:rPr>
        <w:t>th century After Hijrah); Safi al-Din Razi (</w:t>
      </w: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bidi="en-US"/>
        </w:rPr>
        <w:t>th century After Hijrah), the author of the book of Tabsirat al-'Awam; Sadid al-Din Hamsi Razi (</w:t>
      </w: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bidi="en-US"/>
        </w:rPr>
        <w:t>th century After Hijrah), the author of the book of Al-Manfad min al-Taqlid; Sheikh Montajib al-Din Razi (</w:t>
      </w:r>
      <w:r>
        <w:rPr>
          <w:rFonts w:ascii="IRNazanin" w:hAnsi="IRNazanin" w:eastAsia="IRNazanin"/>
          <w:color w:val="111111"/>
          <w:sz w:val="28"/>
          <w:sz w:val="28"/>
          <w:szCs w:val="28"/>
          <w:lang w:bidi="fa-IR"/>
        </w:rPr>
        <w:t xml:space="preserve">۵۰۴ – ۵۸۵ </w:t>
      </w:r>
      <w:r>
        <w:rPr>
          <w:rFonts w:eastAsia="Times New Roman" w:cs="Times New Roman" w:ascii="Times New Roman" w:hAnsi="Times New Roman"/>
          <w:color w:val="111111"/>
          <w:sz w:val="28"/>
          <w:szCs w:val="28"/>
          <w:lang w:val="en-US" w:bidi="en-US"/>
        </w:rPr>
        <w:t>After Hijrah), the author of al-Fihrist; Qutb al-Din Razi (</w:t>
      </w:r>
      <w:r>
        <w:rPr>
          <w:rFonts w:ascii="IRNazanin" w:hAnsi="IRNazanin" w:eastAsia="IRNazanin"/>
          <w:color w:val="111111"/>
          <w:sz w:val="28"/>
          <w:sz w:val="28"/>
          <w:szCs w:val="28"/>
          <w:lang w:bidi="fa-IR"/>
        </w:rPr>
        <w:t xml:space="preserve">۶۹۶ – ۷۶۶ </w:t>
      </w:r>
      <w:r>
        <w:rPr>
          <w:rFonts w:eastAsia="Times New Roman" w:cs="Times New Roman" w:ascii="Times New Roman" w:hAnsi="Times New Roman"/>
          <w:color w:val="111111"/>
          <w:sz w:val="28"/>
          <w:szCs w:val="28"/>
          <w:lang w:val="en-US" w:bidi="en-US"/>
        </w:rPr>
        <w:t xml:space="preserve">After Hijrah).There is not accurate information available about the life of 'Abd al-Jalil Razi. The only sources for a brief acquaintance with him are: al-Fihrist, written by Muntajib al-Din Razi, who was contemporary with 'Abd al-Jalil; and the book of Naqd written by 'Abd al-Jalil, himself, through which he has sometimes written some material concerning himself.Muntajib al-Din describes 'Abd al-Jalil as:Al-Sheikh al-Wa'iz, Nasir al-Din Abd al-Jalil Bin Abi al-Hussayn bin Abi al-Fadl al-Qazvini, a scholar, an orator, and a religious man. </w:t>
      </w:r>
      <w:r>
        <w:rPr>
          <w:rStyle w:val="FootnoteAnchor"/>
        </w:rPr>
        <w:footnoteReference w:id="47"/>
      </w:r>
      <w:r>
        <w:rPr>
          <w:rFonts w:eastAsia="Times New Roman" w:cs="Times New Roman" w:ascii="Times New Roman" w:hAnsi="Times New Roman"/>
          <w:color w:val="111111"/>
          <w:sz w:val="28"/>
          <w:szCs w:val="28"/>
          <w:lang w:val="en-US" w:bidi="en-US"/>
        </w:rPr>
        <w:t>Such descriptions as (Al-Sheikh al-Wa'iz, a scholar, an orator, and a religious man) refer to 'Abd al-Jalil's scientific and spiritual status.The works authored by 'Abd al-Jalil, based on the books of al-Fihrist and Naqd, are:Tanzih 'Ayeshah min al-Fawahish al-'Azimah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written in </w:t>
      </w:r>
      <w:r>
        <w:rPr>
          <w:rFonts w:ascii="IRNazanin" w:hAnsi="IRNazanin" w:eastAsia="IRNazanin"/>
          <w:color w:val="111111"/>
          <w:sz w:val="28"/>
          <w:sz w:val="28"/>
          <w:szCs w:val="28"/>
          <w:lang w:bidi="fa-IR"/>
        </w:rPr>
        <w:t xml:space="preserve">۵۳۳ </w:t>
      </w:r>
      <w:r>
        <w:rPr>
          <w:rFonts w:eastAsia="Times New Roman" w:cs="Times New Roman" w:ascii="Times New Roman" w:hAnsi="Times New Roman"/>
          <w:color w:val="111111"/>
          <w:sz w:val="28"/>
          <w:szCs w:val="28"/>
          <w:lang w:val="en-US" w:bidi="en-US"/>
        </w:rPr>
        <w:t>After Hijrah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Al-Barahin fi Imamat Amir al-Mu'minin (written in </w:t>
      </w:r>
      <w:r>
        <w:rPr>
          <w:rFonts w:ascii="IRNazanin" w:hAnsi="IRNazanin" w:eastAsia="IRNazanin"/>
          <w:color w:val="111111"/>
          <w:sz w:val="28"/>
          <w:sz w:val="28"/>
          <w:szCs w:val="28"/>
          <w:lang w:bidi="fa-IR"/>
        </w:rPr>
        <w:t xml:space="preserve">۵۳۷ </w:t>
      </w:r>
      <w:r>
        <w:rPr>
          <w:rFonts w:eastAsia="Times New Roman" w:cs="Times New Roman" w:ascii="Times New Roman" w:hAnsi="Times New Roman"/>
          <w:color w:val="111111"/>
          <w:sz w:val="28"/>
          <w:szCs w:val="28"/>
          <w:lang w:val="en-US" w:bidi="en-US"/>
        </w:rPr>
        <w:t xml:space="preserve">After Hijrah);Al- Su'alat wa al-Jawabat (seven volumes);Miftah al-Rahat fi Funun al-Hikayat or Miftah al-Tazkir;A Treaties in Rejection of Infidels;Ba'd Mathalib al-Nawasib fi Naqd Ba’d Fada’ih al-Rawafid, known as Naqd (written in </w:t>
      </w:r>
      <w:r>
        <w:rPr>
          <w:rFonts w:ascii="IRNazanin" w:hAnsi="IRNazanin" w:eastAsia="IRNazanin"/>
          <w:color w:val="111111"/>
          <w:sz w:val="28"/>
          <w:sz w:val="28"/>
          <w:szCs w:val="28"/>
          <w:lang w:bidi="fa-IR"/>
        </w:rPr>
        <w:t xml:space="preserve">۵۵۶ – ۵۶۶ </w:t>
      </w:r>
      <w:r>
        <w:rPr>
          <w:rFonts w:eastAsia="Times New Roman" w:cs="Times New Roman" w:ascii="Times New Roman" w:hAnsi="Times New Roman"/>
          <w:color w:val="111111"/>
          <w:sz w:val="28"/>
          <w:szCs w:val="28"/>
          <w:lang w:val="en-US" w:bidi="en-US"/>
        </w:rPr>
        <w:t>After Hijrah).The period in which 'Abd al-Jalil lived was characterized with some features. The familiarity with these features can be helpful in an acquaintance with him and his book. The titles chosen by 'Abd al-Jalil for his works reflect such features to some degree.That period, i.e. the second half of the fifth century until the late sixth century was characterized with the followings:Development of Ray and Iran;Deterioration of the institution of caliphate in the world of Islam and also in the political atmos-phere;Prevalence of esoterism and thoughts of Hasan SabbahGrowth of disputes and disagreements between Shiites and SunnitesPrevalence of religious meetings focusing on theological discussions and prevalence of debate sessions;Development of religious interaction and mutual denominational understanding</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137_12201"/>
    </w:p>
    <w:p>
      <w:pPr>
        <w:pStyle w:val="Heading3"/>
        <w:numPr>
          <w:ilvl w:val="2"/>
          <w:numId w:val="1"/>
        </w:numPr>
        <w:rPr/>
      </w:pPr>
      <w:bookmarkStart w:id="230" w:name="__RefHeading___Toc147863_3804643083"/>
      <w:bookmarkStart w:id="231" w:name="_Toc81"/>
      <w:bookmarkEnd w:id="229"/>
      <w:bookmarkEnd w:id="230"/>
      <w:r>
        <w:rPr/>
        <w:t>A. PREPARING THE COLLECTION OF THE WORKS</w:t>
      </w:r>
      <w:bookmarkEnd w:id="231"/>
    </w:p>
    <w:p>
      <w:pPr>
        <w:pStyle w:val="BookText"/>
        <w:rPr/>
      </w:pPr>
      <w:r>
        <w:rPr>
          <w:rFonts w:eastAsia="Times New Roman" w:cs="Times New Roman" w:ascii="Times New Roman" w:hAnsi="Times New Roman"/>
          <w:color w:val="111111"/>
          <w:sz w:val="28"/>
          <w:szCs w:val="28"/>
          <w:lang w:val="en-US" w:bidi="en-US"/>
        </w:rPr>
        <w:t xml:space="preserve">Prevalence of heresy and disbelief in religionAs the mentioned titles imply, 'Abd al-Jalil is a scholar who understands the cultural events of his period well. He does not intensify the religious disputes, rather besides strong belief in his own position tries to present it as a firm, believable and defendable core. Therefore, his first book is to purify 'Ayeshah. He tries to answer the questions common in his society; hence, he writes the book of al-Su'alat wa al-Jawabat (The Questions and the Answers) in seven volumes. In Naqd, he answers the baseless accusations posed by a prejudice person. At the same time, this book re-veals 'Abd al-Jalil's vast knowledge and his elo-quent writing style.After arranging the International Congress of Kulayni in the spring of </w:t>
      </w:r>
      <w:r>
        <w:rPr>
          <w:rFonts w:ascii="IRNazanin" w:hAnsi="IRNazanin" w:eastAsia="IRNazanin"/>
          <w:color w:val="111111"/>
          <w:sz w:val="28"/>
          <w:sz w:val="28"/>
          <w:szCs w:val="28"/>
          <w:lang w:bidi="fa-IR"/>
        </w:rPr>
        <w:t>۲۰۰۹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the idea of arranging a congress for the commemoration of 'Abd al-Jalil developed. Since the early </w:t>
      </w:r>
      <w:r>
        <w:rPr>
          <w:rFonts w:ascii="IRNazanin" w:hAnsi="IRNazanin" w:eastAsia="IRNazanin"/>
          <w:color w:val="111111"/>
          <w:sz w:val="28"/>
          <w:sz w:val="28"/>
          <w:szCs w:val="28"/>
          <w:lang w:bidi="fa-IR"/>
        </w:rPr>
        <w:t xml:space="preserve">۲۰۰۹ </w:t>
      </w:r>
      <w:r>
        <w:rPr>
          <w:rFonts w:eastAsia="Times New Roman" w:cs="Times New Roman" w:ascii="Times New Roman" w:hAnsi="Times New Roman"/>
          <w:color w:val="111111"/>
          <w:sz w:val="28"/>
          <w:szCs w:val="28"/>
          <w:lang w:val="en-US" w:bidi="en-US"/>
        </w:rPr>
        <w:t>through holding a number of sessions with the members of the Supreme Committee of Policymaking, along with the sessions of the scientific committee of the congress, the activities of the scientific committee of the congress started. The results of two years of activity by this committee is presented below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Preparing the collection of the works of the congress (</w:t>
      </w:r>
      <w:r>
        <w:rPr>
          <w:rFonts w:ascii="IRNazanin" w:hAnsi="IRNazanin" w:eastAsia="IRNazanin"/>
          <w:color w:val="111111"/>
          <w:sz w:val="28"/>
          <w:sz w:val="28"/>
          <w:szCs w:val="28"/>
          <w:lang w:bidi="fa-IR"/>
        </w:rPr>
        <w:t xml:space="preserve">۷ </w:t>
      </w:r>
      <w:r>
        <w:rPr>
          <w:rFonts w:eastAsia="Times New Roman" w:cs="Times New Roman" w:ascii="Times New Roman" w:hAnsi="Times New Roman"/>
          <w:color w:val="111111"/>
          <w:sz w:val="28"/>
          <w:szCs w:val="28"/>
          <w:lang w:val="en-US" w:bidi="en-US"/>
        </w:rPr>
        <w:t>volumes):The Book of Naqd, New Edition;'Abd al-Jalil Razi Qazvini: His Age and Book;A Biography of 'Abd al-Jalil and an Introduction of "Naqd";A Descriptive Study of the Grammatical Structure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137_12202"/>
    </w:p>
    <w:p>
      <w:pPr>
        <w:pStyle w:val="Heading3"/>
        <w:numPr>
          <w:ilvl w:val="2"/>
          <w:numId w:val="1"/>
        </w:numPr>
        <w:rPr/>
      </w:pPr>
      <w:bookmarkStart w:id="233" w:name="__RefHeading___Toc147865_3804643083"/>
      <w:bookmarkStart w:id="234" w:name="_Toc82"/>
      <w:bookmarkEnd w:id="232"/>
      <w:bookmarkEnd w:id="233"/>
      <w:r>
        <w:rPr/>
        <w:t>B. THE INFORMATION SHEET OF THE CONGRESS (</w:t>
      </w:r>
      <w:r>
        <w:rPr/>
        <w:t xml:space="preserve">۳ </w:t>
      </w:r>
      <w:r>
        <w:rPr/>
        <w:t>ISSUES)</w:t>
      </w:r>
      <w:bookmarkEnd w:id="234"/>
    </w:p>
    <w:p>
      <w:pPr>
        <w:pStyle w:val="Heading3"/>
        <w:numPr>
          <w:ilvl w:val="2"/>
          <w:numId w:val="1"/>
        </w:numPr>
        <w:rPr/>
      </w:pPr>
      <w:bookmarkStart w:id="235" w:name="__RefHeading___Toc147867_3804643083"/>
      <w:bookmarkStart w:id="236" w:name="_Toc83"/>
      <w:bookmarkEnd w:id="235"/>
      <w:r>
        <w:rPr/>
        <w:t>C. DVD OF THE WORKS PRESENTED IN THE CONGRESS</w:t>
      </w:r>
      <w:bookmarkEnd w:id="236"/>
    </w:p>
    <w:p>
      <w:pPr>
        <w:pStyle w:val="Heading3"/>
        <w:numPr>
          <w:ilvl w:val="2"/>
          <w:numId w:val="1"/>
        </w:numPr>
        <w:rPr/>
      </w:pPr>
      <w:bookmarkStart w:id="237" w:name="__RefHeading___Toc147869_3804643083"/>
      <w:bookmarkStart w:id="238" w:name="_Toc84"/>
      <w:bookmarkEnd w:id="237"/>
      <w:r>
        <w:rPr/>
        <w:t>A. THE ORGANIZERS OF THE CONGRESS</w:t>
      </w:r>
      <w:bookmarkEnd w:id="238"/>
    </w:p>
    <w:p>
      <w:pPr>
        <w:pStyle w:val="BookText"/>
        <w:rPr/>
      </w:pPr>
      <w:r>
        <w:rPr>
          <w:rFonts w:eastAsia="Times New Roman" w:cs="Times New Roman" w:ascii="Times New Roman" w:hAnsi="Times New Roman"/>
          <w:color w:val="111111"/>
          <w:sz w:val="28"/>
          <w:szCs w:val="28"/>
          <w:lang w:val="en-US" w:bidi="en-US"/>
        </w:rPr>
        <w:t>of the Book of "Naqd";The Collection of the Articles of the Congress (</w:t>
      </w:r>
      <w:r>
        <w:rPr>
          <w:rFonts w:ascii="IRNazanin" w:hAnsi="IRNazanin" w:eastAsia="IRNazanin"/>
          <w:color w:val="111111"/>
          <w:sz w:val="28"/>
          <w:sz w:val="28"/>
          <w:szCs w:val="28"/>
          <w:lang w:bidi="fa-IR"/>
        </w:rPr>
        <w:t xml:space="preserve">۲ </w:t>
      </w:r>
      <w:r>
        <w:rPr>
          <w:rFonts w:eastAsia="Times New Roman" w:cs="Times New Roman" w:ascii="Times New Roman" w:hAnsi="Times New Roman"/>
          <w:color w:val="111111"/>
          <w:sz w:val="28"/>
          <w:szCs w:val="28"/>
          <w:lang w:val="en-US" w:bidi="en-US"/>
        </w:rPr>
        <w:t>volumes)The Abstracts of the Articles and Their Arabic and English Translations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The Information Sheet of the Congress (</w:t>
      </w:r>
      <w:r>
        <w:rPr>
          <w:rFonts w:ascii="IRNazanin" w:hAnsi="IRNazanin" w:eastAsia="IRNazanin"/>
          <w:color w:val="111111"/>
          <w:sz w:val="28"/>
          <w:sz w:val="28"/>
          <w:szCs w:val="28"/>
          <w:lang w:bidi="fa-IR"/>
        </w:rPr>
        <w:t xml:space="preserve">۳ </w:t>
      </w:r>
      <w:r>
        <w:rPr>
          <w:rFonts w:eastAsia="Times New Roman" w:cs="Times New Roman" w:ascii="Times New Roman" w:hAnsi="Times New Roman"/>
          <w:color w:val="111111"/>
          <w:sz w:val="28"/>
          <w:szCs w:val="28"/>
          <w:lang w:val="en-US" w:bidi="en-US"/>
        </w:rPr>
        <w:t>issues)C. DVD of the Works Presented in the CongressFurthermore, there were some other programs scheduled by the scientific committee, the fulfillment of which depended on the preparation of the new edition of the book of Naqd; therefore, they were postponed to be carried out after holding the congress. The programs included:Rewriting the book of Naqd;Translating the rewritten version of Naqd into Eng-lishTranslating the rewritten version of Naqd into ArabicIt is necessary to express our gratitude to all those who played a role in the development of this congress. Therefore, we appreciate the contributions made by all the individuals and organizations that helped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The Organizers of the CongressThis congress was organized based on scientific, spiritual and financial contribution of the following centers:The Holy Shrine of His Majesty 'Abd al-'Azim Hasani; The head: Ayatollah Mohammad Mohammadi Rayshahri;The Committee of the Outstanding Cultural</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2137_12203"/>
    </w:p>
    <w:p>
      <w:pPr>
        <w:pStyle w:val="Heading3"/>
        <w:numPr>
          <w:ilvl w:val="2"/>
          <w:numId w:val="1"/>
        </w:numPr>
        <w:rPr/>
      </w:pPr>
      <w:bookmarkStart w:id="240" w:name="__RefHeading___Toc147871_3804643083"/>
      <w:bookmarkStart w:id="241" w:name="_Toc85"/>
      <w:bookmarkEnd w:id="239"/>
      <w:bookmarkEnd w:id="240"/>
      <w:r>
        <w:rPr/>
        <w:t>B. THE MEMBERS OF THE SCIENTIFIC COMMITTEE</w:t>
      </w:r>
      <w:bookmarkEnd w:id="241"/>
    </w:p>
    <w:p>
      <w:pPr>
        <w:pStyle w:val="BookText"/>
        <w:rPr/>
      </w:pPr>
      <w:r>
        <w:rPr>
          <w:rFonts w:eastAsia="Times New Roman" w:cs="Times New Roman" w:ascii="Times New Roman" w:hAnsi="Times New Roman"/>
          <w:color w:val="111111"/>
          <w:sz w:val="28"/>
          <w:szCs w:val="28"/>
          <w:lang w:val="en-US" w:bidi="en-US"/>
        </w:rPr>
        <w:t>Figures and Works; The head: Hujjatulislam Mohammad Javad Adabi;Al-Mustafa PBUT International University; The head: Hujjatulislam Alireza A'rafi;The Library, Museum and Center of the Documents of the Islamic Parliament; The head: Hujjatulislam Rasool Ja'farian;The World Forum for Ahl al-Bayt PBUT; The head: Ayatollah Mohammad Ali Taskhiri;The World Forum for Proximity of Islamic Schools of Thought; The head: Hujjatulislam Mohammad Hasan Akhtari;The Center for Computerized Research in Islamic Sciences; The head: Hujjatulislam Hamid Shahryari;Department of Cultural Affairs, Ministry of Culture and Islamic Guidance; The vice chancellor: Mr. Bahman Dorri;The Scientific and Culture Institute of Dar al-Hadith; The head: Ayatollah Mohammad Mohammadi Rayshahri.It is necessary to state that the sessions of the Supreme Committee of Policymaking were held by the heads and managers of the mentioned centers and institutes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The Members of the Scientific Committee of the CongressThe scientific committee of the congress composed of the following scholars and also representatives from the contributing centers:Hujjatulislam Ali Asghar Owhadi (the representative of The World Forum for Proximity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2137_12204"/>
    </w:p>
    <w:p>
      <w:pPr>
        <w:pStyle w:val="Heading3"/>
        <w:numPr>
          <w:ilvl w:val="2"/>
          <w:numId w:val="1"/>
        </w:numPr>
        <w:rPr/>
      </w:pPr>
      <w:bookmarkStart w:id="243" w:name="__RefHeading___Toc147873_3804643083"/>
      <w:bookmarkStart w:id="244" w:name="_Toc86"/>
      <w:bookmarkEnd w:id="242"/>
      <w:bookmarkEnd w:id="243"/>
      <w:r>
        <w:rPr/>
        <w:t>C. THE GROUP FOR PREPARATION</w:t>
      </w:r>
      <w:r>
        <w:rPr>
          <w:rtl w:val="true"/>
        </w:rPr>
        <w:t>...</w:t>
      </w:r>
      <w:bookmarkEnd w:id="244"/>
    </w:p>
    <w:p>
      <w:pPr>
        <w:pStyle w:val="Heading3"/>
        <w:numPr>
          <w:ilvl w:val="2"/>
          <w:numId w:val="1"/>
        </w:numPr>
        <w:rPr/>
      </w:pPr>
      <w:bookmarkStart w:id="245" w:name="__RefHeading___Toc147875_3804643083"/>
      <w:bookmarkStart w:id="246" w:name="_Toc87"/>
      <w:bookmarkEnd w:id="245"/>
      <w:r>
        <w:rPr/>
        <w:t>D. THE EXECUTIVE GROUP OF THE CONGRESS</w:t>
      </w:r>
      <w:bookmarkEnd w:id="246"/>
    </w:p>
    <w:p>
      <w:pPr>
        <w:pStyle w:val="Heading3"/>
        <w:numPr>
          <w:ilvl w:val="2"/>
          <w:numId w:val="1"/>
        </w:numPr>
        <w:rPr/>
      </w:pPr>
      <w:bookmarkStart w:id="247" w:name="__RefHeading___Toc147877_3804643083"/>
      <w:bookmarkStart w:id="248" w:name="_Toc88"/>
      <w:bookmarkEnd w:id="247"/>
      <w:r>
        <w:rPr/>
        <w:t>E. THE SCIENTIFIC COUNSELORS OF THE CONGRESS</w:t>
      </w:r>
      <w:bookmarkEnd w:id="248"/>
    </w:p>
    <w:p>
      <w:pPr>
        <w:pStyle w:val="BookText"/>
        <w:rPr/>
      </w:pPr>
      <w:r>
        <w:rPr>
          <w:rFonts w:eastAsia="Times New Roman" w:cs="Times New Roman" w:ascii="Times New Roman" w:hAnsi="Times New Roman"/>
          <w:color w:val="111111"/>
          <w:sz w:val="28"/>
          <w:szCs w:val="28"/>
          <w:lang w:val="en-US" w:bidi="en-US"/>
        </w:rPr>
        <w:t>of Islamic Schools of Thought);Mr. Naser Baqeri Bidhendi (the representative of Al-Mustafa PBUT International University)Hujjatulislam Rasool Ja'farianMr. Qasem Javadi (Safari)Hujjatulislam Mohammad Hossein Derayati;Hujjatulislam Mohammad Kazem Rahman Se-tayesh;Hujjatulislam Mohammad Salar (the representative of The Ahl al-Bayt PBUT World Assembly)Hujjatulislam Ali Sadra'ie Kho'ie (the representative of Anjoman-e Asar va Mafakher-e Farhangi [The Committee of the Outstanding Cultural Figures and Works]);Mr. Mir Hashem Mohaddith (the son of Mir Jalal al-Din Mohaddith Ormavi; the editor of the book of Naqd);Hujjatulislam Mohammad Mahdi Me'raji;Hujjatulislam Mohammad Ali Mahdavi Rad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The Group for Preparation of the Works: including typing, editing, revising and formattingMr. Hosein Poursharif (editor);Mr. Mahdi Joharchi (reviser);Mr. Mohammad Karim Salehi (typist)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The Executive Group of the CongressHojjat ol-Islam Mohammad Mahdi Khoshqalb (executive secretary)Mr. Amir Hosein Saeedi Saber</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E. The Scientific Counselors of the CongressMr. Hadi Rabbani;Mr. Mohammad Hadi Khaleqi.It is also necessary to express our gratitude to the authors of the articles and the professors who helped us through the various stages of revising the new edition of the book of Naqd, whose names have been mentioned with their works and books. Furthermore, we appreciate all the people who peer reviewed the works. And last but not least, we thank all our colleagues in different parts of the Clerical Chancellery of the Scientific – Cultural Institute of Dar al-Hadith.Mahdi MehriziThe Secretary of the Scientific CommitteeFriday, </w:t>
      </w: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bidi="en-US"/>
        </w:rPr>
        <w:t xml:space="preserve">th of April, </w:t>
      </w:r>
      <w:r>
        <w:rPr>
          <w:rFonts w:ascii="IRNazanin" w:hAnsi="IRNazanin" w:eastAsia="IRNazanin"/>
          <w:color w:val="111111"/>
          <w:sz w:val="28"/>
          <w:sz w:val="28"/>
          <w:szCs w:val="28"/>
          <w:lang w:bidi="fa-IR"/>
        </w:rPr>
        <w:t>۲۰۱۲۱۸</w:t>
      </w:r>
      <w:r>
        <w:rPr>
          <w:rFonts w:eastAsia="Times New Roman" w:cs="Times New Roman" w:ascii="Times New Roman" w:hAnsi="Times New Roman"/>
          <w:color w:val="111111"/>
          <w:sz w:val="28"/>
          <w:szCs w:val="28"/>
          <w:lang w:val="en-US" w:bidi="en-US"/>
        </w:rPr>
        <w:t xml:space="preserve">th of Farvardin, </w:t>
      </w:r>
      <w:r>
        <w:rPr>
          <w:rFonts w:ascii="IRNazanin" w:hAnsi="IRNazanin" w:eastAsia="IRNazanin"/>
          <w:color w:val="111111"/>
          <w:sz w:val="28"/>
          <w:sz w:val="28"/>
          <w:szCs w:val="28"/>
          <w:lang w:bidi="fa-IR"/>
        </w:rPr>
        <w:t>۱۳۹۱۱۴</w:t>
      </w:r>
      <w:r>
        <w:rPr>
          <w:rFonts w:eastAsia="Times New Roman" w:cs="Times New Roman" w:ascii="Times New Roman" w:hAnsi="Times New Roman"/>
          <w:color w:val="111111"/>
          <w:sz w:val="28"/>
          <w:szCs w:val="28"/>
          <w:lang w:val="en-US" w:bidi="en-US"/>
        </w:rPr>
        <w:t xml:space="preserve">th of Jamadi al-'Ula; </w:t>
      </w:r>
      <w:r>
        <w:rPr>
          <w:rFonts w:ascii="IRNazanin" w:hAnsi="IRNazanin" w:eastAsia="IRNazanin"/>
          <w:color w:val="111111"/>
          <w:sz w:val="28"/>
          <w:sz w:val="28"/>
          <w:szCs w:val="28"/>
          <w:lang w:bidi="fa-IR"/>
        </w:rPr>
        <w:t>۱۴۳۳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2137_12206"/>
    </w:p>
    <w:p>
      <w:pPr>
        <w:pStyle w:val="Heading2"/>
        <w:numPr>
          <w:ilvl w:val="1"/>
          <w:numId w:val="1"/>
        </w:numPr>
        <w:rPr/>
      </w:pPr>
      <w:bookmarkStart w:id="250" w:name="__RefHeading___Toc147879_3804643083"/>
      <w:bookmarkStart w:id="251" w:name="_Toc89"/>
      <w:bookmarkEnd w:id="249"/>
      <w:bookmarkEnd w:id="250"/>
      <w:r>
        <w:rPr/>
        <w:t>ABOUT THIS WORK</w:t>
      </w:r>
      <w:bookmarkEnd w:id="251"/>
    </w:p>
    <w:p>
      <w:pPr>
        <w:pStyle w:val="BookText"/>
        <w:rPr/>
      </w:pPr>
      <w:r>
        <w:rPr>
          <w:rFonts w:eastAsia="Times New Roman" w:cs="Times New Roman" w:ascii="Times New Roman" w:hAnsi="Times New Roman"/>
          <w:color w:val="111111"/>
          <w:sz w:val="28"/>
          <w:szCs w:val="28"/>
          <w:lang w:val="en-US" w:bidi="en-US"/>
        </w:rPr>
        <w:t xml:space="preserve">About This WorkWhat could form the basis of doing research about 'Abd al-Jalil Razi Qazvini was on the one hand his life and his works, and on the other hand the period in which he lived.Since there was not enough reference to his life in historical resources and Tarajoms and from among his works the book of Naqd was the only one available, doing research in the first field focused just on the book of Naqd; while the period in which he lived was a field fostering numerous researches.Concerning the fact that there were already at least </w:t>
      </w:r>
      <w:r>
        <w:rPr>
          <w:rFonts w:ascii="IRNazanin" w:hAnsi="IRNazanin" w:eastAsia="IRNazanin"/>
          <w:color w:val="111111"/>
          <w:sz w:val="28"/>
          <w:sz w:val="28"/>
          <w:szCs w:val="28"/>
          <w:lang w:bidi="fa-IR"/>
        </w:rPr>
        <w:t xml:space="preserve">۲۲ </w:t>
      </w:r>
      <w:r>
        <w:rPr>
          <w:rFonts w:eastAsia="Times New Roman" w:cs="Times New Roman" w:ascii="Times New Roman" w:hAnsi="Times New Roman"/>
          <w:color w:val="111111"/>
          <w:sz w:val="28"/>
          <w:szCs w:val="28"/>
          <w:lang w:val="en-US" w:bidi="en-US"/>
        </w:rPr>
        <w:t xml:space="preserve">published articles available in Persian about the book of Naqd and personality of 'Abd al-Jalil, the scope of doing research became even more limited.On the other hand, in the scientific conferences of Iran, apparently there is not much concern about doing research for the analysis of history, critical view toward history and the study of historical procedures.Despite the mentioned facts, through a call for articles and particular recommendations made, </w:t>
      </w:r>
      <w:r>
        <w:rPr>
          <w:rFonts w:ascii="IRNazanin" w:hAnsi="IRNazanin" w:eastAsia="IRNazanin"/>
          <w:color w:val="111111"/>
          <w:sz w:val="28"/>
          <w:sz w:val="28"/>
          <w:szCs w:val="28"/>
          <w:lang w:bidi="fa-IR"/>
        </w:rPr>
        <w:t xml:space="preserve">۲۵ </w:t>
      </w:r>
      <w:r>
        <w:rPr>
          <w:rFonts w:eastAsia="Times New Roman" w:cs="Times New Roman" w:ascii="Times New Roman" w:hAnsi="Times New Roman"/>
          <w:color w:val="111111"/>
          <w:sz w:val="28"/>
          <w:szCs w:val="28"/>
          <w:lang w:val="en-US" w:bidi="en-US"/>
        </w:rPr>
        <w:t>articles were accepted and verified by the scien-tific committee and they were sent to the con-gress to</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be published in two volumes. Twelve of the articles were published in the first volume and thirteen articles were published in the second volume.The articles can be classified based on their contents under six topics:A general look at the book of Naqd: </w:t>
      </w:r>
      <w:r>
        <w:rPr>
          <w:rFonts w:ascii="IRNazanin" w:hAnsi="IRNazanin" w:eastAsia="IRNazanin"/>
          <w:color w:val="111111"/>
          <w:sz w:val="28"/>
          <w:sz w:val="28"/>
          <w:szCs w:val="28"/>
          <w:lang w:bidi="fa-IR"/>
        </w:rPr>
        <w:t xml:space="preserve">۱ </w:t>
      </w:r>
      <w:r>
        <w:rPr>
          <w:rFonts w:eastAsia="Times New Roman" w:cs="Times New Roman" w:ascii="Times New Roman" w:hAnsi="Times New Roman"/>
          <w:color w:val="111111"/>
          <w:sz w:val="28"/>
          <w:szCs w:val="28"/>
          <w:lang w:val="en-US" w:bidi="en-US"/>
        </w:rPr>
        <w:t xml:space="preserve">article (the first article)The Qur'anic and Hadith discussions: </w:t>
      </w:r>
      <w:r>
        <w:rPr>
          <w:rFonts w:ascii="IRNazanin" w:hAnsi="IRNazanin" w:eastAsia="IRNazanin"/>
          <w:color w:val="111111"/>
          <w:sz w:val="28"/>
          <w:sz w:val="28"/>
          <w:szCs w:val="28"/>
          <w:lang w:bidi="fa-IR"/>
        </w:rPr>
        <w:t xml:space="preserve">۳ </w:t>
      </w:r>
      <w:r>
        <w:rPr>
          <w:rFonts w:eastAsia="Times New Roman" w:cs="Times New Roman" w:ascii="Times New Roman" w:hAnsi="Times New Roman"/>
          <w:color w:val="111111"/>
          <w:sz w:val="28"/>
          <w:szCs w:val="28"/>
          <w:lang w:val="en-US" w:bidi="en-US"/>
        </w:rPr>
        <w:t xml:space="preserve">articles (articles two to four)Theological discussions: </w:t>
      </w:r>
      <w:r>
        <w:rPr>
          <w:rFonts w:ascii="IRNazanin" w:hAnsi="IRNazanin" w:eastAsia="IRNazanin"/>
          <w:color w:val="111111"/>
          <w:sz w:val="28"/>
          <w:sz w:val="28"/>
          <w:szCs w:val="28"/>
          <w:lang w:bidi="fa-IR"/>
        </w:rPr>
        <w:t xml:space="preserve">۸ </w:t>
      </w:r>
      <w:r>
        <w:rPr>
          <w:rFonts w:eastAsia="Times New Roman" w:cs="Times New Roman" w:ascii="Times New Roman" w:hAnsi="Times New Roman"/>
          <w:color w:val="111111"/>
          <w:sz w:val="28"/>
          <w:szCs w:val="28"/>
          <w:lang w:val="en-US" w:bidi="en-US"/>
        </w:rPr>
        <w:t xml:space="preserve">articles (articles five to twelve)Historical and geographical discussions: </w:t>
      </w:r>
      <w:r>
        <w:rPr>
          <w:rFonts w:ascii="IRNazanin" w:hAnsi="IRNazanin" w:eastAsia="IRNazanin"/>
          <w:color w:val="111111"/>
          <w:sz w:val="28"/>
          <w:sz w:val="28"/>
          <w:szCs w:val="28"/>
          <w:lang w:bidi="fa-IR"/>
        </w:rPr>
        <w:t xml:space="preserve">۹ </w:t>
      </w:r>
      <w:r>
        <w:rPr>
          <w:rFonts w:eastAsia="Times New Roman" w:cs="Times New Roman" w:ascii="Times New Roman" w:hAnsi="Times New Roman"/>
          <w:color w:val="111111"/>
          <w:sz w:val="28"/>
          <w:szCs w:val="28"/>
          <w:lang w:val="en-US" w:bidi="en-US"/>
        </w:rPr>
        <w:t xml:space="preserve">articles (articles one to nine in the </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lang w:val="en-US" w:bidi="en-US"/>
        </w:rPr>
        <w:t xml:space="preserve">nd vol.)Stylistic studies of the book of Naqd: </w:t>
      </w:r>
      <w:r>
        <w:rPr>
          <w:rFonts w:ascii="IRNazanin" w:hAnsi="IRNazanin" w:eastAsia="IRNazanin"/>
          <w:color w:val="111111"/>
          <w:sz w:val="28"/>
          <w:sz w:val="28"/>
          <w:szCs w:val="28"/>
          <w:lang w:bidi="fa-IR"/>
        </w:rPr>
        <w:t xml:space="preserve">۲ </w:t>
      </w:r>
      <w:r>
        <w:rPr>
          <w:rFonts w:eastAsia="Times New Roman" w:cs="Times New Roman" w:ascii="Times New Roman" w:hAnsi="Times New Roman"/>
          <w:color w:val="111111"/>
          <w:sz w:val="28"/>
          <w:szCs w:val="28"/>
          <w:lang w:val="en-US" w:bidi="en-US"/>
        </w:rPr>
        <w:t xml:space="preserve">articles (articles ten and eleven in the </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lang w:val="en-US" w:bidi="en-US"/>
        </w:rPr>
        <w:t xml:space="preserve">nd vol.)Debate and argumentation: </w:t>
      </w:r>
      <w:r>
        <w:rPr>
          <w:rFonts w:ascii="IRNazanin" w:hAnsi="IRNazanin" w:eastAsia="IRNazanin"/>
          <w:color w:val="111111"/>
          <w:sz w:val="28"/>
          <w:sz w:val="28"/>
          <w:szCs w:val="28"/>
          <w:lang w:bidi="fa-IR"/>
        </w:rPr>
        <w:t xml:space="preserve">۲ </w:t>
      </w:r>
      <w:r>
        <w:rPr>
          <w:rFonts w:eastAsia="Times New Roman" w:cs="Times New Roman" w:ascii="Times New Roman" w:hAnsi="Times New Roman"/>
          <w:color w:val="111111"/>
          <w:sz w:val="28"/>
          <w:szCs w:val="28"/>
          <w:lang w:val="en-US" w:bidi="en-US"/>
        </w:rPr>
        <w:t xml:space="preserve">articles (articles twelve and thirteen in the </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lang w:val="en-US" w:bidi="en-US"/>
        </w:rPr>
        <w:t xml:space="preserve">nd vol.)From another viewpoint, three of these </w:t>
      </w:r>
      <w:r>
        <w:rPr>
          <w:rFonts w:ascii="IRNazanin" w:hAnsi="IRNazanin" w:eastAsia="IRNazanin"/>
          <w:color w:val="111111"/>
          <w:sz w:val="28"/>
          <w:sz w:val="28"/>
          <w:szCs w:val="28"/>
          <w:lang w:bidi="fa-IR"/>
        </w:rPr>
        <w:t xml:space="preserve">۲۵ </w:t>
      </w:r>
      <w:r>
        <w:rPr>
          <w:rFonts w:eastAsia="Times New Roman" w:cs="Times New Roman" w:ascii="Times New Roman" w:hAnsi="Times New Roman"/>
          <w:color w:val="111111"/>
          <w:sz w:val="28"/>
          <w:szCs w:val="28"/>
          <w:lang w:val="en-US" w:bidi="en-US"/>
        </w:rPr>
        <w:t xml:space="preserve">articles deal with the period of time in which 'Abd al-Jalil lived (the seventh article of the first volume and the first and ninth articles of the second volume) and </w:t>
      </w:r>
      <w:r>
        <w:rPr>
          <w:rFonts w:ascii="IRNazanin" w:hAnsi="IRNazanin" w:eastAsia="IRNazanin"/>
          <w:color w:val="111111"/>
          <w:sz w:val="28"/>
          <w:sz w:val="28"/>
          <w:szCs w:val="28"/>
          <w:lang w:bidi="fa-IR"/>
        </w:rPr>
        <w:t xml:space="preserve">۲۲ </w:t>
      </w:r>
      <w:r>
        <w:rPr>
          <w:rFonts w:eastAsia="Times New Roman" w:cs="Times New Roman" w:ascii="Times New Roman" w:hAnsi="Times New Roman"/>
          <w:color w:val="111111"/>
          <w:sz w:val="28"/>
          <w:szCs w:val="28"/>
          <w:lang w:val="en-US" w:bidi="en-US"/>
        </w:rPr>
        <w:t xml:space="preserve">articles deal with the book of Naqd.From among the researchers four were female and </w:t>
      </w:r>
      <w:r>
        <w:rPr>
          <w:rFonts w:ascii="IRNazanin" w:hAnsi="IRNazanin" w:eastAsia="IRNazanin"/>
          <w:color w:val="111111"/>
          <w:sz w:val="28"/>
          <w:sz w:val="28"/>
          <w:szCs w:val="28"/>
          <w:lang w:bidi="fa-IR"/>
        </w:rPr>
        <w:t xml:space="preserve">۲۱ </w:t>
      </w:r>
      <w:r>
        <w:rPr>
          <w:rFonts w:eastAsia="Times New Roman" w:cs="Times New Roman" w:ascii="Times New Roman" w:hAnsi="Times New Roman"/>
          <w:color w:val="111111"/>
          <w:sz w:val="28"/>
          <w:szCs w:val="28"/>
          <w:lang w:val="en-US" w:bidi="en-US"/>
        </w:rPr>
        <w:t xml:space="preserve">were male.In the present work, the abstracts of these </w:t>
      </w:r>
      <w:r>
        <w:rPr>
          <w:rFonts w:ascii="IRNazanin" w:hAnsi="IRNazanin" w:eastAsia="IRNazanin"/>
          <w:color w:val="111111"/>
          <w:sz w:val="28"/>
          <w:sz w:val="28"/>
          <w:szCs w:val="28"/>
          <w:lang w:bidi="fa-IR"/>
        </w:rPr>
        <w:t xml:space="preserve">۲۵ </w:t>
      </w:r>
      <w:r>
        <w:rPr>
          <w:rFonts w:eastAsia="Times New Roman" w:cs="Times New Roman" w:ascii="Times New Roman" w:hAnsi="Times New Roman"/>
          <w:color w:val="111111"/>
          <w:sz w:val="28"/>
          <w:szCs w:val="28"/>
          <w:lang w:val="en-US" w:bidi="en-US"/>
        </w:rPr>
        <w:t>articles in three languages of Persian, Arabic and English have been presented to the researchers.The abstracts were translated into Arabic by Mr. Khalil Zamil 'Asami and they were translated into English by Seyyed 'Abd ol-Majid Tabatabaee Lotfi. Hereby, their attempts are appreciated</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137_12208"/>
    </w:p>
    <w:p>
      <w:pPr>
        <w:pStyle w:val="Heading2"/>
        <w:numPr>
          <w:ilvl w:val="1"/>
          <w:numId w:val="1"/>
        </w:numPr>
        <w:rPr/>
      </w:pPr>
      <w:bookmarkStart w:id="253" w:name="__RefHeading___Toc147881_3804643083"/>
      <w:bookmarkStart w:id="254" w:name="_Toc90"/>
      <w:bookmarkEnd w:id="252"/>
      <w:bookmarkEnd w:id="253"/>
      <w:r>
        <w:rPr/>
        <w:t>ENGLISH ABSTRACTS</w:t>
      </w:r>
      <w:bookmarkEnd w:id="254"/>
    </w:p>
    <w:p>
      <w:pPr>
        <w:pStyle w:val="Heading3"/>
        <w:numPr>
          <w:ilvl w:val="2"/>
          <w:numId w:val="1"/>
        </w:numPr>
        <w:rPr/>
      </w:pPr>
      <w:bookmarkStart w:id="255" w:name="__RefHeading___Toc147883_3804643083"/>
      <w:bookmarkStart w:id="256" w:name="_Toc91"/>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Abstracts of the Articles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7" w:name="pg2137_12210"/>
    </w:p>
    <w:p>
      <w:pPr>
        <w:pStyle w:val="Heading3"/>
        <w:numPr>
          <w:ilvl w:val="2"/>
          <w:numId w:val="1"/>
        </w:numPr>
        <w:rPr/>
      </w:pPr>
      <w:bookmarkStart w:id="258" w:name="__RefHeading___Toc147885_3804643083"/>
      <w:bookmarkStart w:id="259" w:name="_Toc92"/>
      <w:bookmarkEnd w:id="257"/>
      <w:bookmarkEnd w:id="258"/>
      <w:r>
        <w:rPr/>
        <w:t>۱</w:t>
      </w:r>
      <w:r>
        <w:rPr>
          <w:rtl w:val="true"/>
        </w:rPr>
        <w:t xml:space="preserve">. </w:t>
      </w:r>
      <w:r>
        <w:rPr/>
        <w:t>A GLANCE AT THE BOOK OF "NAQD", AUTHORED BY</w:t>
      </w:r>
      <w:r>
        <w:rPr>
          <w:rtl w:val="true"/>
        </w:rPr>
        <w:t>...</w:t>
      </w:r>
      <w:bookmarkEnd w:id="259"/>
    </w:p>
    <w:p>
      <w:pPr>
        <w:pStyle w:val="BookText"/>
        <w:rPr/>
      </w:pPr>
      <w:r>
        <w:rPr>
          <w:rFonts w:ascii="IRNazanin" w:hAnsi="IRNazanin" w:eastAsia="IRNazanin"/>
          <w:color w:val="111111"/>
          <w:sz w:val="28"/>
          <w:sz w:val="28"/>
          <w:szCs w:val="28"/>
          <w:lang w:bidi="fa-IR"/>
        </w:rPr>
        <w:t>۱</w:t>
      </w:r>
      <w:r>
        <w:rPr>
          <w:rFonts w:eastAsia="Times New Roman" w:cs="Times New Roman" w:ascii="Times New Roman" w:hAnsi="Times New Roman"/>
          <w:color w:val="111111"/>
          <w:sz w:val="28"/>
          <w:szCs w:val="28"/>
          <w:lang w:val="en-US" w:bidi="en-US"/>
        </w:rPr>
        <w:t>A Glance at the Book of "Naqd", Authored by 'Abd al-Jalil RaziAyatollah Reza OstadiAlthough the book of Naqd is considered as a theological book written against the book of Ba’d Fada’ih al-Rawafid, it is full of historical, geographical, cultural and … points. Recognition and study of these points can be very helpful. This article is an attempt to find some of such valuable points and clarify them. These points include: the idea of writing the book of Naqd, avoidance from impetuous responses, counteract against the prejudice opponents, clarifying the beliefs of the trends, criticizing tradition narrators, considering the red lines, dealing with the five disparagements against Shiites from the viewpoint of the Sunnite writer, reverence toward Sunnites, the Shiite and Sunnite cities, some historical and geographical points, and … .The writer of this article believes that the book of Naqd contains some useful and novel points many of which could not be found elsewhere.Keywords: Naqd, 'Abd al-Jalil Razi, the principles of debate, historical geography, Shiite theology</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137_12211"/>
    </w:p>
    <w:p>
      <w:pPr>
        <w:pStyle w:val="Heading3"/>
        <w:numPr>
          <w:ilvl w:val="2"/>
          <w:numId w:val="1"/>
        </w:numPr>
        <w:rPr/>
      </w:pPr>
      <w:bookmarkStart w:id="261" w:name="__RefHeading___Toc147887_3804643083"/>
      <w:bookmarkStart w:id="262" w:name="_Toc93"/>
      <w:bookmarkEnd w:id="260"/>
      <w:bookmarkEnd w:id="261"/>
      <w:r>
        <w:rPr/>
        <w:t>۲</w:t>
      </w:r>
      <w:r>
        <w:rPr>
          <w:rtl w:val="true"/>
        </w:rPr>
        <w:t xml:space="preserve">. </w:t>
      </w:r>
      <w:r>
        <w:rPr/>
        <w:t>THE PRINCIPLE QUR'ANIC THEMES HAVING INSPIRED</w:t>
      </w:r>
      <w:r>
        <w:rPr>
          <w:rtl w:val="true"/>
        </w:rPr>
        <w:t>...</w:t>
      </w:r>
      <w:bookmarkEnd w:id="26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Principle Qur'anic Themes Having Inspired 'Abd al-Jalil Qazvini Razi in His NaqdDr. Ali Rad </w:t>
      </w:r>
      <w:r>
        <w:rPr>
          <w:rStyle w:val="FootnoteAnchor"/>
        </w:rPr>
        <w:footnoteReference w:id="48"/>
      </w:r>
      <w:r>
        <w:rPr>
          <w:rFonts w:eastAsia="Times New Roman" w:cs="Times New Roman" w:ascii="Times New Roman" w:hAnsi="Times New Roman"/>
          <w:color w:val="111111"/>
          <w:sz w:val="28"/>
          <w:szCs w:val="28"/>
          <w:lang w:val="en-US" w:bidi="en-US"/>
        </w:rPr>
        <w:t>Although the book of Naqd, authored by 'Abd al-Jalil Razi, is a theological book with an argumentative approach, the Qur'an has a serious role in its discussions and there are about three hundred Qur'anic verses quoted in it. Razi has applied these verses in order to reject and falsify the opposite views, or to verify his own opinions, and through a jurisprudential/theological approach he has presented a theological exegesis on the ideological knowledge of the Qur'an. Razi is well aware of the science of exegesis. He has studied the Qur'anic verses based on the exegetic princi-ples of Imamiyyah and the specific principles of the science of exegesis. The issues dealt with in the present research include the principles of the Qur'anic studies, methodology of exegesis, Razi's exegetic and interpretational views, and the Qur'anic/theological instructions found in Naqd.Keywords: 'Abd al-Jalil Razi, Naqd, the Qur'an, Exegesis, interpretation, principles, method, opinions</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137_12212"/>
    </w:p>
    <w:p>
      <w:pPr>
        <w:pStyle w:val="Heading3"/>
        <w:numPr>
          <w:ilvl w:val="2"/>
          <w:numId w:val="1"/>
        </w:numPr>
        <w:rPr/>
      </w:pPr>
      <w:bookmarkStart w:id="264" w:name="__RefHeading___Toc147889_3804643083"/>
      <w:bookmarkStart w:id="265" w:name="_Toc94"/>
      <w:bookmarkEnd w:id="263"/>
      <w:bookmarkEnd w:id="264"/>
      <w:r>
        <w:rPr/>
        <w:t>۳</w:t>
      </w:r>
      <w:r>
        <w:rPr>
          <w:rtl w:val="true"/>
        </w:rPr>
        <w:t xml:space="preserve">. </w:t>
      </w:r>
      <w:r>
        <w:rPr/>
        <w:t>A HERMENEUTIC VIEW TOWARD THE QUR'ANIC</w:t>
      </w:r>
      <w:r>
        <w:rPr>
          <w:rtl w:val="true"/>
        </w:rPr>
        <w:t>...</w:t>
      </w:r>
      <w:bookmarkEnd w:id="265"/>
    </w:p>
    <w:p>
      <w:pPr>
        <w:pStyle w:val="BookText"/>
        <w:rPr/>
      </w:pPr>
      <w:r>
        <w:rPr>
          <w:rFonts w:ascii="IRNazanin" w:hAnsi="IRNazanin" w:eastAsia="IRNazanin"/>
          <w:color w:val="111111"/>
          <w:sz w:val="28"/>
          <w:sz w:val="28"/>
          <w:szCs w:val="28"/>
          <w:lang w:bidi="fa-IR"/>
        </w:rPr>
        <w:t>۳</w:t>
      </w:r>
      <w:r>
        <w:rPr>
          <w:rFonts w:eastAsia="Times New Roman" w:cs="Times New Roman" w:ascii="Times New Roman" w:hAnsi="Times New Roman"/>
          <w:color w:val="111111"/>
          <w:sz w:val="28"/>
          <w:szCs w:val="28"/>
          <w:lang w:val="en-US" w:bidi="en-US"/>
        </w:rPr>
        <w:t xml:space="preserve">A Hermeneutic View toward the Qur'anic Verses in "Naqd"Dr. Mohammadreza Movahhedi </w:t>
      </w:r>
      <w:r>
        <w:rPr>
          <w:rStyle w:val="FootnoteAnchor"/>
        </w:rPr>
        <w:footnoteReference w:id="49"/>
      </w:r>
      <w:r>
        <w:rPr>
          <w:rFonts w:eastAsia="Times New Roman" w:cs="Times New Roman" w:ascii="Times New Roman" w:hAnsi="Times New Roman"/>
          <w:color w:val="111111"/>
          <w:sz w:val="28"/>
          <w:szCs w:val="28"/>
          <w:lang w:val="en-US" w:bidi="en-US"/>
        </w:rPr>
        <w:t>The major concern in the present article is to deal with the hermeneutic approach taken by Naqd toward the Qur'anic verses. In this article after a brief explanation about the difference between Tafsir (interpretation) and Ta'wil (hermeneutics), there will be a concise explanation about the use of the term "Ta'wil" and its various meanings in Naqd. Then, a number of outstanding samples of the hermeneutic clarification of the Qur'anic verses in Naqd are presented.The major part of the use of the Qur'anic verses in Naqd, after literal discussions (verbal, jurisprudential, historical, and …) is concerned with theological comparisons, and more significantly with hermeneutic implications. These hermeneutic references have been sometimes used to reject the accusations posed by the opponent, e.g. to reject that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 xml:space="preserve">By the fig and the olive [The Qur'an: Surah </w:t>
      </w:r>
      <w:r>
        <w:rPr>
          <w:rFonts w:ascii="IRNazanin" w:hAnsi="IRNazanin" w:eastAsia="IRNazanin"/>
          <w:color w:val="111111"/>
          <w:sz w:val="28"/>
          <w:sz w:val="28"/>
          <w:szCs w:val="28"/>
          <w:lang w:bidi="fa-IR"/>
        </w:rPr>
        <w:t>۹۵</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refers to Ali and Fatimah PBUT; some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other times, they have been applied to verify the author's beliefs. The study of some of the hermeneutic readings applied in Naqd reveals that, in comparison to the interpretive readings, they have been much more influential. In some cases, the hermeneutic implications trace back to accusations made by the opponents and their study could reveal the conditions out of which they have developed. Certainly, the identification of these gaps can prepare the ground for the pathology of the preliminary Islamic sects.Keywords: hermeneutics of the Qur'an, theological thoughts, interpretation, the book of Naqd, 'Abd al-Jalil Razi</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37_12214"/>
    </w:p>
    <w:p>
      <w:pPr>
        <w:pStyle w:val="Heading3"/>
        <w:numPr>
          <w:ilvl w:val="2"/>
          <w:numId w:val="1"/>
        </w:numPr>
        <w:rPr/>
      </w:pPr>
      <w:bookmarkStart w:id="267" w:name="__RefHeading___Toc147891_3804643083"/>
      <w:bookmarkStart w:id="268" w:name="_Toc95"/>
      <w:bookmarkEnd w:id="266"/>
      <w:bookmarkEnd w:id="267"/>
      <w:r>
        <w:rPr/>
        <w:t>۴</w:t>
      </w:r>
      <w:r>
        <w:rPr>
          <w:rtl w:val="true"/>
        </w:rPr>
        <w:t xml:space="preserve">. </w:t>
      </w:r>
      <w:r>
        <w:rPr/>
        <w:t>REINTRODUCTION OF THE 'ABD AL-JALIL RAZI'S</w:t>
      </w:r>
      <w:r>
        <w:rPr>
          <w:rtl w:val="true"/>
        </w:rPr>
        <w:t>...</w:t>
      </w:r>
      <w:bookmarkEnd w:id="268"/>
    </w:p>
    <w:p>
      <w:pPr>
        <w:pStyle w:val="BookText"/>
        <w:rPr/>
      </w:pPr>
      <w:r>
        <w:rPr>
          <w:rFonts w:ascii="IRNazanin" w:hAnsi="IRNazanin" w:eastAsia="IRNazanin"/>
          <w:color w:val="111111"/>
          <w:sz w:val="28"/>
          <w:sz w:val="28"/>
          <w:szCs w:val="28"/>
          <w:lang w:bidi="fa-IR"/>
        </w:rPr>
        <w:t>۴</w:t>
      </w:r>
      <w:r>
        <w:rPr>
          <w:rFonts w:eastAsia="Times New Roman" w:cs="Times New Roman" w:ascii="Times New Roman" w:hAnsi="Times New Roman"/>
          <w:color w:val="111111"/>
          <w:sz w:val="28"/>
          <w:szCs w:val="28"/>
          <w:lang w:val="en-US" w:bidi="en-US"/>
        </w:rPr>
        <w:t xml:space="preserve">Reintroduction of the 'Abd al-Jalil Razi's...Hadith Principles and Functions in the Book of NaqdMohammad Mahdi Ehsanifar </w:t>
      </w:r>
      <w:r>
        <w:rPr>
          <w:rStyle w:val="FootnoteAnchor"/>
        </w:rPr>
        <w:footnoteReference w:id="50"/>
      </w:r>
      <w:r>
        <w:rPr>
          <w:rFonts w:eastAsia="Times New Roman" w:cs="Times New Roman" w:ascii="Times New Roman" w:hAnsi="Times New Roman"/>
          <w:color w:val="111111"/>
          <w:sz w:val="28"/>
          <w:szCs w:val="28"/>
          <w:lang w:val="en-US" w:bidi="en-US"/>
        </w:rPr>
        <w:t xml:space="preserve">'Abd al-Jalil Razi, one of the Shiite theologians, wrote the book of Naqd Ba’d Fada’ih al-Rawafid in the second half of the sixth century After Hijrah and through this book, he responded to some of the doubts posed by his contemporary Sunnites against Shiism. He based his debate on more than </w:t>
      </w:r>
      <w:r>
        <w:rPr>
          <w:rFonts w:ascii="IRNazanin" w:hAnsi="IRNazanin" w:eastAsia="IRNazanin"/>
          <w:color w:val="111111"/>
          <w:sz w:val="28"/>
          <w:sz w:val="28"/>
          <w:szCs w:val="28"/>
          <w:lang w:bidi="fa-IR"/>
        </w:rPr>
        <w:t xml:space="preserve">۲۷۰ </w:t>
      </w:r>
      <w:r>
        <w:rPr>
          <w:rFonts w:eastAsia="Times New Roman" w:cs="Times New Roman" w:ascii="Times New Roman" w:hAnsi="Times New Roman"/>
          <w:color w:val="111111"/>
          <w:sz w:val="28"/>
          <w:szCs w:val="28"/>
          <w:lang w:val="en-US" w:bidi="en-US"/>
        </w:rPr>
        <w:t xml:space="preserve">Qur'anic verses and more than </w:t>
      </w:r>
      <w:r>
        <w:rPr>
          <w:rFonts w:ascii="IRNazanin" w:hAnsi="IRNazanin" w:eastAsia="IRNazanin"/>
          <w:color w:val="111111"/>
          <w:sz w:val="28"/>
          <w:sz w:val="28"/>
          <w:szCs w:val="28"/>
          <w:lang w:bidi="fa-IR"/>
        </w:rPr>
        <w:t xml:space="preserve">۱۸۰ </w:t>
      </w:r>
      <w:r>
        <w:rPr>
          <w:rFonts w:eastAsia="Times New Roman" w:cs="Times New Roman" w:ascii="Times New Roman" w:hAnsi="Times New Roman"/>
          <w:color w:val="111111"/>
          <w:sz w:val="28"/>
          <w:szCs w:val="28"/>
          <w:lang w:val="en-US" w:bidi="en-US"/>
        </w:rPr>
        <w:t>traditions, and presented his discussion in a book of five hundred pages. In this article first, a brief introduction will be presented on 'Abd al-Jalil and his book. Then, the principles of the Hadith discussions launched by him, as a jurisprudence-oriented Shiite, will be analyzed. Next, the Hadith resources used in his book, some of which are no more available, and the material which were provided by Nasir al-Din Razi about their authors will be re-identified. Furthermore, his method and principles in Fiqh al-Hadith (Hadith Scholarship) and Naqd al-Hadith (Hadith Criticism), which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reveal the methodical approach of the elder tradition narrators in understanding and critique of traditions, will be discussed. Dirayat al-Hadith in the book of Naqd will be examined in a separate part and it will be concluded that the use of Hadith regulations and terminology in Shiism goes back to Shaid Thani. This part will be followed with an account on the Hadith thought of 'Abd al-Jalil. The article ends with a conclusion and sug-gestions for further research.Keywords: 'Abd al-Jalil Qazvini Razi, Naqd, debates of the two sects, theology and beliefs, Hadith sciences, methodology</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37_12216"/>
    </w:p>
    <w:p>
      <w:pPr>
        <w:pStyle w:val="Heading3"/>
        <w:numPr>
          <w:ilvl w:val="2"/>
          <w:numId w:val="1"/>
        </w:numPr>
        <w:rPr/>
      </w:pPr>
      <w:bookmarkStart w:id="270" w:name="__RefHeading___Toc147893_3804643083"/>
      <w:bookmarkStart w:id="271" w:name="_Toc96"/>
      <w:bookmarkEnd w:id="269"/>
      <w:bookmarkEnd w:id="270"/>
      <w:r>
        <w:rPr/>
        <w:t>۵</w:t>
      </w:r>
      <w:r>
        <w:rPr>
          <w:rtl w:val="true"/>
        </w:rPr>
        <w:t xml:space="preserve">. </w:t>
      </w:r>
      <w:r>
        <w:rPr/>
        <w:t>THE KNOWLEDGE OF GOD, UNITY, THE NAMES AND</w:t>
      </w:r>
      <w:r>
        <w:rPr>
          <w:rtl w:val="true"/>
        </w:rPr>
        <w:t>...</w:t>
      </w:r>
      <w:bookmarkEnd w:id="271"/>
    </w:p>
    <w:p>
      <w:pPr>
        <w:pStyle w:val="BookText"/>
        <w:rPr/>
      </w:pP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 xml:space="preserve">The Knowledge of God, Unity, the Names and Attribute from the Viewpoint of the Late 'Abd al-Jalil QazviniMohammad Biyabani Oskou'ie </w:t>
      </w:r>
      <w:r>
        <w:rPr>
          <w:rStyle w:val="FootnoteAnchor"/>
        </w:rPr>
        <w:footnoteReference w:id="51"/>
      </w:r>
      <w:r>
        <w:rPr>
          <w:rFonts w:eastAsia="Times New Roman" w:cs="Times New Roman" w:ascii="Times New Roman" w:hAnsi="Times New Roman"/>
          <w:color w:val="111111"/>
          <w:sz w:val="28"/>
          <w:szCs w:val="28"/>
          <w:lang w:val="en-US" w:bidi="en-US"/>
        </w:rPr>
        <w:t>When man reflects truly on his God, he finds himself as His creature and possession and in need of all of His Essence. Hence, he considers worshipping Him as the most exalted stage of his culmination. This article studies the way to arrive at the true knowledge toward God from the viewpoints of 'Abd al-Jalil Qazvini Razi, other Shiite scholars, the Qur'anic verses and the traditions from the Ahl al-Bayt PBUT. The unity of the Most High God and the divine Names and Attributes are the other issues dealt with by the present article.Keywords: Knowledge of God, unity, kinds of unity, names and attributes, 'Abd al-Jalil Qazvini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137_12217"/>
    </w:p>
    <w:p>
      <w:pPr>
        <w:pStyle w:val="Heading3"/>
        <w:numPr>
          <w:ilvl w:val="2"/>
          <w:numId w:val="1"/>
        </w:numPr>
        <w:rPr/>
      </w:pPr>
      <w:bookmarkStart w:id="273" w:name="__RefHeading___Toc147895_3804643083"/>
      <w:bookmarkStart w:id="274" w:name="_Toc97"/>
      <w:bookmarkEnd w:id="272"/>
      <w:bookmarkEnd w:id="273"/>
      <w:r>
        <w:rPr/>
        <w:t>۶</w:t>
      </w:r>
      <w:r>
        <w:rPr>
          <w:rtl w:val="true"/>
        </w:rPr>
        <w:t xml:space="preserve">. </w:t>
      </w:r>
      <w:r>
        <w:rPr/>
        <w:t>THE MEANING OF IMAMATE AND</w:t>
      </w:r>
      <w:r>
        <w:rPr>
          <w:rtl w:val="true"/>
        </w:rPr>
        <w:t>...</w:t>
      </w:r>
      <w:bookmarkEnd w:id="274"/>
    </w:p>
    <w:p>
      <w:pPr>
        <w:pStyle w:val="BookText"/>
        <w:rPr/>
      </w:pPr>
      <w:r>
        <w:rPr>
          <w:rFonts w:ascii="IRNazanin" w:hAnsi="IRNazanin" w:eastAsia="IRNazanin"/>
          <w:color w:val="111111"/>
          <w:sz w:val="28"/>
          <w:sz w:val="28"/>
          <w:szCs w:val="28"/>
          <w:lang w:bidi="fa-IR"/>
        </w:rPr>
        <w:t>۶</w:t>
      </w:r>
      <w:r>
        <w:rPr>
          <w:rFonts w:eastAsia="Times New Roman" w:cs="Times New Roman" w:ascii="Times New Roman" w:hAnsi="Times New Roman"/>
          <w:color w:val="111111"/>
          <w:sz w:val="28"/>
          <w:szCs w:val="28"/>
          <w:lang w:val="en-US" w:bidi="en-US"/>
        </w:rPr>
        <w:t xml:space="preserve">The Meaning of Imamate and the...Characteristics of the Imams PBUT from the Viewpoint of 'Abd al-Jalil RaziAsghar Gholami </w:t>
      </w:r>
      <w:r>
        <w:rPr>
          <w:rStyle w:val="FootnoteAnchor"/>
        </w:rPr>
        <w:footnoteReference w:id="52"/>
      </w:r>
      <w:r>
        <w:rPr>
          <w:rFonts w:eastAsia="Times New Roman" w:cs="Times New Roman" w:ascii="Times New Roman" w:hAnsi="Times New Roman"/>
          <w:color w:val="111111"/>
          <w:sz w:val="28"/>
          <w:szCs w:val="28"/>
          <w:lang w:val="en-US" w:bidi="en-US"/>
        </w:rPr>
        <w:t xml:space="preserve">Imamate is a divine position and Imams are assigned to guide the people. The divine Imams should be characterized with appropriate characteristics to fulfill this important responsibility.This article studies the characteristics of the divine Imams from the viewpoint of 'Abd al-Jalil Razi. For each of the characteristics, after a brief review from the viewpoint of the reason, the Qur'an and the traditions of the Ahl al-Bayt PBUT, the ideas of the author of the Book of Naqd and his critiques on the material of the author of Faza'ih al-Rawafiz have been presented.The necessary characteristics of Imamate from the viewpoint of 'Abd al-Jalil are: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the text; </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knowledge; </w:t>
      </w:r>
      <w:r>
        <w:rPr>
          <w:rFonts w:ascii="IRNazanin" w:hAnsi="IRNazanin" w:eastAsia="IRNazanin"/>
          <w:color w:val="111111"/>
          <w:sz w:val="28"/>
          <w:sz w:val="28"/>
          <w:szCs w:val="28"/>
          <w:lang w:bidi="fa-IR"/>
        </w:rPr>
        <w:t>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infallibility. Furthermore, he believes that an Imam must be obeyed and he also believes that the occurrence of miracles by the imams is possible and sometimes necessary</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article, after a reference to the importance of the subject and the background of the discussion, has dealt with the following issues: the meaning and truth of Imamate, the way to identify the imams and the study of the idea of 'Abd al-Jalil Razi about the knowledge, infallibility, designation and possibility of the occurrence of miracles by the imams.Keywords: Imamate, divine knowledge, infallibility, text, miracle, 'Abd al-Jalil Razi</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137_12219"/>
    </w:p>
    <w:p>
      <w:pPr>
        <w:pStyle w:val="Heading3"/>
        <w:numPr>
          <w:ilvl w:val="2"/>
          <w:numId w:val="1"/>
        </w:numPr>
        <w:rPr/>
      </w:pPr>
      <w:bookmarkStart w:id="276" w:name="__RefHeading___Toc147897_3804643083"/>
      <w:bookmarkStart w:id="277" w:name="_Toc98"/>
      <w:bookmarkEnd w:id="275"/>
      <w:bookmarkEnd w:id="276"/>
      <w:r>
        <w:rPr/>
        <w:t>۷</w:t>
      </w:r>
      <w:r>
        <w:rPr>
          <w:rtl w:val="true"/>
        </w:rPr>
        <w:t xml:space="preserve">. </w:t>
      </w:r>
      <w:r>
        <w:rPr/>
        <w:t>THE APPROACHES TAKEN BY IMAMIYYAH</w:t>
      </w:r>
      <w:r>
        <w:rPr>
          <w:rtl w:val="true"/>
        </w:rPr>
        <w:t>...</w:t>
      </w:r>
      <w:bookmarkEnd w:id="277"/>
    </w:p>
    <w:p>
      <w:pPr>
        <w:pStyle w:val="BookText"/>
        <w:rPr/>
      </w:pP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lang w:val="en-US" w:bidi="en-US"/>
        </w:rPr>
        <w:t xml:space="preserve">The Approaches Taken by Imamiyyah...Theologians toward Philosophy in the Sixth Century After HijrahDr. Ali Naqi Khodayari </w:t>
      </w:r>
      <w:r>
        <w:rPr>
          <w:rStyle w:val="FootnoteAnchor"/>
        </w:rPr>
        <w:footnoteReference w:id="53"/>
      </w:r>
      <w:r>
        <w:rPr>
          <w:rFonts w:eastAsia="Times New Roman" w:cs="Times New Roman" w:ascii="Times New Roman" w:hAnsi="Times New Roman"/>
          <w:color w:val="111111"/>
          <w:sz w:val="28"/>
          <w:szCs w:val="28"/>
          <w:lang w:val="en-US" w:bidi="en-US"/>
        </w:rPr>
        <w:t>One of the issues which are worthy of being studied in the field of the history of the Imamiyyah theology is the approaches and interactions of the Imamiyyah theologians toward the philosophy and the philosophical instructions in different periods. Based on the present study, in the sixth century, the approaches of the Imamiyyah followers toward philosophy can be classified into positive approach and negative and critical approach. In the positive approach one can recognize strategies such as: application of the philosophical principles and instructions in verification of theological issues, acceptance of some of the philosophical instructions inconsistent with the theological instructions, philosophical historiography, quoting the words of philosophers in ethical texts, hagiographies, and interpretations of the Qur'an. The negative confrontation with the philosophy and philosophical instructions are also</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carried out through three forms of general criticism, falsification and criticism of the philosophical principles and instructions. The most important controversial issues criticized by the Imamiyyah theologians include: the manner of God's activity, eternity of the world, philosophy of creation, truth of human being, resurrection, nature-based viewpoint, miracles and the ways to identify prophets. In the book of Naqd, the positive approach toward philosophy is absent and the approach taken by the author toward philosophy and philosophical instructions is totally negative and critical.Keywords: Imamiyyah theology, Philosophy, positive approach, negative approach, falsification, sixth century, 'Abd al-Jalil Razi</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2137_12221"/>
    </w:p>
    <w:p>
      <w:pPr>
        <w:pStyle w:val="Heading3"/>
        <w:numPr>
          <w:ilvl w:val="2"/>
          <w:numId w:val="1"/>
        </w:numPr>
        <w:rPr/>
      </w:pPr>
      <w:bookmarkStart w:id="279" w:name="__RefHeading___Toc147899_3804643083"/>
      <w:bookmarkStart w:id="280" w:name="_Toc99"/>
      <w:bookmarkEnd w:id="278"/>
      <w:bookmarkEnd w:id="279"/>
      <w:r>
        <w:rPr/>
        <w:t>۸</w:t>
      </w:r>
      <w:r>
        <w:rPr>
          <w:rtl w:val="true"/>
        </w:rPr>
        <w:t xml:space="preserve">. </w:t>
      </w:r>
      <w:r>
        <w:rPr/>
        <w:t>THE CHARACTERISTICS OF THE</w:t>
      </w:r>
      <w:r>
        <w:rPr>
          <w:rtl w:val="true"/>
        </w:rPr>
        <w:t xml:space="preserve"> ...</w:t>
      </w:r>
      <w:bookmarkEnd w:id="280"/>
    </w:p>
    <w:p>
      <w:pPr>
        <w:pStyle w:val="BookText"/>
        <w:rPr/>
      </w:pPr>
      <w:r>
        <w:rPr>
          <w:rFonts w:ascii="IRNazanin" w:hAnsi="IRNazanin" w:eastAsia="IRNazanin"/>
          <w:color w:val="111111"/>
          <w:sz w:val="28"/>
          <w:sz w:val="28"/>
          <w:szCs w:val="28"/>
          <w:lang w:bidi="fa-IR"/>
        </w:rPr>
        <w:t>۸</w:t>
      </w:r>
      <w:r>
        <w:rPr>
          <w:rFonts w:eastAsia="Times New Roman" w:cs="Times New Roman" w:ascii="Times New Roman" w:hAnsi="Times New Roman"/>
          <w:color w:val="111111"/>
          <w:sz w:val="28"/>
          <w:szCs w:val="28"/>
          <w:lang w:val="en-US" w:bidi="en-US"/>
        </w:rPr>
        <w:t xml:space="preserve">The Characteristics of the...Jurisprudence-Oriented Shiism from the viewpoint of 'Abd al-Jalil QazviniQasim Safari (Javadi) </w:t>
      </w:r>
      <w:r>
        <w:rPr>
          <w:rStyle w:val="FootnoteAnchor"/>
        </w:rPr>
        <w:footnoteReference w:id="54"/>
      </w:r>
      <w:r>
        <w:rPr>
          <w:rFonts w:eastAsia="Times New Roman" w:cs="Times New Roman" w:ascii="Times New Roman" w:hAnsi="Times New Roman"/>
          <w:color w:val="111111"/>
          <w:sz w:val="28"/>
          <w:szCs w:val="28"/>
          <w:lang w:val="en-US" w:bidi="en-US"/>
        </w:rPr>
        <w:t>The Book, Naqd, is the single available work from 'Abd al-Jalil Qazvini Razi (the Shiite author of the sixth century After Hijrah). The book contains unique information about the history of Shiism (the sixth century and before it), various Shiite sects, the geography of Shiism in Iran and other countries, Shiite and non-Shiite thoughts and etc.In this article, there has been an attempt to study "the characteristics of the jurisprudence-oriented Shiism from the viewpoint of 'Abd al-Jalil Qazvini". The material included by Qazvini in his book is totally from the viewpoint of the jurisprudence-oriented Shiism; however, the present article has focused on just the cases which have explicitly been titled as the beliefs of the jurisprudence-oriented Shiism or similar titles denoting the same concept</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Despite the fact that the characteristics of the jurisprudence-oriented Shiism in Naqd have been presented in an unorganized (and not following a logical) manner, the present article has granted the characteristics a specific order; for each issue first the words of the author of Ba’d Fada’ih al-Rawafid have been presented, and in the following, the responses by 'Abd al-Jalil Qazvini from his book Naqd have been provided.Keywords: jurisprudence-oriented Shiism, jurisprudence-oriented Shiites, jurisprudence-oriented Imamiyyah Shiism, Naqd, Ba’d Fada’ih al-Rawafid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2137_12223"/>
    </w:p>
    <w:p>
      <w:pPr>
        <w:pStyle w:val="Heading3"/>
        <w:numPr>
          <w:ilvl w:val="2"/>
          <w:numId w:val="1"/>
        </w:numPr>
        <w:rPr/>
      </w:pPr>
      <w:bookmarkStart w:id="282" w:name="__RefHeading___Toc147901_3804643083"/>
      <w:bookmarkStart w:id="283" w:name="_Toc100"/>
      <w:bookmarkEnd w:id="281"/>
      <w:bookmarkEnd w:id="282"/>
      <w:r>
        <w:rPr/>
        <w:t>۹</w:t>
      </w:r>
      <w:r>
        <w:rPr>
          <w:rtl w:val="true"/>
        </w:rPr>
        <w:t xml:space="preserve">. </w:t>
      </w:r>
      <w:r>
        <w:rPr/>
        <w:t>THE STATUS OF THE TERM "JURISPRUDENCE</w:t>
      </w:r>
      <w:r>
        <w:rPr>
          <w:rtl w:val="true"/>
        </w:rPr>
        <w:t>...</w:t>
      </w:r>
      <w:bookmarkEnd w:id="283"/>
    </w:p>
    <w:p>
      <w:pPr>
        <w:pStyle w:val="BookText"/>
        <w:rPr/>
      </w:pP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lang w:val="en-US" w:bidi="en-US"/>
        </w:rPr>
        <w:t xml:space="preserve">The Status of the Term..."Jurisprudence-Oriented Shiism" in the Theological Discourse of 'Abd al-Jalil Qazvini RaziSeyyed Mohammad Hadi Gerami </w:t>
      </w:r>
      <w:r>
        <w:rPr>
          <w:rStyle w:val="FootnoteAnchor"/>
        </w:rPr>
        <w:footnoteReference w:id="55"/>
      </w:r>
      <w:r>
        <w:rPr>
          <w:rFonts w:eastAsia="Times New Roman" w:cs="Times New Roman" w:ascii="Times New Roman" w:hAnsi="Times New Roman"/>
          <w:color w:val="111111"/>
          <w:sz w:val="28"/>
          <w:szCs w:val="28"/>
          <w:lang w:val="en-US" w:bidi="en-US"/>
        </w:rPr>
        <w:t xml:space="preserve">The confrontation of the tradition-oriented and jurisprudence-oriented Shiites started from the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lang w:val="en-US" w:bidi="en-US"/>
        </w:rPr>
        <w:t>th century After Hijrah, simultaneously with the activities of Mulla Mohammad Amin Astarabadi. Meanwhile, the application of the terms "tradition-oriented" and "jurisprudence-oriented" can be noticed in the previous centuries in a limited form, as well. The book of Naqd authored by 'Abd al-Jalil Qazvini Razi is one of the few Imamiyyah works of the middle centuries in which the confrontation between the jurisprudence-oriented Shiites and traditionists has been reflected relatively well, and specifically in a few cases references have been made to the name of a group as "the jurisprudence-oriented Shiites". Based on a preliminary reading, it seems that the mentioned contrast in the book of Naqd refers to</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traditionists of Qom and the Imamiyyahs having tendency to the school of the theologians of Baghdad. This article rejects this reading and through another theory it finally shows that the application of the term of "the jurisprudence-oriented Shiism" in the theological discourse of 'Abd al-Jalil Qazvini Razi enjoys a completely strategic nature. Although apparently 'Abd al-Jalil refers to some Imamiyyah trends such as the jurisprudence-oriented Shiites and traditionists, the discordance of the existing information of the book with the known characters of these trends reveals that the reference to a trend as "Jurisprudence-oriented Shiism" and then writing about its contrast with the traditionsm is a mere strategy in order to rediscover the social status of the Imamiyyah at the age of 'Abd al-Jalil.Keywords: jurisprudence-oriented Shiism, tradition-oriented Shiism, Naqd, 'Abd al-Jalil Qazvini, sixth century, strategy, theological discourse</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137_12225"/>
    </w:p>
    <w:p>
      <w:pPr>
        <w:pStyle w:val="Heading3"/>
        <w:numPr>
          <w:ilvl w:val="2"/>
          <w:numId w:val="1"/>
        </w:numPr>
        <w:rPr/>
      </w:pPr>
      <w:bookmarkStart w:id="285" w:name="__RefHeading___Toc147903_3804643083"/>
      <w:bookmarkStart w:id="286" w:name="_Toc101"/>
      <w:bookmarkEnd w:id="284"/>
      <w:bookmarkEnd w:id="285"/>
      <w:r>
        <w:rPr/>
        <w:t>۱۰</w:t>
      </w:r>
      <w:r>
        <w:rPr>
          <w:rtl w:val="true"/>
        </w:rPr>
        <w:t xml:space="preserve">. </w:t>
      </w:r>
      <w:r>
        <w:rPr/>
        <w:t>SUPPORTING IMAMIYYAH AND REJECTING</w:t>
      </w:r>
      <w:r>
        <w:rPr>
          <w:rtl w:val="true"/>
        </w:rPr>
        <w:t xml:space="preserve"> ...</w:t>
      </w:r>
      <w:bookmarkEnd w:id="286"/>
    </w:p>
    <w:p>
      <w:pPr>
        <w:pStyle w:val="BookText"/>
        <w:rPr/>
      </w:pP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lang w:val="en-US" w:bidi="en-US"/>
        </w:rPr>
        <w:t xml:space="preserve">Supporting Imamiyyah and Rejecting...Isma'iliyyah in the Book of "Naqd"Dr. Rasool Razavi </w:t>
      </w:r>
      <w:r>
        <w:rPr>
          <w:rStyle w:val="FootnoteAnchor"/>
        </w:rPr>
        <w:footnoteReference w:id="56"/>
      </w:r>
      <w:r>
        <w:rPr>
          <w:rFonts w:eastAsia="Times New Roman" w:cs="Times New Roman" w:ascii="Times New Roman" w:hAnsi="Times New Roman"/>
          <w:color w:val="111111"/>
          <w:sz w:val="28"/>
          <w:szCs w:val="28"/>
          <w:lang w:val="en-US" w:bidi="en-US"/>
        </w:rPr>
        <w:t>At the period when 'Abd al-Jalil authored the book of Naqd, the Islamic states had been divided between the two caliphates: the eastern Fatemid and the western Abbasid. These two ruling systems tried to remove their opponents by means of politics, culture, religion, denomination and any other tools, so that they could control all the territory of Islam. Meanwhile, the followers of Ahl al-Bayt PBUT, i.e. the Imamiyyah Shiites, who had lost their political and military support after the fall of Buids and Hamdanids, had to resist against the pressure from both sides, and at the mean time they had to defend their denomination. On the one hand, the Abbasids accused them of following the Qarmatians and Isma'ili school and killed them and on the other hand, the Nazarids and Qarmatians accused them of concealing their belief and accompanying Sunnites and killed them</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 situation like this, the scholars of Imamiyyah played a vital role. They had to both clarify the principles and details of the school of the Ahl al-Bayt and refuse the accusations by the opponents. They needed to discourage the weak believers of their school from showing tendency to the opposite schools; besides, they had to stop the prevalence of the opponents' ideas among the Imamiyyah Shiites. This is exactly what 'Abd al-Jalil Razi succeeded at perfectly through the book of Mathalib al-Nawasib fi Naqd Ba’d Fada’ih al-Rawafid, known as Naqd.In order to support Imamiyyah, he presents an accurate and clear clarification about the beliefs and rules of the school of Ahl al-Bayt and determines the boundaries between Imamiyyah and Nazari Isma'iliyyah, Musta'lavid and Qarmatians; meanwhile, he does not forget to launch attacks: first, he tries to separate the lines of the "Hanafi Saljouqids" and the fatalist "Hanbalids" and "Ashab al-Hadith"; then he tries to reveal that the ideas of the naives are against the goals and intentions of the Abbasid caliphate.Keywords: Shiite, Heathen, Qarmatians, Sabahids, Imamiyyah, Batiniyyah</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137_12227"/>
    </w:p>
    <w:p>
      <w:pPr>
        <w:pStyle w:val="Heading3"/>
        <w:numPr>
          <w:ilvl w:val="2"/>
          <w:numId w:val="1"/>
        </w:numPr>
        <w:rPr/>
      </w:pPr>
      <w:bookmarkStart w:id="288" w:name="__RefHeading___Toc147905_3804643083"/>
      <w:bookmarkStart w:id="289" w:name="_Toc102"/>
      <w:bookmarkEnd w:id="287"/>
      <w:bookmarkEnd w:id="288"/>
      <w:r>
        <w:rPr/>
        <w:t>۱۱</w:t>
      </w:r>
      <w:r>
        <w:rPr>
          <w:rtl w:val="true"/>
        </w:rPr>
        <w:t xml:space="preserve">. </w:t>
      </w:r>
      <w:r>
        <w:rPr/>
        <w:t>SHIISM AND SUFISM IN THE BOOK OF "NAQD</w:t>
      </w:r>
      <w:r>
        <w:rPr>
          <w:rtl w:val="true"/>
        </w:rPr>
        <w:t>"</w:t>
      </w:r>
      <w:bookmarkEnd w:id="289"/>
    </w:p>
    <w:p>
      <w:pPr>
        <w:pStyle w:val="BookText"/>
        <w:rPr/>
      </w:pP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lang w:val="en-US" w:bidi="en-US"/>
        </w:rPr>
        <w:t xml:space="preserve">Shiism and Sufism in the Book of "Naqd"Abolfazl Hashemi </w:t>
      </w:r>
      <w:r>
        <w:rPr>
          <w:rStyle w:val="FootnoteAnchor"/>
        </w:rPr>
        <w:footnoteReference w:id="57"/>
      </w:r>
      <w:r>
        <w:rPr>
          <w:rFonts w:eastAsia="Times New Roman" w:cs="Times New Roman" w:ascii="Times New Roman" w:hAnsi="Times New Roman"/>
          <w:color w:val="111111"/>
          <w:sz w:val="28"/>
          <w:szCs w:val="28"/>
          <w:lang w:val="en-US" w:bidi="en-US"/>
        </w:rPr>
        <w:t>The book of Naqd was written in the sixth century by Sheikh 'Abd al-Jalil Qazvini in order to answer the doubts against the Shiites; the book reflects the beliefs of the Shiites and the situation of the Shiite society at that time. The present article studies the relationship between Shiism and Sufism from the viewpoint of the book.The author of the book considers that true Shiites believe in imamate and caliphate of the Imams PBUT after the prophet of Islam PBUH, respect the Prophet's companions and are moderate in their beliefs. In this book, he describes true Sufis as decent people who have faith in Shiite beliefs; because they are of Adliyya denomination and believe in the unity of God and far from predestination, association and false beliefs; furthermore, they are described as people who love the Imam PBUT. 'Abd al-Jalil has narrated some dignities concerning them, which he considers as a sign of their merit. 'Abd al-Jalil</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believes that some Sufis are Shiites.Therefore, despite the fact that Sufism originated among Sunnites, true Sufis have come very close to many of truths and the right denomination because of the purity of their innate disposition; so that Shiites love them. Therefore, there is a close relationship between Shiism and Sufism. Of course, 'Abd al-Jalil has also referred to false Sufism and has considered it completely far from the tradition of the Prophet PBUH and Shiism.Keywords: Sufism, Sufis, Shiites, Rafidi, pious and votary, divine path</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137_12229"/>
    </w:p>
    <w:p>
      <w:pPr>
        <w:pStyle w:val="Heading3"/>
        <w:numPr>
          <w:ilvl w:val="2"/>
          <w:numId w:val="1"/>
        </w:numPr>
        <w:rPr/>
      </w:pPr>
      <w:bookmarkStart w:id="291" w:name="__RefHeading___Toc147907_3804643083"/>
      <w:bookmarkStart w:id="292" w:name="_Toc103"/>
      <w:bookmarkEnd w:id="290"/>
      <w:bookmarkEnd w:id="291"/>
      <w:r>
        <w:rPr/>
        <w:t>۱۲</w:t>
      </w:r>
      <w:r>
        <w:rPr>
          <w:rtl w:val="true"/>
        </w:rPr>
        <w:t xml:space="preserve">. </w:t>
      </w:r>
      <w:r>
        <w:rPr/>
        <w:t>THE BOOK OF "NAQD" AND RELIGIOUS MODERATENESS</w:t>
      </w:r>
      <w:bookmarkEnd w:id="292"/>
    </w:p>
    <w:p>
      <w:pPr>
        <w:pStyle w:val="BookText"/>
        <w:rPr/>
      </w:pP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lang w:val="en-US" w:bidi="en-US"/>
        </w:rPr>
        <w:t xml:space="preserve">The Book of "Naqd" and Religious ModeratenessReza Babaie </w:t>
      </w:r>
      <w:r>
        <w:rPr>
          <w:rStyle w:val="FootnoteAnchor"/>
        </w:rPr>
        <w:footnoteReference w:id="58"/>
      </w:r>
      <w:r>
        <w:rPr>
          <w:rFonts w:eastAsia="Times New Roman" w:cs="Times New Roman" w:ascii="Times New Roman" w:hAnsi="Times New Roman"/>
          <w:color w:val="111111"/>
          <w:sz w:val="28"/>
          <w:szCs w:val="28"/>
          <w:lang w:val="en-US" w:bidi="en-US"/>
        </w:rPr>
        <w:t>The present article deals with some of the phrases found in the book of Naqd which clearly reveal the author's religious moderateness and disciplined thought. First, it is discussed that this moderateness observed in the book is not a pretense. The scholar author of Naqd, strongly supports all of the principles of the Twelver Shiism; at the same time he does not consider the instructions prevalent at his age, the number of which increased in the following centuries, as the principles and details of the denomination. He considers Hashwiyyah and Ghulat (extremists) as the major trends to be reproached because of heresies. Although Naqd is a book in rejection of another book written against Shiites at 'Abd ol-Jalil's time, it does not ignore the ideas of the extremists (Hashwiyyah and Ghulat) in its criticism.Besides the explicit references made by 'Abd al-Jalil at various parts of the book, his method in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criticism of the book of Ba’d Fada’ih al-Rawafid clearly shows his moderate approach, through which he obviously expresses his respect to all of the great characters of the Islamic denominations and sects. At the final part of the present article, a number of the samples of his moderate standpoints concerning the companions and caliphs have been presented.Keywords: proximity, religious moderateness, heresy, companions, caliphs, Naqz</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137_12231"/>
    </w:p>
    <w:p>
      <w:pPr>
        <w:pStyle w:val="Heading3"/>
        <w:numPr>
          <w:ilvl w:val="2"/>
          <w:numId w:val="1"/>
        </w:numPr>
        <w:rPr/>
      </w:pPr>
      <w:bookmarkStart w:id="294" w:name="__RefHeading___Toc147909_3804643083"/>
      <w:bookmarkStart w:id="295" w:name="_Toc104"/>
      <w:bookmarkEnd w:id="293"/>
      <w:bookmarkEnd w:id="294"/>
      <w:r>
        <w:rPr/>
        <w:t>۱۳</w:t>
      </w:r>
      <w:r>
        <w:rPr>
          <w:rtl w:val="true"/>
        </w:rPr>
        <w:t xml:space="preserve">. </w:t>
      </w:r>
      <w:r>
        <w:rPr/>
        <w:t>A REVIEW OF THE ASPECTS OF THE CULTURAL</w:t>
      </w:r>
      <w:r>
        <w:rPr>
          <w:rtl w:val="true"/>
        </w:rPr>
        <w:t xml:space="preserve"> ...</w:t>
      </w:r>
      <w:bookmarkEnd w:id="295"/>
    </w:p>
    <w:p>
      <w:pPr>
        <w:pStyle w:val="BookText"/>
        <w:rPr/>
      </w:pP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 xml:space="preserve">A Review of the Aspects of the Cultural–Civilization Life of Shiites in the History of Islam: As Narrated by 'Abd al-Jalil Razi in "Naqd"Dr. Mohammad Baghestani </w:t>
      </w:r>
      <w:r>
        <w:rPr>
          <w:rStyle w:val="FootnoteAnchor"/>
        </w:rPr>
        <w:footnoteReference w:id="59"/>
      </w:r>
      <w:r>
        <w:rPr>
          <w:rFonts w:eastAsia="Times New Roman" w:cs="Times New Roman" w:ascii="Times New Roman" w:hAnsi="Times New Roman"/>
          <w:color w:val="111111"/>
          <w:sz w:val="28"/>
          <w:szCs w:val="28"/>
          <w:lang w:val="en-US" w:bidi="en-US"/>
        </w:rPr>
        <w:t>The present article is an attempt in the analysis of the famous text of Naqd, authored by 'Abd al-Jalil Qazvini Razi. In this analysis, various aspects of the cultural – civilization life of the Shiites in the history of Islam will be studied briefly. This article refers to the potential values existing in Naqd for illustration of different roles played by the Shiite minority in a Sunnite community along the development of Islamic culture and civilization.Keywords: the history of Shiism, Islamic civilization, culture, Naqd, 'Abd al-Jalil Razi</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137_12232"/>
    </w:p>
    <w:p>
      <w:pPr>
        <w:pStyle w:val="Heading3"/>
        <w:numPr>
          <w:ilvl w:val="2"/>
          <w:numId w:val="1"/>
        </w:numPr>
        <w:rPr/>
      </w:pPr>
      <w:bookmarkStart w:id="297" w:name="__RefHeading___Toc147911_3804643083"/>
      <w:bookmarkStart w:id="298" w:name="_Toc105"/>
      <w:bookmarkEnd w:id="296"/>
      <w:bookmarkEnd w:id="297"/>
      <w:r>
        <w:rPr/>
        <w:t>۱۴</w:t>
      </w:r>
      <w:r>
        <w:rPr>
          <w:rtl w:val="true"/>
        </w:rPr>
        <w:t xml:space="preserve">. </w:t>
      </w:r>
      <w:r>
        <w:rPr/>
        <w:t>THE GEOGRAPHICAL SPREAD OF THE IMAMIYYAH SHIITE</w:t>
      </w:r>
      <w:r>
        <w:rPr>
          <w:rtl w:val="true"/>
        </w:rPr>
        <w:t>...</w:t>
      </w:r>
      <w:bookmarkEnd w:id="298"/>
    </w:p>
    <w:p>
      <w:pPr>
        <w:pStyle w:val="BookText"/>
        <w:rPr/>
      </w:pP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lang w:val="en-US" w:bidi="en-US"/>
        </w:rPr>
        <w:t xml:space="preserve">The Geographical Spread of the…Imamiyyah Shiite Population According to "Naqd"Ma'edeh Bakhshandeh </w:t>
      </w:r>
      <w:r>
        <w:rPr>
          <w:rStyle w:val="FootnoteAnchor"/>
        </w:rPr>
        <w:footnoteReference w:id="60"/>
      </w:r>
      <w:r>
        <w:rPr>
          <w:rFonts w:eastAsia="Times New Roman" w:cs="Times New Roman" w:ascii="Times New Roman" w:hAnsi="Times New Roman"/>
          <w:color w:val="111111"/>
          <w:sz w:val="28"/>
          <w:szCs w:val="28"/>
          <w:lang w:val="en-US" w:bidi="en-US"/>
        </w:rPr>
        <w:t>The study of the political, social and cultural situation of the Shiites in the fifth century After Hijrah based on the valuable book of Naqd plays a very important role in identification and illustration of the political, social and cultural situation of the Shiite society.Naqd is the first critical book which can be considered as a historical/theological critique, and such a coherent historical critique is unprecedented. This book is one of the works in the intellectual treasury of Muslims and it is one of the ancient Persian books which were written only a few years after the books: The Four Article by 'Aruzi and Maqalat by Hamidi. The book contains important historical, literary, theological, geographical, social, demographical and … material. Naqd is not an important work just in explanation of jurisprudential and religious affairs</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rather, beside responding to and rejecting the accusations, the author has referred to the names of numerous Shiite cities and neighborhoods of the first century After Hijrah, and he has also mentioned the names of important Shiite scholars and families along with lots of other issues about the Shiite culture and civilization. This reveals the significance of the present discussion.Therefore, the present article tries to deal with the geography of the Shiites population so that in this way it can study the internal structure of the Shiite society and therefore explain their presence in the social scene.Keywords: Twelver Shiites, population geography, Seljuqs of Iran, Naqd</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137_12234"/>
    </w:p>
    <w:p>
      <w:pPr>
        <w:pStyle w:val="Heading3"/>
        <w:numPr>
          <w:ilvl w:val="2"/>
          <w:numId w:val="1"/>
        </w:numPr>
        <w:rPr/>
      </w:pPr>
      <w:bookmarkStart w:id="300" w:name="__RefHeading___Toc147913_3804643083"/>
      <w:bookmarkStart w:id="301" w:name="_Toc106"/>
      <w:bookmarkEnd w:id="299"/>
      <w:bookmarkEnd w:id="300"/>
      <w:r>
        <w:rPr/>
        <w:t>۱۵</w:t>
      </w:r>
      <w:r>
        <w:rPr>
          <w:rtl w:val="true"/>
        </w:rPr>
        <w:t xml:space="preserve">. </w:t>
      </w:r>
      <w:r>
        <w:rPr/>
        <w:t>SECT-STUDY REFERENCES BY 'ABD AL-JALIL QAZVINI IN</w:t>
      </w:r>
      <w:r>
        <w:rPr>
          <w:rtl w:val="true"/>
        </w:rPr>
        <w:t xml:space="preserve"> ...</w:t>
      </w:r>
      <w:bookmarkEnd w:id="301"/>
    </w:p>
    <w:p>
      <w:pPr>
        <w:pStyle w:val="BookText"/>
        <w:rPr/>
      </w:pP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lang w:val="en-US" w:bidi="en-US"/>
        </w:rPr>
        <w:t xml:space="preserve">Sect-Study References by…'Abd al-Jalil Qazvini in His Book, "Naqd"Hamid Ahmadi Jolfa'ie </w:t>
      </w:r>
      <w:r>
        <w:rPr>
          <w:rStyle w:val="FootnoteAnchor"/>
        </w:rPr>
        <w:footnoteReference w:id="61"/>
      </w:r>
      <w:r>
        <w:rPr>
          <w:rFonts w:eastAsia="Times New Roman" w:cs="Times New Roman" w:ascii="Times New Roman" w:hAnsi="Times New Roman"/>
          <w:color w:val="111111"/>
          <w:sz w:val="28"/>
          <w:szCs w:val="28"/>
          <w:lang w:val="en-US" w:bidi="en-US"/>
        </w:rPr>
        <w:t>One of the important prerequisites for strengthening the principles of the Islamic beliefs and ideas is the acquaintance with the various sects and denominations developed in the religion of Islam and each of their specific viewpoints. Naturally, the relatively ancient books and resources, which are closer in terms of time to the emergence of each of the sects and schools and therefore their narrations of the events and beliefs of the followers of the sects and schools are more objective and concrete, enjoy very specific importance.One of the books and resources which should be used and referred to by the scholars in this field is the book titled Naqd (authored by the late 'Abd al-Jalil Qazvini Razi, one of the scholars of the sixth century After Hijrah). Although the book itself, as deemed by the present writer, can not be considered as one of the powerful and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coherent Shiite books (since there are apparent errors and contradictions in it), the information presented in this book is in some aspects important because of its antiquity.Therefore, this research will deal with the references of the author of the book to the specific beliefs of each of the existing sects at the time, and the considerable points are introduced.Keywords: sect, denomination, school of thought, doctrines, Shiite, Sunnite</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137_12236"/>
    </w:p>
    <w:p>
      <w:pPr>
        <w:pStyle w:val="Heading3"/>
        <w:numPr>
          <w:ilvl w:val="2"/>
          <w:numId w:val="1"/>
        </w:numPr>
        <w:rPr/>
      </w:pPr>
      <w:bookmarkStart w:id="303" w:name="__RefHeading___Toc147915_3804643083"/>
      <w:bookmarkStart w:id="304" w:name="_Toc107"/>
      <w:bookmarkEnd w:id="302"/>
      <w:bookmarkEnd w:id="303"/>
      <w:r>
        <w:rPr/>
        <w:t>۱۶</w:t>
      </w:r>
      <w:r>
        <w:rPr>
          <w:rtl w:val="true"/>
        </w:rPr>
        <w:t xml:space="preserve">. </w:t>
      </w:r>
      <w:r>
        <w:rPr/>
        <w:t>THE SUNNITE "MADRASA" VS. THE SHIITE</w:t>
      </w:r>
      <w:r>
        <w:rPr>
          <w:rtl w:val="true"/>
        </w:rPr>
        <w:t>...</w:t>
      </w:r>
      <w:bookmarkEnd w:id="304"/>
    </w:p>
    <w:p>
      <w:pPr>
        <w:pStyle w:val="BookText"/>
        <w:rPr/>
      </w:pP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lang w:val="en-US" w:bidi="en-US"/>
        </w:rPr>
        <w:t xml:space="preserve">The Sunnite "Madrasa" vs. the Shiite..."Dar al-'Ilms": A Discussion on the Book of "Naqd" </w:t>
      </w:r>
      <w:r>
        <w:rPr>
          <w:rFonts w:ascii="IRNazanin" w:hAnsi="IRNazanin" w:eastAsia="IRNazanin"/>
          <w:color w:val="111111"/>
          <w:sz w:val="28"/>
          <w:sz w:val="28"/>
          <w:szCs w:val="28"/>
          <w:lang w:bidi="fa-IR"/>
        </w:rPr>
        <w:t>۱</w:t>
      </w:r>
      <w:r>
        <w:rPr>
          <w:rFonts w:eastAsia="Times New Roman" w:cs="Times New Roman" w:ascii="Times New Roman" w:hAnsi="Times New Roman"/>
          <w:color w:val="111111"/>
          <w:sz w:val="28"/>
          <w:szCs w:val="28"/>
          <w:lang w:val="en-US" w:bidi="en-US"/>
        </w:rPr>
        <w:t>Leonardo Capezzone, Translated by Farideh Mahdavi DamghaniThe historical resources of the fifth century have broadly referred to the measures taken by Saljouqids to destroy The Dar al-'Ilm of Abu Nasr Shapour (the Shiite Vizier of Buids), The Dar al-'Ilm of Sharif Razi and The Dar al-'Ilm of Sharif Murtada in Baghdad, The Dar al-Kutub of 'Azod al-Dowlah Bouyah in Shiraz and The Library of Sahib Ibn-i 'Abbad (the Shiite Vizier of Buids) in Ray. This has resulted in a bad fame for Seljuqs –who pretended to be Muslims and following the Abbasid Caliphate and the Shafi'ie denomination. At the same time, the historians and researchers in the field of civilization and culture have referred to the considerable role of Seljuqs in the development of "Madrasa" (and consequently the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development of the history of educational institutes in the Islamic civilization). Therefore, it is believed that these Sunnite rulers played a considerable and even the major role on the one hand against the Shiite scientific centers (Dar al-'Ilms and Dar al-Kutubs of Buids and Fatimids of Egypt) and on the other hand for the compensation of the damages occurred to the science and scientists. However, a review on the book of Naqd reveals that its author avoids from referring to the name of the burned-down libraries, Dar al-'Ilms and Dar al-Kutubs as much as possible; instead, he refers to the Shiite founders of these scientific centers, smartly, through emphasizing their social and philanthropist services and their appropriate policies in governing the country and the people; to this end, 'Abd al-Jalil primarily refers to constructing bridges, streams, canals, and hospitals and arranging debate sessions and … rather than establishing Dar al-'Ilms and libraries specifically used by the scholars and the residents in the caliphs' courts. He also appreciates the vast attempt made by the Seljuqs in the establishment of schools and the role of the Shiite viziers to this end and in equipping and supporting the schools (through mortmain, endowments, charities and …). He tries to show that the schools of the age of the Seljuqs were the natural and historical extension (rather than altercation) of the preceding Dar al-'Ilms, Dar al-Kutubs and Dar al-Hikmahs. Hence, he proudly refers to the vast number of the Shiite viziers and delegates (by mentioning their names and positions) in the Seljuqs courts and their numerous schools and cultural mortmain at this age. He provides ample samples for their services to their people and for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their obedience of the Seljuq’s cultural policies. Therefore, he perfectly ignores the well-known quarrel existing between the Shiites and Sunnites in his historical analysis.Among the reasons and proofs which question the famous quarrel between the Madrasas and Dar al-'Ilms and lends support to the analysis of 'Abd al-Jalil Razi (in the book of Naqd), one can refer to the existence of the Sunnite Dar al-'Ilms, such as the Dar al-'Ilm of Ibn-i Siwar in Basra at the age of Buids and the Dar al-'Ilm of Maristani in Baghdad after Buids and also the numerous Shiite schools in Qom and Ray at the age of Seljuqs.Furthermore, 'Abd al-Jalil appreciates turning the scientific centers and libraries into mortmain and open-to-public centers at the age of Seljuqs –which was a positive step in education– and also the attempt by the Seljuqs to collect the books of the preceding Dar al-'Ilms and duplicate them. In this way, he implicitly shows that the scientific inheritance of the age of Buids is still maintained and the wise Seljuqs viziers and clerks could save them and transfer them as mortmain to the libraries of the following schools</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137_12239"/>
    </w:p>
    <w:p>
      <w:pPr>
        <w:pStyle w:val="Heading3"/>
        <w:numPr>
          <w:ilvl w:val="2"/>
          <w:numId w:val="1"/>
        </w:numPr>
        <w:rPr/>
      </w:pPr>
      <w:bookmarkStart w:id="306" w:name="__RefHeading___Toc147917_3804643083"/>
      <w:bookmarkStart w:id="307" w:name="_Toc108"/>
      <w:bookmarkEnd w:id="305"/>
      <w:bookmarkEnd w:id="306"/>
      <w:r>
        <w:rPr/>
        <w:t>۱۷</w:t>
      </w:r>
      <w:r>
        <w:rPr>
          <w:rtl w:val="true"/>
        </w:rPr>
        <w:t xml:space="preserve">. </w:t>
      </w:r>
      <w:r>
        <w:rPr/>
        <w:t>THE SCIENTIFIC AND RELIGIOUS SCHOOLS AND</w:t>
      </w:r>
      <w:r>
        <w:rPr>
          <w:rtl w:val="true"/>
        </w:rPr>
        <w:t>...</w:t>
      </w:r>
      <w:bookmarkEnd w:id="307"/>
    </w:p>
    <w:p>
      <w:pPr>
        <w:pStyle w:val="BookText"/>
        <w:rPr/>
      </w:pP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lang w:val="en-US" w:bidi="en-US"/>
        </w:rPr>
        <w:t>The Scientific and Religious Schools and Centers and the Shiite Rijals (Characters) in the Book of NaqdMorteza VafaieOne of the Shiite theological works written in the sixth century After Hijrah in rejection and criticism of a book against Shiites is the well-known book of Naqd. The book, besides its theological and religious content, is a treasury of historical, religious, cultural, social and literary information about the people of Iran.Because of the vastness and variety of the data presented in this book, this article limits itself to the study of the reports and information provided by the author about the schools, scientific-cultural centers and some of the Shiite scholars living at that age in the Shiite cities of especially central Iran.Keywords: Shiite cities, sixth century After Hijrah, Scientific schools, Shiite scholars, Naqd</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137_12240"/>
    </w:p>
    <w:p>
      <w:pPr>
        <w:pStyle w:val="Heading3"/>
        <w:numPr>
          <w:ilvl w:val="2"/>
          <w:numId w:val="1"/>
        </w:numPr>
        <w:rPr/>
      </w:pPr>
      <w:bookmarkStart w:id="309" w:name="__RefHeading___Toc147919_3804643083"/>
      <w:bookmarkStart w:id="310" w:name="_Toc109"/>
      <w:bookmarkEnd w:id="308"/>
      <w:bookmarkEnd w:id="309"/>
      <w:r>
        <w:rPr/>
        <w:t>۱۸</w:t>
      </w:r>
      <w:r>
        <w:rPr>
          <w:rtl w:val="true"/>
        </w:rPr>
        <w:t xml:space="preserve">. </w:t>
      </w:r>
      <w:r>
        <w:rPr/>
        <w:t>THE SHIITE POETS MENTIONED IN THE BOOK OF "NAQD</w:t>
      </w:r>
      <w:r>
        <w:rPr>
          <w:rtl w:val="true"/>
        </w:rPr>
        <w:t>"</w:t>
      </w:r>
      <w:bookmarkEnd w:id="310"/>
    </w:p>
    <w:p>
      <w:pPr>
        <w:pStyle w:val="BookText"/>
        <w:rPr/>
      </w:pP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lang w:val="en-US" w:bidi="en-US"/>
        </w:rPr>
        <w:t xml:space="preserve">The Shiite Poets Mentioned in the Book of "Naqd"Hosein Poursharif </w:t>
      </w:r>
      <w:r>
        <w:rPr>
          <w:rStyle w:val="FootnoteAnchor"/>
        </w:rPr>
        <w:footnoteReference w:id="62"/>
      </w:r>
      <w:r>
        <w:rPr>
          <w:rFonts w:eastAsia="Times New Roman" w:cs="Times New Roman" w:ascii="Times New Roman" w:hAnsi="Times New Roman"/>
          <w:color w:val="111111"/>
          <w:sz w:val="28"/>
          <w:szCs w:val="28"/>
          <w:lang w:val="en-US" w:bidi="en-US"/>
        </w:rPr>
        <w:t>The historical situation of 'Abd al-Jalil (as an outstanding Shiite scholar and theologian of his time) and the importance and use of his work (which is a book with a mode of argumentation and debate, and therefore not relying on doubtful, weak, ambiguous and disputable materials) have turned his words and book into a creditable historical source for the identification of denominations of a lot of scholars, writers, politicians, judges, … and also poets.Through a careful study of the works authored by recent Shiite writers of Tarajoms (such as: Majalis al-Mu'minin, 'Amal al-'Amal and its annotations, Riyaz al-'Ulama, Rawdat al-Jannat and Qisas al-'Ulama), it can be noticed that because of a historical gap, the reports and leniency of the authors in identification of the individuals' denominations (and in other words, considering them as Shiites) based on weak, brief and limited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and proofs is not so much reliable; while the reports by 'Abd al-Jalil are almost unique because of their historical concurrency.In this article, there is an attempt to present a list of the names of Shiite poets mentioned in the book of Naqd in a historical order; so that we can reveal 'Abd al-Jalil's acquaintance with the field of the Persian and Arabic literature of his own time and before that and also his skill in employing literature and history of literature in theological debates.First, a brief account will be presented on the poets and their works and then samples from their poems will be provided to reveal, to some extent, their thoughts and beliefs and their faith in Shiism.Keywords: poets, the history of Shiism, Shiite poetry, Naqd</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137_12242"/>
    </w:p>
    <w:p>
      <w:pPr>
        <w:pStyle w:val="Heading3"/>
        <w:numPr>
          <w:ilvl w:val="2"/>
          <w:numId w:val="1"/>
        </w:numPr>
        <w:rPr/>
      </w:pPr>
      <w:bookmarkStart w:id="312" w:name="__RefHeading___Toc147921_3804643083"/>
      <w:bookmarkStart w:id="313" w:name="_Toc110"/>
      <w:bookmarkEnd w:id="311"/>
      <w:bookmarkEnd w:id="312"/>
      <w:r>
        <w:rPr/>
        <w:t>۱۹</w:t>
      </w:r>
      <w:r>
        <w:rPr>
          <w:rtl w:val="true"/>
        </w:rPr>
        <w:t xml:space="preserve">. </w:t>
      </w:r>
      <w:r>
        <w:rPr/>
        <w:t>THE GEOGRAPHY OF RAY AND QAZVIN</w:t>
      </w:r>
      <w:bookmarkEnd w:id="313"/>
    </w:p>
    <w:p>
      <w:pPr>
        <w:pStyle w:val="BookText"/>
        <w:rPr/>
      </w:pP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lang w:val="en-US" w:bidi="en-US"/>
        </w:rPr>
        <w:t xml:space="preserve">The Geography of Ray and QazvinAli Maleki Mianaji </w:t>
      </w:r>
      <w:r>
        <w:rPr>
          <w:rStyle w:val="FootnoteAnchor"/>
        </w:rPr>
        <w:footnoteReference w:id="63"/>
      </w:r>
      <w:r>
        <w:rPr>
          <w:rFonts w:eastAsia="Times New Roman" w:cs="Times New Roman" w:ascii="Times New Roman" w:hAnsi="Times New Roman"/>
          <w:color w:val="111111"/>
          <w:sz w:val="28"/>
          <w:szCs w:val="28"/>
          <w:lang w:val="en-US" w:bidi="en-US"/>
        </w:rPr>
        <w:t>Ray and Qazvin are two cities in central Iran. Ray, as one of the important regions from the period of Medes until the present time, has more or less maintained its political significance. The center of this region, The City of Ray, was considered as one of the most important cities of the world and Umm al-Bilads in the first centuries of Islam until the age of Moguls. In the Islamic period, at first the prevalent denomination in the city was Sunni; gradually however, Shiism took its place, so that at the age of the author of Naqd, i.e. mid sixth century, the major portion of the population composed of Shiites. Meanwhile, there were people from different denominations, sects and religions living in this city. The book of Naqd, provides useful information about this city. In this article the geography of Ray is depicted based on the information found in Naqd.The City of Qazvin, is an important city in the north of central Iran, the antiquity of which dates back to Sassanid period. In the first centuries of</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the city developed considerably. Until the period of the author of Naqd, the prevalent denominations in this area consisted of Shiism, Sunni and some other sects. Despite the fact that, Shiite formed a minority in this area, they enjoyed considerable authority. Part of the facts concerning this city has been referred to in Naqd. In this article the geography of Qazvin is depicted based on the information found in Naqd.Keywords: the geography of Ray, the geography of Qazvin, Naqd, sixth century</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137_12244"/>
    </w:p>
    <w:p>
      <w:pPr>
        <w:pStyle w:val="Heading3"/>
        <w:numPr>
          <w:ilvl w:val="2"/>
          <w:numId w:val="1"/>
        </w:numPr>
        <w:rPr/>
      </w:pPr>
      <w:bookmarkStart w:id="315" w:name="__RefHeading___Toc147923_3804643083"/>
      <w:bookmarkStart w:id="316" w:name="_Toc111"/>
      <w:bookmarkEnd w:id="314"/>
      <w:bookmarkEnd w:id="315"/>
      <w:r>
        <w:rPr/>
        <w:t>۲۰</w:t>
      </w:r>
      <w:r>
        <w:rPr>
          <w:rtl w:val="true"/>
        </w:rPr>
        <w:t xml:space="preserve">. </w:t>
      </w:r>
      <w:r>
        <w:rPr/>
        <w:t>THE FAMILY OF BABIVEIH IN THE BOOK OF NAQD</w:t>
      </w:r>
      <w:bookmarkEnd w:id="316"/>
    </w:p>
    <w:p>
      <w:pPr>
        <w:pStyle w:val="BookText"/>
        <w:rPr/>
      </w:pP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lang w:val="en-US" w:bidi="en-US"/>
        </w:rPr>
        <w:t xml:space="preserve">The Family of Babiveih in the Book of NaqdDr. Seyyed Mohsen Mousavi </w:t>
      </w:r>
      <w:r>
        <w:rPr>
          <w:rStyle w:val="FootnoteAnchor"/>
        </w:rPr>
        <w:footnoteReference w:id="64"/>
      </w:r>
      <w:r>
        <w:rPr>
          <w:rFonts w:eastAsia="Times New Roman" w:cs="Times New Roman" w:ascii="Times New Roman" w:hAnsi="Times New Roman"/>
          <w:color w:val="111111"/>
          <w:sz w:val="28"/>
          <w:szCs w:val="28"/>
          <w:lang w:val="en-US" w:bidi="en-US"/>
        </w:rPr>
        <w:t>The book of Naqd is a Shiite book which presents useful information about important Shiite characters contemporary to its own period and before that. Some of the scholars whose names, words, ideas and works have been mentioned or criticized primarily by 'Abd al-Jalil himself, or secondarily following the Sunnite author, are from a schooled family.One of such schooled families is "the Family of Babiveih". The book has mentioned the names of five scholars from this family and the present article deals with them: Ali Ibn Babiveih (Sheikh Saduq's father), Mohammad Ibn Ali Babiveih (Sheikh Saduq), Shams al-Din Hasan Babiveih, Abu Talib Ishaq Babiveih and Abu Abdullah Babiveih.Keywords: Family, Babiveih, Naqd</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137_12245"/>
    </w:p>
    <w:p>
      <w:pPr>
        <w:pStyle w:val="Heading3"/>
        <w:numPr>
          <w:ilvl w:val="2"/>
          <w:numId w:val="1"/>
        </w:numPr>
        <w:rPr/>
      </w:pPr>
      <w:bookmarkStart w:id="318" w:name="__RefHeading___Toc147925_3804643083"/>
      <w:bookmarkStart w:id="319" w:name="_Toc112"/>
      <w:bookmarkEnd w:id="317"/>
      <w:bookmarkEnd w:id="318"/>
      <w:r>
        <w:rPr/>
        <w:t>۲۱</w:t>
      </w:r>
      <w:r>
        <w:rPr>
          <w:rtl w:val="true"/>
        </w:rPr>
        <w:t xml:space="preserve">. </w:t>
      </w:r>
      <w:r>
        <w:rPr/>
        <w:t>THE PREVALENCE OF HAGIOGRAPHY IN</w:t>
      </w:r>
      <w:r>
        <w:rPr>
          <w:rtl w:val="true"/>
        </w:rPr>
        <w:t>...</w:t>
      </w:r>
      <w:bookmarkEnd w:id="319"/>
    </w:p>
    <w:p>
      <w:pPr>
        <w:pStyle w:val="BookText"/>
        <w:rPr/>
      </w:pP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lang w:val="en-US" w:bidi="en-US"/>
        </w:rPr>
        <w:t xml:space="preserve">The Prevalence of Hagiography in..."the Sixth and SeventhCenturies after Hijrah"Mahdi Gholam'ali </w:t>
      </w:r>
      <w:r>
        <w:rPr>
          <w:rStyle w:val="FootnoteAnchor"/>
        </w:rPr>
        <w:footnoteReference w:id="65"/>
      </w:r>
      <w:r>
        <w:rPr>
          <w:rFonts w:eastAsia="Times New Roman" w:cs="Times New Roman" w:ascii="Times New Roman" w:hAnsi="Times New Roman"/>
          <w:color w:val="111111"/>
          <w:sz w:val="28"/>
          <w:szCs w:val="28"/>
          <w:lang w:val="en-US" w:bidi="en-US"/>
        </w:rPr>
        <w:t>The sixth and seventh centuries After Hijrah can be considered as a turning point in the history of Shiism. In this period, despite severe difficulties, the Shiites could resist against the doubts and accusations posed by common people and ruling systems. This period is referred to as a period of stagnation in the history of Shiite Hadith. Although such a description is true for this period in comparison to the previous centuries, it should be noticed that the enmity of the opponents was very severe and the authors did their best to resist against the various attacks arranged by the rulers. The hagiographic and Arba'inographic (writing about the fortieth day after the martyrdom of Imams PBUT, esp. Imam Husayn PBUH) styles are manifestations of such great efforts. These styles were appealed to more than other styles. The styles had some strong and weak points. The growth and prevalence of</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hagiography are more considerable in these two centuries; so that there are about sixty of such works written in a period of two hundred years. Discovering the reason behind such a growth is possible through the study of the remaining hagiographic books and the historical reports. The present research is an attempt to this end. The book of Naqd written by 'Abd al-Jalil Qazvini is one of the most important works having dealt with the issue of hagiographic sermons. It has illustrated the blurred conditions of that age properly. This book is a good source for the identification of the reasons and causes of the increase of hagiographies in these centuries. It seems that there were various political, scientific and culture reasons behind the growth in such a style of writing. Some of these reasons are referred to in this article.Keywords: hagiography, eulogistic biography, sixth century After Hijrah, stylistics, history of Hadith</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2137_12247"/>
    </w:p>
    <w:p>
      <w:pPr>
        <w:pStyle w:val="Heading3"/>
        <w:numPr>
          <w:ilvl w:val="2"/>
          <w:numId w:val="1"/>
        </w:numPr>
        <w:rPr/>
      </w:pPr>
      <w:bookmarkStart w:id="321" w:name="__RefHeading___Toc147927_3804643083"/>
      <w:bookmarkStart w:id="322" w:name="_Toc113"/>
      <w:bookmarkEnd w:id="320"/>
      <w:bookmarkEnd w:id="321"/>
      <w:r>
        <w:rPr/>
        <w:t>۲۲</w:t>
      </w:r>
      <w:r>
        <w:rPr>
          <w:rtl w:val="true"/>
        </w:rPr>
        <w:t xml:space="preserve">. </w:t>
      </w:r>
      <w:r>
        <w:rPr/>
        <w:t>THE STYLISTIC, STRUCTURAL AND INTELLECTUAL</w:t>
      </w:r>
      <w:r>
        <w:rPr>
          <w:rtl w:val="true"/>
        </w:rPr>
        <w:t>...</w:t>
      </w:r>
      <w:bookmarkEnd w:id="322"/>
    </w:p>
    <w:p>
      <w:pPr>
        <w:pStyle w:val="BookText"/>
        <w:rPr/>
      </w:pP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lang w:val="en-US" w:bidi="en-US"/>
        </w:rPr>
        <w:t xml:space="preserve">The Stylistic, Structural and Intellectual...Characteristics of the Book of "Naqd"Dr. 'Abdorreza Modarreszadeh </w:t>
      </w:r>
      <w:r>
        <w:rPr>
          <w:rStyle w:val="FootnoteAnchor"/>
        </w:rPr>
        <w:footnoteReference w:id="66"/>
      </w:r>
      <w:r>
        <w:rPr>
          <w:rFonts w:eastAsia="Times New Roman" w:cs="Times New Roman" w:ascii="Times New Roman" w:hAnsi="Times New Roman"/>
          <w:color w:val="111111"/>
          <w:sz w:val="28"/>
          <w:szCs w:val="28"/>
          <w:lang w:val="en-US" w:bidi="en-US"/>
        </w:rPr>
        <w:t>As a result of direct interaction of some poets with the political centers at their age, Persian language and literature like a mirror reflects the prevalent and official beliefs which are in accordance with the beliefs of Sunnites.Although the outstanding characters of the Persian literature, despite their tendencies toward Sunnites, never withdrew from expressing reverence to the Ahl al-Bayt PBUT, the jurisprudential and theological discussions considered by the poets developed based on denominational beliefs.The book of Naqd, written by a sincere author who supports the Shiite beliefs, reminds us of a period when denominational confrontations and challenges were at their peak (sixth century After Hijrah). This book, despite its significance, has remained almost unnoticed during the centuries after it was written</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article is a concise attempt to introduce the literary style, structure and values of this precious book, which can be a base for dealing with "Shiite Literature".Keywords: Naqd, Persian prose, stylistics, Shiite literature</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2137_12249"/>
    </w:p>
    <w:p>
      <w:pPr>
        <w:pStyle w:val="Heading3"/>
        <w:numPr>
          <w:ilvl w:val="2"/>
          <w:numId w:val="1"/>
        </w:numPr>
        <w:rPr/>
      </w:pPr>
      <w:bookmarkStart w:id="324" w:name="__RefHeading___Toc147929_3804643083"/>
      <w:bookmarkStart w:id="325" w:name="_Toc114"/>
      <w:bookmarkEnd w:id="323"/>
      <w:bookmarkEnd w:id="324"/>
      <w:r>
        <w:rPr/>
        <w:t>۲۳</w:t>
      </w:r>
      <w:r>
        <w:rPr>
          <w:rtl w:val="true"/>
        </w:rPr>
        <w:t xml:space="preserve">. </w:t>
      </w:r>
      <w:r>
        <w:rPr/>
        <w:t>A STUDY OF THE LINGUISTIC FORM</w:t>
      </w:r>
      <w:r>
        <w:rPr>
          <w:rtl w:val="true"/>
        </w:rPr>
        <w:t>...</w:t>
      </w:r>
      <w:bookmarkEnd w:id="325"/>
    </w:p>
    <w:p>
      <w:pPr>
        <w:pStyle w:val="BookText"/>
        <w:rPr/>
      </w:pPr>
      <w:r>
        <w:rPr>
          <w:rFonts w:ascii="IRNazanin" w:hAnsi="IRNazanin" w:eastAsia="IRNazanin"/>
          <w:color w:val="111111"/>
          <w:sz w:val="28"/>
          <w:sz w:val="28"/>
          <w:szCs w:val="28"/>
          <w:lang w:bidi="fa-IR"/>
        </w:rPr>
        <w:t>۲۳</w:t>
      </w:r>
      <w:r>
        <w:rPr>
          <w:rFonts w:eastAsia="Times New Roman" w:cs="Times New Roman" w:ascii="Times New Roman" w:hAnsi="Times New Roman"/>
          <w:color w:val="111111"/>
          <w:sz w:val="28"/>
          <w:szCs w:val="28"/>
          <w:lang w:val="en-US" w:bidi="en-US"/>
        </w:rPr>
        <w:t xml:space="preserve">A Study of the Linguistic form...of the Book of "Naqd" with a Reference to its Con-tentMaryam Ghaffary Jahed </w:t>
      </w:r>
      <w:r>
        <w:rPr>
          <w:rStyle w:val="FootnoteAnchor"/>
        </w:rPr>
        <w:footnoteReference w:id="67"/>
      </w:r>
      <w:r>
        <w:rPr>
          <w:rFonts w:eastAsia="Times New Roman" w:cs="Times New Roman" w:ascii="Times New Roman" w:hAnsi="Times New Roman"/>
          <w:color w:val="111111"/>
          <w:sz w:val="28"/>
          <w:szCs w:val="28"/>
          <w:lang w:val="en-US" w:bidi="en-US"/>
        </w:rPr>
        <w:t>The book of Naqd was authored by 'Abd al-Jalil Qazwini, a Shiite scholar of the sixth century After Hijrah. The book was written against Fada'ih al-Rawafid. The book, having been written fifty years before the attack of the Moguls, is a considerable resource because of the useful information it provides about the names of the Shiite books, neighborhoods, and libraries in the cities of Iran, some of which exist no more. The book of Naqd was written in the mid sixth century and linguistically was influenced by three stylistic procedures: the prose style of the Samani period, the prose style of the Ghaznavi and Seljuqs I period, and the technical style. Furthermore, from another point of view, some of the terms and combinations of this book were influenced by the dialect of the residents of Ray. In the first part of this article, the importance and value of content of the book have been explained; and in the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part, after an explanation of the characteristics of the styles of the three periods of the Persian prose, the manifestation of these styles and also the role of the language prevalent in Ray have been illustrated through some examples quoted from the book.Keywords: the linguistic form of the book of Naqd, Samani period, Ghaznavi and Seljuqs period, technical prose, literary arrays</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2137_12251"/>
    </w:p>
    <w:p>
      <w:pPr>
        <w:pStyle w:val="Heading3"/>
        <w:numPr>
          <w:ilvl w:val="2"/>
          <w:numId w:val="1"/>
        </w:numPr>
        <w:rPr/>
      </w:pPr>
      <w:bookmarkStart w:id="327" w:name="__RefHeading___Toc147931_3804643083"/>
      <w:bookmarkStart w:id="328" w:name="_Toc115"/>
      <w:bookmarkEnd w:id="326"/>
      <w:bookmarkEnd w:id="327"/>
      <w:r>
        <w:rPr/>
        <w:t>۲۴</w:t>
      </w:r>
      <w:r>
        <w:rPr>
          <w:rtl w:val="true"/>
        </w:rPr>
        <w:t xml:space="preserve">. </w:t>
      </w:r>
      <w:r>
        <w:rPr/>
        <w:t>THE ETHICAL CONSIDERATIONS AND RITES</w:t>
      </w:r>
      <w:r>
        <w:rPr>
          <w:rtl w:val="true"/>
        </w:rPr>
        <w:t>...</w:t>
      </w:r>
      <w:bookmarkEnd w:id="328"/>
    </w:p>
    <w:p>
      <w:pPr>
        <w:pStyle w:val="BookText"/>
        <w:rPr/>
      </w:pPr>
      <w:r>
        <w:rPr>
          <w:rFonts w:ascii="IRNazanin" w:hAnsi="IRNazanin" w:eastAsia="IRNazanin"/>
          <w:color w:val="111111"/>
          <w:sz w:val="28"/>
          <w:sz w:val="28"/>
          <w:szCs w:val="28"/>
          <w:lang w:bidi="fa-IR"/>
        </w:rPr>
        <w:t>۲۴</w:t>
      </w:r>
      <w:r>
        <w:rPr>
          <w:rFonts w:eastAsia="Times New Roman" w:cs="Times New Roman" w:ascii="Times New Roman" w:hAnsi="Times New Roman"/>
          <w:color w:val="111111"/>
          <w:sz w:val="28"/>
          <w:szCs w:val="28"/>
          <w:lang w:val="en-US" w:bidi="en-US"/>
        </w:rPr>
        <w:t xml:space="preserve">The Ethical Considerations and Rites...of Argumentation in the Book of "Naqd"Dr. Seyyed Hasan Islami Ardakani </w:t>
      </w:r>
      <w:r>
        <w:rPr>
          <w:rStyle w:val="FootnoteAnchor"/>
        </w:rPr>
        <w:footnoteReference w:id="68"/>
      </w:r>
      <w:r>
        <w:rPr>
          <w:rFonts w:eastAsia="Times New Roman" w:cs="Times New Roman" w:ascii="Times New Roman" w:hAnsi="Times New Roman"/>
          <w:color w:val="111111"/>
          <w:sz w:val="28"/>
          <w:szCs w:val="28"/>
          <w:lang w:val="en-US" w:bidi="en-US"/>
        </w:rPr>
        <w:t>This article tries to present an analysis of the approach taken by 'Abd al-Jalil Razi in responding to the claims made by the author of the book of Ba’d Fada’ih al-Rawafid. Razi's approach of responding is not equally characterized in all cases. Sometimes, it is accurate, calculated critical and moral and some other times it is disputatious. Generally, Razi's book does not have a clear structure and the author has been basically concerned with responding to the objections presented in the Ba’d Fada’ih al-Rawafid, one by one. Hence, this article tries to study the characteristics of the approach in his responses and to classify the samples found throughout the book. This article has reached a classification of sixteen categories based on the key points in 'Abd al-Jalil Razi's approach. Some of these categories are: discordance about the claims made about background of Shiism</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references to the ignored or unnoticed specific requisites of the 'Ash'ari thought, to which the opponent writer belongs; maintenance of the reverence toward the family of the Prophet PBUT throughout argumentations, unlike the opponent writer; using dilemmas against the opponent to disarm him; revealing the dual standpoints taken by the opponent; proceeding through explanation, clarification and removing the doubts; pointing to the logical fallacies; and application of the strategy of tit for tat.Keywords: the ethics of argumentation, 'Abd al-Jalil Razi, Naqd, Ba’d Fada’ih al-Rawafid; opponent, violator</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137_12253"/>
    </w:p>
    <w:p>
      <w:pPr>
        <w:pStyle w:val="Heading3"/>
        <w:numPr>
          <w:ilvl w:val="2"/>
          <w:numId w:val="1"/>
        </w:numPr>
        <w:rPr/>
      </w:pPr>
      <w:bookmarkStart w:id="330" w:name="__RefHeading___Toc147933_3804643083"/>
      <w:bookmarkStart w:id="331" w:name="_Toc116"/>
      <w:bookmarkEnd w:id="329"/>
      <w:bookmarkEnd w:id="330"/>
      <w:r>
        <w:rPr/>
        <w:t>۲۵</w:t>
      </w:r>
      <w:r>
        <w:rPr>
          <w:rtl w:val="true"/>
        </w:rPr>
        <w:t xml:space="preserve">. </w:t>
      </w:r>
      <w:r>
        <w:rPr/>
        <w:t>ARGUMENTATION AND UNITY IN THE BOOK OF "NAQD</w:t>
      </w:r>
      <w:r>
        <w:rPr>
          <w:rtl w:val="true"/>
        </w:rPr>
        <w:t>"</w:t>
      </w:r>
      <w:bookmarkEnd w:id="331"/>
    </w:p>
    <w:p>
      <w:pPr>
        <w:pStyle w:val="BookText"/>
        <w:rPr/>
      </w:pPr>
      <w:r>
        <w:rPr>
          <w:rFonts w:ascii="IRNazanin" w:hAnsi="IRNazanin" w:eastAsia="IRNazanin"/>
          <w:color w:val="111111"/>
          <w:sz w:val="28"/>
          <w:sz w:val="28"/>
          <w:szCs w:val="28"/>
          <w:lang w:bidi="fa-IR"/>
        </w:rPr>
        <w:t>۲۵</w:t>
      </w:r>
      <w:r>
        <w:rPr>
          <w:rFonts w:eastAsia="Times New Roman" w:cs="Times New Roman" w:ascii="Times New Roman" w:hAnsi="Times New Roman"/>
          <w:color w:val="111111"/>
          <w:sz w:val="28"/>
          <w:szCs w:val="28"/>
          <w:lang w:val="en-US" w:bidi="en-US"/>
        </w:rPr>
        <w:t xml:space="preserve">Argumentation and Unity in the Book of "Naqd"Seddiqeh Labbani Motlaq </w:t>
      </w:r>
      <w:r>
        <w:rPr>
          <w:rStyle w:val="FootnoteAnchor"/>
        </w:rPr>
        <w:footnoteReference w:id="69"/>
      </w:r>
      <w:r>
        <w:rPr>
          <w:rFonts w:eastAsia="Times New Roman" w:cs="Times New Roman" w:ascii="Times New Roman" w:hAnsi="Times New Roman"/>
          <w:color w:val="111111"/>
          <w:sz w:val="28"/>
          <w:szCs w:val="28"/>
          <w:lang w:val="en-US" w:bidi="en-US"/>
        </w:rPr>
        <w:t>Naqd is a book in rejection of the objections and doubts posed against Shiism. This book was authored by the great scholar, 'Abd al-Jalil Qazwini Razi, and was written in an argumentative mode. 'Abd al-Jalil is considered as one of the first Shiite scholars following an accurate approach in debate, who has taken a considerable step for the approximation of denominations. The present article aims at finding an appropriate approach to attain integration between the "religious debate" and "the unity of the Islamic denominations". It is believed that 'Abd al-Jalil has depicted such an integration appropriately; because he has fulfilled a suitable argument for the development and maintenance of the Islamic unity through considering such aspect as: accepting the truth and noting the common aspects of the parties and … .Keywords: Naqd, 'Abd al-Jalil Qazvini, debate, unity</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تاريخ آستانه ري،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استاديار دانشگاه تهران ـ پرديس قم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علمي دانشگاه قم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پژوهشگر پژوهشكده علوم و معارف حديث 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و پژوهشگر حوزه و دانشگاه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پژوهشگر حوزه فلسفه و كلام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استاديار جامعة المصطفي صلي الله عليه و آله العالميّة، گروه شيعه‌شناسي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علمي و مدير گروه اديان و مذاهب جامعة المصطفي صلي الله عليه و آله العالميّة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دانشجوي دكتري الهيات دانشگاه امام صادق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m.h.gerami@hotmail.com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مقاله، بارها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كه معادل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استاديار گروه كلام اسلامي دانشكده علوم حديث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و پژوهشگر حوزه و دانشگاه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علمي پژوهشگاه علوم و فرهنگ اسلامي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پژوهشگر پژوهشكده علوم و معارف حديث ـ قم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كارشناس ارشد زبان و ادبيات فارسي، پژوهشيار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پژوهشكده علوم و معارف حديث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و پژوهشگر تاريخ، جغرافيا و كلام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علمي دانشگاه مازندران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علمي دانشكده علوم حديث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دانشيار زبان و ادبيات فارسي دانشگاه آزاد اسلامي كاشان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كارشناس ارشد زبان و ادبيات فارسي، پژوهشگر و مدرّس دانشگاه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دانشيار دانشگاه اديان و مذاهب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كارشناس ارشد الهيات دانشگاه الزهرا ـ تهران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تاريخ آستانه ري،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معيد في كلّية علوم الحديث في قم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الهيئة العلمية في جامعة قم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الهيئة العلمية في مركز علوم ومعارف الحديث في قم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ومحقّق في الحوزة العلميّة والجامعة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حوزوي في علم الكلام والفلسفة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معيد في جامعة المصطفى صلي الله عليه و آله العالميّة، قسم معارف الشيعة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الهيئة العلمية في جامعة المصطفى صلي الله عليه و آله العالميّة، ورئيس قسم الأديان والمذاهب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 دكتوراه في الإلهيات بجامعة الإمام الصادق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m.h.gerami@hotmail.com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مساعد في قسم الكلام الإسلامي في كلّية علوم الحديث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و محقّق في الحوزة العلمية والجامعة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الهيئة العلمية في معهد العالي للعلوم و الثقافة الإسلاميّة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باحث في معهد علوم ومعارف الحديث ـ قم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ماجستير في اللغة والأدب الفارسي، مساعد باحث في معهد علوم ومعارف الحديث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وباحث في التاريخ والجغرافية والكلام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الهيئة العلمية في جامعة مازندران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الهيئة العلمية في كلّية علوم الحديث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معيد في اللغة والأدب الفارسي في الجامعة الإسلامية المفتوحة في كاشان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ماجستير في اللغة والأدب الفارسي، باحثة ومدرّسة في الجامعة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مُعيد في جامعة الأديان والمذاهب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Refer to: 'Askal ol-'Alam, page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Pr>
        <w:t xml:space="preserve">; 'Aja'ib al-Makhluqat, page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 xml:space="preserve">; 'Athar ol-Bilad, page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Pr>
        <w:t xml:space="preserve">; Mu'jam ol-Buldan, pages </w:t>
      </w:r>
      <w:r>
        <w:rPr>
          <w:rFonts w:ascii="IRNazanin" w:hAnsi="IRNazanin" w:eastAsia="IRNazanin"/>
          <w:b w:val="false"/>
          <w:b w:val="false"/>
          <w:bCs w:val="false"/>
          <w:i w:val="false"/>
          <w:i w:val="false"/>
          <w:iCs w:val="false"/>
          <w:color w:val="333333"/>
          <w:sz w:val="20"/>
          <w:sz w:val="20"/>
          <w:szCs w:val="20"/>
        </w:rPr>
        <w:t xml:space="preserve">۳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Pr>
        <w:t xml:space="preserve">; Al-Kamil fi al-Tarikh, vol.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 xml:space="preserve">, page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 xml:space="preserve">; The History of the Holy Shrine of Ray, p.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Al-Fihrist of Muntajib al-Din, page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Assistant professor of Tehran University, Qom Campus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Faculty Member of Qom University</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Researcher in the Research Center of Hadith Sciences and Knowledge, Qom</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researcher and teacher in the seminary schools and universities</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Seminary School researcher in theology and philosophy</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Assistant professor of Al-Mustafa PBUH International University, Department of Shiite Studies</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faculty member and the head of the Department of Religions and Denominations, Al-Mustafa PBUH International University</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 D. Student of theology in Imam Sadiq PBUH University (m.h.gerami@hotmail.com)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Assistant professor of the department of The Islamic Theology, College of Hadith Sciences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 student in the major of Gnosis and Sufism, Imam Khomeini Institute</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Teacher and researcher in seminary schools and Universities</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Faculty member of the Research Center of Islamic Sciences and Culture</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 student in the major of The History of Islamic Iran, Al-Zahra University, Tehran</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researcher of The Research Center of Hadith Sciences and Knowledge, Qom</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 holder in Persian Language and Literature, and research assistant of the Research Center of Hadith Sciences and Knowledge</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Teacher and researcher in the field of history, geography, and theology</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Faculty member of Mazandaran University</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member of the Faculty of Hadith Sciences</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Associate professor of Persian Language and Literature, Islamic Azad University, Kashan Branch</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A. holder in Persian language and literature; university researcher and teacher</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Associate of the University of Religions and Denominations</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 holder in theology, Al-Zahra University, Tehran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24005</Words>
  <Characters>118093</Characters>
  <CharactersWithSpaces>141391</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2026-08-17T00:20:48Z</dcterms:created>
  <dc:creator>ghaemiyeh.com</dc:creator>
  <dc:description/>
  <dc:language>en-US</dc:language>
  <cp:lastModifiedBy/>
  <dcterms:modified xsi:type="dcterms:W3CDTF">2026-08-17T03:50:52Z</dcterms:modified>
  <cp:revision>1</cp:revision>
  <dc:subject/>
  <dc:title>چکیده مقالات کنگره بزرگداشت عبدالجلیل رازی قزوینی زنده در 560 ق با ترجمه عربی و انگلیسی</dc:title>
</cp:coreProperties>
</file>

<file path=docProps/custom.xml><?xml version="1.0" encoding="utf-8"?>
<Properties xmlns="http://schemas.openxmlformats.org/officeDocument/2006/custom-properties" xmlns:vt="http://schemas.openxmlformats.org/officeDocument/2006/docPropsVTypes"/>
</file>