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اسئله و اجوبه فقهیه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83714_365066874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283716_365066874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283718_3650668749">
            <w:r>
              <w:rPr>
                <w:webHidden/>
                <w:rStyle w:val="IndexLink"/>
                <w:rtl w:val="true"/>
              </w:rPr>
              <w:t xml:space="preserve">مقدّمه </w:t>
            </w:r>
            <w:r>
              <w:rPr>
                <w:rStyle w:val="IndexLink"/>
                <w:rtl w:val="true"/>
              </w:rPr>
              <w:t>[</w:t>
            </w:r>
            <w:r>
              <w:rPr>
                <w:rStyle w:val="IndexLink"/>
                <w:rtl w:val="true"/>
              </w:rPr>
              <w:t>محقق</w:t>
            </w:r>
            <w:r>
              <w:rPr>
                <w:rStyle w:val="IndexLink"/>
                <w:rtl w:val="true"/>
              </w:rPr>
              <w:t>]</w:t>
              <w:tab/>
            </w:r>
            <w:r>
              <w:rPr>
                <w:rStyle w:val="IndexLink"/>
              </w:rPr>
              <w:t>6</w:t>
            </w:r>
          </w:hyperlink>
        </w:p>
        <w:p>
          <w:pPr>
            <w:pStyle w:val="Contents3"/>
            <w:tabs>
              <w:tab w:val="clear" w:pos="8459"/>
              <w:tab w:val="right" w:pos="9026" w:leader="dot"/>
            </w:tabs>
            <w:rPr/>
          </w:pPr>
          <w:hyperlink w:anchor="__RefHeading___Toc3283720_3650668749">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3283722_3650668749">
            <w:r>
              <w:rPr>
                <w:webHidden/>
                <w:rStyle w:val="IndexLink"/>
                <w:rtl w:val="true"/>
              </w:rPr>
              <w:t>[</w:t>
            </w:r>
            <w:r>
              <w:rPr>
                <w:rStyle w:val="IndexLink"/>
                <w:rtl w:val="true"/>
              </w:rPr>
              <w:t>سؤال و نقش آن در فقه</w:t>
            </w:r>
            <w:r>
              <w:rPr>
                <w:rStyle w:val="IndexLink"/>
                <w:rtl w:val="true"/>
              </w:rPr>
              <w:t>]</w:t>
              <w:tab/>
            </w:r>
            <w:r>
              <w:rPr>
                <w:rStyle w:val="IndexLink"/>
              </w:rPr>
              <w:t>6</w:t>
            </w:r>
          </w:hyperlink>
        </w:p>
        <w:p>
          <w:pPr>
            <w:pStyle w:val="Contents3"/>
            <w:tabs>
              <w:tab w:val="clear" w:pos="8459"/>
              <w:tab w:val="right" w:pos="9026" w:leader="dot"/>
            </w:tabs>
            <w:rPr/>
          </w:pPr>
          <w:hyperlink w:anchor="__RefHeading___Toc3283724_3650668749">
            <w:r>
              <w:rPr>
                <w:webHidden/>
                <w:rStyle w:val="IndexLink"/>
                <w:rtl w:val="true"/>
              </w:rPr>
              <w:t>[</w:t>
            </w:r>
            <w:r>
              <w:rPr>
                <w:rStyle w:val="IndexLink"/>
                <w:rtl w:val="true"/>
              </w:rPr>
              <w:t>زندگى</w:t>
            </w:r>
            <w:r>
              <w:rPr>
                <w:rStyle w:val="IndexLink"/>
                <w:rtl w:val="true"/>
              </w:rPr>
              <w:t xml:space="preserve">] </w:t>
            </w:r>
            <w:r>
              <w:rPr>
                <w:rStyle w:val="IndexLink"/>
                <w:rtl w:val="true"/>
              </w:rPr>
              <w:t>مؤلف</w:t>
            </w:r>
            <w:r>
              <w:rPr>
                <w:rStyle w:val="IndexLink"/>
                <w:rtl w:val="true"/>
              </w:rPr>
              <w:tab/>
            </w:r>
            <w:r>
              <w:rPr>
                <w:rStyle w:val="IndexLink"/>
              </w:rPr>
              <w:t>9</w:t>
            </w:r>
          </w:hyperlink>
        </w:p>
        <w:p>
          <w:pPr>
            <w:pStyle w:val="Contents3"/>
            <w:tabs>
              <w:tab w:val="clear" w:pos="8459"/>
              <w:tab w:val="right" w:pos="9026" w:leader="dot"/>
            </w:tabs>
            <w:rPr/>
          </w:pPr>
          <w:hyperlink w:anchor="__RefHeading___Toc3283726_3650668749">
            <w:r>
              <w:rPr>
                <w:webHidden/>
                <w:rStyle w:val="IndexLink"/>
                <w:rtl w:val="true"/>
              </w:rPr>
              <w:t>رسالۀ حاضر</w:t>
            </w:r>
            <w:r>
              <w:rPr>
                <w:rStyle w:val="IndexLink"/>
                <w:rtl w:val="true"/>
              </w:rPr>
              <w:tab/>
            </w:r>
            <w:r>
              <w:rPr>
                <w:rStyle w:val="IndexLink"/>
              </w:rPr>
              <w:t>11</w:t>
            </w:r>
          </w:hyperlink>
        </w:p>
        <w:p>
          <w:pPr>
            <w:pStyle w:val="Contents3"/>
            <w:tabs>
              <w:tab w:val="clear" w:pos="8459"/>
              <w:tab w:val="right" w:pos="9026" w:leader="dot"/>
            </w:tabs>
            <w:rPr/>
          </w:pPr>
          <w:hyperlink w:anchor="__RefHeading___Toc3283728_3650668749">
            <w:r>
              <w:rPr>
                <w:webHidden/>
                <w:rStyle w:val="IndexLink"/>
                <w:rtl w:val="true"/>
              </w:rPr>
              <w:t>تذكر چند نكته پيرامون اين رساله</w:t>
            </w:r>
            <w:r>
              <w:rPr>
                <w:rStyle w:val="IndexLink"/>
                <w:rtl w:val="true"/>
              </w:rPr>
              <w:tab/>
            </w:r>
            <w:r>
              <w:rPr>
                <w:rStyle w:val="IndexLink"/>
              </w:rPr>
              <w:t>11</w:t>
            </w:r>
          </w:hyperlink>
        </w:p>
        <w:p>
          <w:pPr>
            <w:pStyle w:val="Contents2"/>
            <w:tabs>
              <w:tab w:val="clear" w:pos="8743"/>
              <w:tab w:val="right" w:pos="9026" w:leader="dot"/>
            </w:tabs>
            <w:rPr/>
          </w:pPr>
          <w:hyperlink w:anchor="__RefHeading___Toc3283730_3650668749">
            <w:r>
              <w:rPr>
                <w:webHidden/>
                <w:rStyle w:val="IndexLink"/>
                <w:rtl w:val="true"/>
              </w:rPr>
              <w:t>[</w:t>
            </w:r>
            <w:r>
              <w:rPr>
                <w:rStyle w:val="IndexLink"/>
                <w:rtl w:val="true"/>
              </w:rPr>
              <w:t>متن</w:t>
            </w:r>
            <w:r>
              <w:rPr>
                <w:rStyle w:val="IndexLink"/>
                <w:rtl w:val="true"/>
              </w:rPr>
              <w:t xml:space="preserve">] </w:t>
            </w:r>
            <w:r>
              <w:rPr>
                <w:rStyle w:val="IndexLink"/>
                <w:rtl w:val="true"/>
              </w:rPr>
              <w:t>أسئلة و أجوبة فقهيّة</w:t>
            </w:r>
            <w:r>
              <w:rPr>
                <w:rStyle w:val="IndexLink"/>
                <w:rtl w:val="true"/>
              </w:rPr>
              <w:tab/>
            </w:r>
            <w:r>
              <w:rPr>
                <w:rStyle w:val="IndexLink"/>
              </w:rPr>
              <w:t>14</w:t>
            </w:r>
          </w:hyperlink>
        </w:p>
        <w:p>
          <w:pPr>
            <w:pStyle w:val="Contents3"/>
            <w:tabs>
              <w:tab w:val="clear" w:pos="8459"/>
              <w:tab w:val="right" w:pos="9026" w:leader="dot"/>
            </w:tabs>
            <w:rPr/>
          </w:pPr>
          <w:hyperlink w:anchor="__RefHeading___Toc3283732_3650668749">
            <w:r>
              <w:rPr>
                <w:webHidden/>
                <w:rStyle w:val="IndexLink"/>
                <w:rtl w:val="true"/>
              </w:rPr>
              <w:t xml:space="preserve">مسألة </w:t>
            </w:r>
            <w:r>
              <w:rPr>
                <w:rStyle w:val="IndexLink"/>
                <w:rtl w:val="true"/>
              </w:rPr>
              <w:t>[</w:t>
            </w:r>
            <w:r>
              <w:rPr>
                <w:rStyle w:val="IndexLink"/>
              </w:rPr>
              <w:t>1</w:t>
            </w:r>
            <w:r>
              <w:rPr>
                <w:rStyle w:val="IndexLink"/>
                <w:rtl w:val="true"/>
              </w:rPr>
              <w:t xml:space="preserve">] </w:t>
            </w:r>
            <w:r>
              <w:rPr>
                <w:rStyle w:val="IndexLink"/>
                <w:rtl w:val="true"/>
              </w:rPr>
              <w:t>آيا تصرفات وصى بدون إذن ناظر صحيح و نافذ است يا خير؟</w:t>
            </w:r>
            <w:r>
              <w:rPr>
                <w:rStyle w:val="IndexLink"/>
                <w:rtl w:val="true"/>
              </w:rPr>
              <w:tab/>
            </w:r>
            <w:r>
              <w:rPr>
                <w:rStyle w:val="IndexLink"/>
              </w:rPr>
              <w:t>14</w:t>
            </w:r>
          </w:hyperlink>
        </w:p>
        <w:p>
          <w:pPr>
            <w:pStyle w:val="Contents3"/>
            <w:tabs>
              <w:tab w:val="clear" w:pos="8459"/>
              <w:tab w:val="right" w:pos="9026" w:leader="dot"/>
            </w:tabs>
            <w:rPr/>
          </w:pPr>
          <w:hyperlink w:anchor="__RefHeading___Toc3283734_3650668749">
            <w:r>
              <w:rPr>
                <w:webHidden/>
                <w:rStyle w:val="IndexLink"/>
                <w:rtl w:val="true"/>
              </w:rPr>
              <w:t xml:space="preserve">مسألة </w:t>
            </w:r>
            <w:r>
              <w:rPr>
                <w:rStyle w:val="IndexLink"/>
                <w:rtl w:val="true"/>
              </w:rPr>
              <w:t>[</w:t>
            </w:r>
            <w:r>
              <w:rPr>
                <w:rStyle w:val="IndexLink"/>
              </w:rPr>
              <w:t>2</w:t>
            </w:r>
            <w:r>
              <w:rPr>
                <w:rStyle w:val="IndexLink"/>
                <w:rtl w:val="true"/>
              </w:rPr>
              <w:t xml:space="preserve">] </w:t>
            </w:r>
            <w:r>
              <w:rPr>
                <w:rStyle w:val="IndexLink"/>
                <w:rtl w:val="true"/>
              </w:rPr>
              <w:t>هرگاه زيد ملكى را بدون تصديق اهل خبره جاهلا بالقيمه بفروشد به قيمت معيّنى،</w:t>
            </w:r>
            <w:r>
              <w:rPr>
                <w:rStyle w:val="IndexLink"/>
                <w:rtl w:val="true"/>
              </w:rPr>
              <w:tab/>
            </w:r>
            <w:r>
              <w:rPr>
                <w:rStyle w:val="IndexLink"/>
              </w:rPr>
              <w:t>15</w:t>
            </w:r>
          </w:hyperlink>
        </w:p>
        <w:p>
          <w:pPr>
            <w:pStyle w:val="Contents3"/>
            <w:tabs>
              <w:tab w:val="clear" w:pos="8459"/>
              <w:tab w:val="right" w:pos="9026" w:leader="dot"/>
            </w:tabs>
            <w:rPr/>
          </w:pPr>
          <w:hyperlink w:anchor="__RefHeading___Toc3283736_3650668749">
            <w:r>
              <w:rPr>
                <w:webHidden/>
                <w:rStyle w:val="IndexLink"/>
                <w:rtl w:val="true"/>
              </w:rPr>
              <w:t xml:space="preserve">مسألة </w:t>
            </w:r>
            <w:r>
              <w:rPr>
                <w:rStyle w:val="IndexLink"/>
                <w:rtl w:val="true"/>
              </w:rPr>
              <w:t>[</w:t>
            </w:r>
            <w:r>
              <w:rPr>
                <w:rStyle w:val="IndexLink"/>
              </w:rPr>
              <w:t>3</w:t>
            </w:r>
            <w:r>
              <w:rPr>
                <w:rStyle w:val="IndexLink"/>
                <w:rtl w:val="true"/>
              </w:rPr>
              <w:t xml:space="preserve">] ... </w:t>
            </w:r>
            <w:r>
              <w:rPr>
                <w:rStyle w:val="IndexLink"/>
                <w:rtl w:val="true"/>
              </w:rPr>
              <w:t>چه مى‌فرماييد در اين مسأله كه ملكى تيول دو برادر بوده كه ديوان، ملكى را به آنها واگذار نموده،</w:t>
            </w:r>
            <w:r>
              <w:rPr>
                <w:rStyle w:val="IndexLink"/>
                <w:rtl w:val="true"/>
              </w:rPr>
              <w:tab/>
            </w:r>
            <w:r>
              <w:rPr>
                <w:rStyle w:val="IndexLink"/>
              </w:rPr>
              <w:t>17</w:t>
            </w:r>
          </w:hyperlink>
        </w:p>
        <w:p>
          <w:pPr>
            <w:pStyle w:val="Contents3"/>
            <w:tabs>
              <w:tab w:val="clear" w:pos="8459"/>
              <w:tab w:val="right" w:pos="9026" w:leader="dot"/>
            </w:tabs>
            <w:rPr/>
          </w:pPr>
          <w:hyperlink w:anchor="__RefHeading___Toc3283738_3650668749">
            <w:r>
              <w:rPr>
                <w:webHidden/>
                <w:rStyle w:val="IndexLink"/>
                <w:rtl w:val="true"/>
              </w:rPr>
              <w:t xml:space="preserve">مسألة </w:t>
            </w:r>
            <w:r>
              <w:rPr>
                <w:rStyle w:val="IndexLink"/>
                <w:rtl w:val="true"/>
              </w:rPr>
              <w:t>[</w:t>
            </w:r>
            <w:r>
              <w:rPr>
                <w:rStyle w:val="IndexLink"/>
              </w:rPr>
              <w:t>4</w:t>
            </w:r>
            <w:r>
              <w:rPr>
                <w:rStyle w:val="IndexLink"/>
                <w:rtl w:val="true"/>
              </w:rPr>
              <w:t xml:space="preserve">] </w:t>
            </w:r>
            <w:r>
              <w:rPr>
                <w:rStyle w:val="IndexLink"/>
                <w:rtl w:val="true"/>
              </w:rPr>
              <w:t>زيدى مايملكش را صلح مى‌كند به يكى از اولادش، مشروط به شرائطى،</w:t>
            </w:r>
            <w:r>
              <w:rPr>
                <w:rStyle w:val="IndexLink"/>
                <w:rtl w:val="true"/>
              </w:rPr>
              <w:tab/>
            </w:r>
            <w:r>
              <w:rPr>
                <w:rStyle w:val="IndexLink"/>
              </w:rPr>
              <w:t>19</w:t>
            </w:r>
          </w:hyperlink>
        </w:p>
        <w:p>
          <w:pPr>
            <w:pStyle w:val="Contents3"/>
            <w:tabs>
              <w:tab w:val="clear" w:pos="8459"/>
              <w:tab w:val="right" w:pos="9026" w:leader="dot"/>
            </w:tabs>
            <w:rPr/>
          </w:pPr>
          <w:hyperlink w:anchor="__RefHeading___Toc3283740_3650668749">
            <w:r>
              <w:rPr>
                <w:webHidden/>
                <w:rStyle w:val="IndexLink"/>
                <w:rtl w:val="true"/>
              </w:rPr>
              <w:t xml:space="preserve">مسألة </w:t>
            </w:r>
            <w:r>
              <w:rPr>
                <w:rStyle w:val="IndexLink"/>
                <w:rtl w:val="true"/>
              </w:rPr>
              <w:t>[</w:t>
            </w:r>
            <w:r>
              <w:rPr>
                <w:rStyle w:val="IndexLink"/>
              </w:rPr>
              <w:t>5</w:t>
            </w:r>
            <w:r>
              <w:rPr>
                <w:rStyle w:val="IndexLink"/>
                <w:rtl w:val="true"/>
              </w:rPr>
              <w:t>] [</w:t>
            </w:r>
            <w:r>
              <w:rPr>
                <w:rStyle w:val="IndexLink"/>
                <w:rtl w:val="true"/>
              </w:rPr>
              <w:t>سدهاى متعدّده روى رودخانه و مانع شدن از آمدن آب به پائين دست</w:t>
            </w:r>
            <w:r>
              <w:rPr>
                <w:rStyle w:val="IndexLink"/>
                <w:rtl w:val="true"/>
              </w:rPr>
              <w:t>]</w:t>
              <w:tab/>
            </w:r>
            <w:r>
              <w:rPr>
                <w:rStyle w:val="IndexLink"/>
              </w:rPr>
              <w:t>21</w:t>
            </w:r>
          </w:hyperlink>
        </w:p>
        <w:p>
          <w:pPr>
            <w:pStyle w:val="Contents3"/>
            <w:tabs>
              <w:tab w:val="clear" w:pos="8459"/>
              <w:tab w:val="right" w:pos="9026" w:leader="dot"/>
            </w:tabs>
            <w:rPr/>
          </w:pPr>
          <w:hyperlink w:anchor="__RefHeading___Toc3283742_3650668749">
            <w:r>
              <w:rPr>
                <w:webHidden/>
                <w:rStyle w:val="IndexLink"/>
                <w:rtl w:val="true"/>
              </w:rPr>
              <w:t xml:space="preserve">مسألة </w:t>
            </w:r>
            <w:r>
              <w:rPr>
                <w:rStyle w:val="IndexLink"/>
                <w:rtl w:val="true"/>
              </w:rPr>
              <w:t>[</w:t>
            </w:r>
            <w:r>
              <w:rPr>
                <w:rStyle w:val="IndexLink"/>
              </w:rPr>
              <w:t>6</w:t>
            </w:r>
            <w:r>
              <w:rPr>
                <w:rStyle w:val="IndexLink"/>
                <w:rtl w:val="true"/>
              </w:rPr>
              <w:t xml:space="preserve">] </w:t>
            </w:r>
            <w:r>
              <w:rPr>
                <w:rStyle w:val="IndexLink"/>
                <w:rtl w:val="true"/>
              </w:rPr>
              <w:t>مسأله</w:t>
            </w:r>
            <w:r>
              <w:rPr>
                <w:rStyle w:val="IndexLink"/>
                <w:rtl w:val="true"/>
              </w:rPr>
              <w:t xml:space="preserve">: </w:t>
            </w:r>
            <w:r>
              <w:rPr>
                <w:rStyle w:val="IndexLink"/>
                <w:rtl w:val="true"/>
              </w:rPr>
              <w:t>هرگاه ملكى وقف شود بر اولاد ذكور، و اتّفاق بيفتد انقراض آنها، و مقطوع الآخر باشد؛</w:t>
            </w:r>
            <w:r>
              <w:rPr>
                <w:rStyle w:val="IndexLink"/>
                <w:rtl w:val="true"/>
              </w:rPr>
              <w:tab/>
            </w:r>
            <w:r>
              <w:rPr>
                <w:rStyle w:val="IndexLink"/>
              </w:rPr>
              <w:t>22</w:t>
            </w:r>
          </w:hyperlink>
        </w:p>
        <w:p>
          <w:pPr>
            <w:pStyle w:val="Contents3"/>
            <w:tabs>
              <w:tab w:val="clear" w:pos="8459"/>
              <w:tab w:val="right" w:pos="9026" w:leader="dot"/>
            </w:tabs>
            <w:rPr/>
          </w:pPr>
          <w:hyperlink w:anchor="__RefHeading___Toc3283744_3650668749">
            <w:r>
              <w:rPr>
                <w:webHidden/>
                <w:rStyle w:val="IndexLink"/>
                <w:rtl w:val="true"/>
              </w:rPr>
              <w:t xml:space="preserve">مسألة </w:t>
            </w:r>
            <w:r>
              <w:rPr>
                <w:rStyle w:val="IndexLink"/>
                <w:rtl w:val="true"/>
              </w:rPr>
              <w:t>[</w:t>
            </w:r>
            <w:r>
              <w:rPr>
                <w:rStyle w:val="IndexLink"/>
              </w:rPr>
              <w:t>7</w:t>
            </w:r>
            <w:r>
              <w:rPr>
                <w:rStyle w:val="IndexLink"/>
                <w:rtl w:val="true"/>
              </w:rPr>
              <w:t xml:space="preserve">] </w:t>
            </w:r>
            <w:r>
              <w:rPr>
                <w:rStyle w:val="IndexLink"/>
                <w:rtl w:val="true"/>
              </w:rPr>
              <w:t>زيدى فوت شده پدر و مادر دارد، و لكن پدرش بابى است؛ چنين پدرى إرث مى‌برد يا خير؟</w:t>
            </w:r>
            <w:r>
              <w:rPr>
                <w:rStyle w:val="IndexLink"/>
                <w:rtl w:val="true"/>
              </w:rPr>
              <w:tab/>
            </w:r>
            <w:r>
              <w:rPr>
                <w:rStyle w:val="IndexLink"/>
              </w:rPr>
              <w:t>24</w:t>
            </w:r>
          </w:hyperlink>
        </w:p>
        <w:p>
          <w:pPr>
            <w:pStyle w:val="Contents3"/>
            <w:tabs>
              <w:tab w:val="clear" w:pos="8459"/>
              <w:tab w:val="right" w:pos="9026" w:leader="dot"/>
            </w:tabs>
            <w:rPr/>
          </w:pPr>
          <w:hyperlink w:anchor="__RefHeading___Toc3283746_3650668749">
            <w:r>
              <w:rPr>
                <w:webHidden/>
                <w:rStyle w:val="IndexLink"/>
                <w:rtl w:val="true"/>
              </w:rPr>
              <w:t xml:space="preserve">مسألة </w:t>
            </w:r>
            <w:r>
              <w:rPr>
                <w:rStyle w:val="IndexLink"/>
                <w:rtl w:val="true"/>
              </w:rPr>
              <w:t>[</w:t>
            </w:r>
            <w:r>
              <w:rPr>
                <w:rStyle w:val="IndexLink"/>
              </w:rPr>
              <w:t>8</w:t>
            </w:r>
            <w:r>
              <w:rPr>
                <w:rStyle w:val="IndexLink"/>
                <w:rtl w:val="true"/>
              </w:rPr>
              <w:t xml:space="preserve">] </w:t>
            </w:r>
            <w:r>
              <w:rPr>
                <w:rStyle w:val="IndexLink"/>
                <w:rtl w:val="true"/>
              </w:rPr>
              <w:t>زيدى است پنج شش سال است رفته، و مفقود الخبر شده أوّلا بفرمائيد تكليف زوجه او چيست؟ و ثانيا اموال او را بايد چه كسى تصرّف كند؟</w:t>
            </w:r>
            <w:r>
              <w:rPr>
                <w:rStyle w:val="IndexLink"/>
                <w:rtl w:val="true"/>
              </w:rPr>
              <w:tab/>
            </w:r>
            <w:r>
              <w:rPr>
                <w:rStyle w:val="IndexLink"/>
              </w:rPr>
              <w:t>24</w:t>
            </w:r>
          </w:hyperlink>
        </w:p>
        <w:p>
          <w:pPr>
            <w:pStyle w:val="Contents3"/>
            <w:tabs>
              <w:tab w:val="clear" w:pos="8459"/>
              <w:tab w:val="right" w:pos="9026" w:leader="dot"/>
            </w:tabs>
            <w:rPr/>
          </w:pPr>
          <w:hyperlink w:anchor="__RefHeading___Toc3283748_3650668749">
            <w:r>
              <w:rPr>
                <w:webHidden/>
                <w:rStyle w:val="IndexLink"/>
                <w:rtl w:val="true"/>
              </w:rPr>
              <w:t xml:space="preserve">مسألة </w:t>
            </w:r>
            <w:r>
              <w:rPr>
                <w:rStyle w:val="IndexLink"/>
                <w:rtl w:val="true"/>
              </w:rPr>
              <w:t>[</w:t>
            </w:r>
            <w:r>
              <w:rPr>
                <w:rStyle w:val="IndexLink"/>
              </w:rPr>
              <w:t>9</w:t>
            </w:r>
            <w:r>
              <w:rPr>
                <w:rStyle w:val="IndexLink"/>
                <w:rtl w:val="true"/>
              </w:rPr>
              <w:t xml:space="preserve">] </w:t>
            </w:r>
            <w:r>
              <w:rPr>
                <w:rStyle w:val="IndexLink"/>
                <w:rtl w:val="true"/>
              </w:rPr>
              <w:t>حجة الإسلاما</w:t>
            </w:r>
            <w:r>
              <w:rPr>
                <w:rStyle w:val="IndexLink"/>
                <w:rtl w:val="true"/>
              </w:rPr>
              <w:t xml:space="preserve">- </w:t>
            </w:r>
            <w:r>
              <w:rPr>
                <w:rStyle w:val="IndexLink"/>
                <w:rtl w:val="true"/>
              </w:rPr>
              <w:t>أدام اللّه ظلّكم</w:t>
            </w:r>
            <w:r>
              <w:rPr>
                <w:rStyle w:val="IndexLink"/>
                <w:rtl w:val="true"/>
              </w:rPr>
              <w:t xml:space="preserve">- </w:t>
            </w:r>
            <w:r>
              <w:rPr>
                <w:rStyle w:val="IndexLink"/>
                <w:rtl w:val="true"/>
              </w:rPr>
              <w:t>چه مى‌فرماييد در اين مسأله</w:t>
            </w:r>
            <w:r>
              <w:rPr>
                <w:rStyle w:val="IndexLink"/>
                <w:rtl w:val="true"/>
              </w:rPr>
              <w:t xml:space="preserve">: </w:t>
            </w:r>
            <w:r>
              <w:rPr>
                <w:rStyle w:val="IndexLink"/>
                <w:rtl w:val="true"/>
              </w:rPr>
              <w:t>هرگاه زيدى پسرى و دخترى دارد، هر دو فوت شده‌اند،</w:t>
            </w:r>
            <w:r>
              <w:rPr>
                <w:rStyle w:val="IndexLink"/>
                <w:rtl w:val="true"/>
              </w:rPr>
              <w:tab/>
            </w:r>
            <w:r>
              <w:rPr>
                <w:rStyle w:val="IndexLink"/>
              </w:rPr>
              <w:t>27</w:t>
            </w:r>
          </w:hyperlink>
        </w:p>
        <w:p>
          <w:pPr>
            <w:pStyle w:val="Contents3"/>
            <w:tabs>
              <w:tab w:val="clear" w:pos="8459"/>
              <w:tab w:val="right" w:pos="9026" w:leader="dot"/>
            </w:tabs>
            <w:rPr/>
          </w:pPr>
          <w:hyperlink w:anchor="__RefHeading___Toc3283750_3650668749">
            <w:r>
              <w:rPr>
                <w:webHidden/>
                <w:rStyle w:val="IndexLink"/>
                <w:rtl w:val="true"/>
              </w:rPr>
              <w:t xml:space="preserve">مسألة </w:t>
            </w:r>
            <w:r>
              <w:rPr>
                <w:rStyle w:val="IndexLink"/>
                <w:rtl w:val="true"/>
              </w:rPr>
              <w:t>[</w:t>
            </w:r>
            <w:r>
              <w:rPr>
                <w:rStyle w:val="IndexLink"/>
              </w:rPr>
              <w:t>10</w:t>
            </w:r>
            <w:r>
              <w:rPr>
                <w:rStyle w:val="IndexLink"/>
                <w:rtl w:val="true"/>
              </w:rPr>
              <w:t xml:space="preserve">] </w:t>
            </w:r>
            <w:r>
              <w:rPr>
                <w:rStyle w:val="IndexLink"/>
                <w:rtl w:val="true"/>
              </w:rPr>
              <w:t>هرگاه پشت ديوار باغى را شخصى به عنوان حريم باغ و ديوارش، اشجارى غرس نموده باشد؛ و معبر هم مى‌باشد،</w:t>
            </w:r>
            <w:r>
              <w:rPr>
                <w:rStyle w:val="IndexLink"/>
                <w:rtl w:val="true"/>
              </w:rPr>
              <w:tab/>
            </w:r>
            <w:r>
              <w:rPr>
                <w:rStyle w:val="IndexLink"/>
              </w:rPr>
              <w:t>33</w:t>
            </w:r>
          </w:hyperlink>
        </w:p>
        <w:p>
          <w:pPr>
            <w:pStyle w:val="Contents3"/>
            <w:tabs>
              <w:tab w:val="clear" w:pos="8459"/>
              <w:tab w:val="right" w:pos="9026" w:leader="dot"/>
            </w:tabs>
            <w:rPr/>
          </w:pPr>
          <w:hyperlink w:anchor="__RefHeading___Toc3283752_3650668749">
            <w:r>
              <w:rPr>
                <w:webHidden/>
                <w:rStyle w:val="IndexLink"/>
                <w:rtl w:val="true"/>
              </w:rPr>
              <w:t xml:space="preserve">مسألة </w:t>
            </w:r>
            <w:r>
              <w:rPr>
                <w:rStyle w:val="IndexLink"/>
                <w:rtl w:val="true"/>
              </w:rPr>
              <w:t>[</w:t>
            </w:r>
            <w:r>
              <w:rPr>
                <w:rStyle w:val="IndexLink"/>
              </w:rPr>
              <w:t>11</w:t>
            </w:r>
            <w:r>
              <w:rPr>
                <w:rStyle w:val="IndexLink"/>
                <w:rtl w:val="true"/>
              </w:rPr>
              <w:t xml:space="preserve">] </w:t>
            </w:r>
            <w:r>
              <w:rPr>
                <w:rStyle w:val="IndexLink"/>
                <w:rtl w:val="true"/>
              </w:rPr>
              <w:t>هرگاه در حال نزول مطر از آسمان، بدن يا لباس شخصى، با بدن سگى ملاقات كند؛</w:t>
            </w:r>
            <w:r>
              <w:rPr>
                <w:rStyle w:val="IndexLink"/>
                <w:rtl w:val="true"/>
              </w:rPr>
              <w:tab/>
            </w:r>
            <w:r>
              <w:rPr>
                <w:rStyle w:val="IndexLink"/>
              </w:rPr>
              <w:t>35</w:t>
            </w:r>
          </w:hyperlink>
        </w:p>
        <w:p>
          <w:pPr>
            <w:pStyle w:val="Contents4"/>
            <w:tabs>
              <w:tab w:val="clear" w:pos="8176"/>
              <w:tab w:val="right" w:pos="9026" w:leader="dot"/>
            </w:tabs>
            <w:rPr/>
          </w:pPr>
          <w:hyperlink w:anchor="__RefHeading___Toc3283754_3650668749">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3283756_3650668749">
            <w:r>
              <w:rPr>
                <w:webHidden/>
                <w:rStyle w:val="IndexLink"/>
                <w:rtl w:val="true"/>
              </w:rPr>
              <w:t>[</w:t>
            </w:r>
            <w:r>
              <w:rPr>
                <w:rStyle w:val="IndexLink"/>
                <w:rtl w:val="true"/>
              </w:rPr>
              <w:t>مقدمة در طهارت و مطهريّت آب نازل از سماء، چند قول است</w:t>
            </w:r>
            <w:r>
              <w:rPr>
                <w:rStyle w:val="IndexLink"/>
                <w:rtl w:val="true"/>
              </w:rPr>
              <w:t>]</w:t>
              <w:tab/>
            </w:r>
            <w:r>
              <w:rPr>
                <w:rStyle w:val="IndexLink"/>
              </w:rPr>
              <w:t>35</w:t>
            </w:r>
          </w:hyperlink>
        </w:p>
        <w:p>
          <w:pPr>
            <w:pStyle w:val="Contents4"/>
            <w:tabs>
              <w:tab w:val="clear" w:pos="8176"/>
              <w:tab w:val="right" w:pos="9026" w:leader="dot"/>
            </w:tabs>
            <w:rPr/>
          </w:pPr>
          <w:hyperlink w:anchor="__RefHeading___Toc3283758_3650668749">
            <w:r>
              <w:rPr>
                <w:webHidden/>
                <w:rStyle w:val="IndexLink"/>
                <w:rtl w:val="true"/>
              </w:rPr>
              <w:t>ثمّ التقدير</w:t>
            </w:r>
            <w:r>
              <w:rPr>
                <w:rStyle w:val="IndexLink"/>
                <w:rtl w:val="true"/>
              </w:rPr>
              <w:t xml:space="preserve">: </w:t>
            </w:r>
            <w:r>
              <w:rPr>
                <w:rStyle w:val="IndexLink"/>
                <w:rtl w:val="true"/>
              </w:rPr>
              <w:t>إمّا أن يلاحظ في الماء خاصّة أو فيه و في الأرض أيضا</w:t>
            </w:r>
            <w:r>
              <w:rPr>
                <w:rStyle w:val="IndexLink"/>
                <w:rtl w:val="true"/>
              </w:rPr>
              <w:tab/>
            </w:r>
            <w:r>
              <w:rPr>
                <w:rStyle w:val="IndexLink"/>
              </w:rPr>
              <w:t>37</w:t>
            </w:r>
          </w:hyperlink>
        </w:p>
        <w:p>
          <w:pPr>
            <w:pStyle w:val="Contents5"/>
            <w:tabs>
              <w:tab w:val="clear" w:pos="7892"/>
              <w:tab w:val="right" w:pos="9026" w:leader="dot"/>
            </w:tabs>
            <w:rPr/>
          </w:pPr>
          <w:hyperlink w:anchor="__RefHeading___Toc3283760_3650668749">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3283762_3650668749">
            <w:r>
              <w:rPr>
                <w:webHidden/>
                <w:rStyle w:val="IndexLink"/>
                <w:rtl w:val="true"/>
              </w:rPr>
              <w:t>[</w:t>
            </w:r>
            <w:r>
              <w:rPr>
                <w:rStyle w:val="IndexLink"/>
                <w:rtl w:val="true"/>
              </w:rPr>
              <w:t>أخبار المسألة</w:t>
            </w:r>
            <w:r>
              <w:rPr>
                <w:rStyle w:val="IndexLink"/>
                <w:rtl w:val="true"/>
              </w:rPr>
              <w:t>]</w:t>
              <w:tab/>
            </w:r>
            <w:r>
              <w:rPr>
                <w:rStyle w:val="IndexLink"/>
              </w:rPr>
              <w:t>37</w:t>
            </w:r>
          </w:hyperlink>
        </w:p>
        <w:p>
          <w:pPr>
            <w:pStyle w:val="Contents5"/>
            <w:tabs>
              <w:tab w:val="clear" w:pos="7892"/>
              <w:tab w:val="right" w:pos="9026" w:leader="dot"/>
            </w:tabs>
            <w:rPr/>
          </w:pPr>
          <w:hyperlink w:anchor="__RefHeading___Toc3283764_3650668749">
            <w:r>
              <w:rPr>
                <w:webHidden/>
                <w:rStyle w:val="IndexLink"/>
                <w:rtl w:val="true"/>
              </w:rPr>
              <w:t>[</w:t>
            </w:r>
            <w:r>
              <w:rPr>
                <w:rStyle w:val="IndexLink"/>
                <w:rtl w:val="true"/>
              </w:rPr>
              <w:t>الجواب عن الأخبار</w:t>
            </w:r>
            <w:r>
              <w:rPr>
                <w:rStyle w:val="IndexLink"/>
                <w:rtl w:val="true"/>
              </w:rPr>
              <w:t>]</w:t>
              <w:tab/>
            </w:r>
            <w:r>
              <w:rPr>
                <w:rStyle w:val="IndexLink"/>
              </w:rPr>
              <w:t>39</w:t>
            </w:r>
          </w:hyperlink>
        </w:p>
        <w:p>
          <w:pPr>
            <w:pStyle w:val="Contents5"/>
            <w:tabs>
              <w:tab w:val="clear" w:pos="7892"/>
              <w:tab w:val="right" w:pos="9026" w:leader="dot"/>
            </w:tabs>
            <w:rPr/>
          </w:pPr>
          <w:hyperlink w:anchor="__RefHeading___Toc3283766_3650668749">
            <w:r>
              <w:rPr>
                <w:webHidden/>
                <w:rStyle w:val="IndexLink"/>
                <w:rtl w:val="true"/>
              </w:rPr>
              <w:t>بقي الكلام في مستند من قال باعتبار الكثرة</w:t>
            </w:r>
            <w:r>
              <w:rPr>
                <w:rStyle w:val="IndexLink"/>
                <w:rtl w:val="true"/>
              </w:rPr>
              <w:tab/>
            </w:r>
            <w:r>
              <w:rPr>
                <w:rStyle w:val="IndexLink"/>
              </w:rPr>
              <w:t>43</w:t>
            </w:r>
          </w:hyperlink>
        </w:p>
        <w:p>
          <w:pPr>
            <w:pStyle w:val="Contents5"/>
            <w:tabs>
              <w:tab w:val="clear" w:pos="7892"/>
              <w:tab w:val="right" w:pos="9026" w:leader="dot"/>
            </w:tabs>
            <w:rPr/>
          </w:pPr>
          <w:hyperlink w:anchor="__RefHeading___Toc3283768_3650668749">
            <w:r>
              <w:rPr>
                <w:webHidden/>
                <w:rStyle w:val="IndexLink"/>
                <w:rtl w:val="true"/>
              </w:rPr>
              <w:t>إذا عرفت ذلك فهاهنا مقامات</w:t>
            </w:r>
            <w:r>
              <w:rPr>
                <w:rStyle w:val="IndexLink"/>
                <w:rtl w:val="true"/>
              </w:rPr>
              <w:tab/>
            </w:r>
            <w:r>
              <w:rPr>
                <w:rStyle w:val="IndexLink"/>
              </w:rPr>
              <w:t>44</w:t>
            </w:r>
          </w:hyperlink>
        </w:p>
        <w:p>
          <w:pPr>
            <w:pStyle w:val="Contents6"/>
            <w:tabs>
              <w:tab w:val="clear" w:pos="7609"/>
              <w:tab w:val="right" w:pos="9026" w:leader="dot"/>
            </w:tabs>
            <w:rPr/>
          </w:pPr>
          <w:hyperlink w:anchor="__RefHeading___Toc3283770_3650668749">
            <w:r>
              <w:rPr>
                <w:webHidden/>
                <w:rStyle w:val="IndexLink"/>
                <w:rtl w:val="true"/>
              </w:rPr>
              <w:t>المقام الأوّل</w:t>
            </w:r>
            <w:r>
              <w:rPr>
                <w:rStyle w:val="IndexLink"/>
                <w:rtl w:val="true"/>
              </w:rPr>
              <w:t xml:space="preserve">: </w:t>
            </w:r>
            <w:r>
              <w:rPr>
                <w:rStyle w:val="IndexLink"/>
                <w:rtl w:val="true"/>
              </w:rPr>
              <w:t>هل يعتبر في طهر الماء النجس بماء الغيث المزج أم لا؟</w:t>
            </w:r>
            <w:r>
              <w:rPr>
                <w:rStyle w:val="IndexLink"/>
                <w:rtl w:val="true"/>
              </w:rPr>
              <w:tab/>
            </w:r>
            <w:r>
              <w:rPr>
                <w:rStyle w:val="IndexLink"/>
              </w:rPr>
              <w:t>44</w:t>
            </w:r>
          </w:hyperlink>
        </w:p>
        <w:p>
          <w:pPr>
            <w:pStyle w:val="Contents6"/>
            <w:tabs>
              <w:tab w:val="clear" w:pos="7609"/>
              <w:tab w:val="right" w:pos="9026" w:leader="dot"/>
            </w:tabs>
            <w:rPr/>
          </w:pPr>
          <w:hyperlink w:anchor="__RefHeading___Toc3283772_3650668749">
            <w:r>
              <w:rPr>
                <w:webHidden/>
                <w:rStyle w:val="IndexLink"/>
                <w:rtl w:val="true"/>
              </w:rPr>
              <w:t>المقام الثّاني</w:t>
            </w:r>
            <w:r>
              <w:rPr>
                <w:rStyle w:val="IndexLink"/>
                <w:rtl w:val="true"/>
              </w:rPr>
              <w:t xml:space="preserve">: </w:t>
            </w:r>
            <w:r>
              <w:rPr>
                <w:rStyle w:val="IndexLink"/>
                <w:rtl w:val="true"/>
              </w:rPr>
              <w:t>أنّ ماء الغيث متى بلغ مرتبة عدم الانفعال من الفضل و القوّة</w:t>
            </w:r>
            <w:r>
              <w:rPr>
                <w:rStyle w:val="IndexLink"/>
                <w:rtl w:val="true"/>
              </w:rPr>
              <w:tab/>
            </w:r>
            <w:r>
              <w:rPr>
                <w:rStyle w:val="IndexLink"/>
              </w:rPr>
              <w:t>45</w:t>
            </w:r>
          </w:hyperlink>
        </w:p>
        <w:p>
          <w:pPr>
            <w:pStyle w:val="Contents6"/>
            <w:tabs>
              <w:tab w:val="clear" w:pos="7609"/>
              <w:tab w:val="right" w:pos="9026" w:leader="dot"/>
            </w:tabs>
            <w:rPr/>
          </w:pPr>
          <w:hyperlink w:anchor="__RefHeading___Toc3283774_3650668749">
            <w:r>
              <w:rPr>
                <w:webHidden/>
                <w:rStyle w:val="IndexLink"/>
                <w:rtl w:val="true"/>
              </w:rPr>
              <w:t>المقام الثالث</w:t>
            </w:r>
            <w:r>
              <w:rPr>
                <w:rStyle w:val="IndexLink"/>
                <w:rtl w:val="true"/>
              </w:rPr>
              <w:t xml:space="preserve">: </w:t>
            </w:r>
            <w:r>
              <w:rPr>
                <w:rStyle w:val="IndexLink"/>
                <w:rtl w:val="true"/>
              </w:rPr>
              <w:t>أنّ ماء الغيث الثابت له حكم الجاري هل هو النّازل من السماء</w:t>
            </w:r>
            <w:r>
              <w:rPr>
                <w:rStyle w:val="IndexLink"/>
                <w:rtl w:val="true"/>
              </w:rPr>
              <w:tab/>
            </w:r>
            <w:r>
              <w:rPr>
                <w:rStyle w:val="IndexLink"/>
              </w:rPr>
              <w:t>47</w:t>
            </w:r>
          </w:hyperlink>
        </w:p>
        <w:p>
          <w:pPr>
            <w:pStyle w:val="Contents6"/>
            <w:tabs>
              <w:tab w:val="clear" w:pos="7609"/>
              <w:tab w:val="right" w:pos="9026" w:leader="dot"/>
            </w:tabs>
            <w:rPr/>
          </w:pPr>
          <w:hyperlink w:anchor="__RefHeading___Toc3283776_3650668749">
            <w:r>
              <w:rPr>
                <w:webHidden/>
                <w:rStyle w:val="IndexLink"/>
                <w:rtl w:val="true"/>
              </w:rPr>
              <w:t>المقام الرابع</w:t>
            </w:r>
            <w:r>
              <w:rPr>
                <w:rStyle w:val="IndexLink"/>
                <w:rtl w:val="true"/>
              </w:rPr>
              <w:t xml:space="preserve">: </w:t>
            </w:r>
            <w:r>
              <w:rPr>
                <w:rStyle w:val="IndexLink"/>
                <w:rtl w:val="true"/>
              </w:rPr>
              <w:t>قد ظهر بما ذكرنا أنّ القطرة و القطرات من الماء البالغ حدّ الغيث بعد قرارها على جسم إذا وقعت على جسم آخر</w:t>
            </w:r>
            <w:r>
              <w:rPr>
                <w:rStyle w:val="IndexLink"/>
                <w:rtl w:val="true"/>
              </w:rPr>
              <w:tab/>
            </w:r>
            <w:r>
              <w:rPr>
                <w:rStyle w:val="IndexLink"/>
              </w:rPr>
              <w:t>49</w:t>
            </w:r>
          </w:hyperlink>
        </w:p>
        <w:p>
          <w:pPr>
            <w:pStyle w:val="Contents6"/>
            <w:tabs>
              <w:tab w:val="clear" w:pos="7609"/>
              <w:tab w:val="right" w:pos="9026" w:leader="dot"/>
            </w:tabs>
            <w:rPr/>
          </w:pPr>
          <w:hyperlink w:anchor="__RefHeading___Toc3283778_3650668749">
            <w:r>
              <w:rPr>
                <w:webHidden/>
                <w:rStyle w:val="IndexLink"/>
                <w:rtl w:val="true"/>
              </w:rPr>
              <w:t>المقام الخامس</w:t>
            </w:r>
            <w:r>
              <w:rPr>
                <w:rStyle w:val="IndexLink"/>
                <w:rtl w:val="true"/>
              </w:rPr>
              <w:t xml:space="preserve">: </w:t>
            </w:r>
            <w:r>
              <w:rPr>
                <w:rStyle w:val="IndexLink"/>
                <w:rtl w:val="true"/>
              </w:rPr>
              <w:t>إذا نزل المطر على سقف من طين و نحوه، و رسب الماء فى أعماقه</w:t>
            </w:r>
            <w:r>
              <w:rPr>
                <w:rStyle w:val="IndexLink"/>
                <w:rtl w:val="true"/>
              </w:rPr>
              <w:tab/>
            </w:r>
            <w:r>
              <w:rPr>
                <w:rStyle w:val="IndexLink"/>
              </w:rPr>
              <w:t>50</w:t>
            </w:r>
          </w:hyperlink>
        </w:p>
        <w:p>
          <w:pPr>
            <w:pStyle w:val="Contents6"/>
            <w:tabs>
              <w:tab w:val="clear" w:pos="7609"/>
              <w:tab w:val="right" w:pos="9026" w:leader="dot"/>
            </w:tabs>
            <w:rPr/>
          </w:pPr>
          <w:hyperlink w:anchor="__RefHeading___Toc3283780_3650668749">
            <w:r>
              <w:rPr>
                <w:webHidden/>
                <w:rStyle w:val="IndexLink"/>
                <w:rtl w:val="true"/>
              </w:rPr>
              <w:t>المقام السادس</w:t>
            </w:r>
            <w:r>
              <w:rPr>
                <w:rStyle w:val="IndexLink"/>
                <w:rtl w:val="true"/>
              </w:rPr>
              <w:t xml:space="preserve">: </w:t>
            </w:r>
            <w:r>
              <w:rPr>
                <w:rStyle w:val="IndexLink"/>
                <w:rtl w:val="true"/>
              </w:rPr>
              <w:t>ما إذا وقع المطر على جسم فمسّ حال نزوله جسما مسّا لا قرار معه أصلا فوقع بعد المسّ على متنجّس،</w:t>
            </w:r>
            <w:r>
              <w:rPr>
                <w:rStyle w:val="IndexLink"/>
                <w:rtl w:val="true"/>
              </w:rPr>
              <w:tab/>
            </w:r>
            <w:r>
              <w:rPr>
                <w:rStyle w:val="IndexLink"/>
              </w:rPr>
              <w:t>50</w:t>
            </w:r>
          </w:hyperlink>
        </w:p>
        <w:p>
          <w:pPr>
            <w:pStyle w:val="Contents6"/>
            <w:tabs>
              <w:tab w:val="clear" w:pos="7609"/>
              <w:tab w:val="right" w:pos="9026" w:leader="dot"/>
            </w:tabs>
            <w:rPr/>
          </w:pPr>
          <w:hyperlink w:anchor="__RefHeading___Toc3283782_3650668749">
            <w:r>
              <w:rPr>
                <w:webHidden/>
                <w:rStyle w:val="IndexLink"/>
                <w:rtl w:val="true"/>
              </w:rPr>
              <w:t>المقام السابع</w:t>
            </w:r>
            <w:r>
              <w:rPr>
                <w:rStyle w:val="IndexLink"/>
                <w:rtl w:val="true"/>
              </w:rPr>
              <w:t xml:space="preserve">: </w:t>
            </w:r>
            <w:r>
              <w:rPr>
                <w:rStyle w:val="IndexLink"/>
                <w:rtl w:val="true"/>
              </w:rPr>
              <w:t>لا يفرق في حكم ماء الغيث و وروده على المتنجّس في الطهر به أو ورود المتنجّس عليه،</w:t>
            </w:r>
            <w:r>
              <w:rPr>
                <w:rStyle w:val="IndexLink"/>
                <w:rtl w:val="true"/>
              </w:rPr>
              <w:tab/>
            </w:r>
            <w:r>
              <w:rPr>
                <w:rStyle w:val="IndexLink"/>
              </w:rPr>
              <w:t>51</w:t>
            </w:r>
          </w:hyperlink>
        </w:p>
        <w:p>
          <w:pPr>
            <w:pStyle w:val="Contents6"/>
            <w:tabs>
              <w:tab w:val="clear" w:pos="7609"/>
              <w:tab w:val="right" w:pos="9026" w:leader="dot"/>
            </w:tabs>
            <w:rPr/>
          </w:pPr>
          <w:hyperlink w:anchor="__RefHeading___Toc3283784_3650668749">
            <w:r>
              <w:rPr>
                <w:webHidden/>
                <w:rStyle w:val="IndexLink"/>
                <w:rtl w:val="true"/>
              </w:rPr>
              <w:t>المقام الثامن</w:t>
            </w:r>
            <w:r>
              <w:rPr>
                <w:rStyle w:val="IndexLink"/>
                <w:rtl w:val="true"/>
              </w:rPr>
              <w:t xml:space="preserve">: </w:t>
            </w:r>
            <w:r>
              <w:rPr>
                <w:rStyle w:val="IndexLink"/>
                <w:rtl w:val="true"/>
              </w:rPr>
              <w:t xml:space="preserve">قال في كشف الغطاء </w:t>
            </w:r>
            <w:r>
              <w:rPr>
                <w:rStyle w:val="IndexLink"/>
                <w:rtl w:val="true"/>
              </w:rPr>
              <w:t>«</w:t>
            </w:r>
            <w:r>
              <w:rPr>
                <w:rStyle w:val="IndexLink"/>
                <w:rtl w:val="true"/>
              </w:rPr>
              <w:t>و لو ترشّح ماء ممّا يقع على نجاسة العين مع بقاء التقاطر فلا بأس له</w:t>
            </w:r>
            <w:r>
              <w:rPr>
                <w:rStyle w:val="IndexLink"/>
                <w:rtl w:val="true"/>
              </w:rPr>
              <w:t>»</w:t>
              <w:tab/>
            </w:r>
            <w:r>
              <w:rPr>
                <w:rStyle w:val="IndexLink"/>
              </w:rPr>
              <w:t>51</w:t>
            </w:r>
          </w:hyperlink>
        </w:p>
        <w:p>
          <w:pPr>
            <w:pStyle w:val="Contents6"/>
            <w:tabs>
              <w:tab w:val="clear" w:pos="7609"/>
              <w:tab w:val="right" w:pos="9026" w:leader="dot"/>
            </w:tabs>
            <w:rPr/>
          </w:pPr>
          <w:hyperlink w:anchor="__RefHeading___Toc3283786_3650668749">
            <w:r>
              <w:rPr>
                <w:webHidden/>
                <w:rStyle w:val="IndexLink"/>
                <w:rtl w:val="true"/>
              </w:rPr>
              <w:t>المقام التاسع</w:t>
            </w:r>
            <w:r>
              <w:rPr>
                <w:rStyle w:val="IndexLink"/>
                <w:rtl w:val="true"/>
              </w:rPr>
              <w:t xml:space="preserve">: </w:t>
            </w:r>
            <w:r>
              <w:rPr>
                <w:rStyle w:val="IndexLink"/>
                <w:rtl w:val="true"/>
              </w:rPr>
              <w:t>إذا وقعت الملاقات بين الشخص و الماء النجس المتّصل بالماء الذي ورد عليه القطرة أو القطرات،</w:t>
            </w:r>
            <w:r>
              <w:rPr>
                <w:rStyle w:val="IndexLink"/>
                <w:rtl w:val="true"/>
              </w:rPr>
              <w:tab/>
            </w:r>
            <w:r>
              <w:rPr>
                <w:rStyle w:val="IndexLink"/>
              </w:rPr>
              <w:t>52</w:t>
            </w:r>
          </w:hyperlink>
        </w:p>
        <w:p>
          <w:pPr>
            <w:pStyle w:val="Contents6"/>
            <w:tabs>
              <w:tab w:val="clear" w:pos="7609"/>
              <w:tab w:val="right" w:pos="9026" w:leader="dot"/>
            </w:tabs>
            <w:rPr/>
          </w:pPr>
          <w:hyperlink w:anchor="__RefHeading___Toc3283788_3650668749">
            <w:r>
              <w:rPr>
                <w:webHidden/>
                <w:rStyle w:val="IndexLink"/>
                <w:rtl w:val="true"/>
              </w:rPr>
              <w:t>المقام العاشر</w:t>
            </w:r>
            <w:r>
              <w:rPr>
                <w:rStyle w:val="IndexLink"/>
                <w:rtl w:val="true"/>
              </w:rPr>
              <w:t xml:space="preserve">: </w:t>
            </w:r>
            <w:r>
              <w:rPr>
                <w:rStyle w:val="IndexLink"/>
                <w:rtl w:val="true"/>
              </w:rPr>
              <w:t>فيما إذا وقعت الملاقات بينه و بين نجس العين</w:t>
            </w:r>
            <w:r>
              <w:rPr>
                <w:rStyle w:val="IndexLink"/>
                <w:rtl w:val="true"/>
              </w:rPr>
              <w:tab/>
            </w:r>
            <w:r>
              <w:rPr>
                <w:rStyle w:val="IndexLink"/>
              </w:rPr>
              <w:t>52</w:t>
            </w:r>
          </w:hyperlink>
        </w:p>
        <w:p>
          <w:pPr>
            <w:pStyle w:val="Contents5"/>
            <w:tabs>
              <w:tab w:val="clear" w:pos="7892"/>
              <w:tab w:val="right" w:pos="9026" w:leader="dot"/>
            </w:tabs>
            <w:rPr/>
          </w:pPr>
          <w:hyperlink w:anchor="__RefHeading___Toc3283790_3650668749">
            <w:r>
              <w:rPr>
                <w:webHidden/>
                <w:rStyle w:val="IndexLink"/>
                <w:rtl w:val="true"/>
              </w:rPr>
              <w:t>تتميم</w:t>
            </w:r>
            <w:r>
              <w:rPr>
                <w:rStyle w:val="IndexLink"/>
                <w:rtl w:val="true"/>
              </w:rPr>
              <w:t xml:space="preserve">: </w:t>
            </w:r>
            <w:r>
              <w:rPr>
                <w:rStyle w:val="IndexLink"/>
                <w:rtl w:val="true"/>
              </w:rPr>
              <w:t xml:space="preserve">لو شكّ في الماء المترشّح أنّه من ظهر الكلب أو بطنه، متّصلا أو غير </w:t>
            </w:r>
            <w:r>
              <w:rPr>
                <w:rStyle w:val="IndexLink"/>
                <w:rtl w:val="true"/>
              </w:rPr>
              <w:t>[</w:t>
            </w:r>
            <w:r>
              <w:rPr>
                <w:rStyle w:val="IndexLink"/>
                <w:rtl w:val="true"/>
              </w:rPr>
              <w:t>متصل</w:t>
            </w:r>
            <w:r>
              <w:rPr>
                <w:rStyle w:val="IndexLink"/>
                <w:rtl w:val="true"/>
              </w:rPr>
              <w:t>]</w:t>
            </w:r>
            <w:r>
              <w:rPr>
                <w:rStyle w:val="IndexLink"/>
                <w:rtl w:val="true"/>
              </w:rPr>
              <w:t>،</w:t>
            </w:r>
            <w:r>
              <w:rPr>
                <w:rStyle w:val="IndexLink"/>
                <w:rtl w:val="true"/>
              </w:rPr>
              <w:tab/>
            </w:r>
            <w:r>
              <w:rPr>
                <w:rStyle w:val="IndexLink"/>
              </w:rPr>
              <w:t>53</w:t>
            </w:r>
          </w:hyperlink>
        </w:p>
        <w:p>
          <w:pPr>
            <w:pStyle w:val="Contents2"/>
            <w:tabs>
              <w:tab w:val="clear" w:pos="8743"/>
              <w:tab w:val="right" w:pos="9026" w:leader="dot"/>
            </w:tabs>
            <w:rPr/>
          </w:pPr>
          <w:hyperlink w:anchor="__RefHeading___Toc3283792_3650668749">
            <w:r>
              <w:rPr>
                <w:webHidden/>
                <w:rStyle w:val="IndexLink"/>
                <w:rtl w:val="true"/>
              </w:rPr>
              <w:t>فهرست برخى از مصادر تحقيق</w:t>
            </w:r>
            <w:r>
              <w:rPr>
                <w:rStyle w:val="IndexLink"/>
                <w:rtl w:val="true"/>
              </w:rPr>
              <w:tab/>
            </w:r>
            <w:r>
              <w:rPr>
                <w:rStyle w:val="IndexLink"/>
              </w:rPr>
              <w:t>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0_26068"/>
      <w:bookmarkStart w:id="1" w:name="pg1910_26068"/>
      <w:bookmarkEnd w:id="1"/>
    </w:p>
    <w:p>
      <w:pPr>
        <w:pStyle w:val="Heading2"/>
        <w:numPr>
          <w:ilvl w:val="1"/>
          <w:numId w:val="1"/>
        </w:numPr>
        <w:rPr/>
      </w:pPr>
      <w:bookmarkStart w:id="2" w:name="pg1910_26068"/>
      <w:bookmarkStart w:id="3" w:name="__RefHeading___Toc3283714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اسئله و اجوبه فقهيه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اصفهانى، منير الدين بروجردى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مركز تحقيقات رايانه‌اى حوزه علميه اصفهان تاريخ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شابك</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96108</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باقرى سيانى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احياء تراث مركز تحقيقات رايانه‌اى حوزه علميه اصفهان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حوزه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سوم چاپ شده است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83716_3650668749"/>
      <w:bookmarkStart w:id="6" w:name="_Toc2"/>
      <w:bookmarkEnd w:id="5"/>
      <w:r>
        <w:rPr>
          <w:rtl w:val="true"/>
        </w:rPr>
        <w:t>اشارة</w:t>
      </w:r>
      <w:bookmarkStart w:id="7" w:name="pg1910_26240"/>
      <w:bookmarkEnd w:id="6"/>
    </w:p>
    <w:p>
      <w:pPr>
        <w:pStyle w:val="Heading2"/>
        <w:numPr>
          <w:ilvl w:val="1"/>
          <w:numId w:val="1"/>
        </w:numPr>
        <w:rPr/>
      </w:pPr>
      <w:bookmarkStart w:id="8" w:name="__RefHeading___Toc3283718_3650668749"/>
      <w:bookmarkStart w:id="9" w:name="_Toc3"/>
      <w:bookmarkEnd w:id="7"/>
      <w:bookmarkEnd w:id="8"/>
      <w:r>
        <w:rPr>
          <w:rtl w:val="true"/>
        </w:rPr>
        <w:t xml:space="preserve">مقدّمه </w:t>
      </w:r>
      <w:r>
        <w:rPr>
          <w:rtl w:val="true"/>
        </w:rPr>
        <w:t>[</w:t>
      </w:r>
      <w:r>
        <w:rPr>
          <w:rtl w:val="true"/>
        </w:rPr>
        <w:t>محقق</w:t>
      </w:r>
      <w:r>
        <w:rPr>
          <w:rtl w:val="true"/>
        </w:rPr>
        <w:t>]</w:t>
      </w:r>
      <w:bookmarkEnd w:id="9"/>
    </w:p>
    <w:p>
      <w:pPr>
        <w:pStyle w:val="Heading3"/>
        <w:numPr>
          <w:ilvl w:val="2"/>
          <w:numId w:val="1"/>
        </w:numPr>
        <w:rPr/>
      </w:pPr>
      <w:bookmarkStart w:id="10" w:name="__RefHeading___Toc3283720_3650668749"/>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أسئلة و أجوبة فقهيّة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و اصولى دقيق النظر آية اللّه حاج آقا منير الدين بروجردى اصفهانى تحقيق و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باقى سيانى بِسْمِ اللّٰهِ الرَّحْمٰنِ الرَّحِيمِ</w:t>
      </w:r>
    </w:p>
    <w:p>
      <w:pPr>
        <w:pStyle w:val="Heading3"/>
        <w:numPr>
          <w:ilvl w:val="2"/>
          <w:numId w:val="1"/>
        </w:numPr>
        <w:rPr/>
      </w:pPr>
      <w:bookmarkStart w:id="12" w:name="__RefHeading___Toc3283722_3650668749"/>
      <w:bookmarkStart w:id="13" w:name="_Toc5"/>
      <w:bookmarkEnd w:id="12"/>
      <w:r>
        <w:rPr>
          <w:rtl w:val="true"/>
        </w:rPr>
        <w:t>[</w:t>
      </w:r>
      <w:r>
        <w:rPr>
          <w:rtl w:val="true"/>
        </w:rPr>
        <w:t>سؤال و نقش آن در فقه</w:t>
      </w:r>
      <w:r>
        <w:rPr>
          <w:rtl w:val="true"/>
        </w:rPr>
        <w:t>]</w:t>
      </w:r>
      <w:bookmarkEnd w:id="13"/>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منابع غنى فقه شيعه ريشه در سؤال‌هايى دارد كه از ائمّه معصومين عليهم السّلام پرسيده شده است و آنچه را كه آن بزرگواران در مقام پاسخ فرموده‌اند مكتوب گرديده و مقدارى از آن امروز در اختيار ماست؛ يكى از مهمترين اين مجموعه سؤال و جواب‌ها كتاب مسائل على بن جعفر است، كه شامل سؤالات وى از برادر بزرگوار خود امام كاظم عليه السّلام است و حضرت به آنها پاسخ داده است، </w:t>
      </w:r>
      <w:r>
        <w:rPr>
          <w:rStyle w:val="FootnoteAnchor"/>
          <w:rtl w:val="true"/>
        </w:rPr>
        <w:footnoteReference w:id="2"/>
      </w:r>
      <w:r>
        <w:rPr>
          <w:rFonts w:ascii="IRNazanin" w:hAnsi="IRNazanin" w:eastAsia="IRNazanin"/>
          <w:color w:val="111111"/>
          <w:sz w:val="28"/>
          <w:sz w:val="28"/>
          <w:szCs w:val="28"/>
          <w:rtl w:val="true"/>
          <w:lang w:bidi="fa-IR"/>
        </w:rPr>
        <w:t>اگرچه از بيان بزرگ كتاب‌شناس شيعه علّامه آقا بزرگ تهرانى چنين استفاده مى‌شود كه سؤال‌كننده در اين كتاب</w:t>
      </w:r>
    </w:p>
    <w:p>
      <w:pPr>
        <w:pStyle w:val="BookText"/>
        <w:rPr/>
      </w:pPr>
      <w:r>
        <w:rPr>
          <w:rFonts w:ascii="IRNazanin" w:hAnsi="IRNazanin" w:eastAsia="IRNazanin"/>
          <w:color w:val="111111"/>
          <w:sz w:val="28"/>
          <w:sz w:val="28"/>
          <w:szCs w:val="28"/>
          <w:rtl w:val="true"/>
          <w:lang w:bidi="fa-IR"/>
        </w:rPr>
        <w:t>امام كاظم عليه السّلام و پاسخ‌دهنده، پدر بزرگوارشان حضرت امام صادق عليه السّلام و على بن جعفر تنها راوى و ناقل اين پرسش‌ها و پاسخ‌هاست، مگر در مواردى كه تصريح به اين شده باشد كه سؤال را خود على بن جعفر مطرح نموده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البته ذكر اين نكته نيز خالى از لطف نيست كه مرحوم سيّد بن طاوس در كتاب ارزشمند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اقبال</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از كتابى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و أجوبتها عن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برده و مطلبى را از آن نقل مى‌نمايد كه متأسفانه امروز از آن اثرى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دوران معصومين عليهم السّلام و شروع غيبت آخرين ذخيرۀ هستى امام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سفارش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كان من الفقهاء صائنا لنفسه، حافظا لدينه، مخالفا على هواه، مطيعا لأمر مولاه، فللعوام أن يقلّدوه</w:t>
      </w:r>
      <w:r>
        <w:rPr>
          <w:rFonts w:eastAsia="Amiri" w:cs="Amiri" w:ascii="Amiri" w:hAnsi="Amiri"/>
          <w:color w:val="111111"/>
          <w:sz w:val="28"/>
          <w:szCs w:val="28"/>
          <w:rtl w:val="true"/>
          <w:lang w:bidi="ar-SA"/>
        </w:rPr>
        <w:t>»</w:t>
      </w:r>
    </w:p>
    <w:p>
      <w:pPr>
        <w:pStyle w:val="BookText"/>
        <w:rPr/>
      </w:pPr>
      <w:r>
        <w:rPr>
          <w:rStyle w:val="FootnoteAnchor"/>
          <w:rtl w:val="true"/>
        </w:rPr>
        <w:footnoteReference w:id="5"/>
      </w:r>
      <w:r>
        <w:rPr>
          <w:rFonts w:ascii="IRNazanin" w:hAnsi="IRNazanin" w:eastAsia="IRNazanin"/>
          <w:color w:val="111111"/>
          <w:sz w:val="28"/>
          <w:sz w:val="28"/>
          <w:szCs w:val="28"/>
          <w:rtl w:val="true"/>
          <w:lang w:bidi="fa-IR"/>
        </w:rPr>
        <w:t>پيروان حضرتش در احكام شرعى، از فقيهان و عالمان دين تقليد نموده و سؤالات خود را از ايشان پرسيده، و بدان عمل مى‌نمودند، كه مجموع اين پرسش‌ها و پاسخ‌ها خود ذخيره‌اى بسيار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ما به قسمتى از آن دسترسى داشته و ما بقى آن در گذر زمان دستخوش حوادث روزگار گشته و از ميان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تذكر چند نكته لازم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گسترۀ كتاب‌ها و رساله‌هايى از اين دست در اين عرصۀ پژوهشى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قسمت تنها به اين مقدار بسنده مى‌كنيم كه علّامه آقا بزرگ تهرانى در كتاب ارزشمند الذريعة 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را تحت عناوين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المسائل، سؤال و جواب، أسئلة و أجوبة، جواب و جوابات</w:t>
      </w:r>
      <w:r>
        <w:rPr>
          <w:rFonts w:eastAsia="IRNazanin" w:cs="IRNazanin"/>
          <w:color w:val="111111"/>
          <w:sz w:val="28"/>
          <w:szCs w:val="28"/>
          <w:rtl w:val="true"/>
          <w:lang w:bidi="fa-IR"/>
        </w:rPr>
        <w:t xml:space="preserve">» </w:t>
      </w:r>
      <w:r>
        <w:rPr>
          <w:rStyle w:val="FootnoteAnchor"/>
          <w:rtl w:val="true"/>
        </w:rPr>
        <w:footnoteReference w:id="6"/>
      </w:r>
      <w:r>
        <w:rPr>
          <w:rFonts w:ascii="Amiri" w:hAnsi="Amiri" w:eastAsia="Amiri" w:cs="Amiri"/>
          <w:color w:val="111111"/>
          <w:sz w:val="28"/>
          <w:sz w:val="28"/>
          <w:szCs w:val="28"/>
          <w:rtl w:val="true"/>
          <w:lang w:bidi="ar-SA"/>
        </w:rPr>
        <w:t>نام مى‌برد، و تنها كتب ذكر شده</w:t>
      </w:r>
    </w:p>
    <w:p>
      <w:pPr>
        <w:pStyle w:val="BookText"/>
        <w:rPr/>
      </w:pPr>
      <w:r>
        <w:rPr>
          <w:rFonts w:ascii="IRNazanin" w:hAnsi="IRNazanin" w:eastAsia="IRNazanin"/>
          <w:color w:val="111111"/>
          <w:sz w:val="28"/>
          <w:sz w:val="28"/>
          <w:szCs w:val="28"/>
          <w:rtl w:val="true"/>
          <w:lang w:bidi="fa-IR"/>
        </w:rPr>
        <w:t xml:space="preserve">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عدد است كه خود ايشان در چهل مورد تصريح به فقهى بودن اين كتاب‌ها دارد؛ و در برخى نيز چون كتاب مسئولات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اسأله و اجوبۀ بروجردية يا جوابات از علّامه ملّا محمّد تقى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تصريح به فقهى بودن آن ننموده‌اند، ولى قسمتى از آن پاسخ به سؤالات فقهى و ما بقى جواب سؤالات اخلاقى و اصولى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بسيار زيادى از اين پرسش‌ها و پاسخ‌ها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مكتوب گرديده، ولى چون در مجموعه‌اى گردآورى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زمان دستخوش حوادث روزگار گرديده و از بين رفته است؛ و به عنوان نمونه تنها به نقل سخن يكى از آخرين يادگاران كاروان علم و فقاهت توأم با زهد و قناعت حوزۀ علمى اصفهان در سال‌هاى اخير يعنى مرحوم آية اللّه حاج شيخ حيدر على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مى‌كنيم كه در مصاحبۀ خويش با مجلّۀ وزين حوزه در مورد علّامه آية اللّه ملّا محمّد حسين فشاركى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وى آن‌قدر استفتاءات داشت كه به گفتۀ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 فشاركى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استفتاءات يك جا جمع شود به اندازۀ دورۀ جواهر مى‌شود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بزرگوار شيعه در جواب اين گونه پرسش‌ها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ظرفيت سؤال‌كننده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پاسخ را بسيار مختصر فرموده و گاه آن‌چنان مفصل، استدلالى و همراه با نقل آراء و اقوال مختلف بحث نموده‌اند كه خود رساله‌اى مستقل گرديده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رساله‌اى از محقّق قمى در بيع فضولى كه هفتاد صفحه است</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4" w:name="pg1910_26243"/>
    </w:p>
    <w:p>
      <w:pPr>
        <w:pStyle w:val="BookText"/>
        <w:rPr/>
      </w:pPr>
      <w:bookmarkEnd w:id="1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رساله‌اى از سيّد شفتى در مورد وقف در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قطع رحلى مخطوط</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رساله‌اى از محقّق نراقى در مورد وقف براى حرم حضرت امير المؤمنين عليه السّلام در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رسالۀ قبض الوقف حاج آقا منير بروجردى كه در پاسخ به 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يكتفى في تحقّق القبض الأمر به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3"/>
        <w:numPr>
          <w:ilvl w:val="2"/>
          <w:numId w:val="1"/>
        </w:numPr>
        <w:rPr/>
      </w:pPr>
      <w:bookmarkStart w:id="15" w:name="__RefHeading___Toc3283724_3650668749"/>
      <w:bookmarkStart w:id="16" w:name="_Toc6"/>
      <w:bookmarkEnd w:id="15"/>
      <w:r>
        <w:rPr>
          <w:rtl w:val="true"/>
        </w:rPr>
        <w:t>[</w:t>
      </w:r>
      <w:r>
        <w:rPr>
          <w:rtl w:val="true"/>
        </w:rPr>
        <w:t>زندگى</w:t>
      </w:r>
      <w:r>
        <w:rPr>
          <w:rtl w:val="true"/>
        </w:rPr>
        <w:t xml:space="preserve">] </w:t>
      </w:r>
      <w:r>
        <w:rPr>
          <w:rtl w:val="true"/>
        </w:rPr>
        <w:t>مؤلف</w:t>
      </w:r>
      <w:bookmarkEnd w:id="16"/>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 اين اثر، عالم فاضل و متكلّم اصولى، رجالى حديث‌شناس و فقيه نام‌آور قرن سيزدهم هجرى حوزۀ علميۀ اصفهان مرحوم آية اللّه العظمى علّامه حاج آقا منير الدين بروجردى اصفهانى است كه به جودت فكر و قوّت حافظه معروف است</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وى نوادۀ دخترى محقّق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قوانين الأصول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شاگردان آية اللّه العظمى حاج شيخ محمّد باقر نجفى اصفهانى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شرح هداية المسترشدين</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بوده است؛ ايشان در سال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بروجرد چشم به جهان گشود و مقدّمات علوم را در زادگاه خويش</w:t>
      </w:r>
    </w:p>
    <w:p>
      <w:pPr>
        <w:pStyle w:val="BookText"/>
        <w:rPr/>
      </w:pPr>
      <w:r>
        <w:rPr>
          <w:rFonts w:ascii="IRNazanin" w:hAnsi="IRNazanin" w:eastAsia="IRNazanin"/>
          <w:color w:val="111111"/>
          <w:sz w:val="28"/>
          <w:sz w:val="28"/>
          <w:szCs w:val="28"/>
          <w:rtl w:val="true"/>
          <w:lang w:bidi="fa-IR"/>
        </w:rPr>
        <w:t>آموخته، جهت تكميل معلومات به اصفهان مهاجرت نمود، ايشان مدّتى كوتاه نيز در سامراء به درس ميرزاى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فتواى تحريم تنباكو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گشت و سپس به اصفهان بازگشته و به تدريس، تأليف، تبليغ و ارشاد مردم اشتغال ورزيد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مرغ روحش از قفس تن رها گشت و در ديار باقى رحل اقامت افكند و جسم شريفش در تكيۀ ملك تخت‌فولاد اصفهان در خاك آرام گرفت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فقيه فرزانه دو كتاب به زيور طبع آراسته گرديده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الفرق بين النافلة و الفريضة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مقدّمه استاد سيّد مرتضى رضوى و به همّت مرحوم آية اللّه سيّد مصطفى مهدوى هرستانى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و در مصر منتشر گرديد،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قبض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با تحقيق اين جانب در دفتر دوّم ميراث حوزۀ اصفهان به زيور طبع آراسته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اثر رساله حاضر است، و چهارمين آن رساله‌اى است در مورد حكم اشتباهات و خطاهائى كه توسط نويسندگان در كتاب قرآن پديد مى‌آيد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الأغلاط الواقعة في المصاحف من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نيز با تحقيق اين جناب به زودى منتشر و عرضه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رجاليه، رسائل اصوليه، رسالۀ الفوائد و برخى رسائل فقهيه از آن فقيه محقّق برجاى‌مانده، كه هنوز مخطوط است؛ و نام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را نيز محقّق فقيد مرحوم سيّد مصلح الدين مهدوى در كتاب دانشمندان و بزرگان اصفهان نام مى‌برند </w:t>
      </w:r>
      <w:r>
        <w:rPr>
          <w:rStyle w:val="FootnoteAnchor"/>
          <w:rtl w:val="true"/>
        </w:rPr>
        <w:footnoteReference w:id="18"/>
      </w:r>
      <w:r>
        <w:rPr>
          <w:rFonts w:ascii="IRNazanin" w:hAnsi="IRNazanin" w:eastAsia="IRNazanin"/>
          <w:color w:val="111111"/>
          <w:sz w:val="28"/>
          <w:sz w:val="28"/>
          <w:szCs w:val="28"/>
          <w:rtl w:val="true"/>
          <w:lang w:bidi="fa-IR"/>
        </w:rPr>
        <w:t>و ما در اين اينجا نام برخى از رساله‌هاى فقهى ايشان را كه در هيچ كدام از مصادر شرح حال مرحوم</w:t>
      </w:r>
      <w:bookmarkStart w:id="17" w:name="pg1910_26245"/>
    </w:p>
    <w:p>
      <w:pPr>
        <w:pStyle w:val="BookText"/>
        <w:rPr/>
      </w:pPr>
      <w:bookmarkEnd w:id="17"/>
      <w:r>
        <w:rPr>
          <w:rFonts w:ascii="Amiri" w:hAnsi="Amiri" w:eastAsia="Amiri" w:cs="Amiri"/>
          <w:color w:val="111111"/>
          <w:sz w:val="28"/>
          <w:sz w:val="28"/>
          <w:szCs w:val="28"/>
          <w:rtl w:val="true"/>
          <w:lang w:bidi="ar-SA"/>
        </w:rPr>
        <w:t>مؤلّف نيامده ذكر 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حاشيه بر كتاب الصلاة كشف الغطاء، حاشيه بر كتاب القضاء قواعد الأحكام، رساله‌اى در نماز مسافر، رساله‌اى در خيار عيب، رساله‌اى در بحث ربا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البته برخى از اين رسائل ناتمام است</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3283726_3650668749"/>
      <w:bookmarkStart w:id="19" w:name="_Toc7"/>
      <w:bookmarkEnd w:id="18"/>
      <w:r>
        <w:rPr>
          <w:rtl w:val="true"/>
        </w:rPr>
        <w:t>رسالۀ حاضر</w:t>
      </w:r>
      <w:bookmarkEnd w:id="19"/>
    </w:p>
    <w:p>
      <w:pPr>
        <w:pStyle w:val="BookText"/>
        <w:rPr/>
      </w:pPr>
      <w:r>
        <w:rPr>
          <w:rFonts w:ascii="IRNazanin" w:hAnsi="IRNazanin" w:eastAsia="IRNazanin"/>
          <w:color w:val="111111"/>
          <w:sz w:val="28"/>
          <w:sz w:val="28"/>
          <w:szCs w:val="28"/>
          <w:rtl w:val="true"/>
          <w:lang w:bidi="fa-IR"/>
        </w:rPr>
        <w:t xml:space="preserve">اين رساله كه شامل يازده پرسش و پاسخ است به خوبى بيان‌گر قوّت و قدرت علمى مؤلّف، داشتن حافظۀ قوى و كتابخانۀ غنى وى مى‌باشد مرحوم علّامه سيّد محسن امين در شرح حال مرحوم مؤلّف، از دو اثر نام مى‌برد يكى رسالۀ الفرق بين النافلة و الفريضة و ديگر رسالۀ حاضر، با اين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أجوبة المسائل استدلالية على نمط جامع الشتات</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3283728_3650668749"/>
      <w:bookmarkStart w:id="21" w:name="_Toc8"/>
      <w:bookmarkEnd w:id="20"/>
      <w:r>
        <w:rPr>
          <w:rtl w:val="true"/>
        </w:rPr>
        <w:t>تذكر چند نكته پيرامون اين رساله</w:t>
      </w:r>
      <w:bookmarkEnd w:id="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رسالۀ حاضر تنها يك رسالۀ فقهى صرف نيست بلكه در آن با توجّه به حجم كم آن مى‌توان از مباحث رجالى چون بحثى پيرامون كتاب مسائل على بن جعفر، قول به موثق بودن أبي الجارود و مباحث دقيق تاريخى چون تقسيمات سه‌گانه براى راويانى كه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نشان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گونه حاشيه در كنارۀ صفحات نسخۀ خطى موجود است كه برخى از مؤلّف و برخى نيز از كاتب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كاتب اين رساله علّامۀ فقيه، محدّث و رجالى آية اللّه سيّد احمد صفائى خوانسارى صاحب موسوعۀ ارزشمند كشف الأستار عن وجوه الكتب و الأسفار </w:t>
      </w:r>
      <w:r>
        <w:rPr>
          <w:rStyle w:val="FootnoteAnchor"/>
          <w:rtl w:val="true"/>
        </w:rPr>
        <w:footnoteReference w:id="20"/>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كه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حوزۀ علمى اصفهان از محضر مؤلّف و ديگر اساتيد بهره برده و از صاحب اين رساله چنين ياد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الأستاذ الأعظم و الشيخ الأقدم أفضل من في العرب و العجم الحاج آقا منير الدين بروجردى دامت بركاته</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محترم در ابتداى بعضى از پاسخ‌ها ابتدا اقوال مختلف در مسأله را با ذكر نام صاحب آن قول يا كتابى كه اين قول در آن وجود دارد يادآور شده و سپس به بررسى اين اقوال پرداخته و قول مورد قبول خود را با ذكر دليل بيان مى‌نمايد؛ از اين رو گاه در ابتداى امر خواننده، خود را با انبوهى از كتابها روبرو مى‌بيند؛ مانند پرسش نهم كه مؤلّف در قسمت آغازين پاسخ خود، سؤال‌كننده را به حدود بيست كتاب ارجاع مى‌دهد </w:t>
      </w:r>
      <w:r>
        <w:rPr>
          <w:rStyle w:val="FootnoteAnchor"/>
          <w:rtl w:val="true"/>
        </w:rPr>
        <w:footnoteReference w:id="22"/>
      </w:r>
      <w:r>
        <w:rPr>
          <w:rFonts w:ascii="Amiri" w:hAnsi="Amiri" w:eastAsia="Amiri" w:cs="Amiri"/>
          <w:color w:val="111111"/>
          <w:sz w:val="28"/>
          <w:sz w:val="28"/>
          <w:szCs w:val="28"/>
          <w:rtl w:val="true"/>
          <w:lang w:bidi="ar-SA"/>
        </w:rPr>
        <w:t xml:space="preserve">و از همين رو خوانندۀ محترم اين كتاب در قسمت مصادر تحقيق، بيش از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 رساله را مقابل خود مى‌بيند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چنين است كه مقدارى از انبوه پرسشهايى كه مرحوم مؤلّف به آن‌ها پاسخ داده در نزد كاتب موجود بوده و وى اين مقدار را جدا نموده و در اين مجموعه گردآورى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كتابت اثر حاضر، چهارم ذى‌قعدۀ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ده سال قبل از وفات مؤلّف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سالهاى آغازين بازگشت كاتب از نجف اشرف و اقامت در خوانسار</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نسخۀ شناخته شدۀ اين اثر كه در كتابخانۀ آستان قدس رضوى وجود دارد توسط دوست فاضل و گرامى جناب آقاى رحيم قاسمى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جانب معرّفى گرديد و استاد محترم حضرت آية اللّه حاج شيخ هادى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تهيه،</w:t>
      </w:r>
    </w:p>
    <w:p>
      <w:pPr>
        <w:pStyle w:val="BookText"/>
        <w:rPr/>
      </w:pPr>
      <w:r>
        <w:rPr>
          <w:rFonts w:ascii="Amiri" w:hAnsi="Amiri" w:eastAsia="Amiri" w:cs="Amiri"/>
          <w:color w:val="111111"/>
          <w:sz w:val="28"/>
          <w:sz w:val="28"/>
          <w:szCs w:val="28"/>
          <w:rtl w:val="true"/>
          <w:lang w:bidi="ar-SA"/>
        </w:rPr>
        <w:t>و جهت تحقيق در اختيار اين جانب قرار داده و در طول مدّت تحقيق نيز مساعدت و راهنمايى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اين مقدّمه نويسنده با تمامى وجود خداوند مهربان را سپاس مى‌گويد كه به وى توفيق احياء اثرى ديگر از آثار برجاى‌مانده از سلف صالح را كرامت فرمود، إنّه ولى التوفيق</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مهدى باقرى سيانى، اصفهان سوّم شعبان المعظم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با ششم شهريور </w:t>
      </w:r>
      <w:r>
        <w:rPr>
          <w:rFonts w:eastAsia="Amiri" w:cs="Amiri" w:ascii="Amiri" w:hAnsi="Amiri"/>
          <w:color w:val="111111"/>
          <w:sz w:val="28"/>
          <w:szCs w:val="28"/>
          <w:lang w:bidi="ar-SA"/>
        </w:rPr>
        <w:t>1385</w:t>
      </w:r>
      <w:bookmarkStart w:id="22" w:name="pg1910_26250"/>
    </w:p>
    <w:p>
      <w:pPr>
        <w:pStyle w:val="BookText"/>
        <w:rPr/>
      </w:pPr>
      <w:bookmarkEnd w:id="2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23" w:name="__RefHeading___Toc3283730_3650668749"/>
      <w:bookmarkStart w:id="24" w:name="_Toc9"/>
      <w:bookmarkEnd w:id="23"/>
      <w:r>
        <w:rPr>
          <w:rtl w:val="true"/>
        </w:rPr>
        <w:t>[</w:t>
      </w:r>
      <w:r>
        <w:rPr>
          <w:rtl w:val="true"/>
        </w:rPr>
        <w:t>متن</w:t>
      </w:r>
      <w:r>
        <w:rPr>
          <w:rtl w:val="true"/>
        </w:rPr>
        <w:t xml:space="preserve">] </w:t>
      </w:r>
      <w:r>
        <w:rPr>
          <w:rtl w:val="true"/>
        </w:rPr>
        <w:t>أسئلة و أجوبة فقهيّة</w:t>
      </w:r>
      <w:bookmarkEnd w:id="24"/>
    </w:p>
    <w:p>
      <w:pPr>
        <w:pStyle w:val="Heading3"/>
        <w:numPr>
          <w:ilvl w:val="2"/>
          <w:numId w:val="1"/>
        </w:numPr>
        <w:rPr/>
      </w:pPr>
      <w:bookmarkStart w:id="25" w:name="__RefHeading___Toc3283732_3650668749"/>
      <w:bookmarkStart w:id="26" w:name="_Toc10"/>
      <w:bookmarkEnd w:id="25"/>
      <w:r>
        <w:rPr>
          <w:rtl w:val="true"/>
        </w:rPr>
        <w:t xml:space="preserve">مسألة </w:t>
      </w:r>
      <w:r>
        <w:rPr>
          <w:rtl w:val="true"/>
        </w:rPr>
        <w:t>[</w:t>
      </w:r>
      <w:r>
        <w:rPr/>
        <w:t>1</w:t>
      </w:r>
      <w:r>
        <w:rPr>
          <w:rtl w:val="true"/>
        </w:rPr>
        <w:t xml:space="preserve">] </w:t>
      </w:r>
      <w:r>
        <w:rPr>
          <w:rtl w:val="true"/>
        </w:rPr>
        <w:t>آيا تصرفات وصى بدون إذن ناظر صحيح و نافذ است يا خير؟</w:t>
      </w:r>
      <w:bookmarkEnd w:id="26"/>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إفاداته أيضا الوصيّ و الناظر و المتولّي يتصوّر على وجوه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الاستقلال في الرأي و التصرّف بكون ما للوصيّ مثلا مجرّد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التشريك بكون رأي كلّ منهما له دخل في الاستصواب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الرأي للموصي مع اشتراط إذن من الناظر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مع اشتراط اطّلاع من الناظر حين الإقدام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أيضا مع اشتراط مجّرد حصول الاطّلاع للناظر و لو بعد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 يبطل العمل بدون إذن الناظر و كذلك في الثاني و الثالث على الأظهر الأقرب و أمّا في الرابع ففيه وجهان و الصّحة في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أوجه هذه المسألة مع المسائل الآتية من إفادات شيخ المشايخ آقا منير الدين سلّمه اللّه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 في جملة من الأجوبة التي أجاب بها عن الأسئلة الّتي التمسوا عن جنابه المفخّم الجواب، و نحن ننقلها بلفظ السؤال أوّلا، ثمّ نردفها بالجواب بعينها لئلّا نخرج عن طريق الصواب، و على اللّه نتوكّل في المبدأ و المآب</w:t>
      </w:r>
      <w:r>
        <w:rPr>
          <w:rFonts w:eastAsia="Amiri" w:cs="Amiri" w:ascii="Amiri" w:hAnsi="Amiri"/>
          <w:color w:val="111111"/>
          <w:sz w:val="28"/>
          <w:szCs w:val="28"/>
          <w:rtl w:val="true"/>
          <w:lang w:bidi="ar-SA"/>
        </w:rPr>
        <w:t>.</w:t>
      </w:r>
      <w:bookmarkStart w:id="27" w:name="pg1910_26251"/>
    </w:p>
    <w:p>
      <w:pPr>
        <w:pStyle w:val="Heading3"/>
        <w:numPr>
          <w:ilvl w:val="2"/>
          <w:numId w:val="1"/>
        </w:numPr>
        <w:rPr/>
      </w:pPr>
      <w:bookmarkStart w:id="28" w:name="__RefHeading___Toc3283734_3650668749"/>
      <w:bookmarkStart w:id="29" w:name="_Toc11"/>
      <w:bookmarkEnd w:id="27"/>
      <w:bookmarkEnd w:id="28"/>
      <w:r>
        <w:rPr>
          <w:rtl w:val="true"/>
        </w:rPr>
        <w:t xml:space="preserve">مسألة </w:t>
      </w:r>
      <w:r>
        <w:rPr>
          <w:rtl w:val="true"/>
        </w:rPr>
        <w:t>[</w:t>
      </w:r>
      <w:r>
        <w:rPr/>
        <w:t>2</w:t>
      </w:r>
      <w:r>
        <w:rPr>
          <w:rtl w:val="true"/>
        </w:rPr>
        <w:t xml:space="preserve">] </w:t>
      </w:r>
      <w:r>
        <w:rPr>
          <w:rtl w:val="true"/>
        </w:rPr>
        <w:t>هرگاه زيد ملكى را بدون تصديق اهل خبره جاهلا بالقيمه بفروشد به قيمت معيّنى،</w:t>
      </w:r>
      <w:bookmarkEnd w:id="29"/>
    </w:p>
    <w:p>
      <w:pPr>
        <w:pStyle w:val="BookText"/>
        <w:rPr/>
      </w:pPr>
      <w:r>
        <w:rPr>
          <w:rFonts w:ascii="Amiri" w:hAnsi="Amiri" w:eastAsia="Amiri" w:cs="Amiri"/>
          <w:color w:val="111111"/>
          <w:sz w:val="28"/>
          <w:sz w:val="28"/>
          <w:szCs w:val="28"/>
          <w:rtl w:val="true"/>
          <w:lang w:bidi="ar-SA"/>
        </w:rPr>
        <w:t>ثمّ حقّ الغبن خود را هم صلح مى‌نمايند و معلوم مى‌شود كه مغبون شده به غبن فاحش، آيا صلح حقّ الغبن با اين فرض مسقط حقّ او مى‌شود يا خير؟</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غبن از خيارات مسلّمه بين الإماميّة است و كسى خلاف نكرده </w:t>
      </w:r>
      <w:r>
        <w:rPr>
          <w:rStyle w:val="FootnoteAnchor"/>
          <w:rtl w:val="true"/>
        </w:rPr>
        <w:footnoteReference w:id="23"/>
      </w:r>
      <w:r>
        <w:rPr>
          <w:rFonts w:ascii="IRNazanin" w:hAnsi="IRNazanin" w:eastAsia="IRNazanin"/>
          <w:color w:val="111111"/>
          <w:sz w:val="28"/>
          <w:sz w:val="28"/>
          <w:szCs w:val="28"/>
          <w:rtl w:val="true"/>
          <w:lang w:bidi="fa-IR"/>
        </w:rPr>
        <w:t>و نسبت خلاف هم كس نداده است؛ مگر فاضل آبى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كشف الرموز </w:t>
      </w:r>
      <w:r>
        <w:rPr>
          <w:rStyle w:val="FootnoteAnchor"/>
          <w:rtl w:val="true"/>
        </w:rPr>
        <w:footnoteReference w:id="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داده نفى خلاف غبن را به استادش محقّق في حلقة درسه الميمون بدعوى كون بناء الخلق نوعا على المعاملات التغابنيّة اختيارا، و هو ضعيف و مسبوق و ملحوق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 جريان هذا الخيار شروط ستّة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غبن، و آن تفاوت قيمت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 آن يسير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نقصان لغوى كفايت نمى‌كند بلكه بايد معتنى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نظر عرف صدق ضرر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غبن در حين معامله، پس اگر بعد تفاوت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به فاصله قليلى، و لو به اضعاف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بودن مغبون به 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اسقاط آن در ضمن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صلح آن، پس با اجتماع شرائط، خيار غبن ثابت و جارى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بلى كلامى در مقام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 مقام بيان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اگر مصالحه نمود غبن احتمالى خود را به خيال اينكه نهايت آنچه تصور شود مثلا ده تومان است بعد معلوم شود بيشتر است إلى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اضعاف بوده، ظاهر اين است كه خيار غبن جارى است؛ و صرّح به جماعة من الأوائل و الأواخر </w:t>
      </w:r>
      <w:r>
        <w:rPr>
          <w:rStyle w:val="FootnoteAnchor"/>
          <w:rtl w:val="true"/>
        </w:rPr>
        <w:footnoteReference w:id="25"/>
      </w:r>
      <w:r>
        <w:rPr>
          <w:rFonts w:ascii="Amiri" w:hAnsi="Amiri" w:eastAsia="Amiri" w:cs="Amiri"/>
          <w:color w:val="111111"/>
          <w:sz w:val="28"/>
          <w:sz w:val="28"/>
          <w:szCs w:val="28"/>
          <w:rtl w:val="true"/>
          <w:lang w:bidi="ar-SA"/>
        </w:rPr>
        <w:t xml:space="preserve">، و الدليل عليه قاعدة الضرر </w:t>
      </w:r>
      <w:r>
        <w:rPr>
          <w:rStyle w:val="FootnoteAnchor"/>
          <w:rtl w:val="true"/>
        </w:rPr>
        <w:footnoteReference w:id="26"/>
      </w:r>
      <w:r>
        <w:rPr>
          <w:rFonts w:ascii="IRNazanin" w:hAnsi="IRNazanin" w:eastAsia="IRNazanin"/>
          <w:color w:val="111111"/>
          <w:sz w:val="28"/>
          <w:sz w:val="28"/>
          <w:szCs w:val="28"/>
          <w:rtl w:val="true"/>
          <w:lang w:bidi="fa-IR"/>
        </w:rPr>
        <w:t>خصوصا مع تأييدها بفتوى هذه الأجلّة؛ پس صلح به خيال بعض، مانع از خيار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متعارف است كه در قباله‌جات مى‌نويسند از صلح غبن، و غبن در غبن بالغا 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إلى ألف تومان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جريان صيغه، يا با جريان و عدم التفات و قصد، مانع خيار نيست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كلام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المعاملة و الخيار يترتّبان على المعاملات العقلائية فلو كانت خارجة من عادات العقلاء و معدودة من الأفعال السفهيّة أمكن الإشكال في أصل الصحّة و أوّل من حكم بالبطلان في السفهيّة أفقه الأوائل و الأواخر، الشهيد الأوّل، و اللّه العالم</w:t>
      </w:r>
      <w:r>
        <w:rPr>
          <w:rFonts w:eastAsia="Amiri" w:cs="Amiri" w:ascii="Amiri" w:hAnsi="Amiri"/>
          <w:color w:val="111111"/>
          <w:sz w:val="28"/>
          <w:szCs w:val="28"/>
          <w:rtl w:val="true"/>
          <w:lang w:bidi="ar-SA"/>
        </w:rPr>
        <w:t>.</w:t>
      </w:r>
      <w:bookmarkStart w:id="30" w:name="pg1910_26253"/>
    </w:p>
    <w:p>
      <w:pPr>
        <w:pStyle w:val="Heading3"/>
        <w:numPr>
          <w:ilvl w:val="2"/>
          <w:numId w:val="1"/>
        </w:numPr>
        <w:rPr/>
      </w:pPr>
      <w:bookmarkStart w:id="31" w:name="__RefHeading___Toc3283736_3650668749"/>
      <w:bookmarkStart w:id="32" w:name="_Toc12"/>
      <w:bookmarkEnd w:id="30"/>
      <w:bookmarkEnd w:id="31"/>
      <w:r>
        <w:rPr>
          <w:rtl w:val="true"/>
        </w:rPr>
        <w:t xml:space="preserve">مسألة </w:t>
      </w:r>
      <w:r>
        <w:rPr>
          <w:rtl w:val="true"/>
        </w:rPr>
        <w:t>[</w:t>
      </w:r>
      <w:r>
        <w:rPr/>
        <w:t>3</w:t>
      </w:r>
      <w:r>
        <w:rPr>
          <w:rtl w:val="true"/>
        </w:rPr>
        <w:t xml:space="preserve">] ... </w:t>
      </w:r>
      <w:r>
        <w:rPr>
          <w:rtl w:val="true"/>
        </w:rPr>
        <w:t>چه مى‌فرماييد در اين مسأله كه ملكى تيول دو برادر بوده كه ديوان، ملكى را به آنها واگذار نموده،</w:t>
      </w:r>
      <w:bookmarkEnd w:id="32"/>
    </w:p>
    <w:p>
      <w:pPr>
        <w:pStyle w:val="BookText"/>
        <w:rPr/>
      </w:pPr>
      <w:r>
        <w:rPr>
          <w:rFonts w:ascii="IRNazanin" w:hAnsi="IRNazanin" w:eastAsia="IRNazanin"/>
          <w:color w:val="111111"/>
          <w:sz w:val="28"/>
          <w:sz w:val="28"/>
          <w:szCs w:val="28"/>
          <w:rtl w:val="true"/>
          <w:lang w:bidi="fa-IR"/>
        </w:rPr>
        <w:t xml:space="preserve">و هر يك مستمرّى هم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بابت تيول همه‌ساله مى‌دادند و از منافعش هر دو منتفع مى‌شدند، يكى از اين دو فوت مى‌شود كه مجتهد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صغير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ديگر كه حىّ است، همه‌ساله، مستمرّى صغار را كما في السابق بابت ماليات ملك تيول مى‌دادند، و از منافع همه منتفع مى‌شدند، و شهريّة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مى‌رسانيد، اين برادر كه عمو است هم فوت مى‌شود، ورثه‌اش مدّعى مى‌شوند كه پدر ما، ملك را به عنوان خالصه، از ديوان به اسم خودش قباله نموده؛ و پيشكار ديوان هم مى‌گويد ثمن او را از وقت خريد از مستمرّى مشتركى هر دو دادم؛ آيا اين معامله صحيح است و ملك مختصّ برادرى مى‌شود كه قباله به اسم خود كرده يا خير؟ بيّنوا تؤجروا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يد مسلم </w:t>
      </w:r>
      <w:r>
        <w:rPr>
          <w:rStyle w:val="FootnoteAnchor"/>
          <w:rtl w:val="true"/>
        </w:rPr>
        <w:footnoteReference w:id="27"/>
      </w:r>
      <w:r>
        <w:rPr>
          <w:rFonts w:ascii="IRNazanin" w:hAnsi="IRNazanin" w:eastAsia="IRNazanin"/>
          <w:color w:val="111111"/>
          <w:sz w:val="28"/>
          <w:sz w:val="28"/>
          <w:szCs w:val="28"/>
          <w:rtl w:val="true"/>
          <w:lang w:bidi="fa-IR"/>
        </w:rPr>
        <w:t>معتبر است به ملكيّت هر دو نفر برادر، و هركدام فوت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مجتهد و چه غير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است به وارث او، و تصرّف برادر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أوّل در اموال صغارش با معلوميّت جهت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بابت بزرگترى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دفع ملكيّت سابقه نخواهد بود، و خريدن از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اسم خود و چه به اسم غير خود، چه با دادن وجه مستمرّى و چه با ندادن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مضرّ به ملكيّت ورثه برادر مجتهد نيست؛ چنانچه در زمان تصرّف سلطان و اجزاء سلطان، مكرّر در مجلس و منبر گفتم كه اين تيولات بر پنج قسم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است كه ملك در تصرّف مسلمانى است با قباله‌جات، و خود متصرّف هم مدّعى ملكيّت است، مجرّد نقل از سلطان و اجزاء آن، نه رفع ملكيّت از ذي اليد 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موجب حقّى براى مصالح له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شخص متصرّف است، و معلوم نيست جهت تصرّف از استناد به نقل خاص يا نقل از حاكم شرع مطاع به عنوان مجهوليّت، باز حكم سابق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متصرّف، و معلوميّت استناد از جانب حاكم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خودش حاكم باشد يا از غير مأذون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ملحق به سابق است در 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متصرّف مدّعي ملكيّت منفعت باشد؛ بعد از اقرار به عدم ملكيّت عين، سلب ملكيّت عين از او مى‌شود، و يد در منافع معتبر است على الأقوى، و اشكال محقّق نراقى </w:t>
      </w:r>
      <w:r>
        <w:rPr>
          <w:rStyle w:val="FootnoteAnchor"/>
          <w:rtl w:val="true"/>
        </w:rPr>
        <w:footnoteReference w:id="28"/>
      </w:r>
      <w:r>
        <w:rPr>
          <w:rFonts w:ascii="IRNazanin" w:hAnsi="IRNazanin" w:eastAsia="IRNazanin"/>
          <w:color w:val="111111"/>
          <w:sz w:val="28"/>
          <w:sz w:val="28"/>
          <w:szCs w:val="28"/>
          <w:rtl w:val="true"/>
          <w:lang w:bidi="fa-IR"/>
        </w:rPr>
        <w:t>در يد منفعت، ضعيف است؛ پس در اين صورت، انتزاع از يد متصرّف نيز نمى‌توان نمود؛ هرچند عين مال ديگرى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ملك در يد كسى باشد، و خودش مقرّ است به عدم نقل از مالك خاص، يا حاكم شرع، 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إحيائى كرده است، يا احتمال إحيائى مى‌رود، باز سلب ملكيّت از او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اگر هيچ كدام از اين جهات نباشد، و احتمال هم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احتمال تقاصّ از بابت مظالم، يا تصرّف از بابت مجهوليّت؛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 شديم به عدم اشتراط إذن الحاكم في المال المجهول، در اينجا سلب ملكيت از متصرّف بالمرّة مى‌شود؛ لكن به دست او نيز، انتقال از ديوان با محض ادعاء، باز منع متصرّف را نمى‌توان نمود مگر از بابت حسبه و نهى از منكر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اگر ملكى در يد عمّال ديوان باشد از جانب سلطان، و متصرّفى در كار نباشد، و اخذ از متصرّف هم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بعض املاك صدريّه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بعد از</w:t>
      </w:r>
      <w:bookmarkStart w:id="33" w:name="pg1910_26255"/>
    </w:p>
    <w:p>
      <w:pPr>
        <w:pStyle w:val="BookText"/>
        <w:rPr/>
      </w:pPr>
      <w:bookmarkEnd w:id="33"/>
      <w:r>
        <w:rPr>
          <w:rFonts w:ascii="Amiri" w:hAnsi="Amiri" w:eastAsia="Amiri" w:cs="Amiri"/>
          <w:color w:val="111111"/>
          <w:sz w:val="28"/>
          <w:sz w:val="28"/>
          <w:szCs w:val="28"/>
          <w:rtl w:val="true"/>
          <w:lang w:bidi="ar-SA"/>
        </w:rPr>
        <w:t>انتقال ديوان؛ و نقل از حاكم مطاع، ثمر مى‌كند و حكم به ملكيّت منتقل إليه مى‌شود، بعض از اجلّه 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اقدام در تخريب اين بنيان نمودند؛ ولى هنوز رفع شبهه از عوام طلبه و ساير عوام نشده و باز اين مطالب اسباب فساد است</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3283738_3650668749"/>
      <w:bookmarkStart w:id="35" w:name="_Toc13"/>
      <w:bookmarkEnd w:id="34"/>
      <w:r>
        <w:rPr>
          <w:rtl w:val="true"/>
        </w:rPr>
        <w:t xml:space="preserve">مسألة </w:t>
      </w:r>
      <w:r>
        <w:rPr>
          <w:rtl w:val="true"/>
        </w:rPr>
        <w:t>[</w:t>
      </w:r>
      <w:r>
        <w:rPr/>
        <w:t>4</w:t>
      </w:r>
      <w:r>
        <w:rPr>
          <w:rtl w:val="true"/>
        </w:rPr>
        <w:t xml:space="preserve">] </w:t>
      </w:r>
      <w:r>
        <w:rPr>
          <w:rtl w:val="true"/>
        </w:rPr>
        <w:t>زيدى مايملكش را صلح مى‌كند به يكى از اولادش، مشروط به شرائطى،</w:t>
      </w:r>
      <w:bookmarkEnd w:id="35"/>
    </w:p>
    <w:p>
      <w:pPr>
        <w:pStyle w:val="BookText"/>
        <w:rPr/>
      </w:pPr>
      <w:r>
        <w:rPr>
          <w:rFonts w:ascii="Amiri" w:hAnsi="Amiri" w:eastAsia="Amiri" w:cs="Amiri"/>
          <w:color w:val="111111"/>
          <w:sz w:val="28"/>
          <w:sz w:val="28"/>
          <w:szCs w:val="28"/>
          <w:rtl w:val="true"/>
          <w:lang w:bidi="ar-SA"/>
        </w:rPr>
        <w:t>و بعد از فوت مصالح، متصالح تخلّف مى‌كند از مقتضاى 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أم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خيار فسخ به جهت ساير ورثه، جارى است يا خير؟ و آيا به فسخ بعض از ورثه، جميع آثار صلح، فسخ مى‌شود يا بالنسبة به سهم فاسخ؟ و آيا فسخ، محتاج است به اجتماع همه ورّاث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در ضمن چند مقام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 كه شرط التزام، در ضمن عقد است كما صرّح به في القاموس </w:t>
      </w:r>
      <w:r>
        <w:rPr>
          <w:rStyle w:val="FootnoteAnchor"/>
          <w:rtl w:val="true"/>
        </w:rPr>
        <w:footnoteReference w:id="30"/>
      </w:r>
      <w:r>
        <w:rPr>
          <w:rFonts w:ascii="IRNazanin" w:hAnsi="IRNazanin" w:eastAsia="IRNazanin"/>
          <w:color w:val="111111"/>
          <w:sz w:val="28"/>
          <w:sz w:val="28"/>
          <w:szCs w:val="28"/>
          <w:rtl w:val="true"/>
          <w:lang w:bidi="fa-IR"/>
        </w:rPr>
        <w:t>، و مقتضاى عمومات عقود و شروط، لزوم وفا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ثانى آيا تخلّف شرط، موجب خيار است يا نه؟ و بنا بر أوّل، آيا به مقتضاى قاعده است يا دليل خاص، يا دائر مدار ضرر است؟</w:t>
      </w:r>
    </w:p>
    <w:p>
      <w:pPr>
        <w:pStyle w:val="BookText"/>
        <w:rPr/>
      </w:pPr>
      <w:r>
        <w:rPr>
          <w:rFonts w:ascii="Amiri" w:hAnsi="Amiri" w:eastAsia="Amiri" w:cs="Amiri"/>
          <w:color w:val="111111"/>
          <w:sz w:val="28"/>
          <w:sz w:val="28"/>
          <w:szCs w:val="28"/>
          <w:rtl w:val="true"/>
          <w:lang w:bidi="ar-SA"/>
        </w:rPr>
        <w:t>تحقيق، قسم أوّل است، و قواعد متصوّره در مقام سه قاعده است كما بيّن في الخيارات مفصّلا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دويم حقّ عموم خيار است به ملاحظه خبر أبي الجارود، و ضعف دلالت و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كلمات فقهاء است اگرچه رمى به ضعف، ضعيف است، لكون أبي الجارود موثّقا كما لا يخفى على من تتبّع الرجال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منجبر است به شهرت عظيمه استناديّة؛ و ممّن</w:t>
      </w:r>
    </w:p>
    <w:p>
      <w:pPr>
        <w:pStyle w:val="BookText"/>
        <w:rPr/>
      </w:pPr>
      <w:r>
        <w:rPr>
          <w:rFonts w:ascii="Amiri" w:hAnsi="Amiri" w:eastAsia="Amiri" w:cs="Amiri"/>
          <w:color w:val="111111"/>
          <w:sz w:val="28"/>
          <w:sz w:val="28"/>
          <w:szCs w:val="28"/>
          <w:rtl w:val="true"/>
          <w:lang w:bidi="ar-SA"/>
        </w:rPr>
        <w:t xml:space="preserve">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النراقي في المستند</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أمّا 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يدور مدار الضرر؛ و اندك انجبارى را كه در قاعده ضرر و حرج لازم مى‌دانيم در مقام، موجود است لفتوى المعظم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بنا بر أوّل و ثاني خيار مطلقا ثابت است، و بنا بر ثالث، موكول به وجود ضرر است؛ و قدر متيقّن صورت الزام حاكم است، و عدم الزام مشروط عليه، مع وجود الضرر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خيار مورّث است؛ لكونه حقا من الحقوق نصّا و إجماعا </w:t>
      </w:r>
      <w:r>
        <w:rPr>
          <w:rStyle w:val="FootnoteAnchor"/>
          <w:rtl w:val="true"/>
        </w:rPr>
        <w:footnoteReference w:id="33"/>
      </w:r>
      <w:r>
        <w:rPr>
          <w:rFonts w:ascii="Amiri" w:hAnsi="Amiri" w:eastAsia="Amiri" w:cs="Amiri"/>
          <w:color w:val="111111"/>
          <w:sz w:val="28"/>
          <w:sz w:val="28"/>
          <w:szCs w:val="28"/>
          <w:rtl w:val="true"/>
          <w:lang w:bidi="ar-SA"/>
        </w:rPr>
        <w:t xml:space="preserve">، و كلّ حقّ موروث لما 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فهو لوارثه</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ثانى در مسالك الأفهام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كاشانى در مفاتيح الشرائع،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بحرانى در حدائق الناضرة،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وحيد بهبهانى در حاشية مجمع الفائدة و البرهان،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طباطبائى در رياض المسائل،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اين روايت را نقل نموده‌اند؛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عاملى در مفتاح الكرامة،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يدلّ عليه النبوي المنجبر بعمل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ترك الميّت من حقّ فهو لوارثه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المؤيّد بعمومات الإرث كتابا و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توضيح بيشتر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الخيارات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حاج آقا مصطفى خمينى،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 w:name="pg1910_26257"/>
    </w:p>
    <w:p>
      <w:pPr>
        <w:pStyle w:val="BookText"/>
        <w:rPr/>
      </w:pPr>
      <w:bookmarkEnd w:id="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اين است كه فسخ احد ورثه،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ديگران ساكت باشند، يا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فاسخ، مقدّم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ششم اين است كه امضاء متصالح، شرط نيست و رضا و عدم آن على السويّة است؛ و اللّه العالم</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3283740_3650668749"/>
      <w:bookmarkStart w:id="38" w:name="_Toc14"/>
      <w:bookmarkEnd w:id="37"/>
      <w:r>
        <w:rPr>
          <w:rtl w:val="true"/>
        </w:rPr>
        <w:t xml:space="preserve">مسألة </w:t>
      </w:r>
      <w:r>
        <w:rPr>
          <w:rtl w:val="true"/>
        </w:rPr>
        <w:t>[</w:t>
      </w:r>
      <w:r>
        <w:rPr/>
        <w:t>5</w:t>
      </w:r>
      <w:r>
        <w:rPr>
          <w:rtl w:val="true"/>
        </w:rPr>
        <w:t>] [</w:t>
      </w:r>
      <w:r>
        <w:rPr>
          <w:rtl w:val="true"/>
        </w:rPr>
        <w:t>سدهاى متعدّده روى رودخانه و مانع شدن از آمدن آب به پائين دست</w:t>
      </w:r>
      <w:r>
        <w:rPr>
          <w:rtl w:val="true"/>
        </w:rPr>
        <w:t>]</w:t>
      </w:r>
      <w:bookmarkEnd w:id="38"/>
    </w:p>
    <w:p>
      <w:pPr>
        <w:pStyle w:val="BookText"/>
        <w:rPr/>
      </w:pPr>
      <w:r>
        <w:rPr>
          <w:rFonts w:ascii="IRNazanin" w:hAnsi="IRNazanin" w:eastAsia="IRNazanin"/>
          <w:color w:val="111111"/>
          <w:sz w:val="28"/>
          <w:sz w:val="28"/>
          <w:szCs w:val="28"/>
          <w:rtl w:val="true"/>
          <w:lang w:bidi="fa-IR"/>
        </w:rPr>
        <w:t>در مثل رودخانه زاينده‌رود كه سدهاى متعدّده، جهت تعديل و تقسيم آب بسته شده، آيا ارباب سده فوق مى‌توانند سده خود را بلندتر كنند كه مانع شود از آمدن آب به پائين، هرچند باعث شود خشك شدن أملاك و زراعات و باغات سدهاى پائين دست را يا خير؟</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در اين مسأله در سه مقام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انهار مستحدثه، پس آنچه در فم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وارد مى‌شود تمام را، صاحب نهر مالك است، به نحوى كه مى‌تواند قطره‌اى به لاحقين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كسانى كه ملكى بعد احداث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مى‌تواند بفروشد و اراضى جديده احداث كند، و طاحونه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بسازد؛ به جهت اين كه به حيازت، مالك مى‌شود، نظير احتطاب و غيره، و قول شيخ طوسى به اولويّت </w:t>
      </w:r>
      <w:r>
        <w:rPr>
          <w:rStyle w:val="FootnoteAnchor"/>
          <w:rtl w:val="true"/>
        </w:rPr>
        <w:footnoteReference w:id="35"/>
      </w:r>
      <w:r>
        <w:rPr>
          <w:rFonts w:ascii="Amiri" w:hAnsi="Amiri" w:eastAsia="Amiri" w:cs="Amiri"/>
          <w:color w:val="111111"/>
          <w:sz w:val="28"/>
          <w:sz w:val="28"/>
          <w:szCs w:val="28"/>
          <w:rtl w:val="true"/>
          <w:lang w:bidi="ar-SA"/>
        </w:rPr>
        <w:t>ضعيف است، كما بيّن في محله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أنهار عظيمه قديم است؛ مثل زاينده‌رود و نحوه، پس حق اين است كه صاحب سده و اراضى فوق، مختار است در تصرّف در آب، به مقدار اراضى سابقه، به قدر متعارف در زرع به ميزان خود و در شجر به ميزان خود؛ چنانچه در بعض روايات</w:t>
      </w:r>
      <w:bookmarkStart w:id="39" w:name="pg1910_26258"/>
    </w:p>
    <w:p>
      <w:pPr>
        <w:pStyle w:val="BookText"/>
        <w:rPr/>
      </w:pPr>
      <w:bookmarkEnd w:id="39"/>
      <w:r>
        <w:rPr>
          <w:rFonts w:ascii="Amiri" w:hAnsi="Amiri" w:eastAsia="Amiri" w:cs="Amiri"/>
          <w:color w:val="111111"/>
          <w:sz w:val="28"/>
          <w:sz w:val="28"/>
          <w:szCs w:val="28"/>
          <w:rtl w:val="true"/>
          <w:lang w:bidi="ar-SA"/>
        </w:rPr>
        <w:t xml:space="preserve">هم از سيّد أنبياء صلّى اللّه عليه و آله تحديد شده؛ </w:t>
      </w:r>
      <w:r>
        <w:rPr>
          <w:rStyle w:val="FootnoteAnchor"/>
          <w:rtl w:val="true"/>
        </w:rPr>
        <w:footnoteReference w:id="36"/>
      </w:r>
      <w:r>
        <w:rPr>
          <w:rFonts w:ascii="IRNazanin" w:hAnsi="IRNazanin" w:eastAsia="IRNazanin"/>
          <w:color w:val="111111"/>
          <w:sz w:val="28"/>
          <w:sz w:val="28"/>
          <w:szCs w:val="28"/>
          <w:rtl w:val="true"/>
          <w:lang w:bidi="fa-IR"/>
        </w:rPr>
        <w:t>پس زياده بر اندازه آن اراضى و قدر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جهت أراضى مستحدثه باشد و چه طاحونه، و چه در اراضى سابقه زياده بر متعارف و ميزان 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ندارد، و جائز نيست؛ مگر در وقتى كه مزاحم با حقّ سائرين و لاحقين نشود؛ پس بند و سده را بلند كردن، جهت شرب اراضى سابقه، مانعى ندارد؛ و لو اين كه اراضى پائين و لاحقين، كليّة بائر شود و بخشكد، و امّا اگر به جهت غير آن اراضى يا زايده بر ميزان متعارف باشد، حقّى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جماعتى شريك شوند در حفر 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علّامه در تذكرة </w:t>
      </w:r>
      <w:r>
        <w:rPr>
          <w:rStyle w:val="FootnoteAnchor"/>
          <w:rtl w:val="true"/>
        </w:rPr>
        <w:footnoteReference w:id="37"/>
      </w:r>
      <w:r>
        <w:rPr>
          <w:rFonts w:ascii="IRNazanin" w:hAnsi="IRNazanin" w:eastAsia="IRNazanin"/>
          <w:color w:val="111111"/>
          <w:sz w:val="28"/>
          <w:sz w:val="28"/>
          <w:szCs w:val="28"/>
          <w:rtl w:val="true"/>
          <w:lang w:bidi="fa-IR"/>
        </w:rPr>
        <w:t xml:space="preserve">و قواعد </w:t>
      </w:r>
      <w:r>
        <w:rPr>
          <w:rStyle w:val="FootnoteAnchor"/>
          <w:rtl w:val="true"/>
        </w:rPr>
        <w:footnoteReference w:id="38"/>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نقصان آب، همه على السويّة هستند، و بايد تقسيم شود به يكى از طرق شرعيّة، و تقدّم و تأخّر مكانى در اينجا، باعث اولويّت نخواهد شد</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3283742_3650668749"/>
      <w:bookmarkStart w:id="41" w:name="_Toc15"/>
      <w:bookmarkEnd w:id="40"/>
      <w:r>
        <w:rPr>
          <w:rtl w:val="true"/>
        </w:rPr>
        <w:t xml:space="preserve">مسألة </w:t>
      </w:r>
      <w:r>
        <w:rPr>
          <w:rtl w:val="true"/>
        </w:rPr>
        <w:t>[</w:t>
      </w:r>
      <w:r>
        <w:rPr/>
        <w:t>6</w:t>
      </w:r>
      <w:r>
        <w:rPr>
          <w:rtl w:val="true"/>
        </w:rPr>
        <w:t xml:space="preserve">] </w:t>
      </w:r>
      <w:r>
        <w:rPr>
          <w:rtl w:val="true"/>
        </w:rPr>
        <w:t>مسأله</w:t>
      </w:r>
      <w:r>
        <w:rPr>
          <w:rtl w:val="true"/>
        </w:rPr>
        <w:t xml:space="preserve">: </w:t>
      </w:r>
      <w:r>
        <w:rPr>
          <w:rtl w:val="true"/>
        </w:rPr>
        <w:t>هرگاه ملكى وقف شود بر اولاد ذكور، و اتّفاق بيفتد انقراض آنها، و مقطوع الآخر باشد؛</w:t>
      </w:r>
      <w:bookmarkEnd w:id="41"/>
    </w:p>
    <w:p>
      <w:pPr>
        <w:pStyle w:val="BookText"/>
        <w:rPr/>
      </w:pPr>
      <w:r>
        <w:rPr>
          <w:rFonts w:ascii="Amiri" w:hAnsi="Amiri" w:eastAsia="Amiri" w:cs="Amiri"/>
          <w:color w:val="111111"/>
          <w:sz w:val="28"/>
          <w:sz w:val="28"/>
          <w:szCs w:val="28"/>
          <w:rtl w:val="true"/>
          <w:lang w:bidi="ar-SA"/>
        </w:rPr>
        <w:t>آيا أصل وقف صحيح است يا باطل؟ و بر فرض بطلان، ملك به وارث واقف، مى‌رسد يا موقوف عليه؟</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در دو مقام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در صحّت چنين وقفى است، و در مسأله، سه قول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أوّل، صحّت است وقفا، كما اختاره جماعة منهم الشيخان و ابن البرّاج</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قول دويم، صحّت است حبسا، كما هو مختار جماعة و عليه كثير من المتأخّرين</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قول سيم، بطلان است مطلقا، كما نقله الشيخ الطوسي </w:t>
      </w:r>
      <w:r>
        <w:rPr>
          <w:rStyle w:val="FootnoteAnchor"/>
          <w:rtl w:val="true"/>
        </w:rPr>
        <w:footnoteReference w:id="41"/>
      </w:r>
      <w:r>
        <w:rPr>
          <w:rFonts w:ascii="Amiri" w:hAnsi="Amiri" w:eastAsia="Amiri" w:cs="Amiri"/>
          <w:color w:val="111111"/>
          <w:sz w:val="28"/>
          <w:sz w:val="28"/>
          <w:szCs w:val="28"/>
          <w:rtl w:val="true"/>
          <w:lang w:bidi="ar-SA"/>
        </w:rPr>
        <w:t xml:space="preserve">و لم يتعيّن القائل؛ لكنّه صريح العلّامة في التحرير </w:t>
      </w:r>
      <w:r>
        <w:rPr>
          <w:rStyle w:val="FootnoteAnchor"/>
          <w:rtl w:val="true"/>
        </w:rPr>
        <w:footnoteReference w:id="42"/>
      </w:r>
      <w:r>
        <w:rPr>
          <w:rFonts w:ascii="Amiri" w:hAnsi="Amiri" w:eastAsia="Amiri" w:cs="Amiri"/>
          <w:color w:val="111111"/>
          <w:sz w:val="28"/>
          <w:sz w:val="28"/>
          <w:szCs w:val="28"/>
          <w:rtl w:val="true"/>
          <w:lang w:bidi="ar-SA"/>
        </w:rPr>
        <w:t xml:space="preserve">، و الفخر في الإيضاح </w:t>
      </w:r>
      <w:r>
        <w:rPr>
          <w:rStyle w:val="FootnoteAnchor"/>
          <w:rtl w:val="true"/>
        </w:rPr>
        <w:footnoteReference w:id="43"/>
      </w:r>
      <w:r>
        <w:rPr>
          <w:rFonts w:ascii="Amiri" w:hAnsi="Amiri" w:eastAsia="Amiri" w:cs="Amiri"/>
          <w:color w:val="111111"/>
          <w:sz w:val="28"/>
          <w:sz w:val="28"/>
          <w:szCs w:val="28"/>
          <w:rtl w:val="true"/>
          <w:lang w:bidi="ar-SA"/>
        </w:rPr>
        <w:t>و الأقوى الصحّة حبسا لكن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الواقف قد يوقف و يقصد الوقف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يوقف بقصد الحبس و لو كان بصورة الوقف، و القرينة كون الموقوف عليه ما ينقرض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يكون جاهلا بعنوان الوقف و الحبس، و إنّما يقع منه مجرّد حبس العين و تسبيل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 أن لا يعلم الغرض المقصود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مثل فرض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فالمحكوم بالبطلان إنّما هو الصورة الأولى، و أمّا الثلاثة الأخيرة فيكفي في صحّة الأولين عموم الأدلّة، و فقدان المانع؛ و في الثالث و الأخير أصالة الصحّة في فعل المسلم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مقام دويم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على فرض البطلان فلمن الملك؛ و فيه ثلاثة أقوال </w:t>
      </w:r>
      <w:r>
        <w:rPr>
          <w:rStyle w:val="FootnoteAnchor"/>
          <w:rtl w:val="true"/>
        </w:rPr>
        <w:footnoteReference w:id="44"/>
      </w:r>
      <w:r>
        <w:rPr>
          <w:rFonts w:ascii="Amiri" w:hAnsi="Amiri" w:eastAsia="Amiri" w:cs="Amiri"/>
          <w:color w:val="111111"/>
          <w:sz w:val="28"/>
          <w:sz w:val="28"/>
          <w:szCs w:val="28"/>
          <w:rtl w:val="true"/>
          <w:lang w:bidi="ar-SA"/>
        </w:rPr>
        <w:t>، و الأقوى رجوعه إلى الواقف لو كان حيّا، و إلّا فإلى وارثه دون الموقوف عليه؛ و المعيار في الوارث</w:t>
      </w:r>
      <w:bookmarkStart w:id="42" w:name="pg1910_26260"/>
    </w:p>
    <w:p>
      <w:pPr>
        <w:pStyle w:val="BookText"/>
        <w:rPr/>
      </w:pPr>
      <w:bookmarkEnd w:id="42"/>
      <w:r>
        <w:rPr>
          <w:rFonts w:ascii="Amiri" w:hAnsi="Amiri" w:eastAsia="Amiri" w:cs="Amiri"/>
          <w:color w:val="111111"/>
          <w:sz w:val="28"/>
          <w:sz w:val="28"/>
          <w:szCs w:val="28"/>
          <w:rtl w:val="true"/>
          <w:lang w:bidi="ar-SA"/>
        </w:rPr>
        <w:t>هو الوارث حين الفوت، لا حين الانقراض</w:t>
      </w:r>
      <w:r>
        <w:rPr>
          <w:rFonts w:eastAsia="Amiri" w:cs="Amiri" w:ascii="Amiri" w:hAnsi="Amiri"/>
          <w:color w:val="111111"/>
          <w:sz w:val="28"/>
          <w:szCs w:val="28"/>
          <w:rtl w:val="true"/>
          <w:lang w:bidi="ar-SA"/>
        </w:rPr>
        <w:t xml:space="preserve">. </w:t>
      </w:r>
      <w:r>
        <w:rPr>
          <w:rStyle w:val="FootnoteAnchor"/>
          <w:rtl w:val="true"/>
        </w:rPr>
        <w:footnoteReference w:id="45"/>
      </w:r>
    </w:p>
    <w:p>
      <w:pPr>
        <w:pStyle w:val="Heading3"/>
        <w:numPr>
          <w:ilvl w:val="2"/>
          <w:numId w:val="1"/>
        </w:numPr>
        <w:rPr/>
      </w:pPr>
      <w:bookmarkStart w:id="43" w:name="__RefHeading___Toc3283744_3650668749"/>
      <w:bookmarkStart w:id="44" w:name="_Toc16"/>
      <w:bookmarkEnd w:id="43"/>
      <w:r>
        <w:rPr>
          <w:rtl w:val="true"/>
        </w:rPr>
        <w:t xml:space="preserve">مسألة </w:t>
      </w:r>
      <w:r>
        <w:rPr>
          <w:rtl w:val="true"/>
        </w:rPr>
        <w:t>[</w:t>
      </w:r>
      <w:r>
        <w:rPr/>
        <w:t>7</w:t>
      </w:r>
      <w:r>
        <w:rPr>
          <w:rtl w:val="true"/>
        </w:rPr>
        <w:t xml:space="preserve">] </w:t>
      </w:r>
      <w:r>
        <w:rPr>
          <w:rtl w:val="true"/>
        </w:rPr>
        <w:t>زيدى فوت شده پدر و مادر دارد، و لكن پدرش بابى است؛ چنين پدرى إرث مى‌برد يا خير؟</w:t>
      </w:r>
      <w:bookmarkEnd w:id="44"/>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بابى در عناوين أخبار اهل بيت عليهم السّلام نيست؛ بلى شيخ اجل شيخ ابى جعفر طوسى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اعاظم علماء شيعه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خود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البابيّة لعنهم اللّه</w:t>
      </w:r>
      <w:r>
        <w:rPr>
          <w:rFonts w:eastAsia="Amiri" w:cs="Amiri" w:ascii="Amiri" w:hAnsi="Amiri"/>
          <w:color w:val="111111"/>
          <w:sz w:val="28"/>
          <w:szCs w:val="28"/>
          <w:rtl w:val="true"/>
          <w:lang w:bidi="ar-SA"/>
        </w:rPr>
        <w:t xml:space="preserve">» </w:t>
      </w:r>
      <w:r>
        <w:rPr>
          <w:rStyle w:val="FootnoteAnchor"/>
          <w:rtl w:val="true"/>
        </w:rPr>
        <w:footnoteReference w:id="46"/>
      </w:r>
      <w:r>
        <w:rPr>
          <w:rFonts w:ascii="IRNazanin" w:hAnsi="IRNazanin" w:eastAsia="IRNazanin"/>
          <w:color w:val="111111"/>
          <w:sz w:val="28"/>
          <w:sz w:val="28"/>
          <w:szCs w:val="28"/>
          <w:rtl w:val="true"/>
          <w:lang w:bidi="fa-IR"/>
        </w:rPr>
        <w:t>، بلى اين طائفه معروفه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محقّق است و به شياع و تواتر شنيده شده است قائل هستند به نسخ احكام شريعت سيّد انام، و قائل به اين قول، خارج از اسلام است، و اگر بخواهيم كفريّات آنها را جمع كنم مثنوى هفتاد من كاغذ شود، إجمالا به ضرورت شريعت سيّد انام، اين فرقۀ ضالّه، تمام احكام كفر بر آنها جارى است، و فرقى نيست ما بين طوائف آنها از أزلى، و بهائى، و تابع عباس افندى لعنة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به واسطۀ شهوانيّت نفسانيّة، كسى با آنها محشور باشد؛ و به اعتقادات اسلاميّة باقى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المسموع في كثير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به كفر نمى‌شود، و اللّه العالم</w:t>
      </w:r>
      <w:r>
        <w:rPr>
          <w:rFonts w:eastAsia="IRNazanin" w:cs="IRNazanin"/>
          <w:color w:val="111111"/>
          <w:sz w:val="28"/>
          <w:szCs w:val="28"/>
          <w:rtl w:val="true"/>
          <w:lang w:bidi="fa-IR"/>
        </w:rPr>
        <w:t>.</w:t>
      </w:r>
    </w:p>
    <w:p>
      <w:pPr>
        <w:pStyle w:val="Heading3"/>
        <w:numPr>
          <w:ilvl w:val="2"/>
          <w:numId w:val="1"/>
        </w:numPr>
        <w:rPr/>
      </w:pPr>
      <w:bookmarkStart w:id="45" w:name="__RefHeading___Toc3283746_3650668749"/>
      <w:bookmarkStart w:id="46" w:name="_Toc17"/>
      <w:bookmarkEnd w:id="45"/>
      <w:r>
        <w:rPr>
          <w:rtl w:val="true"/>
        </w:rPr>
        <w:t xml:space="preserve">مسألة </w:t>
      </w:r>
      <w:r>
        <w:rPr>
          <w:rtl w:val="true"/>
        </w:rPr>
        <w:t>[</w:t>
      </w:r>
      <w:r>
        <w:rPr/>
        <w:t>8</w:t>
      </w:r>
      <w:r>
        <w:rPr>
          <w:rtl w:val="true"/>
        </w:rPr>
        <w:t xml:space="preserve">] </w:t>
      </w:r>
      <w:r>
        <w:rPr>
          <w:rtl w:val="true"/>
        </w:rPr>
        <w:t>زيدى است پنج شش سال است رفته، و مفقود الخبر شده أوّلا بفرمائيد تكليف زوجه او چيست؟ و ثانيا اموال او را بايد چه كسى تصرّف كند؟</w:t>
      </w:r>
      <w:bookmarkEnd w:id="4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مى‌شود وارث او تقسيم كنند يا خير؟ متّع اللّه المسلمين بطول بقائكم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اجمالى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زوجه، پس اولى و احوط صبر كردن است تا عمر طبيعى شوهرش برسد، آن وقت مختار است؛ و الّا بايد عرض حال خود را به حاكم شرع جامع الشرائط بنمايد، و حاكم او را امر كند به تربّص و صبر تا چهار سال، و در خلال اين مدّت فحص، از تمام جهاتى كه محتمل است اين شخص در آنجا باشد به إرسال رسل و مكاتيب بنمايد، و بعد از يأس و انقضاء مدّت، أحوط اين است كه حاكم طلاق بگويد، و بعد از عدّه مى‌تواند شوهر كند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امّا حكم اموالش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الأحوط الصبر أيضا إلى انقضاء العمر الطبيعي، و هو مقتضى الاستصحاب أيضا من جهتين، و عليه جماعة من القدماء و المتأخّرين</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 قيل بالصبر إلى عشر سنين؛ </w:t>
      </w:r>
      <w:r>
        <w:rPr>
          <w:rStyle w:val="FootnoteAnchor"/>
          <w:rtl w:val="true"/>
        </w:rPr>
        <w:footnoteReference w:id="49"/>
      </w:r>
      <w:r>
        <w:rPr>
          <w:rFonts w:ascii="Amiri" w:hAnsi="Amiri" w:eastAsia="Amiri" w:cs="Amiri"/>
          <w:color w:val="111111"/>
          <w:sz w:val="28"/>
          <w:sz w:val="28"/>
          <w:szCs w:val="28"/>
          <w:rtl w:val="true"/>
          <w:lang w:bidi="ar-SA"/>
        </w:rPr>
        <w:t>نظرا إلى بعض الروايات</w:t>
      </w:r>
      <w:r>
        <w:rPr>
          <w:rFonts w:eastAsia="Amiri" w:cs="Amiri" w:ascii="Amiri" w:hAnsi="Amiri"/>
          <w:color w:val="111111"/>
          <w:sz w:val="28"/>
          <w:szCs w:val="28"/>
          <w:rtl w:val="true"/>
          <w:lang w:bidi="ar-SA"/>
        </w:rPr>
        <w:t xml:space="preserve">. </w:t>
      </w:r>
      <w:r>
        <w:rPr>
          <w:rStyle w:val="FootnoteAnchor"/>
          <w:rtl w:val="true"/>
        </w:rPr>
        <w:footnoteReference w:id="5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السيّد المرتضى </w:t>
      </w:r>
      <w:r>
        <w:rPr>
          <w:rStyle w:val="FootnoteAnchor"/>
          <w:rtl w:val="true"/>
        </w:rPr>
        <w:footnoteReference w:id="51"/>
      </w:r>
      <w:r>
        <w:rPr>
          <w:rFonts w:ascii="Amiri" w:hAnsi="Amiri" w:eastAsia="Amiri" w:cs="Amiri"/>
          <w:color w:val="111111"/>
          <w:sz w:val="28"/>
          <w:sz w:val="28"/>
          <w:szCs w:val="28"/>
          <w:rtl w:val="true"/>
          <w:lang w:bidi="ar-SA"/>
        </w:rPr>
        <w:t>اختار أربع سنين؛ للإجماع، و الأولويّة بالنسبة إلى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pStyle w:val="BookText"/>
        <w:rPr/>
      </w:pPr>
      <w:r>
        <w:rPr>
          <w:rFonts w:ascii="Amiri" w:hAnsi="Amiri" w:eastAsia="Amiri" w:cs="Amiri"/>
          <w:color w:val="111111"/>
          <w:sz w:val="28"/>
          <w:sz w:val="28"/>
          <w:szCs w:val="28"/>
          <w:rtl w:val="true"/>
          <w:lang w:bidi="ar-SA"/>
        </w:rPr>
        <w:t>في مسئلة الفضولي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لحديثين صحيحين </w:t>
      </w:r>
      <w:r>
        <w:rPr>
          <w:rStyle w:val="FootnoteAnchor"/>
          <w:rtl w:val="true"/>
        </w:rPr>
        <w:footnoteReference w:id="52"/>
      </w:r>
      <w:r>
        <w:rPr>
          <w:rFonts w:ascii="Amiri" w:hAnsi="Amiri" w:eastAsia="Amiri" w:cs="Amiri"/>
          <w:color w:val="111111"/>
          <w:sz w:val="28"/>
          <w:sz w:val="28"/>
          <w:szCs w:val="28"/>
          <w:rtl w:val="true"/>
          <w:lang w:bidi="ar-SA"/>
        </w:rPr>
        <w:t>أحدهما صحيحة سماعة؛ و هذا 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ذهاب جمع من المتأخّرين كالمحقّق القمي </w:t>
      </w:r>
      <w:r>
        <w:rPr>
          <w:rStyle w:val="FootnoteAnchor"/>
          <w:rtl w:val="true"/>
        </w:rPr>
        <w:footnoteReference w:id="53"/>
      </w:r>
      <w:r>
        <w:rPr>
          <w:rFonts w:ascii="Amiri" w:hAnsi="Amiri" w:eastAsia="Amiri" w:cs="Amiri"/>
          <w:color w:val="111111"/>
          <w:sz w:val="28"/>
          <w:sz w:val="28"/>
          <w:szCs w:val="28"/>
          <w:rtl w:val="true"/>
          <w:lang w:bidi="ar-SA"/>
        </w:rPr>
        <w:t xml:space="preserve">و غيره </w:t>
      </w:r>
      <w:r>
        <w:rPr>
          <w:rStyle w:val="FootnoteAnchor"/>
          <w:rtl w:val="true"/>
        </w:rPr>
        <w:footnoteReference w:id="54"/>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صرّح بذلك مع الإمكان و مع عدمه بالصبر إلى العمر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يستشكل في سماعة بكونه من الموثّقات، نظرا إلى رميه بالوقف في بعض الكلمات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بزرگان روات و از چهره‌هاى سرشناس مى‌باشد و چنانچه او از طايفۀ واقفه مى‌بود اين مطلب شايع و ظاهر مى‌شد اما مرحوم برقى و كشّى و نجاشى متعرض اين مطلب نشده‌اند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نجاشى در شرح حال وى كلمۀ ثقه را به كار برده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غضائرى كه به اين امور اهتمام ويژه‌اى دارد سخنى در اين رابطه نگفته است؛ براى توضيح بيشتر رجوع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الرجاليّة الميسّرة،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شمارۀ </w:t>
      </w:r>
      <w:r>
        <w:rPr>
          <w:rFonts w:eastAsia="IRNazanin" w:cs="IRNazanin"/>
          <w:color w:val="111111"/>
          <w:sz w:val="28"/>
          <w:szCs w:val="28"/>
          <w:lang w:bidi="fa-IR"/>
        </w:rPr>
        <w:t>2744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الفحص عن كفاية الإجماع و الصحيح الآخر </w:t>
      </w:r>
      <w:r>
        <w:rPr>
          <w:rStyle w:val="FootnoteAnchor"/>
          <w:rtl w:val="true"/>
        </w:rPr>
        <w:footnoteReference w:id="56"/>
      </w:r>
      <w:r>
        <w:rPr>
          <w:rFonts w:ascii="Amiri" w:hAnsi="Amiri" w:eastAsia="Amiri" w:cs="Amiri"/>
          <w:color w:val="111111"/>
          <w:sz w:val="28"/>
          <w:sz w:val="28"/>
          <w:szCs w:val="28"/>
          <w:rtl w:val="true"/>
          <w:lang w:bidi="ar-SA"/>
        </w:rPr>
        <w:t>و حجيّة الموثّقات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بكون سماعة موثّقا لا صحيحا ناش من قلّة التتبّع؛ فإنّ الوقف على أقسام</w:t>
      </w:r>
      <w:r>
        <w:rPr>
          <w:rFonts w:eastAsia="Amiri" w:cs="Amiri" w:ascii="Amiri" w:hAnsi="Amiri"/>
          <w:color w:val="111111"/>
          <w:sz w:val="28"/>
          <w:szCs w:val="28"/>
          <w:rtl w:val="true"/>
          <w:lang w:bidi="ar-SA"/>
        </w:rPr>
        <w:t>.</w:t>
      </w:r>
      <w:bookmarkStart w:id="47" w:name="pg1910_26263"/>
    </w:p>
    <w:p>
      <w:pPr>
        <w:pStyle w:val="BookText"/>
        <w:rPr/>
      </w:pPr>
      <w:bookmarkEnd w:id="47"/>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روى عن الصادق عليه السّلام أنّ الكاظم عليه السّلام قائم و إمام الزمان </w:t>
      </w:r>
      <w:r>
        <w:rPr>
          <w:rStyle w:val="FootnoteAnchor"/>
          <w:rtl w:val="true"/>
        </w:rPr>
        <w:footnoteReference w:id="57"/>
      </w:r>
      <w:r>
        <w:rPr>
          <w:rFonts w:ascii="Amiri" w:hAnsi="Amiri" w:eastAsia="Amiri" w:cs="Amiri"/>
          <w:color w:val="111111"/>
          <w:sz w:val="28"/>
          <w:sz w:val="28"/>
          <w:szCs w:val="28"/>
          <w:rtl w:val="true"/>
          <w:lang w:bidi="ar-SA"/>
        </w:rPr>
        <w:t>مع الغفلة عن أنّ كلّ إمام كذلك؛ و إن كان الذي يملأ الأرض قسطا و عدلا هو الثاني عشر مع موته في حياة الكاظم عليه السّلام كسماعة و هو صحيح لعدم لزوم الاعتقاد بالإمام اللاحق الذي لم يدرك زمانه و إلّا لزم ضعف مثل زرارة و أضرابه، و هو باطل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ذلك و أدرك الرضا عليه السّلام مع عدم المعادات معه و هو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أدركه مع إظهار المعادات كالبطائني؛ و هو ضعيف فيرتفع أصل الإشكال فتدبّر و اغتنم</w:t>
      </w:r>
      <w:r>
        <w:rPr>
          <w:rFonts w:eastAsia="Amiri" w:cs="Amiri" w:ascii="Amiri" w:hAnsi="Amiri"/>
          <w:color w:val="111111"/>
          <w:sz w:val="28"/>
          <w:szCs w:val="28"/>
          <w:rtl w:val="true"/>
          <w:lang w:bidi="ar-SA"/>
        </w:rPr>
        <w:t xml:space="preserve">. </w:t>
      </w:r>
      <w:r>
        <w:rPr>
          <w:rStyle w:val="FootnoteAnchor"/>
          <w:rtl w:val="true"/>
        </w:rPr>
        <w:footnoteReference w:id="58"/>
      </w:r>
    </w:p>
    <w:p>
      <w:pPr>
        <w:pStyle w:val="Heading3"/>
        <w:numPr>
          <w:ilvl w:val="2"/>
          <w:numId w:val="1"/>
        </w:numPr>
        <w:rPr/>
      </w:pPr>
      <w:bookmarkStart w:id="48" w:name="__RefHeading___Toc3283748_3650668749"/>
      <w:bookmarkStart w:id="49" w:name="_Toc18"/>
      <w:bookmarkEnd w:id="48"/>
      <w:r>
        <w:rPr>
          <w:rtl w:val="true"/>
        </w:rPr>
        <w:t xml:space="preserve">مسألة </w:t>
      </w:r>
      <w:r>
        <w:rPr>
          <w:rtl w:val="true"/>
        </w:rPr>
        <w:t>[</w:t>
      </w:r>
      <w:r>
        <w:rPr/>
        <w:t>9</w:t>
      </w:r>
      <w:r>
        <w:rPr>
          <w:rtl w:val="true"/>
        </w:rPr>
        <w:t xml:space="preserve">] </w:t>
      </w:r>
      <w:r>
        <w:rPr>
          <w:rtl w:val="true"/>
        </w:rPr>
        <w:t>حجة الإسلاما</w:t>
      </w:r>
      <w:r>
        <w:rPr>
          <w:rtl w:val="true"/>
        </w:rPr>
        <w:t xml:space="preserve">- </w:t>
      </w:r>
      <w:r>
        <w:rPr>
          <w:rtl w:val="true"/>
        </w:rPr>
        <w:t>أدام اللّه ظلّكم</w:t>
      </w:r>
      <w:r>
        <w:rPr>
          <w:rtl w:val="true"/>
        </w:rPr>
        <w:t xml:space="preserve">- </w:t>
      </w:r>
      <w:r>
        <w:rPr>
          <w:rtl w:val="true"/>
        </w:rPr>
        <w:t>چه مى‌فرماييد در اين مسأله</w:t>
      </w:r>
      <w:r>
        <w:rPr>
          <w:rtl w:val="true"/>
        </w:rPr>
        <w:t xml:space="preserve">: </w:t>
      </w:r>
      <w:r>
        <w:rPr>
          <w:rtl w:val="true"/>
        </w:rPr>
        <w:t>هرگاه زيدى پسرى و دخترى دارد، هر دو فوت شده‌اند،</w:t>
      </w:r>
      <w:bookmarkEnd w:id="49"/>
    </w:p>
    <w:p>
      <w:pPr>
        <w:pStyle w:val="BookText"/>
        <w:rPr/>
      </w:pPr>
      <w:r>
        <w:rPr>
          <w:rFonts w:ascii="IRNazanin" w:hAnsi="IRNazanin" w:eastAsia="IRNazanin"/>
          <w:color w:val="111111"/>
          <w:sz w:val="28"/>
          <w:sz w:val="28"/>
          <w:szCs w:val="28"/>
          <w:rtl w:val="true"/>
          <w:lang w:bidi="fa-IR"/>
        </w:rPr>
        <w:t>و از پسرش دخترى، و از دخترش پسرى دارد كه جدّ اين دو مى‌شود، و آنها را به يكديگر تزويج مى‌كند، و پسر اظهار كراهت مى‌كند؛ و امضاء نمى‌كند؛ و فرار مى‌كند؛ و قريب پنج سال مفقود الخبر شده، حاليّه زيد هم فوت شده، مادر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عروس زيد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مهريه دخترش را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حقى را دارد يا خير؟ و آيا صغارت و كبارت متزاوجين، يا احدهما، باعث اختلاف حكم مى‌شود؟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جواب از اين مسأله در ضمن چهارده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أوّل اين است كه آيا شرط است در ولايت جدّ أبى، بقاء پدر، يا شرط نيست؟ مسأله محلّ خلاف است</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صريح صدوق </w:t>
      </w:r>
      <w:r>
        <w:rPr>
          <w:rStyle w:val="FootnoteAnchor"/>
          <w:rtl w:val="true"/>
        </w:rPr>
        <w:footnoteReference w:id="60"/>
      </w:r>
      <w:r>
        <w:rPr>
          <w:rFonts w:ascii="Amiri" w:hAnsi="Amiri" w:eastAsia="Amiri" w:cs="Amiri"/>
          <w:color w:val="111111"/>
          <w:sz w:val="28"/>
          <w:sz w:val="28"/>
          <w:szCs w:val="28"/>
          <w:rtl w:val="true"/>
          <w:lang w:bidi="ar-SA"/>
        </w:rPr>
        <w:t xml:space="preserve">و شيخ طوسى در خلاف </w:t>
      </w:r>
      <w:r>
        <w:rPr>
          <w:rStyle w:val="FootnoteAnchor"/>
          <w:rtl w:val="true"/>
        </w:rPr>
        <w:footnoteReference w:id="61"/>
      </w:r>
      <w:r>
        <w:rPr>
          <w:rFonts w:ascii="Amiri" w:hAnsi="Amiri" w:eastAsia="Amiri" w:cs="Amiri"/>
          <w:color w:val="111111"/>
          <w:sz w:val="28"/>
          <w:sz w:val="28"/>
          <w:szCs w:val="28"/>
          <w:rtl w:val="true"/>
          <w:lang w:bidi="ar-SA"/>
        </w:rPr>
        <w:t xml:space="preserve">و نهايه </w:t>
      </w:r>
      <w:r>
        <w:rPr>
          <w:rStyle w:val="FootnoteAnchor"/>
          <w:rtl w:val="true"/>
        </w:rPr>
        <w:footnoteReference w:id="62"/>
      </w:r>
      <w:r>
        <w:rPr>
          <w:rFonts w:ascii="Amiri" w:hAnsi="Amiri" w:eastAsia="Amiri" w:cs="Amiri"/>
          <w:color w:val="111111"/>
          <w:sz w:val="28"/>
          <w:sz w:val="28"/>
          <w:szCs w:val="28"/>
          <w:rtl w:val="true"/>
          <w:lang w:bidi="ar-SA"/>
        </w:rPr>
        <w:t xml:space="preserve">قول اوّل است، و حكايت شده از مبسوط </w:t>
      </w:r>
      <w:r>
        <w:rPr>
          <w:rStyle w:val="FootnoteAnchor"/>
          <w:rtl w:val="true"/>
        </w:rPr>
        <w:footnoteReference w:id="63"/>
      </w:r>
      <w:r>
        <w:rPr>
          <w:rFonts w:ascii="Amiri" w:hAnsi="Amiri" w:eastAsia="Amiri" w:cs="Amiri"/>
          <w:color w:val="111111"/>
          <w:sz w:val="28"/>
          <w:sz w:val="28"/>
          <w:szCs w:val="28"/>
          <w:rtl w:val="true"/>
          <w:lang w:bidi="ar-SA"/>
        </w:rPr>
        <w:t xml:space="preserve">نيز، و اختيار كرده‌اند آن را، إسكافى </w:t>
      </w:r>
      <w:r>
        <w:rPr>
          <w:rStyle w:val="FootnoteAnchor"/>
          <w:rtl w:val="true"/>
        </w:rPr>
        <w:footnoteReference w:id="64"/>
      </w:r>
      <w:r>
        <w:rPr>
          <w:rFonts w:ascii="IRNazanin" w:hAnsi="IRNazanin" w:eastAsia="IRNazanin"/>
          <w:color w:val="111111"/>
          <w:sz w:val="28"/>
          <w:sz w:val="28"/>
          <w:szCs w:val="28"/>
          <w:rtl w:val="true"/>
          <w:lang w:bidi="fa-IR"/>
        </w:rPr>
        <w:t xml:space="preserve">، و حلبى </w:t>
      </w:r>
      <w:r>
        <w:rPr>
          <w:rStyle w:val="FootnoteAnchor"/>
          <w:rtl w:val="true"/>
        </w:rPr>
        <w:footnoteReference w:id="65"/>
      </w:r>
      <w:r>
        <w:rPr>
          <w:rFonts w:ascii="Amiri" w:hAnsi="Amiri" w:eastAsia="Amiri" w:cs="Amiri"/>
          <w:color w:val="111111"/>
          <w:sz w:val="28"/>
          <w:sz w:val="28"/>
          <w:szCs w:val="28"/>
          <w:rtl w:val="true"/>
          <w:lang w:bidi="ar-SA"/>
        </w:rPr>
        <w:t xml:space="preserve">، و ديلمى </w:t>
      </w:r>
      <w:r>
        <w:rPr>
          <w:rStyle w:val="FootnoteAnchor"/>
          <w:rtl w:val="true"/>
        </w:rPr>
        <w:footnoteReference w:id="66"/>
      </w:r>
      <w:r>
        <w:rPr>
          <w:rFonts w:ascii="IRNazanin" w:hAnsi="IRNazanin" w:eastAsia="IRNazanin"/>
          <w:color w:val="111111"/>
          <w:sz w:val="28"/>
          <w:sz w:val="28"/>
          <w:szCs w:val="28"/>
          <w:rtl w:val="true"/>
          <w:lang w:bidi="fa-IR"/>
        </w:rPr>
        <w:t xml:space="preserve">، و الصهرشتى </w:t>
      </w:r>
      <w:r>
        <w:rPr>
          <w:rStyle w:val="FootnoteAnchor"/>
          <w:rtl w:val="true"/>
        </w:rPr>
        <w:footnoteReference w:id="67"/>
      </w:r>
      <w:r>
        <w:rPr>
          <w:rFonts w:ascii="IRNazanin" w:hAnsi="IRNazanin" w:eastAsia="IRNazanin"/>
          <w:color w:val="111111"/>
          <w:sz w:val="28"/>
          <w:sz w:val="28"/>
          <w:szCs w:val="28"/>
          <w:rtl w:val="true"/>
          <w:lang w:bidi="fa-IR"/>
        </w:rPr>
        <w:t xml:space="preserve">، و قطب راوندى </w:t>
      </w:r>
      <w:r>
        <w:rPr>
          <w:rStyle w:val="FootnoteAnchor"/>
          <w:rtl w:val="true"/>
        </w:rPr>
        <w:footnoteReference w:id="68"/>
      </w:r>
      <w:r>
        <w:rPr>
          <w:rFonts w:ascii="Amiri" w:hAnsi="Amiri" w:eastAsia="Amiri" w:cs="Amiri"/>
          <w:color w:val="111111"/>
          <w:sz w:val="28"/>
          <w:sz w:val="28"/>
          <w:szCs w:val="28"/>
          <w:rtl w:val="true"/>
          <w:lang w:bidi="ar-SA"/>
        </w:rPr>
        <w:t xml:space="preserve">، و ابن زهرة </w:t>
      </w:r>
      <w:r>
        <w:rPr>
          <w:rStyle w:val="FootnoteAnchor"/>
          <w:rtl w:val="true"/>
        </w:rPr>
        <w:footnoteReference w:id="6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حمزة </w:t>
      </w:r>
      <w:r>
        <w:rPr>
          <w:rStyle w:val="FootnoteAnchor"/>
          <w:rtl w:val="true"/>
        </w:rPr>
        <w:footnoteReference w:id="70"/>
      </w:r>
      <w:r>
        <w:rPr>
          <w:rFonts w:ascii="Amiri" w:hAnsi="Amiri" w:eastAsia="Amiri" w:cs="Amiri"/>
          <w:color w:val="111111"/>
          <w:sz w:val="28"/>
          <w:sz w:val="28"/>
          <w:szCs w:val="28"/>
          <w:rtl w:val="true"/>
          <w:lang w:bidi="ar-SA"/>
        </w:rPr>
        <w:t xml:space="preserve">و ميل كرده به سوى او قطب رازى </w:t>
      </w:r>
      <w:r>
        <w:rPr>
          <w:rStyle w:val="FootnoteAnchor"/>
          <w:rtl w:val="true"/>
        </w:rPr>
        <w:footnoteReference w:id="71"/>
      </w:r>
      <w:r>
        <w:rPr>
          <w:rFonts w:ascii="Amiri" w:hAnsi="Amiri" w:eastAsia="Amiri" w:cs="Amiri"/>
          <w:color w:val="111111"/>
          <w:sz w:val="28"/>
          <w:sz w:val="28"/>
          <w:szCs w:val="28"/>
          <w:rtl w:val="true"/>
          <w:lang w:bidi="ar-SA"/>
        </w:rPr>
        <w:t xml:space="preserve">از متأخرين، و در خلاف </w:t>
      </w:r>
      <w:r>
        <w:rPr>
          <w:rStyle w:val="FootnoteAnchor"/>
          <w:rtl w:val="true"/>
        </w:rPr>
        <w:footnoteReference w:id="72"/>
      </w:r>
      <w:r>
        <w:rPr>
          <w:rFonts w:ascii="Amiri" w:hAnsi="Amiri" w:eastAsia="Amiri" w:cs="Amiri"/>
          <w:color w:val="111111"/>
          <w:sz w:val="28"/>
          <w:sz w:val="28"/>
          <w:szCs w:val="28"/>
          <w:rtl w:val="true"/>
          <w:lang w:bidi="ar-SA"/>
        </w:rPr>
        <w:t xml:space="preserve">ادّعاى إجماع كرده صريحا، و ابن زهره </w:t>
      </w:r>
      <w:r>
        <w:rPr>
          <w:rStyle w:val="FootnoteAnchor"/>
          <w:rtl w:val="true"/>
        </w:rPr>
        <w:footnoteReference w:id="73"/>
      </w:r>
      <w:r>
        <w:rPr>
          <w:rFonts w:ascii="Amiri" w:hAnsi="Amiri" w:eastAsia="Amiri" w:cs="Amiri"/>
          <w:color w:val="111111"/>
          <w:sz w:val="28"/>
          <w:sz w:val="28"/>
          <w:szCs w:val="28"/>
          <w:rtl w:val="true"/>
          <w:lang w:bidi="ar-SA"/>
        </w:rPr>
        <w:t xml:space="preserve">ظاهرا؛ و محكي از مفيد </w:t>
      </w:r>
      <w:r>
        <w:rPr>
          <w:rStyle w:val="FootnoteAnchor"/>
          <w:rtl w:val="true"/>
        </w:rPr>
        <w:footnoteReference w:id="74"/>
      </w:r>
      <w:r>
        <w:rPr>
          <w:rFonts w:ascii="Amiri" w:hAnsi="Amiri" w:eastAsia="Amiri" w:cs="Amiri"/>
          <w:color w:val="111111"/>
          <w:sz w:val="28"/>
          <w:sz w:val="28"/>
          <w:szCs w:val="28"/>
          <w:rtl w:val="true"/>
          <w:lang w:bidi="ar-SA"/>
        </w:rPr>
        <w:t xml:space="preserve">، و سيّد </w:t>
      </w:r>
      <w:r>
        <w:rPr>
          <w:rStyle w:val="FootnoteAnchor"/>
          <w:rtl w:val="true"/>
        </w:rPr>
        <w:footnoteReference w:id="75"/>
      </w:r>
      <w:r>
        <w:rPr>
          <w:rFonts w:ascii="Amiri" w:hAnsi="Amiri" w:eastAsia="Amiri" w:cs="Amiri"/>
          <w:color w:val="111111"/>
          <w:sz w:val="28"/>
          <w:sz w:val="28"/>
          <w:szCs w:val="28"/>
          <w:rtl w:val="true"/>
          <w:lang w:bidi="ar-SA"/>
        </w:rPr>
        <w:t xml:space="preserve">، و ابن إدريس </w:t>
      </w:r>
      <w:r>
        <w:rPr>
          <w:rStyle w:val="FootnoteAnchor"/>
          <w:rtl w:val="true"/>
        </w:rPr>
        <w:footnoteReference w:id="76"/>
      </w:r>
      <w:r>
        <w:rPr>
          <w:rFonts w:ascii="IRNazanin" w:hAnsi="IRNazanin" w:eastAsia="IRNazanin"/>
          <w:color w:val="111111"/>
          <w:sz w:val="28"/>
          <w:sz w:val="28"/>
          <w:szCs w:val="28"/>
          <w:rtl w:val="true"/>
          <w:lang w:bidi="fa-IR"/>
        </w:rPr>
        <w:t xml:space="preserve">، و صاحب جامع </w:t>
      </w:r>
      <w:r>
        <w:rPr>
          <w:rStyle w:val="FootnoteAnchor"/>
          <w:rtl w:val="true"/>
        </w:rPr>
        <w:footnoteReference w:id="77"/>
      </w:r>
      <w:r>
        <w:rPr>
          <w:rFonts w:ascii="Amiri" w:hAnsi="Amiri" w:eastAsia="Amiri" w:cs="Amiri"/>
          <w:color w:val="111111"/>
          <w:sz w:val="28"/>
          <w:sz w:val="28"/>
          <w:szCs w:val="28"/>
          <w:rtl w:val="true"/>
          <w:lang w:bidi="ar-SA"/>
        </w:rPr>
        <w:t xml:space="preserve">، و محقّق </w:t>
      </w:r>
      <w:r>
        <w:rPr>
          <w:rStyle w:val="FootnoteAnchor"/>
          <w:rtl w:val="true"/>
        </w:rPr>
        <w:footnoteReference w:id="78"/>
      </w:r>
      <w:r>
        <w:rPr>
          <w:rFonts w:ascii="Amiri" w:hAnsi="Amiri" w:eastAsia="Amiri" w:cs="Amiri"/>
          <w:color w:val="111111"/>
          <w:sz w:val="28"/>
          <w:sz w:val="28"/>
          <w:szCs w:val="28"/>
          <w:rtl w:val="true"/>
          <w:lang w:bidi="ar-SA"/>
        </w:rPr>
        <w:t xml:space="preserve">و علّامه در بعض كتب </w:t>
      </w:r>
      <w:r>
        <w:rPr>
          <w:rStyle w:val="FootnoteAnchor"/>
          <w:rtl w:val="true"/>
        </w:rPr>
        <w:footnoteReference w:id="79"/>
      </w:r>
      <w:r>
        <w:rPr>
          <w:rFonts w:ascii="Amiri" w:hAnsi="Amiri" w:eastAsia="Amiri" w:cs="Amiri"/>
          <w:color w:val="111111"/>
          <w:sz w:val="28"/>
          <w:sz w:val="28"/>
          <w:szCs w:val="28"/>
          <w:rtl w:val="true"/>
          <w:lang w:bidi="ar-SA"/>
        </w:rPr>
        <w:t xml:space="preserve">، قول ثانى است كه عدم اشتراط باشد، و اختيار كرده است اين قول را جمله‌اى از متأخّر متأخّرين ممن قاربوا عصرنا، </w:t>
      </w:r>
      <w:r>
        <w:rPr>
          <w:rStyle w:val="FootnoteAnchor"/>
          <w:rtl w:val="true"/>
        </w:rPr>
        <w:footnoteReference w:id="80"/>
      </w:r>
      <w:r>
        <w:rPr>
          <w:rFonts w:ascii="Amiri" w:hAnsi="Amiri" w:eastAsia="Amiri" w:cs="Amiri"/>
          <w:color w:val="111111"/>
          <w:sz w:val="28"/>
          <w:sz w:val="28"/>
          <w:szCs w:val="28"/>
          <w:rtl w:val="true"/>
          <w:lang w:bidi="ar-SA"/>
        </w:rPr>
        <w:t>و دليل اين قول استصحاب است؛ و بودن ولايت</w:t>
      </w:r>
    </w:p>
    <w:p>
      <w:pPr>
        <w:pStyle w:val="BookText"/>
        <w:rPr/>
      </w:pPr>
      <w:r>
        <w:rPr>
          <w:rFonts w:ascii="IRNazanin" w:hAnsi="IRNazanin" w:eastAsia="IRNazanin"/>
          <w:color w:val="111111"/>
          <w:sz w:val="28"/>
          <w:sz w:val="28"/>
          <w:szCs w:val="28"/>
          <w:rtl w:val="true"/>
          <w:lang w:bidi="fa-IR"/>
        </w:rPr>
        <w:t xml:space="preserve">جد اقوى از ولايت اب، پس باطل نمى‌شود اقوى به فوت اضعف؛ و صحيح ابن سنان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عبد اللّه است نه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بيده عقدة النكاح هو وليّ أمرها</w:t>
      </w:r>
      <w:r>
        <w:rPr>
          <w:rFonts w:eastAsia="Amiri" w:cs="Amiri" w:ascii="Amiri" w:hAnsi="Amiri"/>
          <w:color w:val="111111"/>
          <w:sz w:val="28"/>
          <w:szCs w:val="28"/>
          <w:rtl w:val="true"/>
          <w:lang w:bidi="ar-SA"/>
        </w:rPr>
        <w:t>»</w:t>
      </w:r>
    </w:p>
    <w:p>
      <w:pPr>
        <w:pStyle w:val="BookText"/>
        <w:rPr/>
      </w:pPr>
      <w:r>
        <w:rPr>
          <w:rStyle w:val="FootnoteAnchor"/>
          <w:rtl w:val="true"/>
        </w:rPr>
        <w:footnoteReference w:id="82"/>
      </w:r>
      <w:r>
        <w:rPr>
          <w:rFonts w:ascii="IRNazanin" w:hAnsi="IRNazanin" w:eastAsia="IRNazanin"/>
          <w:color w:val="111111"/>
          <w:sz w:val="28"/>
          <w:sz w:val="28"/>
          <w:szCs w:val="28"/>
          <w:rtl w:val="true"/>
          <w:lang w:bidi="fa-IR"/>
        </w:rPr>
        <w:t>و لا خلاف في أنّ الجد وليّ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استصحاب پس مدفوع است، نه به ملاحظۀ عدم جريان در جميع موارد، و نه به ملاحظۀ استصحاب حال و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نراقى فرموده است </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نه به واسطۀ شك در كيفيت اقتضاء، بلكه به ملاحظۀ دليل حاكم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وجه دويم پس در كمال ضعف، و از قبيل وجوه استحسانيه است كه منشأ حكم شرعى نمى‌شود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صحيحه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جواب مى‌دهيم تارة به عدم تماميّت دلالت، و اخرى به واسطه معارضه، امّا اولى به جهت احتمال اين كه روايت مسوّق باشد از براى</w:t>
      </w:r>
    </w:p>
    <w:p>
      <w:pPr>
        <w:pStyle w:val="BookText"/>
        <w:rPr/>
      </w:pPr>
      <w:r>
        <w:rPr>
          <w:rFonts w:ascii="IRNazanin" w:hAnsi="IRNazanin" w:eastAsia="IRNazanin"/>
          <w:color w:val="111111"/>
          <w:sz w:val="28"/>
          <w:sz w:val="28"/>
          <w:szCs w:val="28"/>
          <w:rtl w:val="true"/>
          <w:lang w:bidi="fa-IR"/>
        </w:rPr>
        <w:t>بيان ولىّ امر، نه آن كسى كه به يد او عقدۀ نكاح باشد يا نباشد، يا اين كه مراد به ولىّ امر، ولىّ امر در نكاح است؛ پس مى‌باشد مسوّق از براى بيان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بيده عقدة النكاح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آن‌چنان كسى است كه از براى او عفو باشد از 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بوده باشد مراد آن‌كس، از كسى كه به يد اوست عقده نكاح، آن كسى كه از براى او عفو باشد، نه كسى كه به دست او تزويج است، يعنى كسى كه از براى او عفو است، آن‌كس، ولىّ أمر است؛ و دلالت مى‌كند بر اين مطلب أخبار كثيره كه مصرّحه است به اين كه</w:t>
      </w:r>
    </w:p>
    <w:p>
      <w:pPr>
        <w:pStyle w:val="BookText"/>
        <w:rPr/>
      </w:pPr>
      <w:r>
        <w:rPr>
          <w:rFonts w:ascii="Amiri" w:hAnsi="Amiri" w:eastAsia="Amiri" w:cs="Amiri"/>
          <w:color w:val="111111"/>
          <w:sz w:val="28"/>
          <w:sz w:val="28"/>
          <w:szCs w:val="28"/>
          <w:rtl w:val="true"/>
          <w:lang w:bidi="ar-SA"/>
        </w:rPr>
        <w:t>من بيده النكاح الأخ و الوصيّ و الوكيل في المعاملات</w:t>
      </w:r>
      <w:r>
        <w:rPr>
          <w:rFonts w:eastAsia="Amiri" w:cs="Amiri" w:ascii="Amiri" w:hAnsi="Amiri"/>
          <w:color w:val="111111"/>
          <w:sz w:val="28"/>
          <w:szCs w:val="28"/>
          <w:rtl w:val="true"/>
          <w:lang w:bidi="ar-SA"/>
        </w:rPr>
        <w:t>.</w:t>
      </w:r>
    </w:p>
    <w:p>
      <w:pPr>
        <w:pStyle w:val="BookText"/>
        <w:rPr/>
      </w:pPr>
      <w:r>
        <w:rPr>
          <w:rStyle w:val="FootnoteAnchor"/>
          <w:rtl w:val="true"/>
        </w:rPr>
        <w:footnoteReference w:id="84"/>
      </w:r>
      <w:r>
        <w:rPr>
          <w:rFonts w:ascii="Amiri" w:hAnsi="Amiri" w:eastAsia="Amiri" w:cs="Amiri"/>
          <w:color w:val="111111"/>
          <w:sz w:val="28"/>
          <w:sz w:val="28"/>
          <w:szCs w:val="28"/>
          <w:rtl w:val="true"/>
          <w:lang w:bidi="ar-SA"/>
        </w:rPr>
        <w:t>و أمّا ثانية به تخصيص روايت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فرض تماميّت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موثّقۀ بقباق </w:t>
      </w:r>
      <w:r>
        <w:rPr>
          <w:rStyle w:val="FootnoteAnchor"/>
          <w:rtl w:val="true"/>
        </w:rPr>
        <w:footnoteReference w:id="85"/>
      </w:r>
      <w:r>
        <w:rPr>
          <w:rFonts w:ascii="IRNazanin" w:hAnsi="IRNazanin" w:eastAsia="IRNazanin"/>
          <w:color w:val="111111"/>
          <w:sz w:val="28"/>
          <w:sz w:val="28"/>
          <w:szCs w:val="28"/>
          <w:rtl w:val="true"/>
          <w:lang w:bidi="fa-IR"/>
        </w:rPr>
        <w:t xml:space="preserve">پس دور نيست ترجيح قول به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آن كسى كه قابل ولايت است جدّ أبى است؛ پس پدرِ مادر و پدرِ مادرِ جدِّ أبى، خارج از محل كلام است؛ اگرچه بعض روايات شامل است </w:t>
      </w:r>
      <w:r>
        <w:rPr>
          <w:rStyle w:val="FootnoteAnchor"/>
          <w:rtl w:val="true"/>
        </w:rPr>
        <w:footnoteReference w:id="86"/>
      </w:r>
      <w:r>
        <w:rPr>
          <w:rFonts w:ascii="IRNazanin" w:hAnsi="IRNazanin" w:eastAsia="IRNazanin"/>
          <w:color w:val="111111"/>
          <w:sz w:val="28"/>
          <w:sz w:val="28"/>
          <w:szCs w:val="28"/>
          <w:rtl w:val="true"/>
          <w:lang w:bidi="fa-IR"/>
        </w:rPr>
        <w:t xml:space="preserve">، و خروج أوّل، بعد از عدم تبادر و انصراف، إجماع است؛ و امّا دوّم پس دليلى بر خروج نيست؛ چنانچه علّامه در تذكرة </w:t>
      </w:r>
      <w:r>
        <w:rPr>
          <w:rStyle w:val="FootnoteAnchor"/>
          <w:rtl w:val="true"/>
        </w:rPr>
        <w:footnoteReference w:id="87"/>
      </w:r>
      <w:r>
        <w:rPr>
          <w:rFonts w:ascii="Amiri" w:hAnsi="Amiri" w:eastAsia="Amiri" w:cs="Amiri"/>
          <w:color w:val="111111"/>
          <w:sz w:val="28"/>
          <w:sz w:val="28"/>
          <w:szCs w:val="28"/>
          <w:rtl w:val="true"/>
          <w:lang w:bidi="ar-SA"/>
        </w:rPr>
        <w:t>قرار داده نظر را در حقش با عدم أبِ أب، بلكه با بودن نيز، لكن احتياط مقتضى اقتصار بر أوّل است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خيارى از براى صبيّه بعد از بلوغ نيست؛ هرگاه تزويج كند او را ولىّ،</w:t>
      </w:r>
    </w:p>
    <w:p>
      <w:pPr>
        <w:pStyle w:val="BookText"/>
        <w:rPr/>
      </w:pPr>
      <w:r>
        <w:rPr>
          <w:rFonts w:ascii="Amiri" w:hAnsi="Amiri" w:eastAsia="Amiri" w:cs="Amiri"/>
          <w:color w:val="111111"/>
          <w:sz w:val="28"/>
          <w:sz w:val="28"/>
          <w:szCs w:val="28"/>
          <w:rtl w:val="true"/>
          <w:lang w:bidi="ar-SA"/>
        </w:rPr>
        <w:t xml:space="preserve">قبل از بلوغ بلا خلاف كما ادّعاه جماعة </w:t>
      </w:r>
      <w:r>
        <w:rPr>
          <w:rStyle w:val="FootnoteAnchor"/>
          <w:rtl w:val="true"/>
        </w:rPr>
        <w:footnoteReference w:id="88"/>
      </w:r>
      <w:r>
        <w:rPr>
          <w:rFonts w:ascii="IRNazanin" w:hAnsi="IRNazanin" w:eastAsia="IRNazanin"/>
          <w:color w:val="111111"/>
          <w:sz w:val="28"/>
          <w:sz w:val="28"/>
          <w:szCs w:val="28"/>
          <w:rtl w:val="true"/>
          <w:lang w:bidi="fa-IR"/>
        </w:rPr>
        <w:t xml:space="preserve">بل إجماعا </w:t>
      </w:r>
      <w:r>
        <w:rPr>
          <w:rStyle w:val="FootnoteAnchor"/>
          <w:rtl w:val="true"/>
        </w:rPr>
        <w:footnoteReference w:id="89"/>
      </w:r>
      <w:r>
        <w:rPr>
          <w:rFonts w:ascii="Amiri" w:hAnsi="Amiri" w:eastAsia="Amiri" w:cs="Amiri"/>
          <w:color w:val="111111"/>
          <w:sz w:val="28"/>
          <w:sz w:val="28"/>
          <w:szCs w:val="28"/>
          <w:rtl w:val="true"/>
          <w:lang w:bidi="ar-SA"/>
        </w:rPr>
        <w:t xml:space="preserve">، و حكايت إجماع مستفيض است، و دلالت مى‌كند بر اين مطلب، صحاح متعدّده مثل صحيح ابن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بلغت الجارية فلم ترض فما حالها؟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رضى أبوها أو وليّها</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است صبىّ، </w:t>
      </w:r>
      <w:r>
        <w:rPr>
          <w:rStyle w:val="FootnoteAnchor"/>
          <w:rtl w:val="true"/>
        </w:rPr>
        <w:footnoteReference w:id="91"/>
      </w:r>
      <w:r>
        <w:rPr>
          <w:rFonts w:ascii="Amiri" w:hAnsi="Amiri" w:eastAsia="Amiri" w:cs="Amiri"/>
          <w:color w:val="111111"/>
          <w:sz w:val="28"/>
          <w:sz w:val="28"/>
          <w:szCs w:val="28"/>
          <w:rtl w:val="true"/>
          <w:lang w:bidi="ar-SA"/>
        </w:rPr>
        <w:t xml:space="preserve">به جهت صحيحۀ حذّاء </w:t>
      </w:r>
      <w:r>
        <w:rPr>
          <w:rStyle w:val="FootnoteAnchor"/>
          <w:rtl w:val="true"/>
        </w:rPr>
        <w:footnoteReference w:id="92"/>
      </w:r>
      <w:r>
        <w:rPr>
          <w:rFonts w:ascii="Amiri" w:hAnsi="Amiri" w:eastAsia="Amiri" w:cs="Amiri"/>
          <w:color w:val="111111"/>
          <w:sz w:val="28"/>
          <w:sz w:val="28"/>
          <w:szCs w:val="28"/>
          <w:rtl w:val="true"/>
          <w:lang w:bidi="ar-SA"/>
        </w:rPr>
        <w:t xml:space="preserve">، و صحيحۀ محمّد </w:t>
      </w:r>
      <w:r>
        <w:rPr>
          <w:rStyle w:val="FootnoteAnchor"/>
          <w:rtl w:val="true"/>
        </w:rPr>
        <w:footnoteReference w:id="93"/>
      </w:r>
      <w:r>
        <w:rPr>
          <w:rFonts w:ascii="Amiri" w:hAnsi="Amiri" w:eastAsia="Amiri" w:cs="Amiri"/>
          <w:color w:val="111111"/>
          <w:sz w:val="28"/>
          <w:sz w:val="28"/>
          <w:szCs w:val="28"/>
          <w:rtl w:val="true"/>
          <w:lang w:bidi="ar-SA"/>
        </w:rPr>
        <w:t xml:space="preserve">خلافا للمحكيّ عن النّهاية </w:t>
      </w:r>
      <w:r>
        <w:rPr>
          <w:rStyle w:val="FootnoteAnchor"/>
          <w:rtl w:val="true"/>
        </w:rPr>
        <w:footnoteReference w:id="94"/>
      </w:r>
      <w:r>
        <w:rPr>
          <w:rFonts w:ascii="IRNazanin" w:hAnsi="IRNazanin" w:eastAsia="IRNazanin"/>
          <w:color w:val="111111"/>
          <w:sz w:val="28"/>
          <w:sz w:val="28"/>
          <w:szCs w:val="28"/>
          <w:rtl w:val="true"/>
          <w:lang w:bidi="fa-IR"/>
        </w:rPr>
        <w:t xml:space="preserve">، و السرائر </w:t>
      </w:r>
      <w:r>
        <w:rPr>
          <w:rStyle w:val="FootnoteAnchor"/>
          <w:rtl w:val="true"/>
        </w:rPr>
        <w:footnoteReference w:id="95"/>
      </w:r>
      <w:r>
        <w:rPr>
          <w:rFonts w:ascii="Amiri" w:hAnsi="Amiri" w:eastAsia="Amiri" w:cs="Amiri"/>
          <w:color w:val="111111"/>
          <w:sz w:val="28"/>
          <w:sz w:val="28"/>
          <w:szCs w:val="28"/>
          <w:rtl w:val="true"/>
          <w:lang w:bidi="ar-SA"/>
        </w:rPr>
        <w:t xml:space="preserve">، و القاضي </w:t>
      </w:r>
      <w:r>
        <w:rPr>
          <w:rStyle w:val="FootnoteAnchor"/>
          <w:rtl w:val="true"/>
        </w:rPr>
        <w:footnoteReference w:id="96"/>
      </w:r>
      <w:r>
        <w:rPr>
          <w:rFonts w:ascii="Amiri" w:hAnsi="Amiri" w:eastAsia="Amiri" w:cs="Amiri"/>
          <w:color w:val="111111"/>
          <w:sz w:val="28"/>
          <w:sz w:val="28"/>
          <w:szCs w:val="28"/>
          <w:rtl w:val="true"/>
          <w:lang w:bidi="ar-SA"/>
        </w:rPr>
        <w:t xml:space="preserve">، و ابن حمزة </w:t>
      </w:r>
      <w:r>
        <w:rPr>
          <w:rStyle w:val="FootnoteAnchor"/>
          <w:rtl w:val="true"/>
        </w:rPr>
        <w:footnoteReference w:id="97"/>
      </w:r>
      <w:r>
        <w:rPr>
          <w:rFonts w:ascii="IRNazanin" w:hAnsi="IRNazanin" w:eastAsia="IRNazanin"/>
          <w:color w:val="111111"/>
          <w:sz w:val="28"/>
          <w:sz w:val="28"/>
          <w:szCs w:val="28"/>
          <w:rtl w:val="true"/>
          <w:lang w:bidi="fa-IR"/>
        </w:rPr>
        <w:t xml:space="preserve">پس إثبات كرده‌اند تخيير را از براى صبى، بعد از بلوغ به جهت عموم روايت أبان </w:t>
      </w:r>
      <w:r>
        <w:rPr>
          <w:rStyle w:val="FootnoteAnchor"/>
          <w:rtl w:val="true"/>
        </w:rPr>
        <w:footnoteReference w:id="98"/>
      </w:r>
      <w:r>
        <w:rPr>
          <w:rFonts w:ascii="Amiri" w:hAnsi="Amiri" w:eastAsia="Amiri" w:cs="Amiri"/>
          <w:color w:val="111111"/>
          <w:sz w:val="28"/>
          <w:sz w:val="28"/>
          <w:szCs w:val="28"/>
          <w:rtl w:val="true"/>
          <w:lang w:bidi="ar-SA"/>
        </w:rPr>
        <w:t>و روايت بقباق؛ و در آخر روايت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زوّج الرجل ابنه فذلك إلى ابنه و إذا زوّج ابنته جاز</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پس مسأله خالى از اشكال نيست؛ و دعوى تسلّم يا تسالم از بعضى، ناشى از عدم اطلاع است؛ و لكن مع ذلك، أقوى قول أوّل است لصحيحة الحذّاء، و صحيحة محمّد بن مسلم المثبتة لتوارثهما المنافي ذلك للإلحاق بالفضولي؛ و لما دلّ على أنّ التزويج للجدّ إذا تعارض مع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كان له الخيار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منوط باختياره و هذا الاختيار مقدّمة عليها من وجوه عديدة، و على فرض التعارض فالأصل هو الصّحة و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 دختر پسر خود را از براى پسر پسر خود، عقد كند، نافذ است و خيارى از براى آنها بعد از بلوغ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پسر خود را، از براى پسر دختر خود عقد كند در حالت صغر هر دو، از براى دختر خيارى نيست، لكن از براى پسر خيار است؛ مى‌تواند بعد از بلوغ امضا و مى‌تواند 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صورت با اين كه معلوم شود پسر بعد از بلوغ، رد كرده است در حالت عقل و رشد، پس عقد باطل مى‌شود، و دختر مستحقّ مهر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پسر قبل از بلوغ فوت شود، و دختر باقى بماند؛ آيا دختر مى‌تواند مطالبه مهر و إرث كند يا نه؟ پس مى‌گوييم عقد باطل مى‌شود؛ و دختر نه حقّ مهر دارد نه إرث؛ و مسأله محل اشكال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معقد إجماع و نصوص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پسر به حدّ بلوغ برسد، و بعد از بلوغ رد كند، إجماعا عقد باطل و ترتيب اثرى بر او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بعد از بلوغ، قبول كند و امضا نمايد قولا يا فعلا، عقد صحيح و لازم مى‌شود، و اگر دختر فوت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إرث مى‌برد، و أمّا در مهر، خلاف عظيم است جمع كثيرى، بلكه مشهور قائل تمام مهرند، و جماعتى قائل به نصفند، و جدِّ مرحوم، ميرزاى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احوط در اين مسأله صلح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سؤال و جواب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اين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بسيارى از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حيرانم؛ و مى‌گويم پيغمبر صلّى اللّه عليه و آله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الصلح خير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مردم مى‌گويند خير خير، لكن حقير در سوابق ايّام، ترجيح قول به تنصيف را داده‌ام</w:t>
      </w:r>
      <w:r>
        <w:rPr>
          <w:rFonts w:eastAsia="IRNazanin" w:cs="IRNazanin"/>
          <w:color w:val="111111"/>
          <w:sz w:val="28"/>
          <w:szCs w:val="28"/>
          <w:rtl w:val="true"/>
          <w:lang w:bidi="fa-IR"/>
        </w:rPr>
        <w:t xml:space="preserve">.» </w:t>
      </w:r>
      <w:r>
        <w:rPr>
          <w:rStyle w:val="FootnoteAnchor"/>
          <w:rtl w:val="true"/>
        </w:rPr>
        <w:footnoteReference w:id="99"/>
      </w:r>
      <w:bookmarkStart w:id="50" w:name="pg1910_26269"/>
    </w:p>
    <w:p>
      <w:pPr>
        <w:pStyle w:val="BookText"/>
        <w:rPr/>
      </w:pPr>
      <w:bookmarkEnd w:id="50"/>
      <w:r>
        <w:rPr>
          <w:rFonts w:ascii="IRNazanin" w:hAnsi="IRNazanin" w:eastAsia="IRNazanin"/>
          <w:color w:val="111111"/>
          <w:sz w:val="28"/>
          <w:sz w:val="28"/>
          <w:szCs w:val="28"/>
          <w:rtl w:val="true"/>
          <w:lang w:bidi="fa-IR"/>
        </w:rPr>
        <w:t>مطلب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پسر بعد از إمضا مفقود شد؛ مسأله محل خلاف عظيم است، و لكن اقوى اين است كه حاكم چهار سال معيّن مى‌كند، و از اطراف فحص مى‌كند، اگر خبر نرسيد حكم به إرث و مهر بعد از چهار سال مى‌شود؛ اگرچه در زمان غيبت، و عدم بسط يد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شيخ جليل صاحب أنوار الفقاهة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اگر رد كند بعد از بلوغ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 شد، عقد باطل است، و استحقاق مهر و ميراث هيچ كدام در مقام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اين عقد اگر در حالت 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واقع شود، شبهه نيست كه عقد فضولى است و به ردّ احدهما يا هر دو باطل مى‌شود، و قول به ولايت مستقلّه در ولىّ از براى عاقلۀ باكرة رشيده ضعيف است، بلكه مى‌توان گفت مسبوق و ملحوق به اجماع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فوت احدهما از مطالب سابقه، ظاهر شد؛ و اللّه العالم</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3283750_3650668749"/>
      <w:bookmarkStart w:id="52" w:name="_Toc19"/>
      <w:bookmarkEnd w:id="51"/>
      <w:r>
        <w:rPr>
          <w:rtl w:val="true"/>
        </w:rPr>
        <w:t xml:space="preserve">مسألة </w:t>
      </w:r>
      <w:r>
        <w:rPr>
          <w:rtl w:val="true"/>
        </w:rPr>
        <w:t>[</w:t>
      </w:r>
      <w:r>
        <w:rPr/>
        <w:t>10</w:t>
      </w:r>
      <w:r>
        <w:rPr>
          <w:rtl w:val="true"/>
        </w:rPr>
        <w:t xml:space="preserve">] </w:t>
      </w:r>
      <w:r>
        <w:rPr>
          <w:rtl w:val="true"/>
        </w:rPr>
        <w:t>هرگاه پشت ديوار باغى را شخصى به عنوان حريم باغ و ديوارش، اشجارى غرس نموده باشد؛ و معبر هم مى‌باشد،</w:t>
      </w:r>
      <w:bookmarkEnd w:id="52"/>
    </w:p>
    <w:p>
      <w:pPr>
        <w:pStyle w:val="BookText"/>
        <w:rPr/>
      </w:pPr>
      <w:r>
        <w:rPr>
          <w:rFonts w:ascii="IRNazanin" w:hAnsi="IRNazanin" w:eastAsia="IRNazanin"/>
          <w:color w:val="111111"/>
          <w:sz w:val="28"/>
          <w:sz w:val="28"/>
          <w:szCs w:val="28"/>
          <w:rtl w:val="true"/>
          <w:lang w:bidi="fa-IR"/>
        </w:rPr>
        <w:t xml:space="preserve">حاليّة مى‌خواهد قطع اشجارش را نمايد، و ديوار باغ را عقب بياوريد، و جاى اشجار بنا كند، با اينكه باعث تنگى شارع خواهد شد، و علاوه نهر آبى كه پشت ديوار بوده مجدّدا مى‌خواهد غرس اشجار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آن را بيان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توضيح مقصد در هشت مطلب است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حريم ديوار است، و آن عبارت از كل برف‌انداز است، چنانچه مورد كلمات و معاقد إجماعات 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حريم در جايى است كه ديوار در زمين مباح باشد؛ يعنى اطرافش، پس اگر حقّ غير، يا مملوك غير است مثل استطراق، حريم ثابت نيست، و فرق نيست در اين كه شارع، ملك غير، يا مجّرد حق العبور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نيست در عدم جواز غرس اشجار، در كنار نهر، در صورت رسيدن ضرر به صاحب نهر به واسطۀ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تحريم است و لو اين كه ضررى هم به صاحب نهر نرسد، و دليل رافع از براى أصالة التحريم و عدم جواز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درخت غرس كرد بدون إذن صاحبان نهر، مى‌توانند صاحبان نهر درخت را قطع كنند؛ و اگر هم نكردند اجرت المثل مستحقّند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شك در حقّيّت، معيار تصرّف فعلى است تا خلافش معلوم شود؛ پس همان‌طورى كه معبر را، يا عبور مسلمانان را نمى‌توان تصرف كرد؛ همين نحو اگر درختى ديديم در كنار نهر است، و نمى‌دانيم به اذن و ميزان شرعى است يا عدوان، محمول به صحّت است؛ و نمى‌تواند كسى به مجرّد دعواى عدوان، قطع كند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فقهاء تحديد فرموده‌اند در شارع، هفت ذراع است </w:t>
      </w:r>
      <w:r>
        <w:rPr>
          <w:rStyle w:val="FootnoteAnchor"/>
          <w:rtl w:val="true"/>
        </w:rPr>
        <w:footnoteReference w:id="101"/>
      </w:r>
      <w:r>
        <w:rPr>
          <w:rFonts w:ascii="IRNazanin" w:hAnsi="IRNazanin" w:eastAsia="IRNazanin"/>
          <w:color w:val="111111"/>
          <w:sz w:val="28"/>
          <w:sz w:val="28"/>
          <w:szCs w:val="28"/>
          <w:rtl w:val="true"/>
          <w:lang w:bidi="fa-IR"/>
        </w:rPr>
        <w:t>پس زياده را مسلمانان مى‌توانند تصرّف كنند؛ نهايت اين است، احتياط إذن حاكم شرع مطاعى</w:t>
      </w:r>
      <w:r>
        <w:rPr>
          <w:rFonts w:eastAsia="IRNazanin" w:cs="IRNazanin"/>
          <w:color w:val="111111"/>
          <w:sz w:val="28"/>
          <w:szCs w:val="28"/>
          <w:rtl w:val="true"/>
          <w:lang w:bidi="fa-IR"/>
        </w:rPr>
        <w:t>.</w:t>
      </w:r>
      <w:bookmarkStart w:id="53" w:name="pg1910_26271"/>
    </w:p>
    <w:p>
      <w:pPr>
        <w:pStyle w:val="BookText"/>
        <w:rPr/>
      </w:pPr>
      <w:bookmarkEnd w:id="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تحديد، در مقام نقصان است؛ پس كمتر از هفت ذراع، جائز نيست؛ و لو اين كه عابرين به واسطه قلّت آنها محتاج نباشند، و نتيجه اين مطلب اين است كه اگر شارع، زياده بر هفت ذراع باشد؛ و مسلمانان محتاج باشند در عبور زياده، جائز نيست أخذ زياده؛ پس اگر زياده بر هفت ذراع را تصرّف كنند و محتاج إليه نباشند و ضرر به مارّه نداشته باشد، در اين صورت، مانعى ندارد؛ خصوصا با إذن حاكم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ذكر كرديم در شارع عام است، و أمّا در خاص اگر صد ذراع باشد؛ أحدى نمى‌تواند تصرّف كند مگر به إذن شركاء</w:t>
      </w:r>
      <w:r>
        <w:rPr>
          <w:rFonts w:eastAsia="IRNazanin" w:cs="IRNazanin"/>
          <w:color w:val="111111"/>
          <w:sz w:val="28"/>
          <w:szCs w:val="28"/>
          <w:rtl w:val="true"/>
          <w:lang w:bidi="fa-IR"/>
        </w:rPr>
        <w:t xml:space="preserve">. </w:t>
      </w:r>
      <w:r>
        <w:rPr>
          <w:rStyle w:val="FootnoteAnchor"/>
          <w:rtl w:val="true"/>
        </w:rPr>
        <w:footnoteReference w:id="102"/>
      </w:r>
    </w:p>
    <w:p>
      <w:pPr>
        <w:pStyle w:val="Heading3"/>
        <w:numPr>
          <w:ilvl w:val="2"/>
          <w:numId w:val="1"/>
        </w:numPr>
        <w:rPr/>
      </w:pPr>
      <w:bookmarkStart w:id="54" w:name="__RefHeading___Toc3283752_3650668749"/>
      <w:bookmarkStart w:id="55" w:name="_Toc20"/>
      <w:bookmarkEnd w:id="54"/>
      <w:r>
        <w:rPr>
          <w:rtl w:val="true"/>
        </w:rPr>
        <w:t xml:space="preserve">مسألة </w:t>
      </w:r>
      <w:r>
        <w:rPr>
          <w:rtl w:val="true"/>
        </w:rPr>
        <w:t>[</w:t>
      </w:r>
      <w:r>
        <w:rPr/>
        <w:t>11</w:t>
      </w:r>
      <w:r>
        <w:rPr>
          <w:rtl w:val="true"/>
        </w:rPr>
        <w:t xml:space="preserve">] </w:t>
      </w:r>
      <w:r>
        <w:rPr>
          <w:rtl w:val="true"/>
        </w:rPr>
        <w:t>هرگاه در حال نزول مطر از آسمان، بدن يا لباس شخصى، با بدن سگى ملاقات كند؛</w:t>
      </w:r>
      <w:bookmarkEnd w:id="55"/>
    </w:p>
    <w:p>
      <w:pPr>
        <w:pStyle w:val="Heading4"/>
        <w:numPr>
          <w:ilvl w:val="3"/>
          <w:numId w:val="1"/>
        </w:numPr>
        <w:rPr/>
      </w:pPr>
      <w:bookmarkStart w:id="56" w:name="__RefHeading___Toc3283754_3650668749"/>
      <w:bookmarkStart w:id="57" w:name="_Toc21"/>
      <w:bookmarkEnd w:id="56"/>
      <w:r>
        <w:rPr>
          <w:rtl w:val="true"/>
        </w:rPr>
        <w:t>اشارة</w:t>
      </w:r>
      <w:bookmarkEnd w:id="57"/>
    </w:p>
    <w:p>
      <w:pPr>
        <w:pStyle w:val="BookText"/>
        <w:rPr/>
      </w:pPr>
      <w:r>
        <w:rPr>
          <w:rFonts w:ascii="IRNazanin" w:hAnsi="IRNazanin" w:eastAsia="IRNazanin"/>
          <w:color w:val="111111"/>
          <w:sz w:val="28"/>
          <w:sz w:val="28"/>
          <w:szCs w:val="28"/>
          <w:rtl w:val="true"/>
          <w:lang w:bidi="fa-IR"/>
        </w:rPr>
        <w:t>يا اين كه ترشّح كند رطوبت از بدن سگ در اين حال، و به جايى برسد، آيا باعث نجاست ملاقى مى‌شود يا خير؟ چون علماى عصر اختلاف كرده‌اند در حكم اين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58" w:name="__RefHeading___Toc3283756_3650668749"/>
      <w:bookmarkStart w:id="59" w:name="_Toc22"/>
      <w:bookmarkEnd w:id="58"/>
      <w:r>
        <w:rPr>
          <w:rtl w:val="true"/>
        </w:rPr>
        <w:t>[</w:t>
      </w:r>
      <w:r>
        <w:rPr>
          <w:rtl w:val="true"/>
        </w:rPr>
        <w:t>مقدمة در طهارت و مطهريّت آب نازل از سماء، چند قول است</w:t>
      </w:r>
      <w:r>
        <w:rPr>
          <w:rtl w:val="true"/>
        </w:rPr>
        <w:t>]</w:t>
      </w:r>
      <w:bookmarkEnd w:id="5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مسأله مسطوره اقتضا دارد رسم مقدّمه‌اى را؛ و آن مقدّمه اين است كه در طهارت و مطهريّت آب نازل از سماء، چند قول است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طهارته؛ و لو كانت قطرة واحدة، و هو اللازم من كلام الشهيد الثاني في روض الجنان و نفى عنه البعد أيضا </w:t>
      </w:r>
      <w:r>
        <w:rPr>
          <w:rStyle w:val="FootnoteAnchor"/>
          <w:rtl w:val="true"/>
        </w:rPr>
        <w:footnoteReference w:id="104"/>
      </w:r>
      <w:r>
        <w:rPr>
          <w:rFonts w:ascii="Amiri" w:hAnsi="Amiri" w:eastAsia="Amiri" w:cs="Amiri"/>
          <w:color w:val="111111"/>
          <w:sz w:val="28"/>
          <w:sz w:val="28"/>
          <w:szCs w:val="28"/>
          <w:rtl w:val="true"/>
          <w:lang w:bidi="ar-SA"/>
        </w:rPr>
        <w:t>و هذا القول و إن كان أوثق الأقوال لكنّه أضعفها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القوّة المصحّحة لاسم الغيث و المطر، سواء قلّ أو كثر؛ جرى أو لم يجر؛ و هذا هو القول المشهور </w:t>
      </w:r>
      <w:r>
        <w:rPr>
          <w:rStyle w:val="FootnoteAnchor"/>
          <w:rtl w:val="true"/>
        </w:rPr>
        <w:footnoteReference w:id="105"/>
      </w:r>
      <w:r>
        <w:rPr>
          <w:rFonts w:ascii="Amiri" w:hAnsi="Amiri" w:eastAsia="Amiri" w:cs="Amiri"/>
          <w:color w:val="111111"/>
          <w:sz w:val="28"/>
          <w:sz w:val="28"/>
          <w:szCs w:val="28"/>
          <w:rtl w:val="true"/>
          <w:lang w:bidi="ar-SA"/>
        </w:rPr>
        <w:t>في مقابل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الكثرة و الجريان و لو بالقوّة؛ و هو المحكي عن المقدّس الأردبيلي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مسمّى الجريان بالفعل، و إن لم يجر من الميزاب و نحوه؛ و هو مختار الفاضل الهندي في كشفه </w:t>
      </w:r>
      <w:r>
        <w:rPr>
          <w:rStyle w:val="FootnoteAnchor"/>
          <w:rtl w:val="true"/>
        </w:rPr>
        <w:footnoteReference w:id="107"/>
      </w:r>
      <w:r>
        <w:rPr>
          <w:rFonts w:ascii="Amiri" w:hAnsi="Amiri" w:eastAsia="Amiri" w:cs="Amiri"/>
          <w:color w:val="111111"/>
          <w:sz w:val="28"/>
          <w:sz w:val="28"/>
          <w:szCs w:val="28"/>
          <w:rtl w:val="true"/>
          <w:lang w:bidi="ar-SA"/>
        </w:rPr>
        <w:t xml:space="preserve">، و نفى عنه البعد في المدارك </w:t>
      </w:r>
      <w:r>
        <w:rPr>
          <w:rStyle w:val="FootnoteAnchor"/>
          <w:rtl w:val="true"/>
        </w:rPr>
        <w:footnoteReference w:id="108"/>
      </w:r>
      <w:r>
        <w:rPr>
          <w:rFonts w:ascii="Amiri" w:hAnsi="Amiri" w:eastAsia="Amiri" w:cs="Amiri"/>
          <w:color w:val="111111"/>
          <w:sz w:val="28"/>
          <w:sz w:val="28"/>
          <w:szCs w:val="28"/>
          <w:rtl w:val="true"/>
          <w:lang w:bidi="ar-SA"/>
        </w:rPr>
        <w:t xml:space="preserve">و الكفاية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الجريان من الشعب، ميزابا كان أو مثله؛ و هو ظاهر ابن حمزة في الوسيلة</w:t>
      </w:r>
      <w:r>
        <w:rPr>
          <w:rFonts w:eastAsia="Amiri" w:cs="Amiri" w:ascii="Amiri" w:hAnsi="Amiri"/>
          <w:color w:val="111111"/>
          <w:sz w:val="28"/>
          <w:szCs w:val="28"/>
          <w:rtl w:val="true"/>
          <w:lang w:bidi="ar-SA"/>
        </w:rPr>
        <w:t xml:space="preserve">. </w:t>
      </w:r>
      <w:r>
        <w:rPr>
          <w:rStyle w:val="FootnoteAnchor"/>
          <w:rtl w:val="true"/>
        </w:rPr>
        <w:footnoteReference w:id="11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الجريان من خصوص الميزاب؛ و هو ظاهر قول الشيخ </w:t>
      </w:r>
      <w:r>
        <w:rPr>
          <w:rStyle w:val="FootnoteAnchor"/>
          <w:rtl w:val="true"/>
        </w:rPr>
        <w:footnoteReference w:id="111"/>
      </w:r>
      <w:r>
        <w:rPr>
          <w:rFonts w:ascii="Amiri" w:hAnsi="Amiri" w:eastAsia="Amiri" w:cs="Amiri"/>
          <w:color w:val="111111"/>
          <w:sz w:val="28"/>
          <w:sz w:val="28"/>
          <w:szCs w:val="28"/>
          <w:rtl w:val="true"/>
          <w:lang w:bidi="ar-SA"/>
        </w:rPr>
        <w:t>، و هو أضيق الأقوال ما لم يصرفه صارف عن ظاهره؛ و حاصل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الميزاب إمّا للتعيين، أو التمثيل، و على الثاني فالتمثيل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لبيان المقدار أو في أصل الجريان، و على التقادير فالمراد بالجريان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خصوص الجريان حقيقة، أو ما يعمّ ذلك و الجريان حكما بأن يبلغ ماء المطر من الكثرة حدّ الجريان من الميزاب و نحوه و إن لم يجر منه، أو حدّ الجريان مطلقا و إن لم يجر أصلا، و على كل تقدير فالحكم مخصوص بنفس الجاري حقيقة أو حكما، و المراد ثبوته لماء المطر مطلقا حال جريانه في بعض المواضع تحقيقا أو تقديرا</w:t>
      </w:r>
      <w:r>
        <w:rPr>
          <w:rFonts w:eastAsia="Amiri" w:cs="Amiri" w:ascii="Amiri" w:hAnsi="Amiri"/>
          <w:color w:val="111111"/>
          <w:sz w:val="28"/>
          <w:szCs w:val="28"/>
          <w:rtl w:val="true"/>
          <w:lang w:bidi="ar-SA"/>
        </w:rPr>
        <w:t>.</w:t>
      </w:r>
      <w:bookmarkStart w:id="60" w:name="pg1910_26273"/>
    </w:p>
    <w:p>
      <w:pPr>
        <w:pStyle w:val="Heading4"/>
        <w:numPr>
          <w:ilvl w:val="3"/>
          <w:numId w:val="1"/>
        </w:numPr>
        <w:rPr/>
      </w:pPr>
      <w:bookmarkStart w:id="61" w:name="__RefHeading___Toc3283758_3650668749"/>
      <w:bookmarkStart w:id="62" w:name="_Toc23"/>
      <w:bookmarkEnd w:id="60"/>
      <w:bookmarkEnd w:id="61"/>
      <w:r>
        <w:rPr>
          <w:rtl w:val="true"/>
        </w:rPr>
        <w:t>ثمّ التقدير</w:t>
      </w:r>
      <w:r>
        <w:rPr>
          <w:rtl w:val="true"/>
        </w:rPr>
        <w:t xml:space="preserve">: </w:t>
      </w:r>
      <w:r>
        <w:rPr>
          <w:rtl w:val="true"/>
        </w:rPr>
        <w:t>إمّا أن يلاحظ في الماء خاصّة أو فيه و في الأرض أيضا</w:t>
      </w:r>
      <w:bookmarkEnd w:id="62"/>
    </w:p>
    <w:p>
      <w:pPr>
        <w:pStyle w:val="Heading5"/>
        <w:numPr>
          <w:ilvl w:val="4"/>
          <w:numId w:val="1"/>
        </w:numPr>
        <w:rPr/>
      </w:pPr>
      <w:bookmarkStart w:id="63" w:name="__RefHeading___Toc3283760_3650668749"/>
      <w:bookmarkStart w:id="64" w:name="_Toc24"/>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بأن يعتبر وسطاً في الصّلابة و الرخاوة فلا يكون صخرا ينحدر عليه الماء سريعا و لا رملا يغور فيه الماء سريعا و لا يجرى عليه و الاحتمالات المسطورة جارية في كلام ابن حمزة إلّا أن الظاهر منه الاكتفاء بمطلق الجريان و ظاهر الشيخ اعتبار الميزاب؛ و أنت خبير برفع الاختلاف بناء على بعض الوجوه المذكورة، بل الخلاف بينهما و بين القول الثالث أو الرابع فيعود إلى اعتبار الكثرة أو الجريان في الجملة و ربّما رجع القول الرابع إلى الثالث فبقي النزاع فيه و في تطهير القطرة و القطرات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تؤول الأقوال إلى ثلاثة، و الأقوى عدم اشتراط الكثرة و الجريان، لكن مع وجود القوّة سواء قلّ أو كثر فلا يكتفى بمثل القطرة و القطرات</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3283762_3650668749"/>
      <w:bookmarkStart w:id="66" w:name="_Toc25"/>
      <w:bookmarkEnd w:id="65"/>
      <w:r>
        <w:rPr>
          <w:rtl w:val="true"/>
        </w:rPr>
        <w:t>[</w:t>
      </w:r>
      <w:r>
        <w:rPr>
          <w:rtl w:val="true"/>
        </w:rPr>
        <w:t>أخبار المسألة</w:t>
      </w:r>
      <w:r>
        <w:rPr>
          <w:rtl w:val="true"/>
        </w:rPr>
        <w:t>]</w:t>
      </w:r>
      <w:bookmarkEnd w:id="66"/>
    </w:p>
    <w:p>
      <w:pPr>
        <w:pStyle w:val="BookText"/>
        <w:rPr/>
      </w:pPr>
      <w:r>
        <w:rPr>
          <w:rFonts w:ascii="Amiri" w:hAnsi="Amiri" w:eastAsia="Amiri" w:cs="Amiri"/>
          <w:color w:val="111111"/>
          <w:sz w:val="28"/>
          <w:sz w:val="28"/>
          <w:szCs w:val="28"/>
          <w:rtl w:val="true"/>
          <w:lang w:bidi="ar-SA"/>
        </w:rPr>
        <w:t xml:space="preserve">لنا الأصل في الجملة و العمومات و السيرة القاضية بعدم التوقّى و النصوص المستفيضة الدالّة على طهارة المطر و الأرض مطلقا </w:t>
      </w:r>
      <w:r>
        <w:rPr>
          <w:rStyle w:val="FootnoteAnchor"/>
          <w:rtl w:val="true"/>
        </w:rPr>
        <w:footnoteReference w:id="112"/>
      </w:r>
      <w:r>
        <w:rPr>
          <w:rFonts w:ascii="Amiri" w:hAnsi="Amiri" w:eastAsia="Amiri" w:cs="Amiri"/>
          <w:color w:val="111111"/>
          <w:sz w:val="28"/>
          <w:sz w:val="28"/>
          <w:szCs w:val="28"/>
          <w:rtl w:val="true"/>
          <w:lang w:bidi="ar-SA"/>
        </w:rPr>
        <w:t>كقول الصادق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يراه ماء المطر فقد طهر</w:t>
      </w:r>
      <w:r>
        <w:rPr>
          <w:rFonts w:eastAsia="Amiri" w:cs="Amiri" w:ascii="Amiri" w:hAnsi="Amiri"/>
          <w:color w:val="111111"/>
          <w:sz w:val="28"/>
          <w:szCs w:val="28"/>
          <w:rtl w:val="true"/>
          <w:lang w:bidi="ar-SA"/>
        </w:rPr>
        <w:t>»</w:t>
      </w:r>
    </w:p>
    <w:p>
      <w:pPr>
        <w:pStyle w:val="BookText"/>
        <w:rPr/>
      </w:pPr>
      <w:r>
        <w:rPr>
          <w:rStyle w:val="FootnoteAnchor"/>
          <w:rtl w:val="true"/>
        </w:rPr>
        <w:footnoteReference w:id="113"/>
      </w:r>
      <w:r>
        <w:rPr>
          <w:rFonts w:ascii="Amiri" w:hAnsi="Amiri" w:eastAsia="Amiri" w:cs="Amiri"/>
          <w:color w:val="111111"/>
          <w:sz w:val="28"/>
          <w:sz w:val="28"/>
          <w:szCs w:val="28"/>
          <w:rtl w:val="true"/>
          <w:lang w:bidi="ar-SA"/>
        </w:rPr>
        <w:t xml:space="preserve">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طين المطر لا ينجّس</w:t>
      </w:r>
      <w:r>
        <w:rPr>
          <w:rFonts w:eastAsia="Amiri" w:cs="Amiri" w:ascii="Amiri" w:hAnsi="Amiri"/>
          <w:color w:val="111111"/>
          <w:sz w:val="28"/>
          <w:szCs w:val="28"/>
          <w:rtl w:val="true"/>
          <w:lang w:bidi="ar-SA"/>
        </w:rPr>
        <w:t>»</w:t>
      </w:r>
    </w:p>
    <w:p>
      <w:pPr>
        <w:pStyle w:val="BookText"/>
        <w:rPr/>
      </w:pPr>
      <w:r>
        <w:rPr>
          <w:rStyle w:val="FootnoteAnchor"/>
          <w:rtl w:val="true"/>
        </w:rPr>
        <w:footnoteReference w:id="114"/>
      </w:r>
      <w:r>
        <w:rPr>
          <w:rFonts w:ascii="Amiri" w:hAnsi="Amiri" w:eastAsia="Amiri" w:cs="Amiri"/>
          <w:color w:val="111111"/>
          <w:sz w:val="28"/>
          <w:sz w:val="28"/>
          <w:szCs w:val="28"/>
          <w:rtl w:val="true"/>
          <w:lang w:bidi="ar-SA"/>
        </w:rPr>
        <w:t>و قوله عليه السّلام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كالصحيح لوجود المعدّل من قدماء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السّطح يبال عليه فيصيبه السّماء فيكف فيصيب الثوب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ما أصابه من الماء أكثر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الخبر </w:t>
      </w:r>
      <w:r>
        <w:rPr>
          <w:rStyle w:val="FootnoteAnchor"/>
          <w:rtl w:val="true"/>
        </w:rPr>
        <w:footnoteReference w:id="115"/>
      </w:r>
      <w:r>
        <w:rPr>
          <w:rFonts w:ascii="Amiri" w:hAnsi="Amiri" w:eastAsia="Amiri" w:cs="Amiri"/>
          <w:color w:val="111111"/>
          <w:sz w:val="28"/>
          <w:sz w:val="28"/>
          <w:szCs w:val="28"/>
          <w:rtl w:val="true"/>
          <w:lang w:bidi="ar-SA"/>
        </w:rPr>
        <w:t>و قد سئل عنه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الكنيف يكون خارجه فيمطر السماء فيقطر على القطرة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Style w:val="FootnoteAnchor"/>
          <w:rtl w:val="true"/>
        </w:rPr>
        <w:footnoteReference w:id="116"/>
      </w:r>
      <w:r>
        <w:rPr>
          <w:rFonts w:ascii="Amiri" w:hAnsi="Amiri" w:eastAsia="Amiri" w:cs="Amiri"/>
          <w:color w:val="111111"/>
          <w:sz w:val="28"/>
          <w:sz w:val="28"/>
          <w:szCs w:val="28"/>
          <w:rtl w:val="true"/>
          <w:lang w:bidi="ar-SA"/>
        </w:rPr>
        <w:t xml:space="preserve">و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طين المطر أنّه لا بأس به أن يصيب الثوب ثلاثة أيّام إلّا أن يعلم أنّه قد نجسه شي‌ء بعد المطر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7"/>
      </w:r>
      <w:r>
        <w:rPr>
          <w:rFonts w:ascii="Amiri" w:hAnsi="Amiri" w:eastAsia="Amiri" w:cs="Amiri"/>
          <w:color w:val="111111"/>
          <w:sz w:val="28"/>
          <w:sz w:val="28"/>
          <w:szCs w:val="28"/>
          <w:rtl w:val="true"/>
          <w:lang w:bidi="ar-SA"/>
        </w:rPr>
        <w:t xml:space="preserve">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يمرّ في ماء المطر و قد صبّت فيه خمر</w:t>
      </w:r>
    </w:p>
    <w:p>
      <w:pPr>
        <w:pStyle w:val="BookText"/>
        <w:rPr/>
      </w:pPr>
      <w:r>
        <w:rPr>
          <w:rFonts w:ascii="Amiri" w:hAnsi="Amiri" w:eastAsia="Amiri" w:cs="Amiri"/>
          <w:color w:val="111111"/>
          <w:sz w:val="28"/>
          <w:sz w:val="28"/>
          <w:szCs w:val="28"/>
          <w:rtl w:val="true"/>
          <w:lang w:bidi="ar-SA"/>
        </w:rPr>
        <w:t>فأصاب ثوبه هل يصلّي فيه قبل أن يغلسه؟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 ثوبه و لا رجله يصلّى فيه فلا بأس</w:t>
      </w:r>
      <w:r>
        <w:rPr>
          <w:rFonts w:eastAsia="Amiri" w:cs="Amiri" w:ascii="Amiri" w:hAnsi="Amiri"/>
          <w:color w:val="111111"/>
          <w:sz w:val="28"/>
          <w:szCs w:val="28"/>
          <w:rtl w:val="true"/>
          <w:lang w:bidi="ar-SA"/>
        </w:rPr>
        <w:t>»</w:t>
      </w:r>
    </w:p>
    <w:p>
      <w:pPr>
        <w:pStyle w:val="BookText"/>
        <w:rPr/>
      </w:pPr>
      <w:r>
        <w:rPr>
          <w:rStyle w:val="FootnoteAnchor"/>
          <w:rtl w:val="true"/>
        </w:rPr>
        <w:footnoteReference w:id="118"/>
      </w:r>
      <w:r>
        <w:rPr>
          <w:rFonts w:ascii="Amiri" w:hAnsi="Amiri" w:eastAsia="Amiri" w:cs="Amiri"/>
          <w:color w:val="111111"/>
          <w:sz w:val="28"/>
          <w:sz w:val="28"/>
          <w:szCs w:val="28"/>
          <w:rtl w:val="true"/>
          <w:lang w:bidi="ar-SA"/>
        </w:rPr>
        <w:t xml:space="preserve">و هذا الحديث صحيحة علي بن جعفر عن أخيه عليه السّلام و يمكن عدّه صحيحا باصطلاح صاحب المنتقى و المدارك </w:t>
      </w:r>
      <w:r>
        <w:rPr>
          <w:rStyle w:val="FootnoteAnchor"/>
          <w:rtl w:val="true"/>
        </w:rPr>
        <w:footnoteReference w:id="119"/>
      </w:r>
      <w:r>
        <w:rPr>
          <w:rFonts w:ascii="Amiri" w:hAnsi="Amiri" w:eastAsia="Amiri" w:cs="Amiri"/>
          <w:color w:val="111111"/>
          <w:sz w:val="28"/>
          <w:sz w:val="28"/>
          <w:szCs w:val="28"/>
          <w:rtl w:val="true"/>
          <w:lang w:bidi="ar-SA"/>
        </w:rPr>
        <w:t xml:space="preserve">لكون الخبر مزكّى بتزكية العدلين في كلّ مرتبة فيسمّى اصطلاحا بصحي بالتّخفيف لا الصحي بالتشديد </w:t>
      </w:r>
      <w:r>
        <w:rPr>
          <w:rStyle w:val="FootnoteAnchor"/>
          <w:rtl w:val="true"/>
        </w:rPr>
        <w:footnoteReference w:id="120"/>
      </w:r>
      <w:r>
        <w:rPr>
          <w:rFonts w:ascii="Amiri" w:hAnsi="Amiri" w:eastAsia="Amiri" w:cs="Amiri"/>
          <w:color w:val="111111"/>
          <w:sz w:val="28"/>
          <w:sz w:val="28"/>
          <w:szCs w:val="28"/>
          <w:rtl w:val="true"/>
          <w:lang w:bidi="ar-SA"/>
        </w:rPr>
        <w:t xml:space="preserve">كما توهم السيّد الداماد قدّس سرّه </w:t>
      </w:r>
      <w:r>
        <w:rPr>
          <w:rStyle w:val="FootnoteAnchor"/>
          <w:rtl w:val="true"/>
        </w:rPr>
        <w:footnoteReference w:id="121"/>
      </w:r>
      <w:r>
        <w:rPr>
          <w:rFonts w:ascii="Amiri" w:hAnsi="Amiri" w:eastAsia="Amiri" w:cs="Amiri"/>
          <w:color w:val="111111"/>
          <w:sz w:val="28"/>
          <w:sz w:val="28"/>
          <w:szCs w:val="28"/>
          <w:rtl w:val="true"/>
          <w:lang w:bidi="ar-SA"/>
        </w:rPr>
        <w:t xml:space="preserve">و أمّا صحيحة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البيت يبال على ظهره و يغتسل من الجنابة ثم يصيبه المطر أ يؤخذ من مائه فيتوضأ به للصلاة؟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جرى فلا بأس</w:t>
      </w:r>
      <w:r>
        <w:rPr>
          <w:rFonts w:eastAsia="Amiri" w:cs="Amiri" w:ascii="Amiri" w:hAnsi="Amiri"/>
          <w:color w:val="111111"/>
          <w:sz w:val="28"/>
          <w:szCs w:val="28"/>
          <w:rtl w:val="true"/>
          <w:lang w:bidi="ar-SA"/>
        </w:rPr>
        <w:t>»</w:t>
      </w:r>
    </w:p>
    <w:p>
      <w:pPr>
        <w:pStyle w:val="BookText"/>
        <w:rPr/>
      </w:pPr>
      <w:r>
        <w:rPr>
          <w:rStyle w:val="FootnoteAnchor"/>
          <w:rtl w:val="true"/>
        </w:rPr>
        <w:footnoteReference w:id="122"/>
      </w:r>
      <w:r>
        <w:rPr>
          <w:rFonts w:ascii="Amiri" w:hAnsi="Amiri" w:eastAsia="Amiri" w:cs="Amiri"/>
          <w:color w:val="111111"/>
          <w:sz w:val="28"/>
          <w:sz w:val="28"/>
          <w:szCs w:val="28"/>
          <w:rtl w:val="true"/>
          <w:lang w:bidi="ar-SA"/>
        </w:rPr>
        <w:t xml:space="preserve">و المروىّ في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المطر يجري في المكان فيه العذرة فيصيب الثوب يصلّى فيه قبل أن يغتسل؟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جرى به المطر فلا بأس</w:t>
      </w:r>
      <w:r>
        <w:rPr>
          <w:rFonts w:eastAsia="Amiri" w:cs="Amiri" w:ascii="Amiri" w:hAnsi="Amiri"/>
          <w:color w:val="111111"/>
          <w:sz w:val="28"/>
          <w:szCs w:val="28"/>
          <w:rtl w:val="true"/>
          <w:lang w:bidi="ar-SA"/>
        </w:rPr>
        <w:t>»</w:t>
      </w:r>
    </w:p>
    <w:p>
      <w:pPr>
        <w:pStyle w:val="BookText"/>
        <w:rPr/>
      </w:pPr>
      <w:r>
        <w:rPr>
          <w:rStyle w:val="FootnoteAnchor"/>
          <w:rtl w:val="true"/>
        </w:rPr>
        <w:footnoteReference w:id="123"/>
      </w:r>
      <w:r>
        <w:rPr>
          <w:rFonts w:ascii="Amiri" w:hAnsi="Amiri" w:eastAsia="Amiri" w:cs="Amiri"/>
          <w:color w:val="111111"/>
          <w:sz w:val="28"/>
          <w:sz w:val="28"/>
          <w:szCs w:val="28"/>
          <w:rtl w:val="true"/>
          <w:lang w:bidi="ar-SA"/>
        </w:rPr>
        <w:t xml:space="preserve">و في قرب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الكنيف يكون فوق البيت فيصيبه المطر فيكف فيصيب الثياب أ يصلّي فيها قبل أن يغتسل؟ قال إذا جرى من ماء المطر لا بأس</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4"/>
      </w:r>
      <w:r>
        <w:rPr>
          <w:rFonts w:ascii="Amiri" w:hAnsi="Amiri" w:eastAsia="Amiri" w:cs="Amiri"/>
          <w:color w:val="111111"/>
          <w:sz w:val="28"/>
          <w:sz w:val="28"/>
          <w:szCs w:val="28"/>
          <w:rtl w:val="true"/>
          <w:lang w:bidi="ar-SA"/>
        </w:rPr>
        <w:t xml:space="preserve">و المروي في التهذيب </w:t>
      </w:r>
      <w:r>
        <w:rPr>
          <w:rStyle w:val="FootnoteAnchor"/>
          <w:rtl w:val="true"/>
        </w:rPr>
        <w:footnoteReference w:id="125"/>
      </w:r>
      <w:r>
        <w:rPr>
          <w:rFonts w:ascii="Amiri" w:hAnsi="Amiri" w:eastAsia="Amiri" w:cs="Amiri"/>
          <w:color w:val="111111"/>
          <w:sz w:val="28"/>
          <w:sz w:val="28"/>
          <w:szCs w:val="28"/>
          <w:rtl w:val="true"/>
          <w:lang w:bidi="ar-SA"/>
        </w:rPr>
        <w:t>و الكافي عن هشام بن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w:t>
      </w:r>
      <w:bookmarkStart w:id="67" w:name="pg1910_26275"/>
    </w:p>
    <w:p>
      <w:pPr>
        <w:pStyle w:val="BookText"/>
        <w:rPr/>
      </w:pPr>
      <w:bookmarkEnd w:id="67"/>
      <w:r>
        <w:rPr>
          <w:rFonts w:ascii="Amiri" w:hAnsi="Amiri" w:eastAsia="Amiri" w:cs="Amiri"/>
          <w:color w:val="111111"/>
          <w:sz w:val="28"/>
          <w:sz w:val="28"/>
          <w:szCs w:val="28"/>
          <w:rtl w:val="true"/>
          <w:lang w:bidi="ar-SA"/>
        </w:rPr>
        <w:t>كالصحيح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في ميزابين سالا أحدهما بول و الآخر ماء المطر فاختلطا فأصاب ثوب رجل لم يضرّه ذلك،</w:t>
      </w:r>
    </w:p>
    <w:p>
      <w:pPr>
        <w:pStyle w:val="BookText"/>
        <w:rPr/>
      </w:pPr>
      <w:r>
        <w:rPr>
          <w:rFonts w:ascii="Amiri" w:hAnsi="Amiri" w:eastAsia="Amiri" w:cs="Amiri"/>
          <w:color w:val="111111"/>
          <w:sz w:val="28"/>
          <w:sz w:val="28"/>
          <w:szCs w:val="28"/>
          <w:rtl w:val="true"/>
          <w:lang w:bidi="ar-SA"/>
        </w:rPr>
        <w:t>و الصحيح المروى في الكافي</w:t>
      </w:r>
    </w:p>
    <w:p>
      <w:pPr>
        <w:pStyle w:val="BookText"/>
        <w:rPr/>
      </w:pPr>
      <w:r>
        <w:rPr>
          <w:rFonts w:ascii="Amiri" w:hAnsi="Amiri" w:eastAsia="Amiri" w:cs="Amiri"/>
          <w:color w:val="111111"/>
          <w:sz w:val="28"/>
          <w:sz w:val="28"/>
          <w:szCs w:val="28"/>
          <w:rtl w:val="true"/>
          <w:lang w:bidi="ar-SA"/>
        </w:rPr>
        <w:t>عن محمّد بن مسلم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ميزابين سالا أحدهما ميزاب بول و الآخر ميزاب ماء فاختلطا ثمّ أصابك ما كان به بأس</w:t>
      </w:r>
      <w:r>
        <w:rPr>
          <w:rFonts w:eastAsia="Amiri" w:cs="Amiri" w:ascii="Amiri" w:hAnsi="Amiri"/>
          <w:color w:val="111111"/>
          <w:sz w:val="28"/>
          <w:szCs w:val="28"/>
          <w:rtl w:val="true"/>
          <w:lang w:bidi="ar-SA"/>
        </w:rPr>
        <w:t>»</w:t>
      </w:r>
    </w:p>
    <w:p>
      <w:pPr>
        <w:pStyle w:val="BookText"/>
        <w:rPr/>
      </w:pPr>
      <w:r>
        <w:rPr>
          <w:rStyle w:val="FootnoteAnchor"/>
          <w:rtl w:val="true"/>
        </w:rPr>
        <w:footnoteReference w:id="126"/>
      </w:r>
      <w:r>
        <w:rPr>
          <w:rFonts w:ascii="Amiri" w:hAnsi="Amiri" w:eastAsia="Amiri" w:cs="Amiri"/>
          <w:color w:val="111111"/>
          <w:sz w:val="28"/>
          <w:sz w:val="28"/>
          <w:szCs w:val="28"/>
          <w:rtl w:val="true"/>
          <w:lang w:bidi="ar-SA"/>
        </w:rPr>
        <w:t>فلا توجب تقييد ما قدّمناه من الأخبار المعتبرة</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3283764_3650668749"/>
      <w:bookmarkStart w:id="69" w:name="_Toc26"/>
      <w:bookmarkEnd w:id="68"/>
      <w:r>
        <w:rPr>
          <w:rtl w:val="true"/>
        </w:rPr>
        <w:t>[</w:t>
      </w:r>
      <w:r>
        <w:rPr>
          <w:rtl w:val="true"/>
        </w:rPr>
        <w:t>الجواب عن الأخبار</w:t>
      </w:r>
      <w:r>
        <w:rPr>
          <w:rtl w:val="true"/>
        </w:rPr>
        <w:t>]</w:t>
      </w:r>
      <w:bookmarkEnd w:id="69"/>
    </w:p>
    <w:p>
      <w:pPr>
        <w:pStyle w:val="BookText"/>
        <w:rPr/>
      </w:pPr>
      <w:r>
        <w:rPr>
          <w:rFonts w:ascii="Amiri" w:hAnsi="Amiri" w:eastAsia="Amiri" w:cs="Amiri"/>
          <w:color w:val="111111"/>
          <w:sz w:val="28"/>
          <w:sz w:val="28"/>
          <w:szCs w:val="28"/>
          <w:rtl w:val="true"/>
          <w:lang w:bidi="ar-SA"/>
        </w:rPr>
        <w:t xml:space="preserve">أمّا خبر الميزابين فأقصى ما دلّا عليه طهارة المطر الجاري من الميزاب دون اشتراط الجريان، و الخلاف في الثّاني دون الأوّل، و الحكم فيهما مبني على عدم العلم بالمصيب، أو العلم بكونه الماء دون البول، أو استهلاك البول في الماء و صيرورته به ماء مطلقا و إلّا فالبول لا يقبل التطهير مع بقاء عينه هكذا حقّق المقام العلّامة الطباطبائى قدّس سرّه </w:t>
      </w:r>
      <w:r>
        <w:rPr>
          <w:rStyle w:val="FootnoteAnchor"/>
          <w:rtl w:val="true"/>
        </w:rPr>
        <w:footnoteReference w:id="127"/>
      </w:r>
      <w:r>
        <w:rPr>
          <w:rFonts w:ascii="Amiri" w:hAnsi="Amiri" w:eastAsia="Amiri" w:cs="Amiri"/>
          <w:color w:val="111111"/>
          <w:sz w:val="28"/>
          <w:sz w:val="28"/>
          <w:szCs w:val="28"/>
          <w:rtl w:val="true"/>
          <w:lang w:bidi="ar-SA"/>
        </w:rPr>
        <w:t>و في بعض ما ذكره نظر واضح فالتحقيق هو الجواب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سائر الأخبار فالعمدة فيها صحيحة علي بن جعفر الظاهرة في اعتبار شرط الجريان فالجواب عنها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فيها وارد مورد الغالب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أَرَدْنَ تَحَصُّناً</w:t>
      </w:r>
      <w:r>
        <w:rPr>
          <w:rFonts w:eastAsia="Amiri" w:cs="Amiri" w:ascii="Amiri" w:hAnsi="Amiri"/>
          <w:color w:val="111111"/>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فلا مفهوم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وارد مورد الواقع فإنّ ظاهر السؤال بلوغ المطر حدّ الجريان و فائدة الشرط التنصيص على مورد السؤال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الأخذ بما أصاب السطح من المطر إنّما يتأتّى غالبا على تقدير جريانه من ميزاب أو غيره و بدونه لا يتحقّق الأخذ إلّا على بعض الفروض البعيدة، و على هذا يكون اعتبار الجريان للتمكّن من الأخذ لا لنجاسة الماء إذا انتفى 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بالجريان تدافق المطر و تكاثره و المقصود الاحتراز عن القطرات اليسيرة التي لا يعتدّ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الجريان بملاحظة مظنّة التغيّر بنجاسة السطح فإنّ 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تكرّر ذلك فيه، بل كونه كالمعدّ له، و لا ريب أن للبول مع ذلك أثرا باقيا محسوسا فإذا كان المطر قليلا لا يبلغ حدّ الجريان لزمه التغيير به فينجس بالتغيير دون الملاقات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نفي البأس به حالة جريانه، و الغرض المنع من أخذه بعد الانقطاع بناء على عدم طهارة السطح بمجرّد وصول ماء المطر إليه فإنّه إذا لم يطهر به و بقي فيه شي‌ء بعد الانقطاع فإنّه ينجس بمحله النجس فلم يجز استعماله في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المنع من الوضوء لا ينحصر وجهه في النجاسة إذ ربّما كانت جهة المنع كونه بعد الانقطاع غسالة غير رافعة للحدث أو مضافا غير صالح للوضوء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أقصى ما يدلّ عليه الرّواية ثبوت البأس في أخذ ذلك الماء للوضوء مع عدم الجريان، و هو أعمّ من النجاسة، فلعلّ وجهه توقّف النظافة عليه؛ و هذا الوجه ذكره في المدارك</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البأس لا يدلّ على الحرمة و 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البأس هو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بعض اللغويين</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فيكون دالّا على الحرمة، مدفوع بكون العرف مخالفا للّغة لإطلاقه في العرف في المواضع المنقصة و الغضاضة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المعالم </w:t>
      </w:r>
      <w:r>
        <w:rPr>
          <w:rStyle w:val="FootnoteAnchor"/>
          <w:rtl w:val="true"/>
        </w:rPr>
        <w:footnoteReference w:id="131"/>
      </w:r>
      <w:r>
        <w:rPr>
          <w:rFonts w:ascii="Amiri" w:hAnsi="Amiri" w:eastAsia="Amiri" w:cs="Amiri"/>
          <w:color w:val="111111"/>
          <w:sz w:val="28"/>
          <w:sz w:val="28"/>
          <w:szCs w:val="28"/>
          <w:rtl w:val="true"/>
          <w:lang w:bidi="ar-SA"/>
        </w:rPr>
        <w:t>من أنّ مقتضى الحديث إناطة بعض الأحكام بالجريان و هو لا ينافي ثبوت غيره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العلّامة قدّس سرّه </w:t>
      </w:r>
      <w:r>
        <w:rPr>
          <w:rStyle w:val="FootnoteAnchor"/>
          <w:rtl w:val="true"/>
        </w:rPr>
        <w:footnoteReference w:id="132"/>
      </w:r>
      <w:r>
        <w:rPr>
          <w:rFonts w:ascii="Amiri" w:hAnsi="Amiri" w:eastAsia="Amiri" w:cs="Amiri"/>
          <w:color w:val="111111"/>
          <w:sz w:val="28"/>
          <w:sz w:val="28"/>
          <w:szCs w:val="28"/>
          <w:rtl w:val="true"/>
          <w:lang w:bidi="ar-SA"/>
        </w:rPr>
        <w:t>من حمل الجريان على النزول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في المعتبر </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لا تدلّ على الاشتراط فإنّه لو لم يكن طاهرا لم يطهره الجريان</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و الذي يستفاد منه أنّه حمل اشتراط الجريان في قول الشيخ و من وافقه، على توقّف الطهارة على حصول الجريان بمعنى أنّه إذا جرى ثم لاقى نجاسة لم ينفعل بها، لا أنّه إذا لاقى النجاسة ثم جرى كان طاهرا، لأنّه على هذا التقدير ينجس بالملاقات فلا يطهر بالجريان، لأنّ الماء المعلوم نجاسته حال استقراره باق على نجاسته و إن جرى إجماعا </w:t>
      </w:r>
      <w:r>
        <w:rPr>
          <w:rStyle w:val="FootnoteAnchor"/>
          <w:rtl w:val="true"/>
        </w:rPr>
        <w:footnoteReference w:id="135"/>
      </w:r>
      <w:r>
        <w:rPr>
          <w:rFonts w:ascii="Amiri" w:hAnsi="Amiri" w:eastAsia="Amiri" w:cs="Amiri"/>
          <w:color w:val="111111"/>
          <w:sz w:val="28"/>
          <w:sz w:val="28"/>
          <w:szCs w:val="28"/>
          <w:rtl w:val="true"/>
          <w:lang w:bidi="ar-SA"/>
        </w:rPr>
        <w:t xml:space="preserve">و استشكله جماعة كصاحب المدارك </w:t>
      </w:r>
      <w:r>
        <w:rPr>
          <w:rStyle w:val="FootnoteAnchor"/>
          <w:rtl w:val="true"/>
        </w:rPr>
        <w:footnoteReference w:id="136"/>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الإشكال أنّ مذهب القائل بالجريان طهارة ماء المطر الملاقي للنجاسة من حين نزوله لكن بشرط بقاء التقاطر إلى حدّ الجريان، و المطهّر بالجريان إنّما ينكر لو قال بنجاسته بالملاقات و طهارته إذا جرى و ليس كذلك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وقع الاشتباه من جهة حمل الجريان على كيفيّة الماء المطر؛ و لو حمل على الكميّة اندفع الإشكال و ارتفع الخلاف، و كيفما كان فأنت خبير بأنّ الوجوه المذكورة و إن كان بعضها محل الإشكال و خلاف الظاهر، إلّا أنّ في واجد منها الكفاية فضلا عن أكثرها؛ هذا تمام الكلام في الصحيحة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روايته الأخرى ففيها أوّلا الطعن بالسند، و ما يقال بصحّة كتاب علي بن جعفر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فهو مبنيّ على تواتر نسبة الكتاب إليه، و هو ممنوع، فالخبر تابع لما في أوّل السند و هو مشتمل على عدّة من المجاهيل لغويّا و اصطلاحيّا </w:t>
      </w:r>
      <w:r>
        <w:rPr>
          <w:rStyle w:val="FootnoteAnchor"/>
          <w:rtl w:val="true"/>
        </w:rPr>
        <w:footnoteReference w:id="138"/>
      </w:r>
      <w:r>
        <w:rPr>
          <w:rFonts w:ascii="Amiri" w:hAnsi="Amiri" w:eastAsia="Amiri" w:cs="Amiri"/>
          <w:color w:val="111111"/>
          <w:sz w:val="28"/>
          <w:sz w:val="28"/>
          <w:szCs w:val="28"/>
          <w:rtl w:val="true"/>
          <w:lang w:bidi="ar-SA"/>
        </w:rPr>
        <w:t>، قال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كتاب المسائل عن أحمد بن موسى بن جعفر أبي العبّاس عن أبي جعفر بن يزيد بن النضر الخراساني عن علي بن الحسن العلوي عن علي بن جعفر </w:t>
      </w:r>
      <w:r>
        <w:rPr>
          <w:rStyle w:val="FootnoteAnchor"/>
          <w:rtl w:val="true"/>
        </w:rPr>
        <w:footnoteReference w:id="139"/>
      </w:r>
      <w:r>
        <w:rPr>
          <w:rFonts w:ascii="Amiri" w:hAnsi="Amiri" w:eastAsia="Amiri" w:cs="Amiri"/>
          <w:color w:val="111111"/>
          <w:sz w:val="28"/>
          <w:sz w:val="28"/>
          <w:szCs w:val="28"/>
          <w:rtl w:val="true"/>
          <w:lang w:bidi="ar-SA"/>
        </w:rPr>
        <w:t xml:space="preserve">و أنت خبير بكون الرواة من المجاهيل، و قد أتعب المحدّث النوري نفسه الشريفة في المستدرك </w:t>
      </w:r>
      <w:r>
        <w:rPr>
          <w:rStyle w:val="FootnoteAnchor"/>
          <w:rtl w:val="true"/>
        </w:rPr>
        <w:footnoteReference w:id="140"/>
      </w:r>
      <w:r>
        <w:rPr>
          <w:rFonts w:ascii="Amiri" w:hAnsi="Amiri" w:eastAsia="Amiri" w:cs="Amiri"/>
          <w:color w:val="111111"/>
          <w:sz w:val="28"/>
          <w:sz w:val="28"/>
          <w:szCs w:val="28"/>
          <w:rtl w:val="true"/>
          <w:lang w:bidi="ar-SA"/>
        </w:rPr>
        <w:t>في اعتبار الخبر، لكنّه لم يأت بشي‌ء يروي الغليل و يشفي العليل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الجريان إنّما اعتبر فيها تبعا للسؤال فإنّه أخذ فيه ذلك صريحا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جرى به المطر فلا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اشتراط جريان المطر بما في المكان من العذرة، و ليس ذلك شرطا إجماعا إذ غاية الأمر اشتراط الجريان في المكان و أمّا الجريان بما فيه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روايته الثالثة فلا دلالة فيها على الاشتراط أصلا، و العجب من توهّم بعض المتوهّمين فإنّ المراد من قوله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جرى من ماء المطر فلا بأس</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نفى البأس عمّا</w:t>
      </w:r>
      <w:bookmarkStart w:id="70" w:name="pg1910_26279"/>
    </w:p>
    <w:p>
      <w:pPr>
        <w:pStyle w:val="BookText"/>
        <w:rPr/>
      </w:pPr>
      <w:bookmarkEnd w:id="70"/>
      <w:r>
        <w:rPr>
          <w:rFonts w:ascii="Amiri" w:hAnsi="Amiri" w:eastAsia="Amiri" w:cs="Amiri"/>
          <w:color w:val="111111"/>
          <w:sz w:val="28"/>
          <w:sz w:val="28"/>
          <w:szCs w:val="28"/>
          <w:rtl w:val="true"/>
          <w:lang w:bidi="ar-SA"/>
        </w:rPr>
        <w:t>يصيب الثوب من ماء المطر و الغرض الاحتراز عن إصابة ما في الكنيف فعدّ هذا الخبر من دلائل المشهور أولى؛ و يمكن ورود جملة من الإيرادات السابقة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جميع ذلك أنّ الأقوى كفاية قوّة ماء المطر بدون الجريان لوجود الأخبار الصحيحة كما عرفت، و الضعيف منها منجبر بالشهرة العظيمة الاستنادية المفيدة للظنّ بل الوثوق بالصدور</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3283766_3650668749"/>
      <w:bookmarkStart w:id="72" w:name="_Toc27"/>
      <w:bookmarkEnd w:id="71"/>
      <w:r>
        <w:rPr>
          <w:rtl w:val="true"/>
        </w:rPr>
        <w:t>بقي الكلام في مستند من قال باعتبار الكثرة</w:t>
      </w:r>
      <w:bookmarkEnd w:id="72"/>
    </w:p>
    <w:p>
      <w:pPr>
        <w:pStyle w:val="BookText"/>
        <w:rPr/>
      </w:pPr>
      <w:r>
        <w:rPr>
          <w:rFonts w:ascii="Amiri" w:hAnsi="Amiri" w:eastAsia="Amiri" w:cs="Amiri"/>
          <w:color w:val="111111"/>
          <w:sz w:val="28"/>
          <w:sz w:val="28"/>
          <w:szCs w:val="28"/>
          <w:rtl w:val="true"/>
          <w:lang w:bidi="ar-SA"/>
        </w:rPr>
        <w:t>و هو ما رواه الصدوق رحمه اللّه في الفقيه</w:t>
      </w:r>
    </w:p>
    <w:p>
      <w:pPr>
        <w:pStyle w:val="BookText"/>
        <w:rPr/>
      </w:pPr>
      <w:r>
        <w:rPr>
          <w:rFonts w:ascii="Amiri" w:hAnsi="Amiri" w:eastAsia="Amiri" w:cs="Amiri"/>
          <w:color w:val="111111"/>
          <w:sz w:val="28"/>
          <w:sz w:val="28"/>
          <w:szCs w:val="28"/>
          <w:rtl w:val="true"/>
          <w:lang w:bidi="ar-SA"/>
        </w:rPr>
        <w:t xml:space="preserve">عن هشام بن سالم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أبا عبد اللّه عليه السّلام عن السطح يبال عليه فيصيب السماء فيكف فيصيب الثوب؟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ما أصابه من الماء 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قوله عليه السّلام ما أصابه إلى آخره بمنزلة التعليل لنفي البأس فيفهم منه ثبوته إذا لم يكن كذلك</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فبأنّ المراد بالأكثريّة القهر و الغلبة، دون الكثرة المقدارية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هي مراد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البول الجافّ لا مقدار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 فباحتمال رجوع الضمير في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الثوب، و المعنى أنّ القطرة الواصلة إلى الثوب أكثر من البول الذي أصابه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ثالثا فبما ذكره بعض المحقّقين </w:t>
      </w:r>
      <w:r>
        <w:rPr>
          <w:rStyle w:val="FootnoteAnchor"/>
          <w:rtl w:val="true"/>
        </w:rPr>
        <w:footnoteReference w:id="142"/>
      </w:r>
      <w:r>
        <w:rPr>
          <w:rFonts w:ascii="Amiri" w:hAnsi="Amiri" w:eastAsia="Amiri" w:cs="Amiri"/>
          <w:color w:val="111111"/>
          <w:sz w:val="28"/>
          <w:sz w:val="28"/>
          <w:szCs w:val="28"/>
          <w:rtl w:val="true"/>
          <w:lang w:bidi="ar-SA"/>
        </w:rPr>
        <w:t>من أنّ انتفاء العلّة المنصوصة لا يقتضي انتفاء المعلول، و إن كان اطّرادها يقتضي اطّراده؛ بناء على حجيّة المنصوص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بالاكتفاء بالقطرة و القطرات على تقدير إرادة المقتصر عليها في النزول من السّماء عموم الآية و الرواية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و قوله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يراه ماء المطر فقد طهر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4"/>
      </w:r>
      <w:r>
        <w:rPr>
          <w:rFonts w:ascii="Amiri" w:hAnsi="Amiri" w:eastAsia="Amiri" w:cs="Amiri"/>
          <w:color w:val="111111"/>
          <w:sz w:val="28"/>
          <w:sz w:val="28"/>
          <w:szCs w:val="28"/>
          <w:rtl w:val="true"/>
          <w:lang w:bidi="ar-SA"/>
        </w:rPr>
        <w:t>، و إنّ القطرة لو لم يثبت لها الحكم لم يثبت</w:t>
      </w:r>
      <w:bookmarkStart w:id="73" w:name="pg1910_26280"/>
    </w:p>
    <w:p>
      <w:pPr>
        <w:pStyle w:val="BookText"/>
        <w:rPr/>
      </w:pPr>
      <w:bookmarkEnd w:id="73"/>
      <w:r>
        <w:rPr>
          <w:rFonts w:ascii="Amiri" w:hAnsi="Amiri" w:eastAsia="Amiri" w:cs="Amiri"/>
          <w:color w:val="111111"/>
          <w:sz w:val="28"/>
          <w:sz w:val="28"/>
          <w:szCs w:val="28"/>
          <w:rtl w:val="true"/>
          <w:lang w:bidi="ar-SA"/>
        </w:rPr>
        <w:t>للقطرات، لأنّ المطر ليس إلّا القطرات المتعددة و التطهير يستلزم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عدم صدق ماء المطر على نحو ذلك، و الظّاهر كون التشكيك في المرتبة الرابعة و هو المضرّ المبيّن العدم لا التشكيك الحضوري و الخطوري و البدوي و المضرّ الإجمالى، و هذا هو التشكيك الفقهي الذي ذكره الفقيه النبيه الشيخ حسن بن الشيخ جعفر الغروي في شرح الخيارات </w:t>
      </w:r>
      <w:r>
        <w:rPr>
          <w:rStyle w:val="FootnoteAnchor"/>
          <w:rtl w:val="true"/>
        </w:rPr>
        <w:footnoteReference w:id="145"/>
      </w:r>
      <w:r>
        <w:rPr>
          <w:rFonts w:ascii="Amiri" w:hAnsi="Amiri" w:eastAsia="Amiri" w:cs="Amiri"/>
          <w:color w:val="111111"/>
          <w:sz w:val="28"/>
          <w:sz w:val="28"/>
          <w:szCs w:val="28"/>
          <w:rtl w:val="true"/>
          <w:lang w:bidi="ar-SA"/>
        </w:rPr>
        <w:t xml:space="preserve">، فإنّ ذكر التشكيك في لسان الفقه بسبب القلّة و الندرة و العزّة و العيب و الحيلولة مع أنّا لم نتحقّق أصل القول و منشأه عبارة الروض </w:t>
      </w:r>
      <w:r>
        <w:rPr>
          <w:rStyle w:val="FootnoteAnchor"/>
          <w:rtl w:val="true"/>
        </w:rPr>
        <w:footnoteReference w:id="146"/>
      </w:r>
      <w:r>
        <w:rPr>
          <w:rFonts w:ascii="Amiri" w:hAnsi="Amiri" w:eastAsia="Amiri" w:cs="Amiri"/>
          <w:color w:val="111111"/>
          <w:sz w:val="28"/>
          <w:sz w:val="28"/>
          <w:szCs w:val="28"/>
          <w:rtl w:val="true"/>
          <w:lang w:bidi="ar-SA"/>
        </w:rPr>
        <w:t>و هي 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إرادة كفاية ملاقات القطرة من الغيث المتدافق في حصول طهر الماء النجس و غيره و سيأتي الكلام فيه، نعم نسبه بعض مشايخنا إلى بعض الأخباريين</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فقد تلخّص من جميع ما تلوناه عليك أنّ المعيار في ماء المطر هو القوّة و عدم الاعتبار بالقطرة و القطرات و عدم اشتراط الكثرة و الجريان و اللّه المستعان</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3283768_3650668749"/>
      <w:bookmarkStart w:id="75" w:name="_Toc28"/>
      <w:bookmarkEnd w:id="74"/>
      <w:r>
        <w:rPr>
          <w:rtl w:val="true"/>
        </w:rPr>
        <w:t>إذا عرفت ذلك فهاهنا مقامات</w:t>
      </w:r>
      <w:bookmarkEnd w:id="75"/>
    </w:p>
    <w:p>
      <w:pPr>
        <w:pStyle w:val="Heading6"/>
        <w:numPr>
          <w:ilvl w:val="5"/>
          <w:numId w:val="1"/>
        </w:numPr>
        <w:rPr/>
      </w:pPr>
      <w:bookmarkStart w:id="76" w:name="__RefHeading___Toc3283770_3650668749"/>
      <w:bookmarkStart w:id="77" w:name="_Toc29"/>
      <w:bookmarkEnd w:id="76"/>
      <w:r>
        <w:rPr>
          <w:rtl w:val="true"/>
        </w:rPr>
        <w:t>المقام الأوّل</w:t>
      </w:r>
      <w:r>
        <w:rPr>
          <w:rtl w:val="true"/>
        </w:rPr>
        <w:t xml:space="preserve">: </w:t>
      </w:r>
      <w:r>
        <w:rPr>
          <w:rtl w:val="true"/>
        </w:rPr>
        <w:t>هل يعتبر في طهر الماء النجس بماء الغيث المزج أم لا؟</w:t>
      </w:r>
      <w:bookmarkEnd w:id="7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عدم اعتباره بناء على ما ذكرنا من كفاية الاتصال في الكر المحقون، بل هنا أولى؛ و أمّا بناء على اعتبار المزج هناك أمكن القول بكفاية الاتّصال هنا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يراه المطر فقد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تأمّل بعضهم </w:t>
      </w:r>
      <w:r>
        <w:rPr>
          <w:rStyle w:val="FootnoteAnchor"/>
          <w:rtl w:val="true"/>
        </w:rPr>
        <w:footnoteReference w:id="148"/>
      </w:r>
      <w:r>
        <w:rPr>
          <w:rFonts w:ascii="Amiri" w:hAnsi="Amiri" w:eastAsia="Amiri" w:cs="Amiri"/>
          <w:color w:val="111111"/>
          <w:sz w:val="28"/>
          <w:sz w:val="28"/>
          <w:szCs w:val="28"/>
          <w:rtl w:val="true"/>
          <w:lang w:bidi="ar-SA"/>
        </w:rPr>
        <w:t>في ذلك بإمكان دعوى عدم صدق رؤية جميع الماء النجس إلّا بالمزج و الاستيعاب ممنوع، لصدق الرؤية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أجاد في الجواهر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bookmarkStart w:id="78" w:name="pg1910_26281"/>
    </w:p>
    <w:p>
      <w:pPr>
        <w:pStyle w:val="BookText"/>
        <w:rPr/>
      </w:pPr>
      <w:bookmarkEnd w:id="78"/>
      <w:r>
        <w:rPr>
          <w:rFonts w:ascii="Amiri" w:hAnsi="Amiri" w:eastAsia="Amiri" w:cs="Amiri"/>
          <w:color w:val="111111"/>
          <w:sz w:val="28"/>
          <w:sz w:val="28"/>
          <w:szCs w:val="28"/>
          <w:rtl w:val="true"/>
          <w:lang w:bidi="ar-SA"/>
        </w:rPr>
        <w:t xml:space="preserve">هذه الدعوى ممّا لا ينبغي أن يصغى إليها </w:t>
      </w:r>
      <w:r>
        <w:rPr>
          <w:rStyle w:val="FootnoteAnchor"/>
          <w:rtl w:val="true"/>
        </w:rPr>
        <w:footnoteReference w:id="14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عدم إناطة الأحكام الشرعيّة و إحراز موضوعاتها بالدقائق الفلسفيّة</w:t>
      </w:r>
      <w:r>
        <w:rPr>
          <w:rFonts w:eastAsia="Amiri" w:cs="Amiri" w:ascii="Amiri" w:hAnsi="Amiri"/>
          <w:color w:val="111111"/>
          <w:sz w:val="28"/>
          <w:szCs w:val="28"/>
          <w:rtl w:val="true"/>
          <w:lang w:bidi="ar-SA"/>
        </w:rPr>
        <w:t>.</w:t>
      </w:r>
    </w:p>
    <w:p>
      <w:pPr>
        <w:pStyle w:val="Heading6"/>
        <w:numPr>
          <w:ilvl w:val="5"/>
          <w:numId w:val="1"/>
        </w:numPr>
        <w:rPr/>
      </w:pPr>
      <w:bookmarkStart w:id="79" w:name="__RefHeading___Toc3283772_3650668749"/>
      <w:bookmarkStart w:id="80" w:name="_Toc30"/>
      <w:bookmarkEnd w:id="79"/>
      <w:r>
        <w:rPr>
          <w:rtl w:val="true"/>
        </w:rPr>
        <w:t>المقام الثّاني</w:t>
      </w:r>
      <w:r>
        <w:rPr>
          <w:rtl w:val="true"/>
        </w:rPr>
        <w:t xml:space="preserve">: </w:t>
      </w:r>
      <w:r>
        <w:rPr>
          <w:rtl w:val="true"/>
        </w:rPr>
        <w:t>أنّ ماء الغيث متى بلغ مرتبة عدم الانفعال من الفضل و القوّة</w:t>
      </w:r>
      <w:bookmarkEnd w:id="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هو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قطرة منها على غير الماء من المتنجّس فلا إشكال في تطهيرها له بقدر ما تسع القطرة من سطح ما تقع عليه، و من أعماقه أيضا بقدر ما تمصّ و ترسّب فيه، و في الماء النجس إن اعتبرنا المزج هنا يعتبر في التطهير بقاء التقاطر عليه إلى حصول المزج و لو بعلاج لئلّا يحصل الانقطاع من المادّة قبل حصول الطهر الذي لا يكون إلّا بالمزج؛ و أمّا على المختار من كفاية الاتّصال فيكفي التقاطر على بعض سطحه، بل لا يبعد كفاية وقوع القطرة الواحدة على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التأمّل في كفاية اتّصال الماءين بواسطة قلّة سعة القطرة، ضعيف و من العجب الاكتفاء بالقطرة في أصل المسألة بدعوى تحقّق ماء الغيث المطهّر بذلك كما هو الظاهر من بعض السادة الأجلّاء </w:t>
      </w:r>
      <w:r>
        <w:rPr>
          <w:rStyle w:val="FootnoteAnchor"/>
          <w:rtl w:val="true"/>
        </w:rPr>
        <w:footnoteReference w:id="150"/>
      </w:r>
      <w:r>
        <w:rPr>
          <w:rFonts w:ascii="Amiri" w:hAnsi="Amiri" w:eastAsia="Amiri" w:cs="Amiri"/>
          <w:color w:val="111111"/>
          <w:sz w:val="28"/>
          <w:sz w:val="28"/>
          <w:szCs w:val="28"/>
          <w:rtl w:val="true"/>
          <w:lang w:bidi="ar-SA"/>
        </w:rPr>
        <w:t xml:space="preserve">و أمّا الذي اخترناه فهو الكفاية في طهر الماء بماء الغيث المتدافق مع وقوع قطرة منه عليه، و 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كفاية القطرة في المقام لعموم أنّ المطر بحكم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ممنوع لأنّ ما هو المقتضي لهذا الحكم في الجاري غير موجود هنا؛ لأنّ المقتضي لطهارة الماء بمجرّد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الجزء الملاقي للكثير يطهر بملاقاته له عملا بعموم ما دلّ على كون الماء مطهّرا و بعد الحكم بطهارته يتّصل بالجزء الثاني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أنّه متّفق مع الكثير الذي منه طهره فيطهر الجزء الثاني و هكذا، و هذا</w:t>
      </w:r>
    </w:p>
    <w:p>
      <w:pPr>
        <w:pStyle w:val="BookText"/>
        <w:rPr/>
      </w:pPr>
      <w:r>
        <w:rPr>
          <w:rFonts w:ascii="Amiri" w:hAnsi="Amiri" w:eastAsia="Amiri" w:cs="Amiri"/>
          <w:color w:val="111111"/>
          <w:sz w:val="28"/>
          <w:sz w:val="28"/>
          <w:szCs w:val="28"/>
          <w:rtl w:val="true"/>
          <w:lang w:bidi="ar-SA"/>
        </w:rPr>
        <w:t>لا يجري هنا لأنّ أقصى القطرة أنّها يطهّر ما يلاقيها و الانقطاع لا ينفكّ عن ملاقاتها و هي يعد في حكم القليل فليس للجزء الذي طهر بها حينئذ مقوّ لتستعين به على تطهير ما يليه، بل هي معها حين الانقطاع ماء قليل فيعود إلى الانفعال بملاقات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مدفوع بأنّ التطهير ليس موقوفا على خصوص الكثرة بل على الاتّصال بماء معتصم إمّا بكثرته أو بمبادرته، و القطرة بعد أن يكون بعضها ممّا يصدق عليه ماء الغيث فهي معتصمة بما ينزل معها من القطرات و إن لم يتصل بعضها ببعض لكفاية تراكمها فالقطرة الواقعة على الماء النجس معتصمة باصطحاب ما في القطرات النازلة المتدافقة و إن كانت منفصلة عنها و لم تقع في هذا الماء و هذه العصمة باقية للقطرة إلى ملاقات الماء و بمجرّد الملاقات باتصال الماء النجس بها يحكم بطهارة الجميع دفعة، غاية الأمر التقدّم و التأخّر ذاتي لا زماني فلا يرد إشكال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 المحققين </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صدق التطهير يتوقّف على إصابة المطر و من المعلوم عدم الإصابة في غير هذا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من القول باعتبار المزج و اعتبار إصابة كلّ جزء حقيقة، و أمّا على تقدير القول بكفاية الاتّصال و إصابة الماء في الجملة فيصدق إصابة المطر؛ و بالجملة إصابة المحقون الكثير و الجاري و الغيث على حدّ سواء و جوابه فيهما هو الجواب في المقام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في الجواهر لكفاية وقوع القطرة من الغيث المتدافق في طهر الماء النجس بأنّ الجزء الملاقي للقطرة يطهر، لعموم طهورية ماء المطر، و ليس عندنا ماء واحد في سطح واحد بعضه طاهر و بعضه نجس بغير التغيير و مرجعه إلى أنّ الحكم بكفاية مجرّد الاتّصال في غير المطر لأجل هذه القاعدة و هي جارية في المطر</w:t>
      </w:r>
      <w:r>
        <w:rPr>
          <w:rFonts w:eastAsia="Amiri" w:cs="Amiri" w:ascii="Amiri" w:hAnsi="Amiri"/>
          <w:color w:val="111111"/>
          <w:sz w:val="28"/>
          <w:szCs w:val="28"/>
          <w:rtl w:val="true"/>
          <w:lang w:bidi="ar-SA"/>
        </w:rPr>
        <w:t>.</w:t>
      </w:r>
      <w:bookmarkStart w:id="81" w:name="pg1910_26283"/>
    </w:p>
    <w:p>
      <w:pPr>
        <w:pStyle w:val="BookText"/>
        <w:rPr/>
      </w:pPr>
      <w:bookmarkEnd w:id="8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صاحب الجواهر مأخوذ من كلام المعالم و في تماميّة هذه القاعدة عندي تأمّل واضح و قد فصّلنا الكلام في هذه المسألة في مقامها</w:t>
      </w:r>
      <w:r>
        <w:rPr>
          <w:rFonts w:eastAsia="Amiri" w:cs="Amiri" w:ascii="Amiri" w:hAnsi="Amiri"/>
          <w:color w:val="111111"/>
          <w:sz w:val="28"/>
          <w:szCs w:val="28"/>
          <w:rtl w:val="true"/>
          <w:lang w:bidi="ar-SA"/>
        </w:rPr>
        <w:t>.</w:t>
      </w:r>
    </w:p>
    <w:p>
      <w:pPr>
        <w:pStyle w:val="Heading6"/>
        <w:numPr>
          <w:ilvl w:val="5"/>
          <w:numId w:val="1"/>
        </w:numPr>
        <w:rPr/>
      </w:pPr>
      <w:bookmarkStart w:id="82" w:name="__RefHeading___Toc3283774_3650668749"/>
      <w:bookmarkStart w:id="83" w:name="_Toc31"/>
      <w:bookmarkEnd w:id="82"/>
      <w:r>
        <w:rPr>
          <w:rtl w:val="true"/>
        </w:rPr>
        <w:t>المقام الثالث</w:t>
      </w:r>
      <w:r>
        <w:rPr>
          <w:rtl w:val="true"/>
        </w:rPr>
        <w:t xml:space="preserve">: </w:t>
      </w:r>
      <w:r>
        <w:rPr>
          <w:rtl w:val="true"/>
        </w:rPr>
        <w:t>أنّ ماء الغيث الثابت له حكم الجاري هل هو النّازل من السماء</w:t>
      </w:r>
      <w:bookmarkEnd w:id="83"/>
    </w:p>
    <w:p>
      <w:pPr>
        <w:pStyle w:val="BookText"/>
        <w:rPr/>
      </w:pPr>
      <w:r>
        <w:rPr>
          <w:rFonts w:ascii="Amiri" w:hAnsi="Amiri" w:eastAsia="Amiri" w:cs="Amiri"/>
          <w:color w:val="111111"/>
          <w:sz w:val="28"/>
          <w:sz w:val="28"/>
          <w:szCs w:val="28"/>
          <w:rtl w:val="true"/>
          <w:lang w:bidi="ar-SA"/>
        </w:rPr>
        <w:t>مقيّدا بحال نزوله، أو النّازل و لو بعد نزوله و قراره على الجسم ما لم ينقطع ترادف التقاطر عليه فعلا، أو النازل و لو بعد القرار ما دام تهيؤه للتقاطر عليه باقيا و إن لم يقع عليه في بعض الفترات عليه لحظة؟</w:t>
      </w:r>
    </w:p>
    <w:p>
      <w:pPr>
        <w:pStyle w:val="BookText"/>
        <w:rPr/>
      </w:pPr>
      <w:r>
        <w:rPr>
          <w:rFonts w:ascii="Amiri" w:hAnsi="Amiri" w:eastAsia="Amiri" w:cs="Amiri"/>
          <w:color w:val="111111"/>
          <w:sz w:val="28"/>
          <w:sz w:val="28"/>
          <w:szCs w:val="28"/>
          <w:rtl w:val="true"/>
          <w:lang w:bidi="ar-SA"/>
        </w:rPr>
        <w:t>فعلى الأوّل الماء المجتمع من النازل في محله من المحقون المعتصم باتّصاله بالغيث، لكن مع بقاء التقاطر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هو ماء الغيث مع بقاء التقاطر عليه فعلا، فإن لم يقع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محقونا، و إذا عاد التقاطر صار محقونا معتصما بالغيث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الثالث هو ماء غيث حين الفترة ما دام هو في معرض التقاطر، فالنّازل المجتمع بعد انقطاع السماء أصلا، أو مع خروج المجتمع عن معرض التقاطر عليه كما إذا أخذ و وضع فى بيت مثلا خارج عن ماء الغيث قطعا على جميع التقادير وجوه و أقوال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صريح العلّامة الطباطبائي هو الأوّل، بل أرسله إرسال المسلّمات؛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يحصل الانقطاع في القطرات النازلة بملاقاتها الجسم و لو قبل الاستقرار على الأرض فلو لاقت في الجوّ شيئا ثمّ سقطت على نجس نجست بالملاقاة ما لم يتقوّ باتّصالها بالنازل بعدها</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هذا الكلام أنّه إذا اجتمع من النازل ما لم يبلغ حدّ الكر، ثمّ جرى فليس الجاري مطرا، بل محقونا متقوّيا باتصاله بالماء النازل كنفس المجتمع في محله مع التقاطر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بعضهم إلى الثّاني؛ و اختار في الجواهر الثالث،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المطر له حكم الجاري حال تقاطره قبل ملاقاته جسما من الأجسام و بعده أيضا لكن بشرط عدم انقطاع التقاطر من السّماء، و عدم صيرورته في مكان يصدق عليه اسم الانقطاع من المطر عرفا كما لو وضع فى خائبة و ترك في بيت مثلا بل كان معرضا أو متهيّأ لوقوع التقاطر عليه، فإنّ الظاهر جريان الحكم الجاري عليه بنفسه كما كان حال تقاطره قبل استقراره لا لاتصاله بالجاري أي القطرات الواقعة</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 لكل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فوجهه ظهور كلمات الأصحاب من قولهم ماء الغيث نازلا أو في حال نزوله كالجاري في ذلك ضرورة انتهاء حالة النزول بملاقات الجسم؛ و إلّا لزم بقاء الحكم، و إن أحرز في كوز و وضع في بيت مثلا و من المعلوم عدمه لأنّ إطلاق ماء الغيث بعد النزول ليس إلّا كإطلاق الجاري على ما في الكأس</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الثاني الحكم بالطهر في الأخبار عليه بعد النزول بملاقات الجسم كما في خبر الميزابين، و خبر أبي بصير على القطرة بعد إصابة الكنيف، و خبر هشام بعد إصابة السطح يبال عليه، و مرسلة الكاهلي ماء المطر أرى منه التغيير و آثار القذر، و خبر علي بن جعفر إصابة ماء المطر و قد صبّ فيه خمر؛ لظهور الكلّ خصوصا الأخيرين فيما بعد ملاقاته أرضا و جسما و التعبير عمّا حكم فيها بطهره بماء المطر ظاهر في كون الحكم لأنّه ماء المطر لا لأنّه محقون معتصم به؛ و دعوى كون الإطلاق من قبيل إطلاق الجاري على ما في الكرّ و الكأس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w:t>
      </w:r>
      <w:bookmarkStart w:id="84" w:name="pg1910_26285"/>
    </w:p>
    <w:p>
      <w:pPr>
        <w:pStyle w:val="BookText"/>
        <w:rPr/>
      </w:pPr>
      <w:bookmarkEnd w:id="84"/>
      <w:r>
        <w:rPr>
          <w:rFonts w:ascii="Amiri" w:hAnsi="Amiri" w:eastAsia="Amiri" w:cs="Amiri"/>
          <w:color w:val="111111"/>
          <w:sz w:val="28"/>
          <w:sz w:val="28"/>
          <w:szCs w:val="28"/>
          <w:rtl w:val="true"/>
          <w:lang w:bidi="ar-SA"/>
        </w:rPr>
        <w:t>و وجه الثالث هو ما عرفته من عبارة الجواهر، و الظّاهر أنّ إطلاق ما في المصابيح من ارتفاع موضوع ماء الغيث بعد القرار كإطلاق ما في الجواهر من بقائه، و إن انقطع عنه التقاطر ما دام باقيا في معرض التقاطر عليه غير جيّد، بل الوجه هو الثاني، فكما أنّ الأوّل تفريط فالثّاني إفراط فلا إشكال في المسألة خصوصا مع ظهور بعض الأخبار، بل صراحتها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فمرجع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بقاء الموضوع بعد القرار و عدمه، لا في حكم تنجّس الماء و عدمه لأنّه، و إن نفى موضوع ماء المطر بعد القرار و عدمه لكن أثبت له الطهورية ما دام التقاطر عليه، و لو من جهة كونه محقونا معتصما بالمطر فتقلّ الثمرة معه، بل تعدم إلّا في بعض الفروض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الخلاف مع الجواهر في المجتمع من ماء المطر في معرض التقاطر عليه و السّماء يكفّ فأصابته نجاسة صادف اللحظة الفترة لعدم التقاطر فينجّس عندنا لا عند الجواهر، و على ما في المصابيح يطهّر بعود التقاطر عليه، و يمكن الثمرة بين قولنا و المصابيح بأنّه يتم تقوى الماء القليل من غير المطر الطاهر بالتّقاطر عليه بحيث لا ينفعل بالملاقات على مختارنا، و مختار الجواهر، بخلافه على ما في المصابيح فإنّ مثل هذا القليل على ما في المصابيح مثل القليل المتّصل بالجاري فهو متقوّ معتصم بالنّازل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يشكل الطهر بنحو القطرة و القطرتين عندنا و على ما في المصابيح من حيث كون الاتّصال بمقدار سطح النقطة و النقطتين كافيا في الاعتصام، و هو أمر آخر، و إن الأقوى كفايته في الاتّصال بالعاصم</w:t>
      </w:r>
      <w:r>
        <w:rPr>
          <w:rFonts w:eastAsia="Amiri" w:cs="Amiri" w:ascii="Amiri" w:hAnsi="Amiri"/>
          <w:color w:val="111111"/>
          <w:sz w:val="28"/>
          <w:szCs w:val="28"/>
          <w:rtl w:val="true"/>
          <w:lang w:bidi="ar-SA"/>
        </w:rPr>
        <w:t>.</w:t>
      </w:r>
    </w:p>
    <w:p>
      <w:pPr>
        <w:pStyle w:val="Heading6"/>
        <w:numPr>
          <w:ilvl w:val="5"/>
          <w:numId w:val="1"/>
        </w:numPr>
        <w:rPr/>
      </w:pPr>
      <w:bookmarkStart w:id="85" w:name="__RefHeading___Toc3283776_3650668749"/>
      <w:bookmarkStart w:id="86" w:name="_Toc32"/>
      <w:bookmarkEnd w:id="85"/>
      <w:r>
        <w:rPr>
          <w:rtl w:val="true"/>
        </w:rPr>
        <w:t>المقام الرابع</w:t>
      </w:r>
      <w:r>
        <w:rPr>
          <w:rtl w:val="true"/>
        </w:rPr>
        <w:t xml:space="preserve">: </w:t>
      </w:r>
      <w:r>
        <w:rPr>
          <w:rtl w:val="true"/>
        </w:rPr>
        <w:t>قد ظهر بما ذكرنا أنّ القطرة و القطرات من الماء البالغ حدّ الغيث بعد قرارها على جسم إذا وقعت على جسم آخر</w:t>
      </w:r>
      <w:bookmarkEnd w:id="8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 ما يكفّ السماء إذا كان الجسم الآخر نجسا فإنّها تنجس لأنّها خارجة عن موضوع ماء الغيث عند وقوعها على الآخر قطعا على جميع الأقوال المتقدّمة لارتفاع حالة النزول و انفصالها عن المادة و عدم ترادف</w:t>
      </w:r>
      <w:bookmarkStart w:id="87" w:name="pg1910_26286"/>
    </w:p>
    <w:p>
      <w:pPr>
        <w:pStyle w:val="BookText"/>
        <w:rPr/>
      </w:pPr>
      <w:bookmarkEnd w:id="87"/>
      <w:r>
        <w:rPr>
          <w:rFonts w:ascii="Amiri" w:hAnsi="Amiri" w:eastAsia="Amiri" w:cs="Amiri"/>
          <w:color w:val="111111"/>
          <w:sz w:val="28"/>
          <w:sz w:val="28"/>
          <w:szCs w:val="28"/>
          <w:rtl w:val="true"/>
          <w:lang w:bidi="ar-SA"/>
        </w:rPr>
        <w:t>القطرات عليها حين وقوعها على الجسم الثّاني، و هذا بخلاف ما إذا وقع المطر على جسم نجس أو متنجّس ثمّ وقع على جسم آخر طاهر فإنّه لا ينجّس لوروده على الأوّل مع التقاطر فكذا الثاني و الوجه واضح</w:t>
      </w:r>
      <w:r>
        <w:rPr>
          <w:rFonts w:eastAsia="Amiri" w:cs="Amiri" w:ascii="Amiri" w:hAnsi="Amiri"/>
          <w:color w:val="111111"/>
          <w:sz w:val="28"/>
          <w:szCs w:val="28"/>
          <w:rtl w:val="true"/>
          <w:lang w:bidi="ar-SA"/>
        </w:rPr>
        <w:t>.</w:t>
      </w:r>
    </w:p>
    <w:p>
      <w:pPr>
        <w:pStyle w:val="Heading6"/>
        <w:numPr>
          <w:ilvl w:val="5"/>
          <w:numId w:val="1"/>
        </w:numPr>
        <w:rPr/>
      </w:pPr>
      <w:bookmarkStart w:id="88" w:name="__RefHeading___Toc3283778_3650668749"/>
      <w:bookmarkStart w:id="89" w:name="_Toc33"/>
      <w:bookmarkEnd w:id="88"/>
      <w:r>
        <w:rPr>
          <w:rtl w:val="true"/>
        </w:rPr>
        <w:t>المقام الخامس</w:t>
      </w:r>
      <w:r>
        <w:rPr>
          <w:rtl w:val="true"/>
        </w:rPr>
        <w:t xml:space="preserve">: </w:t>
      </w:r>
      <w:r>
        <w:rPr>
          <w:rtl w:val="true"/>
        </w:rPr>
        <w:t>إذا نزل المطر على سقف من طين و نحوه، و رسب الماء فى أعماقه</w:t>
      </w:r>
      <w:bookmarkEnd w:id="89"/>
    </w:p>
    <w:p>
      <w:pPr>
        <w:pStyle w:val="BookText"/>
        <w:rPr/>
      </w:pPr>
      <w:r>
        <w:rPr>
          <w:rFonts w:ascii="Amiri" w:hAnsi="Amiri" w:eastAsia="Amiri" w:cs="Amiri"/>
          <w:color w:val="111111"/>
          <w:sz w:val="28"/>
          <w:sz w:val="28"/>
          <w:szCs w:val="28"/>
          <w:rtl w:val="true"/>
          <w:lang w:bidi="ar-SA"/>
        </w:rPr>
        <w:t>على وجه تقاطر من جانبه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التقاطر من السماء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لحوقه حكم المطهّرية و عدم الانفعال إذا كان على وجه التقاطر من السقف دون الجريان بنحو اتّصال عمود الماء، و كذا إذا تقاطر على فسطاط أو بعض السقوف المعمولة من نحو البواري و الشعور، ثم أخذ حال الأكفاء يتقاطر من تلك الأجسام لا بنحو الجريان و اتّصال العمود، و كذا المتقاطر من رءوس الجدران و الأشجار لا بنحو الجريان ففي الجميع ينجّس ما تقاطر منها على ما تحتها إن كان ما تحتها نجسا كما ذكر في القطرة من المطر المتدافق إذا وقعت على جسم ثم وقعت منه على آخر لحصول الانقطاع عن المادّة في جميعها بالانفصال عن مواضعها و الانتقال عنها إلى غيرها بنحو التقاطر فهي كالقطرة و القطرات المنفصلة عن الجاري، و هذا بخلاف الجريان على ما تحتها اتّصال العمود لتحقّق الاتّصال بالمادّة</w:t>
      </w:r>
      <w:r>
        <w:rPr>
          <w:rFonts w:eastAsia="Amiri" w:cs="Amiri" w:ascii="Amiri" w:hAnsi="Amiri"/>
          <w:color w:val="111111"/>
          <w:sz w:val="28"/>
          <w:szCs w:val="28"/>
          <w:rtl w:val="true"/>
          <w:lang w:bidi="ar-SA"/>
        </w:rPr>
        <w:t>.</w:t>
      </w:r>
    </w:p>
    <w:p>
      <w:pPr>
        <w:pStyle w:val="Heading6"/>
        <w:numPr>
          <w:ilvl w:val="5"/>
          <w:numId w:val="1"/>
        </w:numPr>
        <w:rPr/>
      </w:pPr>
      <w:bookmarkStart w:id="90" w:name="__RefHeading___Toc3283780_3650668749"/>
      <w:bookmarkStart w:id="91" w:name="_Toc34"/>
      <w:bookmarkEnd w:id="90"/>
      <w:r>
        <w:rPr>
          <w:rtl w:val="true"/>
        </w:rPr>
        <w:t>المقام السادس</w:t>
      </w:r>
      <w:r>
        <w:rPr>
          <w:rtl w:val="true"/>
        </w:rPr>
        <w:t xml:space="preserve">: </w:t>
      </w:r>
      <w:r>
        <w:rPr>
          <w:rtl w:val="true"/>
        </w:rPr>
        <w:t>ما إذا وقع المطر على جسم فمسّ حال نزوله جسما مسّا لا قرار معه أصلا فوقع بعد المسّ على متنجّس،</w:t>
      </w:r>
      <w:bookmarkEnd w:id="91"/>
    </w:p>
    <w:p>
      <w:pPr>
        <w:pStyle w:val="BookText"/>
        <w:rPr/>
      </w:pPr>
      <w:r>
        <w:rPr>
          <w:rFonts w:ascii="Amiri" w:hAnsi="Amiri" w:eastAsia="Amiri" w:cs="Amiri"/>
          <w:color w:val="111111"/>
          <w:sz w:val="28"/>
          <w:sz w:val="28"/>
          <w:szCs w:val="28"/>
          <w:rtl w:val="true"/>
          <w:lang w:bidi="ar-SA"/>
        </w:rPr>
        <w:t>فهل يبقى الحكم بالطّهورية فيطهر بقدر ما يلاقيه أو لا؟</w:t>
      </w:r>
    </w:p>
    <w:p>
      <w:pPr>
        <w:pStyle w:val="BookText"/>
        <w:rPr/>
      </w:pPr>
      <w:r>
        <w:rPr>
          <w:rFonts w:ascii="Amiri" w:hAnsi="Amiri" w:eastAsia="Amiri" w:cs="Amiri"/>
          <w:color w:val="111111"/>
          <w:sz w:val="28"/>
          <w:sz w:val="28"/>
          <w:szCs w:val="28"/>
          <w:rtl w:val="true"/>
          <w:lang w:bidi="ar-SA"/>
        </w:rPr>
        <w:t>و الأقوى هو الأوّل لبقاء حالة النزول من السماء عرفا، و التشكيك من التشكيكات البدويّة التي لا اعتبار بها فيكون كما لاقاه من السماء</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الفرق بين المقام </w:t>
      </w:r>
      <w:r>
        <w:rPr>
          <w:rStyle w:val="FootnoteAnchor"/>
          <w:rtl w:val="true"/>
        </w:rPr>
        <w:footnoteReference w:id="155"/>
      </w:r>
      <w:r>
        <w:rPr>
          <w:rFonts w:ascii="Amiri" w:hAnsi="Amiri" w:eastAsia="Amiri" w:cs="Amiri"/>
          <w:color w:val="111111"/>
          <w:sz w:val="28"/>
          <w:sz w:val="28"/>
          <w:szCs w:val="28"/>
          <w:rtl w:val="true"/>
          <w:lang w:bidi="ar-SA"/>
        </w:rPr>
        <w:t>و بين السابق من وقوع المطر على متنجّس بعد القرار قبل وقوعه في جسم آخر العرف؛ لصدق بقاء حالة النزول عرفا هنا دون المتقدّم، ففي المقام لو وقعت</w:t>
      </w:r>
      <w:bookmarkStart w:id="92" w:name="pg1910_26287"/>
    </w:p>
    <w:p>
      <w:pPr>
        <w:pStyle w:val="BookText"/>
        <w:rPr/>
      </w:pPr>
      <w:bookmarkEnd w:id="92"/>
      <w:r>
        <w:rPr>
          <w:rFonts w:ascii="Amiri" w:hAnsi="Amiri" w:eastAsia="Amiri" w:cs="Amiri"/>
          <w:color w:val="111111"/>
          <w:sz w:val="28"/>
          <w:sz w:val="28"/>
          <w:szCs w:val="28"/>
          <w:rtl w:val="true"/>
          <w:lang w:bidi="ar-SA"/>
        </w:rPr>
        <w:t>قطرة على المتنجّس، أو نجس العين، ثم وقع على جسم آخر فلا ينجّس، بل و يطهّر الجسم الآخر إذا كان متنجّسا بقدر الملاقات؛ و أمّا في المقام السابق فيشترك معه في عدم التنجيس، و يفرق منه في عدم المطهّرية لعدم صدق المطر بعد الاستقرار، و أظنّ أنّ هذا ممّا لا يخفى على عوام الطلبة فضلا عن خواصّها فضلا عن العلماء الأعلام</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3283782_3650668749"/>
      <w:bookmarkStart w:id="94" w:name="_Toc35"/>
      <w:bookmarkEnd w:id="93"/>
      <w:r>
        <w:rPr>
          <w:rtl w:val="true"/>
        </w:rPr>
        <w:t>المقام السابع</w:t>
      </w:r>
      <w:r>
        <w:rPr>
          <w:rtl w:val="true"/>
        </w:rPr>
        <w:t xml:space="preserve">: </w:t>
      </w:r>
      <w:r>
        <w:rPr>
          <w:rtl w:val="true"/>
        </w:rPr>
        <w:t>لا يفرق في حكم ماء الغيث و وروده على المتنجّس في الطهر به أو ورود المتنجّس عليه،</w:t>
      </w:r>
      <w:bookmarkEnd w:id="94"/>
    </w:p>
    <w:p>
      <w:pPr>
        <w:pStyle w:val="BookText"/>
        <w:rPr/>
      </w:pPr>
      <w:r>
        <w:rPr>
          <w:rFonts w:ascii="Amiri" w:hAnsi="Amiri" w:eastAsia="Amiri" w:cs="Amiri"/>
          <w:color w:val="111111"/>
          <w:sz w:val="28"/>
          <w:sz w:val="28"/>
          <w:szCs w:val="28"/>
          <w:rtl w:val="true"/>
          <w:lang w:bidi="ar-SA"/>
        </w:rPr>
        <w:t>لعموم التشبيه بالجاري و للإطلاقات المتقدّمة، و من المعلوم عدم الفرق فيه، هذا على المختار و مختار الجواهر، و أمّا على القسم الأوّل الذي اختاره في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اختصاص موضوع المطر بالنّازل حين نزوله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فرض ورود النجاسة على ماء المطر، ضرورة أنّه لا يلاقي حينئذ ما هو ماء مطر إلّا واردا هو على النجاسة، فلا يرد عليه النجاسة إلّا بعد خروجه من موضوع المطر فينجّس بناء على نجاسة المورود؛ و يمكن دفعه بأنّ النّازل بعد نزوله؛ و إن حكم بخروجه عن موضوع الغيث لكن بقاء التقاطر موجب للاعتصام، و كلّ معتصم يؤتى حكم المعتصم به فيجري على النازل المورود مع التقاطر عليه حكم الوارد</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3283784_3650668749"/>
      <w:bookmarkStart w:id="96" w:name="_Toc36"/>
      <w:bookmarkEnd w:id="95"/>
      <w:r>
        <w:rPr>
          <w:rtl w:val="true"/>
        </w:rPr>
        <w:t>المقام الثامن</w:t>
      </w:r>
      <w:r>
        <w:rPr>
          <w:rtl w:val="true"/>
        </w:rPr>
        <w:t xml:space="preserve">: </w:t>
      </w:r>
      <w:r>
        <w:rPr>
          <w:rtl w:val="true"/>
        </w:rPr>
        <w:t xml:space="preserve">قال في كشف الغطاء </w:t>
      </w:r>
      <w:r>
        <w:rPr>
          <w:rtl w:val="true"/>
        </w:rPr>
        <w:t>«</w:t>
      </w:r>
      <w:r>
        <w:rPr>
          <w:rtl w:val="true"/>
        </w:rPr>
        <w:t>و لو ترشّح ماء ممّا يقع على نجاسة العين مع بقاء التقاطر فلا بأس له</w:t>
      </w:r>
      <w:r>
        <w:rPr>
          <w:rtl w:val="true"/>
        </w:rPr>
        <w:t>»</w:t>
      </w:r>
      <w:bookmarkEnd w:id="96"/>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عاصم لما اتّصل به من الماء مطهّر لما وقع فيه معصوم لا ينجّس إلّا بالتغيير</w:t>
      </w:r>
      <w:r>
        <w:rPr>
          <w:rFonts w:eastAsia="Amiri" w:cs="Amiri" w:ascii="Amiri" w:hAnsi="Amiri"/>
          <w:color w:val="111111"/>
          <w:sz w:val="28"/>
          <w:szCs w:val="28"/>
          <w:rtl w:val="true"/>
          <w:lang w:bidi="ar-SA"/>
        </w:rPr>
        <w:t xml:space="preserve">». </w:t>
      </w:r>
      <w:r>
        <w:rPr>
          <w:rStyle w:val="FootnoteAnchor"/>
          <w:rtl w:val="true"/>
        </w:rPr>
        <w:footnoteReference w:id="15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لصدق ماء المطر في صورة عدم الاستقرار أوّلا، و لاتّصاله بالمبدإ و هو قطرات الماء ثانيا، فلا إشكال في الحكم بالطّهارة لعين ما عرفت و لا نحتاج إلى معونة زائدة</w:t>
      </w:r>
      <w:r>
        <w:rPr>
          <w:rFonts w:eastAsia="Amiri" w:cs="Amiri" w:ascii="Amiri" w:hAnsi="Amiri"/>
          <w:color w:val="111111"/>
          <w:sz w:val="28"/>
          <w:szCs w:val="28"/>
          <w:rtl w:val="true"/>
          <w:lang w:bidi="ar-SA"/>
        </w:rPr>
        <w:t>.</w:t>
      </w:r>
      <w:bookmarkStart w:id="97" w:name="pg1910_26288"/>
    </w:p>
    <w:p>
      <w:pPr>
        <w:pStyle w:val="Heading6"/>
        <w:numPr>
          <w:ilvl w:val="5"/>
          <w:numId w:val="1"/>
        </w:numPr>
        <w:rPr/>
      </w:pPr>
      <w:bookmarkStart w:id="98" w:name="__RefHeading___Toc3283786_3650668749"/>
      <w:bookmarkStart w:id="99" w:name="_Toc37"/>
      <w:bookmarkEnd w:id="97"/>
      <w:bookmarkEnd w:id="98"/>
      <w:r>
        <w:rPr>
          <w:rtl w:val="true"/>
        </w:rPr>
        <w:t>المقام التاسع</w:t>
      </w:r>
      <w:r>
        <w:rPr>
          <w:rtl w:val="true"/>
        </w:rPr>
        <w:t xml:space="preserve">: </w:t>
      </w:r>
      <w:r>
        <w:rPr>
          <w:rtl w:val="true"/>
        </w:rPr>
        <w:t>إذا وقعت الملاقات بين الشخص و الماء النجس المتّصل بالماء الذي ورد عليه القطرة أو القطرات،</w:t>
      </w:r>
      <w:bookmarkEnd w:id="99"/>
    </w:p>
    <w:p>
      <w:pPr>
        <w:pStyle w:val="BookText"/>
        <w:rPr/>
      </w:pPr>
      <w:r>
        <w:rPr>
          <w:rFonts w:ascii="Amiri" w:hAnsi="Amiri" w:eastAsia="Amiri" w:cs="Amiri"/>
          <w:color w:val="111111"/>
          <w:sz w:val="28"/>
          <w:sz w:val="28"/>
          <w:szCs w:val="28"/>
          <w:rtl w:val="true"/>
          <w:lang w:bidi="ar-SA"/>
        </w:rPr>
        <w:t>فلا شبهة في عدم نجاسة الملاقي، لطهارة الماء بالاتصال إلّا على القول بالممازجة؛ و قد بيّنا ضعفه و بعد ملاحظة ما ذكرنا من الأخبار الواردة في الباب لا يبقى شكّ و لا ارتياب</w:t>
      </w:r>
      <w:r>
        <w:rPr>
          <w:rFonts w:eastAsia="Amiri" w:cs="Amiri" w:ascii="Amiri" w:hAnsi="Amiri"/>
          <w:color w:val="111111"/>
          <w:sz w:val="28"/>
          <w:szCs w:val="28"/>
          <w:rtl w:val="true"/>
          <w:lang w:bidi="ar-SA"/>
        </w:rPr>
        <w:t>.</w:t>
      </w:r>
    </w:p>
    <w:p>
      <w:pPr>
        <w:pStyle w:val="Heading6"/>
        <w:numPr>
          <w:ilvl w:val="5"/>
          <w:numId w:val="1"/>
        </w:numPr>
        <w:rPr/>
      </w:pPr>
      <w:bookmarkStart w:id="100" w:name="__RefHeading___Toc3283788_3650668749"/>
      <w:bookmarkStart w:id="101" w:name="_Toc38"/>
      <w:bookmarkEnd w:id="100"/>
      <w:r>
        <w:rPr>
          <w:rtl w:val="true"/>
        </w:rPr>
        <w:t>المقام العاشر</w:t>
      </w:r>
      <w:r>
        <w:rPr>
          <w:rtl w:val="true"/>
        </w:rPr>
        <w:t xml:space="preserve">: </w:t>
      </w:r>
      <w:r>
        <w:rPr>
          <w:rtl w:val="true"/>
        </w:rPr>
        <w:t>فيما إذا وقعت الملاقات بينه و بين نجس العين</w:t>
      </w:r>
      <w:bookmarkEnd w:id="101"/>
    </w:p>
    <w:p>
      <w:pPr>
        <w:pStyle w:val="BookText"/>
        <w:rPr/>
      </w:pPr>
      <w:r>
        <w:rPr>
          <w:rFonts w:ascii="Amiri" w:hAnsi="Amiri" w:eastAsia="Amiri" w:cs="Amiri"/>
          <w:color w:val="111111"/>
          <w:sz w:val="28"/>
          <w:sz w:val="28"/>
          <w:szCs w:val="28"/>
          <w:rtl w:val="true"/>
          <w:lang w:bidi="ar-SA"/>
        </w:rPr>
        <w:t>في حال تقاطر ماء المطر فهل ينجّس بالملاقات أو لا؟ و الظّاهر أنّها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حصلت الملاقات مع الماء الذي يترشّح منه في حالة عدم انفصاله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ملاقات عين النجس مع عدم انقطاع ماء المطر من ذلك الموضع، إن أمكن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ملاقات الماء الذي في جلد الكلب و أعماق صوفه و وبره مثلا مع اتّصاله بالماء الذي في جلده مع عدم انقطاع التقاطر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ملاقات الجد مع الانقطاع التقاطر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الترشّح من غير موضع يراه المطر كالتقاطر من بطنه و ما بين يديه و رجليه مع الاتّصال بالظهر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يمكن الحكم بطهارته هو الأوّل و الثّاني، و إن كان فرضه بعيدا، و كذا الثالث؛ و أمّا الرابع فلا إشكال في الحكم بالنجاسة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الخامس فقد يكون الاتّصال بنحو الجريان و قد يكون بالتقاطر، و على التقديرين إمّا أن يكون الماء مستقرا أولا، فالمحكوم بالطهارة و عدم التنجيس هو صورة الجريان مع عدم الاستقرار، و أمّا مع الاستقرار فقد يشكل فيه، و منشأ الإشكال عدم صدق المطر عليه كما عرفت، فلا يدخل في عنوان ماء المطر، و إن كان ظاهرا بواسطة الاتّصال بالتقاطر عليه من المطر، و أمّا صورة عدم الجريان فلا ريب في الحكم بالنّجاسة لعدم الاتّصال</w:t>
      </w:r>
      <w:r>
        <w:rPr>
          <w:rFonts w:eastAsia="Amiri" w:cs="Amiri" w:ascii="Amiri" w:hAnsi="Amiri"/>
          <w:color w:val="111111"/>
          <w:sz w:val="28"/>
          <w:szCs w:val="28"/>
          <w:rtl w:val="true"/>
          <w:lang w:bidi="ar-SA"/>
        </w:rPr>
        <w:t>.</w:t>
      </w:r>
      <w:bookmarkStart w:id="102" w:name="pg1910_26289"/>
    </w:p>
    <w:p>
      <w:pPr>
        <w:pStyle w:val="Heading5"/>
        <w:numPr>
          <w:ilvl w:val="4"/>
          <w:numId w:val="1"/>
        </w:numPr>
        <w:rPr/>
      </w:pPr>
      <w:bookmarkStart w:id="103" w:name="__RefHeading___Toc3283790_3650668749"/>
      <w:bookmarkStart w:id="104" w:name="_Toc39"/>
      <w:bookmarkEnd w:id="102"/>
      <w:bookmarkEnd w:id="103"/>
      <w:r>
        <w:rPr>
          <w:rtl w:val="true"/>
        </w:rPr>
        <w:t>تتميم</w:t>
      </w:r>
      <w:r>
        <w:rPr>
          <w:rtl w:val="true"/>
        </w:rPr>
        <w:t xml:space="preserve">: </w:t>
      </w:r>
      <w:r>
        <w:rPr>
          <w:rtl w:val="true"/>
        </w:rPr>
        <w:t xml:space="preserve">لو شكّ في الماء المترشّح أنّه من ظهر الكلب أو بطنه، متّصلا أو غير </w:t>
      </w:r>
      <w:r>
        <w:rPr>
          <w:rtl w:val="true"/>
        </w:rPr>
        <w:t>[</w:t>
      </w:r>
      <w:r>
        <w:rPr>
          <w:rtl w:val="true"/>
        </w:rPr>
        <w:t>متصل</w:t>
      </w:r>
      <w:r>
        <w:rPr>
          <w:rtl w:val="true"/>
        </w:rPr>
        <w:t>]</w:t>
      </w:r>
      <w:r>
        <w:rPr>
          <w:rtl w:val="true"/>
        </w:rPr>
        <w:t>،</w:t>
      </w:r>
      <w:bookmarkEnd w:id="104"/>
    </w:p>
    <w:p>
      <w:pPr>
        <w:pStyle w:val="BookText"/>
        <w:rPr/>
      </w:pPr>
      <w:r>
        <w:rPr>
          <w:rFonts w:ascii="Amiri" w:hAnsi="Amiri" w:eastAsia="Amiri" w:cs="Amiri"/>
          <w:color w:val="111111"/>
          <w:sz w:val="28"/>
          <w:sz w:val="28"/>
          <w:szCs w:val="28"/>
          <w:rtl w:val="true"/>
          <w:lang w:bidi="ar-SA"/>
        </w:rPr>
        <w:t>كونه في حال التقاطر، و عدمه فلا إشكال في الطهارة لأصالة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يحكم بالنجاسة إذا علمنا بانقطاع التقاطر، ثم شككنا فيه فإنّه نحكم عليه بالنجاسة للاستصحاب، إلّا إذا شكّ في أنّه كان في حال الفترة أو بعد التقاطر الثانوي فإنّه محكوم بالطهارة أيضا للأصل، و قد ظهر الجواب عن شقّي السؤال و اللّه أعلم بحقيقة الحال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حرره أقلّ المحصّلين أحمد بن محمّد رضا الحسيني عفى اللّه عن جرائمهما في عصر الحادي و العشرين من ذي القعدة الحرام من عام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الحمد</w:t>
      </w:r>
      <w:r>
        <w:rPr>
          <w:rFonts w:eastAsia="Amiri" w:cs="Amiri" w:ascii="Amiri" w:hAnsi="Amiri"/>
          <w:color w:val="111111"/>
          <w:sz w:val="28"/>
          <w:szCs w:val="28"/>
          <w:rtl w:val="true"/>
          <w:lang w:bidi="ar-SA"/>
        </w:rPr>
        <w:t>.</w:t>
      </w:r>
      <w:bookmarkStart w:id="105" w:name="pg1910_26290"/>
    </w:p>
    <w:p>
      <w:pPr>
        <w:pStyle w:val="Heading2"/>
        <w:numPr>
          <w:ilvl w:val="1"/>
          <w:numId w:val="1"/>
        </w:numPr>
        <w:rPr/>
      </w:pPr>
      <w:bookmarkStart w:id="106" w:name="__RefHeading___Toc3283792_3650668749"/>
      <w:bookmarkStart w:id="107" w:name="_Toc40"/>
      <w:bookmarkEnd w:id="105"/>
      <w:bookmarkEnd w:id="106"/>
      <w:r>
        <w:rPr>
          <w:rtl w:val="true"/>
        </w:rPr>
        <w:t>فهرست برخى از مصادر تحقيق</w:t>
      </w:r>
      <w:bookmarkEnd w:id="1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طوسى، تحقيق جواد قيّومى، قم، مؤسسۀ نشر اسلامى،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الأذهان إلى أحكام الإيمان، علّامه حلّى، تحقيق شيخ فارس الحسّون، قم، مؤسسۀ نشر إسلامى،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فيما اختلف من الأخبار؛ شيخ طوسى، تحقيق سيّد حسن موسوى خرسان، چاپ چهارم، تهران، دار الكتب الإسلاميّة،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إصباح الشيعة بمصباح الشريعة، قطب الدين بيهقى كيدرى، تحقيق ابراهيم بهادرى، قم، مؤسسۀ امام صادق عليه السّلام،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 سيّد محسن امين، إعداد سيّد حسن امين، بيروت، دار التعارف للمطبوعات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الأعمال، سيّد بن طاوس، تحقيق جواد قيّومى اصفهانى، قم، دفتر تبليغات اسلامى،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 سيّد مرتضى، قم، مؤسسۀ نشر اسلامى،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الفوائد في شرح اشكالات القواعد، فخر المحقّقين حلّى، قم، انتشارات اسماعيليان،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الجامعة لدرر أخبار الأئمة الأطهار، علّامه محمّد باقر مجلسى، چاپ دوّم، بيروت، مؤسسۀ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علمى و اجتماعى اصفهان در دو قرن أخير، سيّد مصلح الدين مهدوى، قم، نشر الهداية،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المتعلّمين، علّامۀ حلّى، تحقيق سيّد احمد حسينى و شيخ هادى يوسفى، تهران، انتشارات فقيه،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الأحكام الشرعية على مذهب الإماميّة، علّامه حلّى، تحقيق ابراهيم بهادرى، قم، مؤسسۀ امام صادق عليه السّلام،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الفقهاء، علّامۀ حلّى، قم، تحقيق و نشر مؤسسة آل البيت عليهم السّلام لإحياء التراث،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التنقيح الرائع لمختصر النافع، فاضل مقداد، تحقيق عبد اللطيف الحسينى، قم، كتابخانه آية اللّه العظمى مرعشى نجفى،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المقال في علم الرجال، ملّا على كنى، تحقيق محمّد حسين مولوى، قم، دار الحديث،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شيخ طوسى، تحقيق سيّد حسن خرسان، چاپ چهارم، تهران، دار الكتب الإسلامية،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الشتات، محقّق قمى، تصحيح مرتضى رضوى، تهران، انتشارات كيهان،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عباسى، شيخ بهائى، تهران، انتشارات فراهانى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للشرائع، يحيى بن سعيد حلّى، قم، مؤسسۀ سيّد الشهداء عليه السّلام،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في شرح شرايع الاسلام، شيخ محمّد حسن نجفى، قم، مؤسسۀ نشر اسلامى،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في شرح شرايع الاسلام، شيخ محمّد حسن نجفى، اعداد شيخ عباس قوچانى، چاپ دوّم، تهران، دار الكتب الإسلاميّة،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مجمع الفائدة و البرهان، علّامه وحيد بهبهانى، قم، مؤسسۀ علّامه وحيد بهبهانى،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حاوى الأقوال في معرفة الرجال، شيخ عبد النبي جزائرى، قم، مؤسسة الهداية لإحياء التراث،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الناضرة في أحكام العترة الطاهرة، شيخ يوسف محدّث بحرانى، تحقيق محمّد تقى ايروانى، قم، مؤسسۀ نشر اسلامى،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الأقوال في معرفة الرجال، علّامۀ حلّى، تحقيق جواد قيّومى، قم، نشر الفقاهة،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شيخ طوسى، قم، مؤسسۀ نشر اسلامى،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بزرگان اصفهان، سيّد مصلح الدين مهدوى، تحقيق رحيم قاسمى و محمّد رضا نيلفروشان، اصفهان، انتشارات گلدسته،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الشرعية في فقه الإماميّة، شهيد أوّل، قم، تحقيق و نشر مؤسسۀ نشر اسلامى،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ذخيرة المعاد في شرح الإرشاد، محقّق سبزواري، قم، مؤسسة آل البيت عليهم السّلام لإحياء التراث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إلى تصانيف الشيعة، شيخ آقا بزرگ طهرانى، چاپ سوّم، بيروت، دار الأضواء،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ابن غضائرى، تحقيق سيّد محمّد رضا حسينى جلالى، قم، دار الحديث،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أحمد بن على النجاشي، تحقيق سيّد موسى شبيرى زنجانى، قم، مؤسسۀ نشر اسلامى،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الرجاليّة، أبو المعالي كلباسى، تحقيق محمّد حسين درايتى، قم، دار الحديث،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الرجالية، سيّد محمّد باقر حجة الاسلام شفتى، تحقيق سيّد مهدى رجايى، اصفهان، مكتبۀ مسجد سيّد،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و مسائل، ملّا أحمد نراقى، إعداد رضا استادى، قم، كنگرۀ بزرگداشت ملّا مهدى و ملّا احمد نراقى،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صلاتيه، شيخ محمّد تقى رازى نجفى اصفهانى، تحقيق مهدى باقرى سيانى، قم، ذو القربى،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رسالۀ في حكم الأغلاط الواقعة في المصاحف من الكتّاب، علّامه حاج آقا منير الدين بروجردى اصفهانى، تحقيق مهدى باقرى سيانى، اصفهان،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قبض الوقف، علّامه حاج آقا منير الدين بروجردى، تحقيق مهدى باقرى سيانى، اصفهان،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ميراث حوزۀ اصفهان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الرواشح السماويّة في شرح الأحاديث الإماميّة، سيّد محمّد باقر داماد، تحقيق نعمت اللّه جليلى و غلامحسين قيصريه‌ها، قم، دار الحديث،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في أحوال العلماء و السادات، سيّد محمّد باقر خوانسارى، تحقيق اسد اللّه اسماعيليان، قم، انتشارات اسماعيليان،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 الجنان في شرح إرشاد الأذهان، شهيد ثانى، قم، انتشارات دفتر تبليغات اسلامى،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البهيّة في شرح اللمعة الدمشقيّة، شهيد ثانى، تحقيق سيّد محمّد كلانتر، چاپ دوم، بيروت، دار إحياء التراث العربى،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المسائل في تحقيق الأحكام بالدلائل، سيّد على طباطبائى، قم، مؤسسة آل البيت عليهم السّلام لاحياء التراث،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زندگى‌نامۀ علّامۀ مجلسى، سيّد مصلح الدين مهدوى، حواشى سيّد محمّد على روضاتى، تهران، همايش بزرگداشت علّامۀ مجلسى،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الحاوي لتحرير الفتاوى، ابن إدريس حلّى، قم، مؤسسۀ نشر اسلامى،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سماء المقال، أبو الهدى كلباسى، تحقيق سيّد محمّد حسينى قزوينى، قم، مؤسسۀ ولى عصر عليه السّلام للدراسات الاسلاميّة،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شرايع الإسلام في مسائل الحلال و الحرام، محقّق حلّى، تحقيق عبد الحسين محمّد على بقّال، چاپ دوّم، قم، انتشارات اسماعيليان،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خيارات اللمعة، شيخ على كاشف الغطاء نجفى، قم، مؤسسة النشر الإسلامى،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هداية المسترشدين، شيخ محمّد باقر نجفى اصفهانى، تحقيق مهدى باقرى سيانى، قم، نشر عطر عترت،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الرجال، سيّد محسن اعرجى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مقدّس بغدادى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الهداية لإحياء التراث،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غنائم الأيام في مسائل الحلال و الحرام، 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قم، انتشارات دفتر تبليغات اسلامى،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غنية النزوع إلى علمي الأصول و الفروع، ابن زهرۀ حلبى، تحقيق ابراهيم بهادرى، قم، مؤسسۀ امام صادق عليه السّلام،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شيخ طوسى، تحقيق الشيخ عباد اللّه الطهرانى و الشيخ على أحمد ناصح، قم، مؤسسۀ معارف اسلامى،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القرآن، سعيد بن هبة اللّه الراوندي، تحقيق سيّد أحمد حسينى اشكورى، چاپ دوّم، قم، كتابخانۀ آية اللّه العظمى نجفى مرعشى،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الفريضة و النافلة، علّامه حاج آقا منير الدين بروجردى، اعداد سيّد مرتضى رضوى، قاهره، مطبوعات النجاح،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الرجاليّة، علّامۀ بحر العلوم نجفى، تحقيق محمّد صادق و حسين بحر العلوم، تهران، مكتبة الصادق،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الرجاليّة، محقّق خواجوئى، تحقيق سيّد مهدى رجايى، مشهد، مجمع البحوث الإسلاميّة،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الرجاليّة، وحيد 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المقال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كتب الشيعة و اصولهم، شيخ طوسى، تحقيق سيّد عبد العزيز طباطبائى، قم، مكتبۀ محقّق طباطبائى،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شيخ محمّد تقى محقّق تسترى، چاپ دوّم، قم، مؤسسۀ نشر اسلامى،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 مجدد الدين فيروزآبادى، بيروت، دار الجيل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قبيلۀ عالمان دين، شيخ هادى نجفى، قم، انتشارات عسكريه،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عبد اللّه بن جعفر حميرى، قم، مؤسسة آل البيت عليهم السّلام لإحياء التراث،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الأحكام، علّامه حلّى، قم، مؤسسۀ نشر اسلامى،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الفقهيّة، سيّد محمّد حسن بجنوردى، تحقيق محمّد حسين درايتى و مهدى مهريزى، قم، مؤسسۀ الهادى،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ثقة الاسلام كلينى، تحقيق على اكبر غفّارى، چاپ هشتم، تهران، دار الكتب الإسلاميّة،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 آية اللّه العظمى سيّد أبو القاسم خوئى، قم، مؤسسۀ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الخيارات، آية اللّه سيّد مصطفى خمينى، قم، مؤسسۀ تنظيم و نشر آثار امام خمينى،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شيخ مرتضى انصارى، تحقيق لجنۀ تحقيق تراث الشيخ الأعظم،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آية اللّه سيّد مصطفى خمينى، قم، مؤسسۀ تنظيم و نشر آثار امام خمينى،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الأستار عن وجه الكتب و الأسفار، علّامۀ سيّد أحمد صفائى خوانسارى، قم، مؤسسة آل البيت عليهم السّلام لإحياء التراث،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الرموز في شرح مختصر النافع، فاضل آبى، قم، مؤسسۀ نشر اسلامى،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الغطاء عن مبهمات الشريعة العزّاء، شيخ جعفر كاشف الغطاء، مشهد مقدّس، انتشارات دفتر تبليغات اسلامى،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اللثام عن قواعد الأحكام، فاضل 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بهاء الدين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مؤسسۀ نشر اسلامى،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كشكول طبسى، سيّد على‌نقى طبسى حائرى، چاپ دهم، مشهد، انتشارات فدك،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الأحكام، محقّق سبزوارى، تحقيق شيخ مرتضى واعظى اراكى، قم، مؤسسة نشر اسلامى،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 تمام النعمة، شيخ صدوق، تحقيق على اكبر غفّارى، قم، مؤسسۀ نشر اسلامى،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اللمعة الدمشقية، شهيد أوّل، تحقيق شيخ على كورانى، قم، انتشارات دار الفكر،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 في فقه الإماميّة، شيخ طوسى، تهران، مكتبة المرتضوية لإحياء الآثار الجعفريّة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الفائدة و البرهان، 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اردبيلى، قم، مؤسسۀ نشر اسلامى،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النافع في فقه الإماميّة، محقّق حلّى، چاپ سوّم، تهران، مؤسسۀ بعثت،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الشيعة في أحكام الشريعة، علّامۀ حلّى، چاپ دوّم، قم، انتشارات دفتر تبليغات اسلامى،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الأحكام في شرح شرايع الإسلام، سيّد محمّد عاملى، قم، مؤسسة آل البيت عليهم السّلام لإحياء التراث،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المراسم في الفقه الإسلامى، سلّار ديلمى، قم، منشورات حرمين،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مسالك الأفهام إلى تنقيح شرايع الإسلام، شهيد ثانى، چاپ دوّم، قم، مؤسسۀ معارف اسلامى،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علي بن جعفر العريضى، قم، مؤسسة آل البيت عليهم السّلام لإحياء التراث،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و مستنبط المسائل، محدّث نورى، قم، مؤسسة آل البيت عليهم السّلام لإحياء التراث،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الشيعة في أحكام الشريعة، محقّق نراقى، مشهد مقدس، مؤسسة آل البيت عليهم السّلام لإحياء التراث،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الشموس في شرح الدروس، محقّق خوانسارى، قم، افست مؤسسة آل البيت عليهم السّلام لإحياء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الفقيه، علّامه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همدانى، قم، مؤسسۀ جعفرية،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الدين و ملاذ المجتهدين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حسن بن زين الدين العاملى،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 شرح المختصر، محقّق حلّى، قم، تحقيق و نشر مؤسسۀ سيّد الشهداء عليه السّلام،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الحديث و تفصيل طبقات الرواة، محقّق خوئى، چاپ پنجم، قم، مركز نشر آثار الشيعة،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الشرائع، مولى محسن فيض كاشانى، تحقيق سيّد مهدى رجايى، قم، مجمع الذخائر الإسلاميّة،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الكرامة في شرح قواعد العلّامة، علّامه سيّد جواد عاملى، تحقيق شيخ محمّد باقر خالصى، قم، مؤسسۀ نشر اسلامى،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شيخ مفيد، چاپ چهارم، قم، مؤسسۀ نشر اسلامى،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المكاسب، شيخ اعظم انصارى، تحقيق لجنة تحقيق تراث الشيخ الأعظم، چاپ هفتم، قم، مجمع الفكر الإسلامى،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الآثار، ميرزا محمّد على معلّم حبيب‌آبادى، اعداد سيّد محمّد على روضاتى، اصفهان، نشر نفائس مخطوطات،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منتقد المنافع في شرح المختصر النافع، ملّا حبيب اللّه شريف كاشانى، قم، انتشارات دفتر تبليغات اسلامى،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منتقى الجمان في الأحاديث الصحيح و الحسان، شيخ حسن بن زين الدين عاملى، تحقيق على اكبر غفّارى، قم، مؤسّسۀ نشر اسلامى،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المطلب في تحقيق المذهب، علّامۀ حلّى، مشهد مقدس، انتشارات آستان قدس رضوى،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المقال في تحقيق أحوال الرجال، ميرزا محمّد على استرآبادى، قم، مؤسسة آل البيت عليهم السّلام لاحياء التراث،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الرجاليّة الميسّرة، على اكبر ترابى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اشراف آية اللّه جعفر سبحانى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قم، مؤسسۀ امام صادق عليه السّلام،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المهذّب، قاضى ابن برّاج، قم، مؤسسۀ نشر اسلامى،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المهذّب البارع في شرح المختصر النافع، ابن فهد حلّى، تحقيق شيخ مجتبى عراقى، قم، مؤسسۀ نشر اسلامى،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مجرّد الفقه و الفتاوى، شيخ طوسى، قم، انتشارات قدس محمّدى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الوجيزة في الرجال، علّامه محمّد باقر مجلسى، تحقيق محمّد كاظم رحمان ستايش، تهران، همايش بزرگداشت علّامۀ مجلسى،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إلى تحصيل مسائل الشريعة، شيخ حرّ عاملى، چاپ سوّم، قم، مؤسسة آل البيت عليهم السّلام لإحياء التراث،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إلى أحكام الشيعة، علّامه سيّد محسن كاظمينى أعرجى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محقّق و مقدّس بغدادى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چاپ بوذرجمهرى،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إلى نيل الفضيلة، ابن حمزۀ طوسى، تحقيق شيخ محمّد الحسون، قم، كتابخانۀ آية اللّه العظمى نجفى مرعشى،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الاصول و الفروع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صدوق، قم، مؤسسۀ امام صادق عليه السّلام،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آشنايى بيش‌تر با كتاب و مؤلّف آن به مقدّمۀ محقّقانۀ آية اللّه سيّد محمّد رضا جلالى بر كتاب مسائل على بن جعفر،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زندگينامۀ علّامۀ مجلسى،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حوزه، ش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و جواب،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و 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اعيان الشيعة در معرفى وى چنين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الشيخ آقا منير الدين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من نوابغ العصر الأخير في الفقه و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اين فقيه، محقّق و اصولى بزرگ در روضات الجنات،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غنائم الأيّام،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اين فقيه فرزانه در تاريخ علمى اجتماعى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قبيلۀ عالمان دين،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رسالۀ صلاتيه،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شرح هداية المسترشدين،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در 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با تحقيق اين جانب در شهر مقدّس قم چاپ گرديد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آشنائى با اساتيد، مشايخ و شاگردان وى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قبض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في حكم الأغلاط الواقعة في المصاحف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از مؤلّف كتاب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آشنائى بيش‌تر با وى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اين فقيه فرزانه در كشف الأستار،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ضياء الأبصار،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حكم الأغلاط،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نراقى در مستند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مى‌فرمايد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ثبوته للمغبون هو المشهور بين الأصحاب خصوصا المتأخرين منهم، بل عليه الإجماع في الغنية و 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پيروى نموده او را صاحب جواهر الكلام و مى‌فرمايد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خيار الغبن بلا خلاف أجده فيه بين من تعرض له عدا ما يحكي عن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إنكاره في حلقة درسه و الموجود في كتابه خلاف هذه الحكاية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براى توضيح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المكاسب المحرمة للشيخ الأنصاري،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جستجوى زياد، كلام صاحب كشف الرموز را نيافتيم ولى شهيد أوّل در كتاب دروس مى‌فرمايد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سادسها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خيار الغبن و هو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ربّما قال المحقّق في الدرس بعدم خيار الغبن، و يظهر من كلام ابن الجنيد، لأنّ البيع مبنيّ على المكايسة و المغالبة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خيارات اللمعة از فقيه محقّق شيخ عليّ بن الشيخ جعفر كاشف الغطاء،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محقّق بجنوردى،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قاعدة هشتم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فقهية للمحقّق البجنوردي،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قاعدۀ ششم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حاج محمّد حسين خان صدر اصفهانى، وزير فتحعلى شاه قاجار، بانى مدرسۀ صدر اصفهان و نجف، متوفّاى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مدفون در سرداب مدرسۀ صدر نجف مى‌باشد، وى از رجال نامى، خيرانديش و نيكوكار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مفصل وى را نگر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كشكول طبسى،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بين دانشمندان علم رجال ضعيف بودن أبى الجارود است، اما محدّث نورى در خاتمة المستدرك،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با استناد به كلام شيخ مفيد قدّس سرّه در الرسالة العددية او را توثيق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مورد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مسالك الأفهام،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الرياض،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مستند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المكاسب للشيخ الأنصاري،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جستجوى فراوان به اين روايت دسترسى پيدا نكرديم، امّا اعلام زير اين روايت را نقل نموده‌اند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غياث بن ابراهيم از امام صادق عليه السّلام قال سمعته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قضى رسول اللّه صلّى اللّه عليه و آله في سيل وادي مهزور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للزرع إلى الشراك و للنخل إلى الكعب ثمّ يرسل الماء إلى أسفل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حمزه در الوسيلة،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محقّق حلّى در شرايع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علّامۀ حلّى در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شهيد أوّل در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الأفهام،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 الروضة البهية،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جواهر الكلام،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مسألۀ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المهذّب البارع،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مسالك الأفهام،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كفاية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رياض المسائل،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ذكر است كه از مؤلّف اين رساله، رسالۀ قبض الوقف با تحقيق اين جانب در ميراث حوزۀ اصفهان، دفتر دوّم به چاپ رسيده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مستند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جمله شيخ الطائفة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برّاج در المهذّب البارع،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حمزه طوسى در الوسيلة،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ادريس حلّى در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محقّق حلّى در شرايع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علّامۀ حلّى در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شهيد أوّل در اللمعة الدمشقية،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الأفهام،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 فاضل مقداد اين قول را أولى و أحوط شمرده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اين قول را نيافتيم، ولى اين قول را علّامۀ حلّى در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محقّق حلّى در المختصر النافع،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شرايع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شهيد ثانى در الروضة البهية،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نموده‌اند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جمله صحيحة عليّ بن مهزيار،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دوّمين اين روايات صحيحۀ اسحاق بن عمّار بنا بر نظر مصنّف؛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جمله محقّق سبزواري در كفاية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 و اين قول را شهيد أوّل در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شهيد ثانى در الروضة البهية،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قوى شمرده‌اند و همچنين شهيد ثانى در مسالك الأفهام،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قول را وجيه دانسته؛ و در اين خصوص محدّث كاشانى در مفاتيح الشرائع،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سيّد الأقوال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در 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 تصريح به واقفى بودن سماعه نموده است و پيروى نموده ايشان را شيخ طوسى در رجال خود،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5021</w:t>
      </w:r>
      <w:r>
        <w:rPr>
          <w:rFonts w:ascii="IRNazanin" w:hAnsi="IRNazanin" w:eastAsia="IRNazanin"/>
          <w:b w:val="false"/>
          <w:b w:val="false"/>
          <w:bCs w:val="false"/>
          <w:i w:val="false"/>
          <w:i w:val="false"/>
          <w:iCs w:val="false"/>
          <w:color w:val="333333"/>
          <w:sz w:val="20"/>
          <w:sz w:val="20"/>
          <w:szCs w:val="20"/>
          <w:rtl w:val="true"/>
        </w:rPr>
        <w:t>؛ ولى با اين حال ممكن است كه قول به واقفى نبودن سماعه را بپذيريم به دلايل زير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صحيحۀ إسحاق بن 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 نظريۀ مصنّف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ولى اين روايت، بنا بر جستجوى ما، از امام كاظم عليه السّلام مى‌باشد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وحيد بهبهانى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توضيح المقال في علم الرجال،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 براى آگاهى از ردّيه‌هايى كه براى طايفۀ واقفه نوشته شده است رجوع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مسالك الأفهام،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قول را علّامۀ حلّى از اسكافى نقل نموده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الشيعة،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كرده است از او فاضل آبى در كشف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مسألۀ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مسألۀ </w:t>
      </w:r>
      <w:r>
        <w:rPr>
          <w:rFonts w:eastAsia="IRNazanin" w:cs="IRNazanin"/>
          <w:b w:val="false"/>
          <w:bCs w:val="false"/>
          <w:i w:val="false"/>
          <w:iCs w:val="false"/>
          <w:color w:val="333333"/>
          <w:sz w:val="20"/>
          <w:szCs w:val="20"/>
        </w:rPr>
        <w:t>4935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صاحب رياض المسائل و صاحب جواهر الكلام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عنوانى است كه براى دو تن از روات به كار رفته است، يكى عبد اللّه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ثقه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ديگرى 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مشهور وى را ضعيف 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هرگاه اين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تنهايى به كار رود براى اين كه بدانيم كدام يك از دو فرد فوق، مورد نظر مى‌باشند بايد ملاحظه شود كه اگر فردى كه ابن سنان از او روايت نقل مى‌كند حضرت امام صادق عليه السّلام باشد پس بدون شك مقصود، عبد اللّه بن سنان است؛ و اگر فردى كه ابن سنان از او روايت نقل مى‌كند حضرت امام كاظم يا امام رضا يا امام جواد عليهم السّلام باشند پس بدون شك مقصود محمّد بن سنان است و همچنين است اگر روايت 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سه امام بزرگوار با واسطه باشد؛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عدّة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الفوائد الرجالية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خواجوئى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الرسائل الرجالية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فقيه محقّق رجالى سيّد محمّد باقر شفتى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الرسائل الرجالية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المعالي كلباسى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التنبيه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سماء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ابواب عقد النكاح،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از بقباق ابو العباس الفضل بن عبد الملك است كه مرحوم نجاشى و علّامۀ حلّى از وى چنين ياد مى‌كنند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مولى، كوفي، ثقة، عين، روى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الأقوال،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جمله شيخ طوسى در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زهره در الغنية،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رياض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مستند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مسألۀ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عباسى،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دهم، اقسام حريم؛ مرحوم شهيد أوّل در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در اين مورد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فحريم الدار مطرح ترابها و كناستها و مصبّ مياها و ثلوجها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همچنين محقّق سبزوارى در كفاية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مى‌فرمايد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المشهور بين الأصحاب أن حريم الدار مقدار مطرح ترابها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حكم مطرح التراب مطرح القمامة و الرماد و الثلج و نحو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كاشف الغطاء در كشف الغطاء،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فحريم الدار مطرح ترابها و كناستها و مصبّ مائها من ميزاب أو نحوه و ثلوجها و سلك الدخول و الخروج إليها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الجامع للشرائع،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تبصرة المتعلّمين،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أفاده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سلّمه اللّه لكنّ الظاهر أنّ الغارس لو كان شريكا في النهر و مائه بكونه صاحب ملك يشرب منه أو يحكم في عرفهم بكون شاطئ النهر من توابع ملكه العالي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بلدنا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مع فصل الشارع و لا سيّما مع تصرّف كلّ شريك في سهمه بالنسبة كذلك فحقّ منعه من الغرس أو قطعه و قلعه غير 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حاشيۀ نسخه؛ ظاهرا اين حاشيه از شاگرد ايشان آية اللّه علّامه سيّد أحمد صفائى خوانسارى قدّس سرّه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جامعۀ 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جامعۀ 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مورد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منتقد المنافع،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التذنيب الأولى</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للسيّد البحر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 الرسائل الرجالية لأبي الهدى الكلباسي،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بر اقوال و آراى دانشمندان علم درايه در مورد صحى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تشديد و بدون 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جهات اختلاف اين دو، بنگريد تعليقه و توضيح ما را بر بيان مؤلّف اين رساله، در رسالۀ ديگر ايشان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في قبض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منتشر شده در ضمن مجموعۀ ميراث حوزۀ اصفهان،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الراشحة الثالثة؛ 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الفائدة الثانية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كرده است از او صاحب جواهر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جامعۀ 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مباركۀ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في الفقه، ص </w:t>
      </w:r>
      <w:r>
        <w:rPr>
          <w:rFonts w:eastAsia="IRNazanin" w:cs="IRNazanin"/>
          <w:b w:val="false"/>
          <w:bCs w:val="false"/>
          <w:i w:val="false"/>
          <w:iCs w:val="false"/>
          <w:color w:val="333333"/>
          <w:sz w:val="20"/>
          <w:szCs w:val="20"/>
        </w:rPr>
        <w:t>120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الكلام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هشام بن حكم لا صحيحة علي بن جعفر؛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حاشيۀ نسخه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بزرگوار آية اللّه العظمى خوئى قدّس سرّه در كتاب الحج،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در اين مورد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طريق صاحب الوسائل إلى كتاب علي بن جعفر صحيح لأنّ طريقه يصل إلى طريق الشيخ و طريق الشيخ إلى الكتاب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نصّ عليه الشيخ في الفهرست،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مشيخة التهذيب،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مختار جماعة من الفقهاء</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على الخبير بالبحوث الرجالية إنّهم قد يقولون في حقّ الراوي تارة أنّه مهمل و أخرى أنّه مجهول، و الأول ما لم يذكر في الكتب الرجالية كابن اشناس راوي صلاة عشرين ذي الحجة، و أمّا المجهول فهو قسمان لغوي و اصطلاحي، امّا اللغوي فهو ما لم يذكر الراوي بمدح و لا قدح بعد التصريح باسمه، بل باسم أبيه و طائفته و بلده، و يخرج من الثاني ما لو ظهر لنا عدالة الطائفة، أو حسن حالهم كالأعين و نحوه كما صرّح به العلّامة الطباطبائي في رجاله،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امّا الاصطلاحي فهو ما صرّحوا فيه بالجهالة كفارس بن حاتم و غيره و هذان الاصطلاحان مأخوذان من سيّد المحقّقين و رئيس الحكماء المتألهين مولانا العماد السيّد الداماد في رواشحه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با تحقيق شيخ محمّد شيخ محمّد باقر خالصى،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صاحب جواهر مى‌باشد؛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جامعۀ 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مباركۀ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خيارات اللمعة،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محقّق أعرجى بغدادى،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مصباح الفقيه،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كتاب الطهارة شيخ انصارى،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محدّث بحرانى قدّس سرّه در حاشيۀ كتاب الحدائق الناظرة در اين خصوص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السيّد حسن بن السيّد جعفر المعاصر لشيخنا الشهيد الثاني، قال في الروض،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بعض من عاصرناه من السادة الفضلاء يكتفي في تطهير الماء النجس بوقوع قطرة واحدة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شيخ حسن بن زين الدين بن علي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صاحب 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 رجوع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في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تفاصيل نظرات در اين زمينه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الطهارة آية اللّه سيّد مصطفى خمينى،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قول را صاحب جواهر از علّامۀ طباطبايى نقل كرده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image" Target="media/image2.jpeg"/><Relationship Id="rId66" Type="http://schemas.openxmlformats.org/officeDocument/2006/relationships/image" Target="media/image2.jpeg"/><Relationship Id="rId67" Type="http://schemas.openxmlformats.org/officeDocument/2006/relationships/footer" Target="footer60.xml"/><Relationship Id="rId68" Type="http://schemas.openxmlformats.org/officeDocument/2006/relationships/footnotes" Target="footnotes.xml"/><Relationship Id="rId69" Type="http://schemas.openxmlformats.org/officeDocument/2006/relationships/numbering" Target="numbering.xml"/><Relationship Id="rId70" Type="http://schemas.openxmlformats.org/officeDocument/2006/relationships/fontTable" Target="fontTable.xml"/><Relationship Id="rId71" Type="http://schemas.openxmlformats.org/officeDocument/2006/relationships/settings" Target="settings.xml"/><Relationship Id="rId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Pages>
  <Words>15905</Words>
  <Characters>62686</Characters>
  <CharactersWithSpaces>78088</CharactersWithSpaces>
  <Paragraphs>702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2026-08-16T19:38:24Z</dcterms:created>
  <dc:creator>ghaemiyeh.com</dc:creator>
  <dc:description/>
  <dc:language>en-US</dc:language>
  <cp:lastModifiedBy/>
  <dcterms:modified xsi:type="dcterms:W3CDTF">2026-08-16T23:08:26Z</dcterms:modified>
  <cp:revision>1</cp:revision>
  <dc:subject/>
  <dc:title>اسئله و اجوبه فقهیه</dc:title>
</cp:coreProperties>
</file>

<file path=docProps/custom.xml><?xml version="1.0" encoding="utf-8"?>
<Properties xmlns="http://schemas.openxmlformats.org/officeDocument/2006/custom-properties" xmlns:vt="http://schemas.openxmlformats.org/officeDocument/2006/docPropsVTypes"/>
</file>